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1B8" w:rsidRDefault="00F431B8">
      <w:pPr>
        <w:spacing w:line="600" w:lineRule="exact"/>
        <w:jc w:val="left"/>
        <w:outlineLvl w:val="0"/>
        <w:rPr>
          <w:rFonts w:ascii="方正小标宋简体" w:eastAsia="方正小标宋简体" w:hAnsi="宋体"/>
          <w:szCs w:val="21"/>
        </w:rPr>
      </w:pPr>
      <w:bookmarkStart w:id="0" w:name="_Toc15306267"/>
    </w:p>
    <w:p w:rsidR="00F431B8" w:rsidRDefault="00F431B8">
      <w:pPr>
        <w:spacing w:line="600" w:lineRule="exact"/>
        <w:jc w:val="center"/>
        <w:outlineLvl w:val="0"/>
        <w:rPr>
          <w:rFonts w:ascii="方正小标宋简体" w:eastAsia="方正小标宋简体" w:hAnsi="宋体"/>
          <w:sz w:val="72"/>
          <w:szCs w:val="72"/>
        </w:rPr>
      </w:pPr>
    </w:p>
    <w:p w:rsidR="00F431B8" w:rsidRDefault="00F431B8">
      <w:pPr>
        <w:spacing w:line="600" w:lineRule="exact"/>
        <w:jc w:val="center"/>
        <w:outlineLvl w:val="0"/>
        <w:rPr>
          <w:rFonts w:ascii="方正小标宋简体" w:eastAsia="方正小标宋简体" w:hAnsi="宋体"/>
          <w:sz w:val="72"/>
          <w:szCs w:val="72"/>
        </w:rPr>
      </w:pPr>
    </w:p>
    <w:p w:rsidR="00F431B8" w:rsidRDefault="00395DCA">
      <w:pPr>
        <w:adjustRightInd w:val="0"/>
        <w:snapToGrid w:val="0"/>
        <w:spacing w:line="360" w:lineRule="auto"/>
        <w:jc w:val="center"/>
        <w:outlineLvl w:val="0"/>
        <w:rPr>
          <w:rFonts w:ascii="方正小标宋简体" w:eastAsia="方正小标宋简体" w:hAnsi="方正小标宋简体" w:cs="方正小标宋简体"/>
          <w:sz w:val="72"/>
          <w:szCs w:val="72"/>
        </w:rPr>
      </w:pPr>
      <w:bookmarkStart w:id="1" w:name="_Toc15396475"/>
      <w:bookmarkStart w:id="2" w:name="_Toc15396597"/>
      <w:bookmarkStart w:id="3" w:name="_Toc15378441"/>
      <w:bookmarkStart w:id="4" w:name="_Toc15377425"/>
      <w:bookmarkStart w:id="5" w:name="_Toc15377193"/>
      <w:r>
        <w:rPr>
          <w:rFonts w:ascii="方正小标宋简体" w:eastAsia="方正小标宋简体" w:hAnsi="方正小标宋简体" w:cs="方正小标宋简体" w:hint="eastAsia"/>
          <w:sz w:val="72"/>
          <w:szCs w:val="72"/>
        </w:rPr>
        <w:t>2022年度</w:t>
      </w:r>
      <w:bookmarkStart w:id="6" w:name="_GoBack"/>
      <w:bookmarkEnd w:id="1"/>
      <w:bookmarkEnd w:id="2"/>
      <w:bookmarkEnd w:id="3"/>
      <w:bookmarkEnd w:id="4"/>
      <w:bookmarkEnd w:id="5"/>
      <w:bookmarkEnd w:id="6"/>
    </w:p>
    <w:p w:rsidR="00F431B8" w:rsidRDefault="00395DCA">
      <w:pPr>
        <w:adjustRightInd w:val="0"/>
        <w:snapToGrid w:val="0"/>
        <w:spacing w:line="360" w:lineRule="auto"/>
        <w:jc w:val="center"/>
        <w:outlineLvl w:val="0"/>
        <w:rPr>
          <w:rFonts w:ascii="方正小标宋简体" w:eastAsia="方正小标宋简体" w:hAnsi="方正小标宋简体" w:cs="方正小标宋简体"/>
          <w:sz w:val="72"/>
          <w:szCs w:val="72"/>
        </w:rPr>
      </w:pPr>
      <w:bookmarkStart w:id="7" w:name="_Toc15377426"/>
      <w:bookmarkStart w:id="8" w:name="_Toc15378442"/>
      <w:bookmarkStart w:id="9" w:name="_Toc15377194"/>
      <w:bookmarkStart w:id="10" w:name="_Toc15396476"/>
      <w:bookmarkStart w:id="11" w:name="_Toc15396598"/>
      <w:r>
        <w:rPr>
          <w:rFonts w:ascii="方正小标宋简体" w:eastAsia="方正小标宋简体" w:hAnsi="方正小标宋简体" w:cs="方正小标宋简体" w:hint="eastAsia"/>
          <w:sz w:val="72"/>
          <w:szCs w:val="72"/>
        </w:rPr>
        <w:t>攀枝花市</w:t>
      </w:r>
      <w:bookmarkStart w:id="12" w:name="_Toc15306268"/>
      <w:bookmarkEnd w:id="0"/>
      <w:r>
        <w:rPr>
          <w:rFonts w:ascii="方正小标宋简体" w:eastAsia="方正小标宋简体" w:hAnsi="方正小标宋简体" w:cs="方正小标宋简体" w:hint="eastAsia"/>
          <w:sz w:val="72"/>
          <w:szCs w:val="72"/>
        </w:rPr>
        <w:t>社会体育指导中心单位决算</w:t>
      </w:r>
      <w:bookmarkEnd w:id="7"/>
      <w:bookmarkEnd w:id="8"/>
      <w:bookmarkEnd w:id="9"/>
      <w:bookmarkEnd w:id="10"/>
      <w:bookmarkEnd w:id="11"/>
      <w:bookmarkEnd w:id="12"/>
    </w:p>
    <w:p w:rsidR="00F431B8" w:rsidRDefault="00395DCA">
      <w:pPr>
        <w:widowControl/>
        <w:jc w:val="center"/>
        <w:rPr>
          <w:rFonts w:ascii="黑体" w:eastAsia="黑体" w:hAnsi="黑体"/>
          <w:sz w:val="48"/>
          <w:szCs w:val="48"/>
        </w:rPr>
      </w:pPr>
      <w:r>
        <w:rPr>
          <w:rFonts w:ascii="方正小标宋简体" w:eastAsia="方正小标宋简体" w:hAnsi="宋体"/>
          <w:sz w:val="36"/>
          <w:szCs w:val="36"/>
        </w:rPr>
        <w:br w:type="page"/>
      </w:r>
      <w:r>
        <w:rPr>
          <w:rFonts w:ascii="黑体" w:eastAsia="黑体" w:hAnsi="黑体" w:hint="eastAsia"/>
          <w:sz w:val="48"/>
          <w:szCs w:val="48"/>
        </w:rPr>
        <w:lastRenderedPageBreak/>
        <w:t>目录</w:t>
      </w:r>
    </w:p>
    <w:p w:rsidR="00F431B8" w:rsidRDefault="00F431B8">
      <w:pPr>
        <w:widowControl/>
        <w:jc w:val="center"/>
        <w:rPr>
          <w:rFonts w:ascii="黑体" w:eastAsia="黑体" w:hAnsi="黑体" w:cstheme="minorBidi"/>
          <w:sz w:val="28"/>
          <w:szCs w:val="28"/>
        </w:rPr>
      </w:pPr>
    </w:p>
    <w:p w:rsidR="00F431B8" w:rsidRDefault="00395DCA">
      <w:pPr>
        <w:pStyle w:val="10"/>
      </w:pPr>
      <w:r>
        <w:rPr>
          <w:rFonts w:hint="eastAsia"/>
        </w:rPr>
        <w:t>公开时间：2023年9月</w:t>
      </w:r>
      <w:r>
        <w:t>1</w:t>
      </w:r>
      <w:r>
        <w:rPr>
          <w:rFonts w:hint="eastAsia"/>
        </w:rPr>
        <w:t>5日</w:t>
      </w:r>
    </w:p>
    <w:p w:rsidR="00F431B8" w:rsidRDefault="00F431B8"/>
    <w:p w:rsidR="00F431B8" w:rsidRDefault="00395DCA">
      <w:pPr>
        <w:pStyle w:val="10"/>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单位概况</w:t>
      </w:r>
      <w:r>
        <w:rPr>
          <w:rFonts w:cstheme="minorBidi"/>
          <w:sz w:val="24"/>
          <w:szCs w:val="24"/>
        </w:rPr>
        <w:tab/>
      </w:r>
      <w:r>
        <w:rPr>
          <w:rFonts w:cstheme="minorBidi" w:hint="eastAsia"/>
          <w:sz w:val="24"/>
          <w:szCs w:val="24"/>
        </w:rPr>
        <w:t>4</w:t>
      </w:r>
    </w:p>
    <w:p w:rsidR="00F431B8" w:rsidRDefault="00395DCA">
      <w:pPr>
        <w:pStyle w:val="20"/>
        <w:adjustRightInd w:val="0"/>
        <w:snapToGrid w:val="0"/>
        <w:spacing w:line="440" w:lineRule="exact"/>
        <w:jc w:val="left"/>
        <w:rPr>
          <w:sz w:val="24"/>
        </w:rPr>
      </w:pPr>
      <w:r>
        <w:rPr>
          <w:rFonts w:hint="eastAsia"/>
          <w:sz w:val="24"/>
        </w:rPr>
        <w:t>一、主要职责</w:t>
      </w:r>
      <w:r>
        <w:rPr>
          <w:rFonts w:cstheme="minorBidi"/>
          <w:sz w:val="24"/>
        </w:rPr>
        <w:tab/>
      </w:r>
      <w:r>
        <w:rPr>
          <w:rFonts w:cstheme="minorBidi" w:hint="eastAsia"/>
          <w:sz w:val="24"/>
        </w:rPr>
        <w:t>4</w:t>
      </w:r>
    </w:p>
    <w:p w:rsidR="00F431B8" w:rsidRDefault="00395DCA">
      <w:pPr>
        <w:pStyle w:val="20"/>
        <w:adjustRightInd w:val="0"/>
        <w:snapToGrid w:val="0"/>
        <w:spacing w:line="440" w:lineRule="exact"/>
        <w:jc w:val="left"/>
      </w:pPr>
      <w:r>
        <w:rPr>
          <w:rFonts w:hint="eastAsia"/>
          <w:sz w:val="24"/>
        </w:rPr>
        <w:t>二、机构设置</w:t>
      </w:r>
      <w:r>
        <w:rPr>
          <w:rFonts w:cstheme="minorBidi"/>
          <w:sz w:val="24"/>
        </w:rPr>
        <w:tab/>
      </w:r>
      <w:r>
        <w:rPr>
          <w:rFonts w:cstheme="minorBidi" w:hint="eastAsia"/>
          <w:sz w:val="24"/>
        </w:rPr>
        <w:t>4</w:t>
      </w:r>
    </w:p>
    <w:p w:rsidR="00F431B8" w:rsidRDefault="00395DCA">
      <w:pPr>
        <w:pStyle w:val="10"/>
        <w:adjustRightInd w:val="0"/>
        <w:snapToGrid w:val="0"/>
        <w:spacing w:before="0" w:line="440" w:lineRule="exact"/>
        <w:jc w:val="left"/>
        <w:rPr>
          <w:sz w:val="24"/>
          <w:szCs w:val="24"/>
        </w:rPr>
      </w:pPr>
      <w:r>
        <w:rPr>
          <w:rFonts w:hint="eastAsia"/>
          <w:sz w:val="24"/>
        </w:rPr>
        <w:t>第二部分 2022年度单位决算情况说明</w:t>
      </w:r>
      <w:r>
        <w:rPr>
          <w:rFonts w:cstheme="minorBidi"/>
          <w:sz w:val="24"/>
        </w:rPr>
        <w:tab/>
      </w:r>
      <w:r>
        <w:rPr>
          <w:rFonts w:cstheme="minorBidi" w:hint="eastAsia"/>
          <w:sz w:val="24"/>
        </w:rPr>
        <w:t>5</w:t>
      </w:r>
    </w:p>
    <w:p w:rsidR="00F431B8" w:rsidRDefault="00395DCA">
      <w:pPr>
        <w:pStyle w:val="20"/>
        <w:adjustRightInd w:val="0"/>
        <w:snapToGrid w:val="0"/>
        <w:spacing w:line="440" w:lineRule="exact"/>
        <w:jc w:val="left"/>
        <w:rPr>
          <w:rFonts w:ascii="仿宋" w:hAnsi="仿宋" w:cstheme="minorBidi"/>
          <w:sz w:val="24"/>
        </w:rPr>
      </w:pPr>
      <w:r>
        <w:rPr>
          <w:rFonts w:hint="eastAsia"/>
          <w:sz w:val="24"/>
        </w:rPr>
        <w:t>一、收入支出决算总体情况说明</w:t>
      </w:r>
      <w:r>
        <w:rPr>
          <w:rFonts w:cstheme="minorBidi"/>
          <w:sz w:val="24"/>
        </w:rPr>
        <w:tab/>
      </w:r>
      <w:r>
        <w:rPr>
          <w:rFonts w:cstheme="minorBidi" w:hint="eastAsia"/>
          <w:sz w:val="24"/>
        </w:rPr>
        <w:t>5</w:t>
      </w:r>
    </w:p>
    <w:p w:rsidR="00F431B8" w:rsidRDefault="00395DCA">
      <w:pPr>
        <w:pStyle w:val="20"/>
        <w:adjustRightInd w:val="0"/>
        <w:snapToGrid w:val="0"/>
        <w:spacing w:line="440" w:lineRule="exact"/>
        <w:jc w:val="left"/>
        <w:rPr>
          <w:rFonts w:ascii="仿宋" w:hAnsi="仿宋" w:cstheme="minorBidi"/>
          <w:sz w:val="24"/>
        </w:rPr>
      </w:pPr>
      <w:r>
        <w:rPr>
          <w:rFonts w:hint="eastAsia"/>
          <w:sz w:val="24"/>
        </w:rPr>
        <w:t>二、收入决算情况说明</w:t>
      </w:r>
      <w:r>
        <w:rPr>
          <w:rFonts w:cstheme="minorBidi"/>
          <w:sz w:val="24"/>
        </w:rPr>
        <w:tab/>
      </w:r>
      <w:r>
        <w:rPr>
          <w:rFonts w:cstheme="minorBidi" w:hint="eastAsia"/>
          <w:sz w:val="24"/>
        </w:rPr>
        <w:t>5</w:t>
      </w:r>
    </w:p>
    <w:p w:rsidR="00F431B8" w:rsidRDefault="00395DCA">
      <w:pPr>
        <w:pStyle w:val="20"/>
        <w:adjustRightInd w:val="0"/>
        <w:snapToGrid w:val="0"/>
        <w:spacing w:line="440" w:lineRule="exact"/>
        <w:jc w:val="left"/>
        <w:rPr>
          <w:rFonts w:ascii="仿宋" w:hAnsi="仿宋" w:cstheme="minorBidi"/>
          <w:sz w:val="24"/>
        </w:rPr>
      </w:pPr>
      <w:r>
        <w:rPr>
          <w:rFonts w:hint="eastAsia"/>
          <w:sz w:val="24"/>
        </w:rPr>
        <w:t>三、支出决算情况说明</w:t>
      </w:r>
      <w:r>
        <w:rPr>
          <w:rFonts w:cstheme="minorBidi"/>
          <w:sz w:val="24"/>
        </w:rPr>
        <w:tab/>
      </w:r>
      <w:r>
        <w:rPr>
          <w:rFonts w:cstheme="minorBidi" w:hint="eastAsia"/>
          <w:sz w:val="24"/>
        </w:rPr>
        <w:t>6</w:t>
      </w:r>
    </w:p>
    <w:p w:rsidR="00F431B8" w:rsidRDefault="00395DCA">
      <w:pPr>
        <w:pStyle w:val="20"/>
        <w:adjustRightInd w:val="0"/>
        <w:snapToGrid w:val="0"/>
        <w:spacing w:line="440" w:lineRule="exact"/>
        <w:jc w:val="left"/>
        <w:rPr>
          <w:rFonts w:ascii="仿宋" w:hAnsi="仿宋" w:cstheme="minorBidi"/>
          <w:sz w:val="24"/>
        </w:rPr>
      </w:pPr>
      <w:r>
        <w:rPr>
          <w:rFonts w:hint="eastAsia"/>
          <w:sz w:val="24"/>
        </w:rPr>
        <w:t>四、财政拨款收入支出决算总体情况说明</w:t>
      </w:r>
      <w:r>
        <w:rPr>
          <w:rFonts w:cstheme="minorBidi"/>
          <w:sz w:val="24"/>
        </w:rPr>
        <w:tab/>
      </w:r>
      <w:r>
        <w:rPr>
          <w:rFonts w:cstheme="minorBidi" w:hint="eastAsia"/>
          <w:sz w:val="24"/>
        </w:rPr>
        <w:t>7</w:t>
      </w:r>
    </w:p>
    <w:p w:rsidR="00F431B8" w:rsidRDefault="00395DCA">
      <w:pPr>
        <w:pStyle w:val="20"/>
        <w:adjustRightInd w:val="0"/>
        <w:snapToGrid w:val="0"/>
        <w:spacing w:line="440" w:lineRule="exact"/>
        <w:jc w:val="left"/>
        <w:rPr>
          <w:rFonts w:ascii="仿宋" w:hAnsi="仿宋" w:cstheme="minorBidi"/>
          <w:sz w:val="24"/>
        </w:rPr>
      </w:pPr>
      <w:r>
        <w:rPr>
          <w:rFonts w:hint="eastAsia"/>
          <w:sz w:val="24"/>
        </w:rPr>
        <w:t>五、一般公共预算财政拨款支出决算情况说明</w:t>
      </w:r>
      <w:r>
        <w:rPr>
          <w:rFonts w:cstheme="minorBidi"/>
          <w:sz w:val="24"/>
        </w:rPr>
        <w:tab/>
      </w:r>
      <w:r>
        <w:rPr>
          <w:rFonts w:cstheme="minorBidi" w:hint="eastAsia"/>
          <w:sz w:val="24"/>
        </w:rPr>
        <w:t>8</w:t>
      </w:r>
    </w:p>
    <w:p w:rsidR="00F431B8" w:rsidRDefault="00395DCA">
      <w:pPr>
        <w:pStyle w:val="20"/>
        <w:adjustRightInd w:val="0"/>
        <w:snapToGrid w:val="0"/>
        <w:spacing w:line="440" w:lineRule="exact"/>
        <w:jc w:val="left"/>
        <w:rPr>
          <w:rFonts w:ascii="仿宋" w:hAnsi="仿宋" w:cstheme="minorBidi"/>
          <w:sz w:val="24"/>
        </w:rPr>
      </w:pPr>
      <w:r>
        <w:rPr>
          <w:rFonts w:hint="eastAsia"/>
          <w:sz w:val="24"/>
        </w:rPr>
        <w:t>六、一般公共预算财政拨款基本支出决算情况说明</w:t>
      </w:r>
      <w:r>
        <w:rPr>
          <w:rFonts w:cstheme="minorBidi"/>
          <w:sz w:val="24"/>
        </w:rPr>
        <w:tab/>
      </w:r>
      <w:r>
        <w:rPr>
          <w:rFonts w:cstheme="minorBidi" w:hint="eastAsia"/>
          <w:sz w:val="24"/>
        </w:rPr>
        <w:t>11</w:t>
      </w:r>
    </w:p>
    <w:p w:rsidR="00F431B8" w:rsidRDefault="00395DCA">
      <w:pPr>
        <w:pStyle w:val="20"/>
        <w:adjustRightInd w:val="0"/>
        <w:snapToGrid w:val="0"/>
        <w:spacing w:line="440" w:lineRule="exact"/>
        <w:jc w:val="left"/>
        <w:rPr>
          <w:rFonts w:ascii="仿宋" w:hAnsi="仿宋" w:cstheme="minorBidi"/>
          <w:sz w:val="24"/>
        </w:rPr>
      </w:pPr>
      <w:r>
        <w:rPr>
          <w:rFonts w:hint="eastAsia"/>
          <w:sz w:val="24"/>
        </w:rPr>
        <w:t>七、财政拨款“三公”经费支出决算情况说明</w:t>
      </w:r>
      <w:r>
        <w:rPr>
          <w:rFonts w:cstheme="minorBidi"/>
          <w:sz w:val="24"/>
        </w:rPr>
        <w:tab/>
      </w:r>
      <w:r>
        <w:rPr>
          <w:rFonts w:cstheme="minorBidi" w:hint="eastAsia"/>
          <w:sz w:val="24"/>
        </w:rPr>
        <w:t>11</w:t>
      </w:r>
    </w:p>
    <w:p w:rsidR="00F431B8" w:rsidRDefault="00395DCA">
      <w:pPr>
        <w:pStyle w:val="20"/>
        <w:adjustRightInd w:val="0"/>
        <w:snapToGrid w:val="0"/>
        <w:spacing w:line="440" w:lineRule="exact"/>
        <w:jc w:val="left"/>
        <w:rPr>
          <w:rFonts w:ascii="仿宋" w:hAnsi="仿宋" w:cstheme="minorBidi"/>
          <w:sz w:val="24"/>
        </w:rPr>
      </w:pPr>
      <w:r>
        <w:rPr>
          <w:rFonts w:hint="eastAsia"/>
          <w:sz w:val="24"/>
        </w:rPr>
        <w:t>八、政府性基金预算支出决算情况说明</w:t>
      </w:r>
      <w:r>
        <w:rPr>
          <w:rFonts w:cstheme="minorBidi"/>
          <w:sz w:val="24"/>
        </w:rPr>
        <w:tab/>
      </w:r>
      <w:r>
        <w:rPr>
          <w:rFonts w:cstheme="minorBidi" w:hint="eastAsia"/>
          <w:sz w:val="24"/>
        </w:rPr>
        <w:t>12</w:t>
      </w:r>
    </w:p>
    <w:p w:rsidR="00F431B8" w:rsidRDefault="00395DCA">
      <w:pPr>
        <w:pStyle w:val="20"/>
        <w:adjustRightInd w:val="0"/>
        <w:snapToGrid w:val="0"/>
        <w:spacing w:line="440" w:lineRule="exact"/>
        <w:jc w:val="left"/>
        <w:rPr>
          <w:sz w:val="24"/>
        </w:rPr>
      </w:pPr>
      <w:r>
        <w:rPr>
          <w:rFonts w:hint="eastAsia"/>
          <w:sz w:val="24"/>
        </w:rPr>
        <w:t>九、国有资本经营预算支出决算情况说明</w:t>
      </w:r>
      <w:r>
        <w:rPr>
          <w:rFonts w:cstheme="minorBidi"/>
          <w:sz w:val="24"/>
        </w:rPr>
        <w:tab/>
      </w:r>
      <w:r>
        <w:rPr>
          <w:rFonts w:cstheme="minorBidi" w:hint="eastAsia"/>
          <w:sz w:val="24"/>
        </w:rPr>
        <w:t>12</w:t>
      </w:r>
    </w:p>
    <w:p w:rsidR="00F431B8" w:rsidRDefault="00395DCA">
      <w:pPr>
        <w:pStyle w:val="20"/>
        <w:adjustRightInd w:val="0"/>
        <w:snapToGrid w:val="0"/>
        <w:spacing w:line="440" w:lineRule="exact"/>
        <w:jc w:val="left"/>
        <w:rPr>
          <w:sz w:val="24"/>
        </w:rPr>
      </w:pPr>
      <w:r>
        <w:rPr>
          <w:rFonts w:hint="eastAsia"/>
          <w:sz w:val="24"/>
        </w:rPr>
        <w:t>十、其他重要事项的情况说明</w:t>
      </w:r>
      <w:r>
        <w:rPr>
          <w:rFonts w:cstheme="minorBidi"/>
          <w:sz w:val="24"/>
        </w:rPr>
        <w:tab/>
      </w:r>
      <w:r>
        <w:rPr>
          <w:rFonts w:cstheme="minorBidi" w:hint="eastAsia"/>
          <w:sz w:val="24"/>
        </w:rPr>
        <w:t>12</w:t>
      </w:r>
    </w:p>
    <w:p w:rsidR="00F431B8" w:rsidRDefault="00395DCA">
      <w:pPr>
        <w:pStyle w:val="10"/>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r>
        <w:rPr>
          <w:rFonts w:cstheme="minorBidi"/>
          <w:sz w:val="24"/>
        </w:rPr>
        <w:tab/>
      </w:r>
      <w:r>
        <w:rPr>
          <w:rFonts w:cstheme="minorBidi" w:hint="eastAsia"/>
          <w:sz w:val="24"/>
        </w:rPr>
        <w:t>14</w:t>
      </w:r>
    </w:p>
    <w:p w:rsidR="00F431B8" w:rsidRDefault="00395DCA">
      <w:pPr>
        <w:pStyle w:val="10"/>
        <w:adjustRightInd w:val="0"/>
        <w:snapToGrid w:val="0"/>
        <w:spacing w:before="0" w:line="440" w:lineRule="exact"/>
        <w:jc w:val="left"/>
        <w:rPr>
          <w:rFonts w:cstheme="minorBidi"/>
          <w:sz w:val="24"/>
          <w:szCs w:val="24"/>
          <w:lang w:val="en"/>
        </w:rPr>
      </w:pPr>
      <w:r>
        <w:rPr>
          <w:rFonts w:hint="eastAsia"/>
          <w:sz w:val="24"/>
        </w:rPr>
        <w:t>第四部分</w:t>
      </w:r>
      <w:r>
        <w:rPr>
          <w:sz w:val="24"/>
        </w:rPr>
        <w:t xml:space="preserve"> </w:t>
      </w:r>
      <w:r>
        <w:rPr>
          <w:rFonts w:hint="eastAsia"/>
          <w:sz w:val="24"/>
        </w:rPr>
        <w:t>附件</w:t>
      </w:r>
      <w:r>
        <w:rPr>
          <w:rFonts w:cstheme="minorBidi"/>
          <w:sz w:val="24"/>
        </w:rPr>
        <w:tab/>
      </w:r>
      <w:r>
        <w:rPr>
          <w:rFonts w:cstheme="minorBidi" w:hint="eastAsia"/>
          <w:sz w:val="24"/>
        </w:rPr>
        <w:t>1</w:t>
      </w:r>
      <w:r>
        <w:rPr>
          <w:rFonts w:cstheme="minorBidi" w:hint="eastAsia"/>
          <w:sz w:val="24"/>
          <w:lang w:val="en"/>
        </w:rPr>
        <w:t>5</w:t>
      </w:r>
    </w:p>
    <w:p w:rsidR="00F431B8" w:rsidRDefault="00395DCA">
      <w:pPr>
        <w:pStyle w:val="10"/>
        <w:adjustRightInd w:val="0"/>
        <w:snapToGrid w:val="0"/>
        <w:spacing w:before="0" w:line="440" w:lineRule="exact"/>
        <w:jc w:val="left"/>
        <w:rPr>
          <w:rFonts w:cstheme="minorBidi"/>
          <w:sz w:val="24"/>
          <w:szCs w:val="24"/>
          <w:lang w:val="en"/>
        </w:rPr>
      </w:pPr>
      <w:r>
        <w:rPr>
          <w:rFonts w:hint="eastAsia"/>
          <w:sz w:val="24"/>
        </w:rPr>
        <w:t>第五部分</w:t>
      </w:r>
      <w:r>
        <w:rPr>
          <w:sz w:val="24"/>
        </w:rPr>
        <w:t xml:space="preserve"> </w:t>
      </w:r>
      <w:r>
        <w:rPr>
          <w:rFonts w:hint="eastAsia"/>
          <w:sz w:val="24"/>
        </w:rPr>
        <w:t>附表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一、收入支出决算总表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二、收入决算表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rPr>
      </w:pPr>
      <w:r>
        <w:rPr>
          <w:rFonts w:hint="eastAsia"/>
          <w:sz w:val="24"/>
        </w:rPr>
        <w:t>三、支出决算表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四、财政拨款收入支出决算总表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五、财政拨款支出决算明细表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六、一般公共预算财政拨款支出决算表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七、一般公共预算财政拨款支出决算明细表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八、一般公共预算财政拨款基本支出决算明细表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九、一般公共预算财政拨款项目支出决算表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lastRenderedPageBreak/>
        <w:t>十、政府性基金预算财政拨款收入支出决算表</w:t>
      </w:r>
      <w:r>
        <w:rPr>
          <w:rFonts w:cstheme="minorBidi"/>
          <w:sz w:val="24"/>
        </w:rPr>
        <w:tab/>
      </w:r>
      <w:r>
        <w:rPr>
          <w:rFonts w:cstheme="minorBidi" w:hint="eastAsia"/>
          <w:sz w:val="24"/>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十一、国有资本经营预算财政拨款收入支出决算表</w:t>
      </w:r>
      <w:r>
        <w:rPr>
          <w:rFonts w:cstheme="minorBidi"/>
          <w:sz w:val="24"/>
        </w:rPr>
        <w:tab/>
      </w:r>
      <w:r>
        <w:rPr>
          <w:rFonts w:cstheme="minorBidi"/>
          <w:sz w:val="24"/>
          <w:lang w:val="en"/>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十二、国有资本经营预算财政拨款支出决算表</w:t>
      </w:r>
      <w:r>
        <w:rPr>
          <w:rFonts w:cstheme="minorBidi"/>
          <w:sz w:val="24"/>
        </w:rPr>
        <w:tab/>
      </w:r>
      <w:r>
        <w:rPr>
          <w:rFonts w:cstheme="minorBidi"/>
          <w:sz w:val="24"/>
          <w:lang w:val="en"/>
        </w:rPr>
        <w:t>1</w:t>
      </w:r>
      <w:r>
        <w:rPr>
          <w:rFonts w:cstheme="minorBidi" w:hint="eastAsia"/>
          <w:sz w:val="24"/>
          <w:lang w:val="en"/>
        </w:rPr>
        <w:t>6</w:t>
      </w:r>
    </w:p>
    <w:p w:rsidR="00F431B8" w:rsidRDefault="00395DCA">
      <w:pPr>
        <w:pStyle w:val="20"/>
        <w:adjustRightInd w:val="0"/>
        <w:snapToGrid w:val="0"/>
        <w:spacing w:line="440" w:lineRule="exact"/>
        <w:jc w:val="left"/>
        <w:rPr>
          <w:sz w:val="24"/>
          <w:lang w:val="en"/>
        </w:rPr>
      </w:pPr>
      <w:r>
        <w:rPr>
          <w:rFonts w:hint="eastAsia"/>
          <w:sz w:val="24"/>
        </w:rPr>
        <w:t>十三、财政拨款“三公”经费支出决算表</w:t>
      </w:r>
      <w:r>
        <w:rPr>
          <w:rFonts w:cstheme="minorBidi"/>
          <w:sz w:val="24"/>
        </w:rPr>
        <w:tab/>
      </w:r>
      <w:r>
        <w:rPr>
          <w:rFonts w:cstheme="minorBidi"/>
          <w:sz w:val="24"/>
          <w:lang w:val="en"/>
        </w:rPr>
        <w:t>1</w:t>
      </w:r>
      <w:r>
        <w:rPr>
          <w:rFonts w:cstheme="minorBidi" w:hint="eastAsia"/>
          <w:sz w:val="24"/>
          <w:lang w:val="en"/>
        </w:rPr>
        <w:t>6</w:t>
      </w:r>
    </w:p>
    <w:p w:rsidR="00F431B8" w:rsidRDefault="00F431B8">
      <w:pPr>
        <w:widowControl/>
        <w:adjustRightInd w:val="0"/>
        <w:snapToGrid w:val="0"/>
        <w:spacing w:line="440" w:lineRule="exact"/>
        <w:ind w:firstLineChars="550" w:firstLine="1320"/>
        <w:jc w:val="left"/>
        <w:rPr>
          <w:rFonts w:ascii="仿宋" w:eastAsia="仿宋" w:hAnsi="仿宋"/>
          <w:sz w:val="24"/>
        </w:rPr>
      </w:pPr>
    </w:p>
    <w:p w:rsidR="00F431B8" w:rsidRDefault="00395DCA">
      <w:pPr>
        <w:widowControl/>
        <w:spacing w:line="440" w:lineRule="exact"/>
        <w:jc w:val="left"/>
        <w:rPr>
          <w:rFonts w:ascii="仿宋" w:eastAsia="仿宋" w:hAnsi="仿宋"/>
          <w:bCs/>
          <w:kern w:val="44"/>
          <w:sz w:val="24"/>
        </w:rPr>
      </w:pPr>
      <w:bookmarkStart w:id="13" w:name="_Toc15377196"/>
      <w:bookmarkStart w:id="14" w:name="_Toc15396599"/>
      <w:r>
        <w:rPr>
          <w:rFonts w:ascii="仿宋" w:eastAsia="仿宋" w:hAnsi="仿宋"/>
          <w:b/>
          <w:sz w:val="24"/>
        </w:rPr>
        <w:br w:type="page"/>
      </w:r>
    </w:p>
    <w:p w:rsidR="00F431B8" w:rsidRDefault="00395DCA">
      <w:pPr>
        <w:pStyle w:val="1"/>
        <w:jc w:val="center"/>
        <w:rPr>
          <w:rStyle w:val="1Char"/>
          <w:rFonts w:ascii="黑体" w:eastAsia="黑体" w:hAnsi="黑体"/>
          <w:b/>
        </w:rPr>
      </w:pPr>
      <w:r>
        <w:rPr>
          <w:rFonts w:ascii="黑体" w:eastAsia="黑体" w:hAnsi="黑体" w:hint="eastAsia"/>
          <w:b w:val="0"/>
        </w:rPr>
        <w:lastRenderedPageBreak/>
        <w:t>第一部分 单位</w:t>
      </w:r>
      <w:r>
        <w:rPr>
          <w:rStyle w:val="1Char"/>
          <w:rFonts w:ascii="黑体" w:eastAsia="黑体" w:hAnsi="黑体" w:hint="eastAsia"/>
        </w:rPr>
        <w:t>概况</w:t>
      </w:r>
      <w:bookmarkEnd w:id="13"/>
      <w:bookmarkEnd w:id="14"/>
    </w:p>
    <w:p w:rsidR="00F431B8" w:rsidRDefault="00F431B8">
      <w:pPr>
        <w:widowControl/>
        <w:jc w:val="left"/>
        <w:rPr>
          <w:rFonts w:ascii="黑体" w:eastAsia="黑体"/>
          <w:sz w:val="32"/>
          <w:szCs w:val="32"/>
        </w:rPr>
      </w:pPr>
    </w:p>
    <w:p w:rsidR="00F431B8" w:rsidRDefault="00395DCA">
      <w:pPr>
        <w:pStyle w:val="2"/>
        <w:numPr>
          <w:ilvl w:val="0"/>
          <w:numId w:val="1"/>
        </w:numPr>
        <w:rPr>
          <w:rStyle w:val="2Char"/>
          <w:rFonts w:ascii="黑体" w:eastAsia="黑体" w:hAnsi="黑体"/>
        </w:rPr>
      </w:pPr>
      <w:bookmarkStart w:id="15" w:name="_Toc15396600"/>
      <w:bookmarkStart w:id="16" w:name="_Toc15377197"/>
      <w:r>
        <w:rPr>
          <w:rStyle w:val="2Char"/>
          <w:rFonts w:ascii="黑体" w:eastAsia="黑体" w:hAnsi="黑体" w:hint="eastAsia"/>
        </w:rPr>
        <w:t>主要职责</w:t>
      </w:r>
    </w:p>
    <w:p w:rsidR="00F431B8" w:rsidRDefault="00395DCA">
      <w:pPr>
        <w:spacing w:line="600" w:lineRule="exact"/>
        <w:ind w:firstLineChars="200" w:firstLine="640"/>
        <w:outlineLvl w:val="1"/>
        <w:rPr>
          <w:rFonts w:ascii="仿宋" w:eastAsia="仿宋" w:hAnsi="仿宋"/>
          <w:sz w:val="32"/>
          <w:szCs w:val="32"/>
        </w:rPr>
      </w:pPr>
      <w:r>
        <w:rPr>
          <w:rFonts w:ascii="仿宋" w:eastAsia="仿宋" w:hAnsi="仿宋" w:hint="eastAsia"/>
          <w:sz w:val="32"/>
          <w:szCs w:val="32"/>
        </w:rPr>
        <w:t>攀枝花市社会体育指导中心</w:t>
      </w:r>
      <w:r>
        <w:rPr>
          <w:rFonts w:ascii="仿宋_GB2312" w:eastAsia="仿宋_GB2312" w:hint="eastAsia"/>
          <w:kern w:val="0"/>
          <w:sz w:val="32"/>
          <w:szCs w:val="32"/>
        </w:rPr>
        <w:t>是市教育和体育局直属的独立核算二级预算单位，主要职责</w:t>
      </w:r>
      <w:r>
        <w:rPr>
          <w:rFonts w:ascii="仿宋" w:eastAsia="仿宋" w:hAnsi="仿宋" w:hint="eastAsia"/>
          <w:sz w:val="32"/>
          <w:szCs w:val="32"/>
        </w:rPr>
        <w:t>是承担全市全民健身赛事活动、国民体质测试和社会体育指导的具体技术性、事务性工作。</w:t>
      </w:r>
    </w:p>
    <w:p w:rsidR="00F431B8" w:rsidRDefault="00395DCA">
      <w:pPr>
        <w:pStyle w:val="2"/>
        <w:numPr>
          <w:ilvl w:val="0"/>
          <w:numId w:val="1"/>
        </w:numPr>
        <w:rPr>
          <w:rFonts w:ascii="黑体" w:eastAsia="黑体" w:hAnsi="黑体"/>
          <w:b w:val="0"/>
        </w:rPr>
      </w:pPr>
      <w:r>
        <w:rPr>
          <w:rFonts w:ascii="黑体" w:eastAsia="黑体" w:hAnsi="黑体" w:hint="eastAsia"/>
          <w:b w:val="0"/>
        </w:rPr>
        <w:t>机构设置</w:t>
      </w:r>
    </w:p>
    <w:p w:rsidR="00F431B8" w:rsidRDefault="00395DCA">
      <w:pPr>
        <w:ind w:firstLineChars="200" w:firstLine="640"/>
        <w:rPr>
          <w:rFonts w:ascii="仿宋" w:eastAsia="仿宋" w:hAnsi="仿宋"/>
          <w:sz w:val="32"/>
          <w:szCs w:val="32"/>
        </w:rPr>
      </w:pPr>
      <w:r>
        <w:rPr>
          <w:rFonts w:ascii="仿宋" w:eastAsia="仿宋" w:hAnsi="仿宋" w:hint="eastAsia"/>
          <w:sz w:val="32"/>
          <w:szCs w:val="32"/>
        </w:rPr>
        <w:t>攀枝花市社会体育指导中心是市教育和体育局下属独立核算差额拨款事业单位，单位事业编制10人，内设机构4个。</w:t>
      </w:r>
    </w:p>
    <w:p w:rsidR="00F431B8" w:rsidRDefault="00F431B8" w:rsidP="000B0280">
      <w:pPr>
        <w:pStyle w:val="a0"/>
        <w:spacing w:before="93"/>
      </w:pPr>
    </w:p>
    <w:bookmarkEnd w:id="15"/>
    <w:bookmarkEnd w:id="16"/>
    <w:p w:rsidR="00F431B8" w:rsidRDefault="00395DCA">
      <w:pPr>
        <w:widowControl/>
        <w:jc w:val="left"/>
        <w:rPr>
          <w:rFonts w:ascii="仿宋" w:eastAsia="仿宋" w:hAnsi="仿宋"/>
          <w:kern w:val="0"/>
          <w:sz w:val="32"/>
          <w:szCs w:val="32"/>
        </w:rPr>
      </w:pPr>
      <w:r>
        <w:rPr>
          <w:rFonts w:ascii="仿宋" w:eastAsia="仿宋" w:hAnsi="仿宋"/>
          <w:sz w:val="32"/>
          <w:szCs w:val="32"/>
        </w:rPr>
        <w:br w:type="page"/>
      </w:r>
    </w:p>
    <w:p w:rsidR="00F431B8" w:rsidRDefault="00395DCA">
      <w:pPr>
        <w:pStyle w:val="1"/>
        <w:ind w:right="440"/>
        <w:jc w:val="center"/>
        <w:rPr>
          <w:rStyle w:val="1Char"/>
          <w:rFonts w:ascii="黑体" w:eastAsia="黑体" w:hAnsi="黑体"/>
          <w:bCs/>
        </w:rPr>
      </w:pPr>
      <w:bookmarkStart w:id="17" w:name="_Toc15396602"/>
      <w:bookmarkStart w:id="18" w:name="_Toc15377204"/>
      <w:r>
        <w:rPr>
          <w:rFonts w:ascii="黑体" w:eastAsia="黑体" w:hAnsi="黑体" w:hint="eastAsia"/>
          <w:b w:val="0"/>
        </w:rPr>
        <w:lastRenderedPageBreak/>
        <w:t>第二部分 2022年度</w:t>
      </w:r>
      <w:r>
        <w:rPr>
          <w:rStyle w:val="1Char"/>
          <w:rFonts w:ascii="黑体" w:eastAsia="黑体" w:hAnsi="黑体" w:hint="eastAsia"/>
          <w:bCs/>
        </w:rPr>
        <w:t>单位决算情况说明</w:t>
      </w:r>
      <w:bookmarkEnd w:id="17"/>
      <w:bookmarkEnd w:id="18"/>
    </w:p>
    <w:p w:rsidR="00F431B8" w:rsidRDefault="00F431B8"/>
    <w:p w:rsidR="00F431B8" w:rsidRDefault="00395DCA">
      <w:pPr>
        <w:pStyle w:val="a9"/>
        <w:numPr>
          <w:ilvl w:val="0"/>
          <w:numId w:val="2"/>
        </w:numPr>
        <w:spacing w:line="600" w:lineRule="exact"/>
        <w:ind w:firstLineChars="0"/>
        <w:outlineLvl w:val="1"/>
        <w:rPr>
          <w:rStyle w:val="2Char"/>
          <w:rFonts w:ascii="黑体" w:eastAsia="黑体" w:hAnsi="黑体"/>
          <w:b w:val="0"/>
        </w:rPr>
      </w:pPr>
      <w:bookmarkStart w:id="19" w:name="_Toc15377205"/>
      <w:bookmarkStart w:id="20" w:name="_Toc15396603"/>
      <w:r>
        <w:rPr>
          <w:rFonts w:ascii="黑体" w:eastAsia="黑体" w:hAnsi="黑体" w:hint="eastAsia"/>
          <w:sz w:val="32"/>
          <w:szCs w:val="32"/>
        </w:rPr>
        <w:t>收</w:t>
      </w:r>
      <w:r>
        <w:rPr>
          <w:rStyle w:val="2Char"/>
          <w:rFonts w:ascii="黑体" w:eastAsia="黑体" w:hAnsi="黑体" w:hint="eastAsia"/>
          <w:b w:val="0"/>
        </w:rPr>
        <w:t>入支出决算总体情况说明</w:t>
      </w:r>
      <w:bookmarkEnd w:id="19"/>
      <w:bookmarkEnd w:id="20"/>
    </w:p>
    <w:p w:rsidR="00F431B8" w:rsidRDefault="00395DCA">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2022年度收、支总计199.13万元。与2021年相比，收、支总计各增加15.85万元，增长8.65</w:t>
      </w:r>
      <w:r>
        <w:rPr>
          <w:rFonts w:ascii="仿宋" w:eastAsia="仿宋" w:hAnsi="仿宋"/>
          <w:sz w:val="32"/>
          <w:szCs w:val="32"/>
        </w:rPr>
        <w:t>%</w:t>
      </w:r>
      <w:r>
        <w:rPr>
          <w:rFonts w:ascii="仿宋" w:eastAsia="仿宋" w:hAnsi="仿宋" w:hint="eastAsia"/>
          <w:sz w:val="32"/>
          <w:szCs w:val="32"/>
        </w:rPr>
        <w:t>。主要变动原因是</w:t>
      </w:r>
      <w:r>
        <w:rPr>
          <w:rFonts w:ascii="仿宋_GB2312" w:eastAsia="仿宋_GB2312" w:hAnsi="仿宋" w:hint="eastAsia"/>
          <w:sz w:val="32"/>
          <w:szCs w:val="32"/>
        </w:rPr>
        <w:t>2022</w:t>
      </w:r>
      <w:r>
        <w:rPr>
          <w:rFonts w:ascii="仿宋" w:eastAsia="仿宋" w:hAnsi="仿宋" w:hint="eastAsia"/>
          <w:sz w:val="32"/>
          <w:szCs w:val="32"/>
        </w:rPr>
        <w:t xml:space="preserve">年新增加1人导致工资、保险、住房公积金人员经费增加。  </w:t>
      </w:r>
    </w:p>
    <w:p w:rsidR="00F431B8" w:rsidRDefault="00F431B8" w:rsidP="000B0280">
      <w:pPr>
        <w:pStyle w:val="a0"/>
        <w:spacing w:before="93"/>
      </w:pPr>
    </w:p>
    <w:p w:rsidR="00F431B8" w:rsidRDefault="00395DCA">
      <w:pPr>
        <w:pStyle w:val="a0"/>
        <w:spacing w:before="93"/>
      </w:pPr>
      <w:r>
        <w:rPr>
          <w:noProof/>
        </w:rPr>
        <w:drawing>
          <wp:inline distT="0" distB="0" distL="114300" distR="114300">
            <wp:extent cx="4888230" cy="3689350"/>
            <wp:effectExtent l="5080" t="4445" r="21590" b="2095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431B8" w:rsidRDefault="00F431B8">
      <w:pPr>
        <w:spacing w:line="600" w:lineRule="exact"/>
        <w:ind w:firstLineChars="200" w:firstLine="640"/>
        <w:jc w:val="left"/>
        <w:rPr>
          <w:rFonts w:ascii="仿宋_GB2312" w:eastAsia="仿宋_GB2312"/>
          <w:sz w:val="32"/>
          <w:szCs w:val="32"/>
        </w:rPr>
      </w:pPr>
    </w:p>
    <w:p w:rsidR="00F431B8" w:rsidRDefault="00395DCA">
      <w:pPr>
        <w:pStyle w:val="a9"/>
        <w:numPr>
          <w:ilvl w:val="0"/>
          <w:numId w:val="2"/>
        </w:numPr>
        <w:spacing w:line="600" w:lineRule="exact"/>
        <w:ind w:firstLineChars="0"/>
        <w:outlineLvl w:val="1"/>
        <w:rPr>
          <w:rStyle w:val="2Char"/>
          <w:rFonts w:ascii="黑体" w:eastAsia="黑体" w:hAnsi="黑体"/>
          <w:b w:val="0"/>
        </w:rPr>
      </w:pPr>
      <w:bookmarkStart w:id="21" w:name="_Toc15377206"/>
      <w:bookmarkStart w:id="22" w:name="_Toc15396604"/>
      <w:r>
        <w:rPr>
          <w:rFonts w:ascii="黑体" w:eastAsia="黑体" w:hAnsi="黑体" w:hint="eastAsia"/>
          <w:sz w:val="32"/>
          <w:szCs w:val="32"/>
        </w:rPr>
        <w:t>收</w:t>
      </w:r>
      <w:r>
        <w:rPr>
          <w:rStyle w:val="2Char"/>
          <w:rFonts w:ascii="黑体" w:eastAsia="黑体" w:hAnsi="黑体" w:hint="eastAsia"/>
          <w:b w:val="0"/>
        </w:rPr>
        <w:t>入决算情况说明</w:t>
      </w:r>
      <w:bookmarkEnd w:id="21"/>
      <w:bookmarkEnd w:id="22"/>
    </w:p>
    <w:p w:rsidR="00F431B8" w:rsidRDefault="00395DCA">
      <w:pPr>
        <w:spacing w:line="600" w:lineRule="exact"/>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22年本年收入合计199.13万元，其中：一般公共预算财政拨款收入179.94万元，占90.36</w:t>
      </w:r>
      <w:r>
        <w:rPr>
          <w:rFonts w:ascii="仿宋" w:eastAsia="仿宋" w:hAnsi="仿宋"/>
          <w:sz w:val="32"/>
          <w:szCs w:val="32"/>
        </w:rPr>
        <w:t>%</w:t>
      </w:r>
      <w:r>
        <w:rPr>
          <w:rFonts w:ascii="仿宋" w:eastAsia="仿宋" w:hAnsi="仿宋" w:hint="eastAsia"/>
          <w:sz w:val="32"/>
          <w:szCs w:val="32"/>
        </w:rPr>
        <w:t>；政府性基金预算财政拨款收入19.19万元，占9.64</w:t>
      </w:r>
      <w:r>
        <w:rPr>
          <w:rFonts w:ascii="仿宋" w:eastAsia="仿宋" w:hAnsi="仿宋"/>
          <w:sz w:val="32"/>
          <w:szCs w:val="32"/>
        </w:rPr>
        <w:t>%</w:t>
      </w:r>
      <w:r>
        <w:rPr>
          <w:rFonts w:ascii="仿宋" w:eastAsia="仿宋" w:hAnsi="仿宋" w:hint="eastAsia"/>
          <w:sz w:val="32"/>
          <w:szCs w:val="32"/>
        </w:rPr>
        <w:t>；国有资本经营预算财政拨款收入0万元，占0</w:t>
      </w:r>
      <w:r>
        <w:rPr>
          <w:rFonts w:ascii="仿宋" w:eastAsia="仿宋" w:hAnsi="仿宋"/>
          <w:sz w:val="32"/>
          <w:szCs w:val="32"/>
        </w:rPr>
        <w:t>%</w:t>
      </w:r>
      <w:r>
        <w:rPr>
          <w:rFonts w:ascii="仿宋" w:eastAsia="仿宋" w:hAnsi="仿宋" w:hint="eastAsia"/>
          <w:sz w:val="32"/>
          <w:szCs w:val="32"/>
        </w:rPr>
        <w:t>；上级补助收入0万元，占0</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sz w:val="32"/>
          <w:szCs w:val="32"/>
        </w:rPr>
        <w:lastRenderedPageBreak/>
        <w:t>事业收入0万元，占0</w:t>
      </w:r>
      <w:r>
        <w:rPr>
          <w:rFonts w:ascii="仿宋" w:eastAsia="仿宋" w:hAnsi="仿宋"/>
          <w:sz w:val="32"/>
          <w:szCs w:val="32"/>
        </w:rPr>
        <w:t>%</w:t>
      </w:r>
      <w:r>
        <w:rPr>
          <w:rFonts w:ascii="仿宋" w:eastAsia="仿宋" w:hAnsi="仿宋" w:hint="eastAsia"/>
          <w:sz w:val="32"/>
          <w:szCs w:val="32"/>
        </w:rPr>
        <w:t>；经营收入0万元，占0</w:t>
      </w:r>
      <w:r>
        <w:rPr>
          <w:rFonts w:ascii="仿宋" w:eastAsia="仿宋" w:hAnsi="仿宋"/>
          <w:sz w:val="32"/>
          <w:szCs w:val="32"/>
        </w:rPr>
        <w:t>%</w:t>
      </w:r>
      <w:r>
        <w:rPr>
          <w:rFonts w:ascii="仿宋" w:eastAsia="仿宋" w:hAnsi="仿宋" w:hint="eastAsia"/>
          <w:sz w:val="32"/>
          <w:szCs w:val="32"/>
        </w:rPr>
        <w:t>；附属单位上缴收入0万元，占0</w:t>
      </w:r>
      <w:r>
        <w:rPr>
          <w:rFonts w:ascii="仿宋" w:eastAsia="仿宋" w:hAnsi="仿宋"/>
          <w:sz w:val="32"/>
          <w:szCs w:val="32"/>
        </w:rPr>
        <w:t>%</w:t>
      </w:r>
      <w:r>
        <w:rPr>
          <w:rFonts w:ascii="仿宋" w:eastAsia="仿宋" w:hAnsi="仿宋" w:hint="eastAsia"/>
          <w:sz w:val="32"/>
          <w:szCs w:val="32"/>
        </w:rPr>
        <w:t>；其他收入0万元，占0</w:t>
      </w:r>
      <w:r>
        <w:rPr>
          <w:rFonts w:ascii="仿宋" w:eastAsia="仿宋" w:hAnsi="仿宋"/>
          <w:sz w:val="32"/>
          <w:szCs w:val="32"/>
        </w:rPr>
        <w:t>%</w:t>
      </w:r>
      <w:r>
        <w:rPr>
          <w:rFonts w:ascii="仿宋" w:eastAsia="仿宋" w:hAnsi="仿宋" w:hint="eastAsia"/>
          <w:sz w:val="32"/>
          <w:szCs w:val="32"/>
        </w:rPr>
        <w:t>。</w:t>
      </w:r>
    </w:p>
    <w:p w:rsidR="00F431B8" w:rsidRDefault="00F431B8" w:rsidP="000B0280">
      <w:pPr>
        <w:pStyle w:val="a0"/>
        <w:spacing w:before="93"/>
      </w:pPr>
    </w:p>
    <w:p w:rsidR="00F431B8" w:rsidRDefault="00395DCA">
      <w:pPr>
        <w:pStyle w:val="a0"/>
        <w:spacing w:before="93"/>
      </w:pPr>
      <w:r>
        <w:rPr>
          <w:noProof/>
        </w:rPr>
        <w:drawing>
          <wp:inline distT="0" distB="0" distL="114300" distR="114300">
            <wp:extent cx="5273040" cy="3642360"/>
            <wp:effectExtent l="0" t="0" r="22860" b="1524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431B8" w:rsidRDefault="00F431B8">
      <w:pPr>
        <w:spacing w:line="600" w:lineRule="exact"/>
        <w:ind w:firstLineChars="200" w:firstLine="640"/>
        <w:rPr>
          <w:rFonts w:ascii="仿宋_GB2312" w:eastAsia="仿宋_GB2312"/>
          <w:sz w:val="32"/>
          <w:szCs w:val="32"/>
        </w:rPr>
      </w:pPr>
    </w:p>
    <w:p w:rsidR="00F431B8" w:rsidRDefault="00395DCA">
      <w:pPr>
        <w:pStyle w:val="a9"/>
        <w:numPr>
          <w:ilvl w:val="0"/>
          <w:numId w:val="2"/>
        </w:numPr>
        <w:spacing w:line="600" w:lineRule="exact"/>
        <w:ind w:firstLineChars="0"/>
        <w:outlineLvl w:val="1"/>
        <w:rPr>
          <w:rStyle w:val="2Char"/>
          <w:rFonts w:ascii="黑体" w:eastAsia="黑体" w:hAnsi="黑体"/>
          <w:b w:val="0"/>
        </w:rPr>
      </w:pPr>
      <w:bookmarkStart w:id="23" w:name="_Toc15377207"/>
      <w:bookmarkStart w:id="24" w:name="_Toc15396605"/>
      <w:r>
        <w:rPr>
          <w:rFonts w:ascii="黑体" w:eastAsia="黑体" w:hAnsi="黑体" w:hint="eastAsia"/>
          <w:sz w:val="32"/>
          <w:szCs w:val="32"/>
        </w:rPr>
        <w:t>支</w:t>
      </w:r>
      <w:r>
        <w:rPr>
          <w:rStyle w:val="2Char"/>
          <w:rFonts w:ascii="黑体" w:eastAsia="黑体" w:hAnsi="黑体" w:hint="eastAsia"/>
          <w:b w:val="0"/>
        </w:rPr>
        <w:t>出决算情况说明</w:t>
      </w:r>
      <w:bookmarkEnd w:id="23"/>
      <w:bookmarkEnd w:id="24"/>
    </w:p>
    <w:p w:rsidR="00F431B8" w:rsidRDefault="00395DCA">
      <w:pPr>
        <w:spacing w:line="600" w:lineRule="exact"/>
        <w:ind w:firstLineChars="200" w:firstLine="640"/>
        <w:outlineLvl w:val="1"/>
        <w:rPr>
          <w:rFonts w:ascii="仿宋" w:eastAsia="仿宋" w:hAnsi="仿宋"/>
          <w:sz w:val="32"/>
          <w:szCs w:val="32"/>
          <w:shd w:val="pct10" w:color="auto" w:fill="FFFFFF"/>
        </w:rPr>
      </w:pPr>
      <w:r>
        <w:rPr>
          <w:rFonts w:ascii="仿宋" w:eastAsia="仿宋" w:hAnsi="仿宋"/>
          <w:sz w:val="32"/>
          <w:szCs w:val="32"/>
        </w:rPr>
        <w:t>20</w:t>
      </w:r>
      <w:r>
        <w:rPr>
          <w:rFonts w:ascii="仿宋" w:eastAsia="仿宋" w:hAnsi="仿宋" w:hint="eastAsia"/>
          <w:sz w:val="32"/>
          <w:szCs w:val="32"/>
        </w:rPr>
        <w:t>22年本年支出合计199.13万元，其中：基本支出179.94万元，占90.36</w:t>
      </w:r>
      <w:r>
        <w:rPr>
          <w:rFonts w:ascii="仿宋" w:eastAsia="仿宋" w:hAnsi="仿宋"/>
          <w:sz w:val="32"/>
          <w:szCs w:val="32"/>
        </w:rPr>
        <w:t>%</w:t>
      </w:r>
      <w:r>
        <w:rPr>
          <w:rFonts w:ascii="仿宋" w:eastAsia="仿宋" w:hAnsi="仿宋" w:hint="eastAsia"/>
          <w:sz w:val="32"/>
          <w:szCs w:val="32"/>
        </w:rPr>
        <w:t>；项目支出19.19万元，占9.64</w:t>
      </w:r>
      <w:r>
        <w:rPr>
          <w:rFonts w:ascii="仿宋" w:eastAsia="仿宋" w:hAnsi="仿宋"/>
          <w:sz w:val="32"/>
          <w:szCs w:val="32"/>
        </w:rPr>
        <w:t>%</w:t>
      </w:r>
      <w:r>
        <w:rPr>
          <w:rFonts w:ascii="仿宋" w:eastAsia="仿宋" w:hAnsi="仿宋" w:hint="eastAsia"/>
          <w:sz w:val="32"/>
          <w:szCs w:val="32"/>
        </w:rPr>
        <w:t>；上缴上级支出0万元，占0</w:t>
      </w:r>
      <w:r>
        <w:rPr>
          <w:rFonts w:ascii="仿宋" w:eastAsia="仿宋" w:hAnsi="仿宋"/>
          <w:sz w:val="32"/>
          <w:szCs w:val="32"/>
        </w:rPr>
        <w:t>%</w:t>
      </w:r>
      <w:r>
        <w:rPr>
          <w:rFonts w:ascii="仿宋" w:eastAsia="仿宋" w:hAnsi="仿宋" w:hint="eastAsia"/>
          <w:sz w:val="32"/>
          <w:szCs w:val="32"/>
        </w:rPr>
        <w:t>；经营支出0万元，占0</w:t>
      </w:r>
      <w:r>
        <w:rPr>
          <w:rFonts w:ascii="仿宋" w:eastAsia="仿宋" w:hAnsi="仿宋"/>
          <w:sz w:val="32"/>
          <w:szCs w:val="32"/>
        </w:rPr>
        <w:t>%</w:t>
      </w:r>
      <w:r>
        <w:rPr>
          <w:rFonts w:ascii="仿宋" w:eastAsia="仿宋" w:hAnsi="仿宋" w:hint="eastAsia"/>
          <w:sz w:val="32"/>
          <w:szCs w:val="32"/>
        </w:rPr>
        <w:t>；对附属单位补助支出0万元，占0</w:t>
      </w:r>
      <w:r>
        <w:rPr>
          <w:rFonts w:ascii="仿宋" w:eastAsia="仿宋" w:hAnsi="仿宋"/>
          <w:sz w:val="32"/>
          <w:szCs w:val="32"/>
        </w:rPr>
        <w:t>%</w:t>
      </w:r>
      <w:r>
        <w:rPr>
          <w:rFonts w:ascii="仿宋" w:eastAsia="仿宋" w:hAnsi="仿宋" w:hint="eastAsia"/>
          <w:sz w:val="32"/>
          <w:szCs w:val="32"/>
        </w:rPr>
        <w:t>。</w:t>
      </w:r>
    </w:p>
    <w:p w:rsidR="00F431B8" w:rsidRDefault="00395DCA">
      <w:pPr>
        <w:pStyle w:val="a0"/>
        <w:spacing w:before="93"/>
      </w:pPr>
      <w:r>
        <w:rPr>
          <w:noProof/>
        </w:rPr>
        <w:lastRenderedPageBreak/>
        <w:drawing>
          <wp:inline distT="0" distB="0" distL="114300" distR="114300">
            <wp:extent cx="5274310" cy="3106420"/>
            <wp:effectExtent l="0" t="0" r="21590" b="177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431B8" w:rsidRDefault="00F431B8">
      <w:pPr>
        <w:spacing w:line="600" w:lineRule="exact"/>
        <w:ind w:firstLineChars="200" w:firstLine="640"/>
        <w:rPr>
          <w:rFonts w:ascii="仿宋_GB2312" w:eastAsia="仿宋_GB2312"/>
          <w:sz w:val="32"/>
          <w:szCs w:val="32"/>
        </w:rPr>
      </w:pPr>
    </w:p>
    <w:p w:rsidR="00F431B8" w:rsidRDefault="00395DCA">
      <w:pPr>
        <w:spacing w:line="600" w:lineRule="exact"/>
        <w:ind w:firstLineChars="200" w:firstLine="640"/>
        <w:outlineLvl w:val="1"/>
        <w:rPr>
          <w:rStyle w:val="2Char"/>
          <w:rFonts w:ascii="黑体" w:eastAsia="黑体" w:hAnsi="黑体"/>
          <w:b w:val="0"/>
        </w:rPr>
      </w:pPr>
      <w:bookmarkStart w:id="25" w:name="_Toc15396606"/>
      <w:bookmarkStart w:id="26" w:name="_Toc15377208"/>
      <w:r>
        <w:rPr>
          <w:rFonts w:ascii="黑体" w:eastAsia="黑体" w:hAnsi="黑体" w:hint="eastAsia"/>
          <w:sz w:val="32"/>
          <w:szCs w:val="32"/>
        </w:rPr>
        <w:t>四、财</w:t>
      </w:r>
      <w:r>
        <w:rPr>
          <w:rStyle w:val="2Char"/>
          <w:rFonts w:ascii="黑体" w:eastAsia="黑体" w:hAnsi="黑体" w:hint="eastAsia"/>
          <w:b w:val="0"/>
        </w:rPr>
        <w:t>政拨款收入支出决算总体情况说明</w:t>
      </w:r>
      <w:bookmarkEnd w:id="25"/>
      <w:bookmarkEnd w:id="26"/>
    </w:p>
    <w:p w:rsidR="00F431B8" w:rsidRDefault="00395DCA">
      <w:pPr>
        <w:spacing w:line="600" w:lineRule="exact"/>
        <w:ind w:firstLine="640"/>
        <w:rPr>
          <w:rFonts w:ascii="仿宋" w:eastAsia="仿宋" w:hAnsi="仿宋"/>
          <w:b/>
          <w:sz w:val="32"/>
          <w:szCs w:val="32"/>
        </w:rPr>
      </w:pPr>
      <w:r>
        <w:rPr>
          <w:rFonts w:ascii="仿宋" w:eastAsia="仿宋" w:hAnsi="仿宋"/>
          <w:sz w:val="32"/>
          <w:szCs w:val="32"/>
        </w:rPr>
        <w:t>20</w:t>
      </w:r>
      <w:r>
        <w:rPr>
          <w:rFonts w:ascii="仿宋" w:eastAsia="仿宋" w:hAnsi="仿宋" w:hint="eastAsia"/>
          <w:sz w:val="32"/>
          <w:szCs w:val="32"/>
        </w:rPr>
        <w:t>22年财政拨款收、支总计199.13万元。与</w:t>
      </w:r>
      <w:r>
        <w:rPr>
          <w:rFonts w:ascii="仿宋" w:eastAsia="仿宋" w:hAnsi="仿宋"/>
          <w:sz w:val="32"/>
          <w:szCs w:val="32"/>
        </w:rPr>
        <w:t>20</w:t>
      </w:r>
      <w:r>
        <w:rPr>
          <w:rFonts w:ascii="仿宋" w:eastAsia="仿宋" w:hAnsi="仿宋" w:hint="eastAsia"/>
          <w:sz w:val="32"/>
          <w:szCs w:val="32"/>
        </w:rPr>
        <w:t>21年相比，财政拨款收、支总计各增加15.85万元，增8.65</w:t>
      </w:r>
      <w:r>
        <w:rPr>
          <w:rFonts w:ascii="仿宋" w:eastAsia="仿宋" w:hAnsi="仿宋"/>
          <w:sz w:val="32"/>
          <w:szCs w:val="32"/>
        </w:rPr>
        <w:t>%</w:t>
      </w:r>
      <w:r>
        <w:rPr>
          <w:rFonts w:ascii="仿宋" w:eastAsia="仿宋" w:hAnsi="仿宋" w:hint="eastAsia"/>
          <w:sz w:val="32"/>
          <w:szCs w:val="32"/>
        </w:rPr>
        <w:t>。主要变动原因是</w:t>
      </w:r>
      <w:r>
        <w:rPr>
          <w:rFonts w:ascii="仿宋_GB2312" w:eastAsia="仿宋_GB2312" w:hAnsi="仿宋" w:hint="eastAsia"/>
          <w:sz w:val="32"/>
          <w:szCs w:val="32"/>
        </w:rPr>
        <w:t>2022</w:t>
      </w:r>
      <w:r>
        <w:rPr>
          <w:rFonts w:ascii="仿宋" w:eastAsia="仿宋" w:hAnsi="仿宋" w:hint="eastAsia"/>
          <w:sz w:val="32"/>
          <w:szCs w:val="32"/>
        </w:rPr>
        <w:t>年新增加1人导致工资、保险、住房公积金人员经费增加。</w:t>
      </w:r>
    </w:p>
    <w:p w:rsidR="00F431B8" w:rsidRDefault="00395DCA">
      <w:pPr>
        <w:pStyle w:val="a0"/>
        <w:spacing w:before="93"/>
      </w:pPr>
      <w:r>
        <w:rPr>
          <w:noProof/>
        </w:rPr>
        <w:lastRenderedPageBreak/>
        <w:drawing>
          <wp:inline distT="0" distB="0" distL="114300" distR="114300">
            <wp:extent cx="4888230" cy="3689350"/>
            <wp:effectExtent l="5080" t="4445" r="21590" b="2095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431B8" w:rsidRDefault="00F431B8">
      <w:pPr>
        <w:pStyle w:val="a0"/>
        <w:spacing w:before="93"/>
      </w:pPr>
    </w:p>
    <w:p w:rsidR="00F431B8" w:rsidRDefault="00F431B8">
      <w:pPr>
        <w:spacing w:line="600" w:lineRule="exact"/>
        <w:ind w:firstLine="640"/>
        <w:rPr>
          <w:rFonts w:ascii="仿宋" w:eastAsia="仿宋" w:hAnsi="仿宋"/>
          <w:b/>
          <w:sz w:val="32"/>
          <w:szCs w:val="32"/>
        </w:rPr>
      </w:pPr>
    </w:p>
    <w:p w:rsidR="00F431B8" w:rsidRDefault="00395DCA">
      <w:pPr>
        <w:spacing w:line="600" w:lineRule="exact"/>
        <w:ind w:firstLineChars="200" w:firstLine="640"/>
        <w:outlineLvl w:val="1"/>
        <w:rPr>
          <w:rStyle w:val="2Char"/>
          <w:rFonts w:ascii="黑体" w:eastAsia="黑体" w:hAnsi="黑体"/>
          <w:b w:val="0"/>
        </w:rPr>
      </w:pPr>
      <w:bookmarkStart w:id="27" w:name="_Toc15396607"/>
      <w:bookmarkStart w:id="28" w:name="_Toc15377209"/>
      <w:r>
        <w:rPr>
          <w:rFonts w:ascii="黑体" w:eastAsia="黑体" w:hAnsi="黑体" w:hint="eastAsia"/>
          <w:sz w:val="32"/>
          <w:szCs w:val="32"/>
        </w:rPr>
        <w:t>五、</w:t>
      </w:r>
      <w:r>
        <w:rPr>
          <w:rFonts w:ascii="黑体" w:eastAsia="黑体" w:hAnsi="黑体" w:hint="eastAsia"/>
          <w:b/>
          <w:sz w:val="32"/>
          <w:szCs w:val="32"/>
        </w:rPr>
        <w:t>一</w:t>
      </w:r>
      <w:r>
        <w:rPr>
          <w:rStyle w:val="2Char"/>
          <w:rFonts w:ascii="黑体" w:eastAsia="黑体" w:hAnsi="黑体" w:hint="eastAsia"/>
          <w:b w:val="0"/>
        </w:rPr>
        <w:t>般公共预算财政拨款支出决算情况说明</w:t>
      </w:r>
      <w:bookmarkEnd w:id="27"/>
      <w:bookmarkEnd w:id="28"/>
    </w:p>
    <w:p w:rsidR="00F431B8" w:rsidRDefault="00395DCA">
      <w:pPr>
        <w:spacing w:line="600" w:lineRule="exact"/>
        <w:ind w:firstLineChars="200" w:firstLine="643"/>
        <w:outlineLvl w:val="2"/>
        <w:rPr>
          <w:rFonts w:ascii="仿宋" w:eastAsia="仿宋" w:hAnsi="仿宋"/>
          <w:b/>
          <w:sz w:val="32"/>
          <w:szCs w:val="32"/>
        </w:rPr>
      </w:pPr>
      <w:bookmarkStart w:id="29" w:name="_Toc15377210"/>
      <w:r>
        <w:rPr>
          <w:rFonts w:ascii="仿宋" w:eastAsia="仿宋" w:hAnsi="仿宋" w:hint="eastAsia"/>
          <w:b/>
          <w:sz w:val="32"/>
          <w:szCs w:val="32"/>
        </w:rPr>
        <w:t>（一）一般公共预算财政拨款支出决算总体情况</w:t>
      </w:r>
      <w:bookmarkEnd w:id="29"/>
    </w:p>
    <w:p w:rsidR="00F431B8" w:rsidRDefault="00395DCA">
      <w:pPr>
        <w:spacing w:line="600" w:lineRule="exact"/>
        <w:ind w:firstLineChars="200"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22年一般公共预算财政拨款支出179.94万元，占本年支出合计的90.36</w:t>
      </w:r>
      <w:r>
        <w:rPr>
          <w:rFonts w:ascii="仿宋" w:eastAsia="仿宋" w:hAnsi="仿宋"/>
          <w:sz w:val="32"/>
          <w:szCs w:val="32"/>
        </w:rPr>
        <w:t>%</w:t>
      </w:r>
      <w:r>
        <w:rPr>
          <w:rFonts w:ascii="仿宋" w:eastAsia="仿宋" w:hAnsi="仿宋" w:hint="eastAsia"/>
          <w:sz w:val="32"/>
          <w:szCs w:val="32"/>
        </w:rPr>
        <w:t>。与</w:t>
      </w:r>
      <w:r>
        <w:rPr>
          <w:rFonts w:ascii="仿宋" w:eastAsia="仿宋" w:hAnsi="仿宋"/>
          <w:sz w:val="32"/>
          <w:szCs w:val="32"/>
        </w:rPr>
        <w:t>20</w:t>
      </w:r>
      <w:r>
        <w:rPr>
          <w:rFonts w:ascii="仿宋" w:eastAsia="仿宋" w:hAnsi="仿宋" w:hint="eastAsia"/>
          <w:sz w:val="32"/>
          <w:szCs w:val="32"/>
        </w:rPr>
        <w:t>21年相比，一般公共预算财政拨款支出增加</w:t>
      </w:r>
      <w:r>
        <w:rPr>
          <w:rFonts w:ascii="仿宋" w:eastAsia="仿宋" w:hAnsi="仿宋"/>
          <w:sz w:val="32"/>
          <w:szCs w:val="32"/>
          <w:lang w:val="en"/>
        </w:rPr>
        <w:t>17.3</w:t>
      </w:r>
      <w:r>
        <w:rPr>
          <w:rFonts w:ascii="仿宋" w:eastAsia="仿宋" w:hAnsi="仿宋" w:hint="eastAsia"/>
          <w:sz w:val="32"/>
          <w:szCs w:val="32"/>
        </w:rPr>
        <w:t>万元，增长</w:t>
      </w:r>
      <w:r>
        <w:rPr>
          <w:rFonts w:ascii="仿宋" w:eastAsia="仿宋" w:hAnsi="仿宋"/>
          <w:sz w:val="32"/>
          <w:szCs w:val="32"/>
          <w:lang w:val="en"/>
        </w:rPr>
        <w:t>10.64</w:t>
      </w:r>
      <w:r>
        <w:rPr>
          <w:rFonts w:ascii="仿宋" w:eastAsia="仿宋" w:hAnsi="仿宋"/>
          <w:sz w:val="32"/>
          <w:szCs w:val="32"/>
        </w:rPr>
        <w:t>%</w:t>
      </w:r>
      <w:r>
        <w:rPr>
          <w:rFonts w:ascii="仿宋" w:eastAsia="仿宋" w:hAnsi="仿宋" w:hint="eastAsia"/>
          <w:sz w:val="32"/>
          <w:szCs w:val="32"/>
        </w:rPr>
        <w:t>。主要变动原因是</w:t>
      </w:r>
      <w:r>
        <w:rPr>
          <w:rFonts w:ascii="仿宋_GB2312" w:eastAsia="仿宋_GB2312" w:hAnsi="仿宋" w:hint="eastAsia"/>
          <w:sz w:val="32"/>
          <w:szCs w:val="32"/>
        </w:rPr>
        <w:t>2022</w:t>
      </w:r>
      <w:r>
        <w:rPr>
          <w:rFonts w:ascii="仿宋" w:eastAsia="仿宋" w:hAnsi="仿宋" w:hint="eastAsia"/>
          <w:sz w:val="32"/>
          <w:szCs w:val="32"/>
        </w:rPr>
        <w:t>年新增加1人导致工资、保险、住房公积金人员经费增加。</w:t>
      </w:r>
    </w:p>
    <w:p w:rsidR="00F431B8" w:rsidRDefault="00F431B8" w:rsidP="000B0280">
      <w:pPr>
        <w:pStyle w:val="a0"/>
        <w:spacing w:before="93"/>
      </w:pPr>
    </w:p>
    <w:p w:rsidR="00F431B8" w:rsidRDefault="00395DCA">
      <w:pPr>
        <w:pStyle w:val="a0"/>
        <w:spacing w:before="93"/>
      </w:pPr>
      <w:r>
        <w:rPr>
          <w:noProof/>
        </w:rPr>
        <w:lastRenderedPageBreak/>
        <w:drawing>
          <wp:inline distT="0" distB="0" distL="114300" distR="114300">
            <wp:extent cx="5536565" cy="4509770"/>
            <wp:effectExtent l="4445" t="4445" r="21590" b="19685"/>
            <wp:docPr id="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431B8" w:rsidRDefault="00F431B8">
      <w:pPr>
        <w:spacing w:line="600" w:lineRule="exact"/>
        <w:ind w:firstLineChars="200" w:firstLine="640"/>
        <w:rPr>
          <w:rFonts w:ascii="仿宋" w:eastAsia="仿宋" w:hAnsi="仿宋"/>
          <w:sz w:val="32"/>
          <w:szCs w:val="32"/>
        </w:rPr>
      </w:pPr>
    </w:p>
    <w:p w:rsidR="00F431B8" w:rsidRDefault="00395DCA">
      <w:pPr>
        <w:spacing w:line="600" w:lineRule="exact"/>
        <w:ind w:firstLineChars="200" w:firstLine="643"/>
        <w:outlineLvl w:val="2"/>
        <w:rPr>
          <w:rFonts w:ascii="仿宋" w:eastAsia="仿宋" w:hAnsi="仿宋"/>
          <w:b/>
          <w:sz w:val="32"/>
          <w:szCs w:val="32"/>
        </w:rPr>
      </w:pPr>
      <w:bookmarkStart w:id="30" w:name="_Toc15377211"/>
      <w:r>
        <w:rPr>
          <w:rFonts w:ascii="仿宋" w:eastAsia="仿宋" w:hAnsi="仿宋" w:hint="eastAsia"/>
          <w:b/>
          <w:sz w:val="32"/>
          <w:szCs w:val="32"/>
        </w:rPr>
        <w:t>（二）一般公共预算财政拨款支出决算结构情况</w:t>
      </w:r>
      <w:bookmarkEnd w:id="30"/>
    </w:p>
    <w:p w:rsidR="00F431B8" w:rsidRDefault="00395DCA">
      <w:pPr>
        <w:spacing w:line="600" w:lineRule="exact"/>
        <w:ind w:firstLine="640"/>
        <w:rPr>
          <w:rFonts w:ascii="仿宋" w:eastAsia="仿宋" w:hAnsi="仿宋"/>
          <w:b/>
          <w:sz w:val="32"/>
          <w:szCs w:val="32"/>
        </w:rPr>
      </w:pPr>
      <w:r>
        <w:rPr>
          <w:rFonts w:ascii="仿宋" w:eastAsia="仿宋" w:hAnsi="仿宋"/>
          <w:sz w:val="32"/>
          <w:szCs w:val="32"/>
        </w:rPr>
        <w:t>20</w:t>
      </w:r>
      <w:r>
        <w:rPr>
          <w:rFonts w:ascii="仿宋" w:eastAsia="仿宋" w:hAnsi="仿宋" w:hint="eastAsia"/>
          <w:sz w:val="32"/>
          <w:szCs w:val="32"/>
        </w:rPr>
        <w:t>22年一般公共预算财政拨款支出</w:t>
      </w:r>
      <w:r>
        <w:rPr>
          <w:rFonts w:ascii="仿宋" w:eastAsia="仿宋" w:hAnsi="仿宋"/>
          <w:sz w:val="32"/>
          <w:szCs w:val="32"/>
          <w:lang w:val="en"/>
        </w:rPr>
        <w:t>179.9</w:t>
      </w:r>
      <w:r>
        <w:rPr>
          <w:rFonts w:ascii="仿宋" w:eastAsia="仿宋" w:hAnsi="仿宋" w:hint="eastAsia"/>
          <w:sz w:val="32"/>
          <w:szCs w:val="32"/>
          <w:lang w:val="en"/>
        </w:rPr>
        <w:t>4</w:t>
      </w:r>
      <w:r>
        <w:rPr>
          <w:rFonts w:ascii="仿宋" w:eastAsia="仿宋" w:hAnsi="仿宋" w:hint="eastAsia"/>
          <w:sz w:val="32"/>
          <w:szCs w:val="32"/>
        </w:rPr>
        <w:t>万元，主要用于以下方面</w:t>
      </w:r>
      <w:r>
        <w:rPr>
          <w:rFonts w:ascii="仿宋" w:eastAsia="仿宋" w:hAnsi="仿宋"/>
          <w:sz w:val="32"/>
          <w:szCs w:val="32"/>
        </w:rPr>
        <w:t>:</w:t>
      </w:r>
      <w:r>
        <w:rPr>
          <w:rFonts w:ascii="仿宋" w:eastAsia="仿宋" w:hAnsi="仿宋" w:hint="eastAsia"/>
          <w:b/>
          <w:sz w:val="32"/>
          <w:szCs w:val="32"/>
        </w:rPr>
        <w:t>一般公共服务</w:t>
      </w:r>
      <w:r>
        <w:rPr>
          <w:rFonts w:ascii="仿宋" w:eastAsia="仿宋" w:hAnsi="仿宋" w:hint="eastAsia"/>
          <w:b/>
          <w:bCs/>
          <w:sz w:val="32"/>
          <w:szCs w:val="32"/>
        </w:rPr>
        <w:t>支出</w:t>
      </w:r>
      <w:r>
        <w:rPr>
          <w:rFonts w:ascii="仿宋" w:eastAsia="仿宋" w:hAnsi="仿宋"/>
          <w:b/>
          <w:bCs/>
          <w:sz w:val="32"/>
          <w:szCs w:val="32"/>
          <w:lang w:val="en"/>
        </w:rPr>
        <w:t>0</w:t>
      </w:r>
      <w:r>
        <w:rPr>
          <w:rFonts w:ascii="仿宋" w:eastAsia="仿宋" w:hAnsi="仿宋" w:hint="eastAsia"/>
          <w:sz w:val="32"/>
          <w:szCs w:val="32"/>
        </w:rPr>
        <w:t>万元，占</w:t>
      </w:r>
      <w:r>
        <w:rPr>
          <w:rFonts w:ascii="仿宋" w:eastAsia="仿宋" w:hAnsi="仿宋"/>
          <w:sz w:val="32"/>
          <w:szCs w:val="32"/>
          <w:lang w:val="en"/>
        </w:rPr>
        <w:t>0</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sz w:val="32"/>
          <w:szCs w:val="32"/>
        </w:rPr>
        <w:t>教育支出</w:t>
      </w:r>
      <w:r>
        <w:rPr>
          <w:rFonts w:ascii="仿宋" w:eastAsia="仿宋" w:hAnsi="仿宋"/>
          <w:b/>
          <w:sz w:val="32"/>
          <w:szCs w:val="32"/>
          <w:lang w:val="en"/>
        </w:rPr>
        <w:t>0</w:t>
      </w:r>
      <w:r>
        <w:rPr>
          <w:rFonts w:ascii="仿宋" w:eastAsia="仿宋" w:hAnsi="仿宋" w:hint="eastAsia"/>
          <w:sz w:val="32"/>
          <w:szCs w:val="32"/>
        </w:rPr>
        <w:t>万元，占</w:t>
      </w:r>
      <w:r>
        <w:rPr>
          <w:rFonts w:ascii="仿宋" w:eastAsia="仿宋" w:hAnsi="仿宋"/>
          <w:sz w:val="32"/>
          <w:szCs w:val="32"/>
          <w:lang w:val="en"/>
        </w:rPr>
        <w:t>0</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sz w:val="32"/>
          <w:szCs w:val="32"/>
        </w:rPr>
        <w:t>科学技术</w:t>
      </w:r>
      <w:r>
        <w:rPr>
          <w:rFonts w:ascii="仿宋" w:eastAsia="仿宋" w:hAnsi="仿宋" w:hint="eastAsia"/>
          <w:b/>
          <w:bCs/>
          <w:sz w:val="32"/>
          <w:szCs w:val="32"/>
        </w:rPr>
        <w:t>支出</w:t>
      </w:r>
      <w:r>
        <w:rPr>
          <w:rFonts w:ascii="仿宋" w:eastAsia="仿宋" w:hAnsi="仿宋"/>
          <w:b/>
          <w:bCs/>
          <w:sz w:val="32"/>
          <w:szCs w:val="32"/>
          <w:lang w:val="en"/>
        </w:rPr>
        <w:t>0</w:t>
      </w:r>
      <w:r>
        <w:rPr>
          <w:rFonts w:ascii="仿宋" w:eastAsia="仿宋" w:hAnsi="仿宋" w:hint="eastAsia"/>
          <w:sz w:val="32"/>
          <w:szCs w:val="32"/>
        </w:rPr>
        <w:t>万元，占</w:t>
      </w:r>
      <w:r>
        <w:rPr>
          <w:rFonts w:ascii="仿宋" w:eastAsia="仿宋" w:hAnsi="仿宋"/>
          <w:sz w:val="32"/>
          <w:szCs w:val="32"/>
          <w:lang w:val="en"/>
        </w:rPr>
        <w:t>0</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bCs/>
          <w:sz w:val="32"/>
          <w:szCs w:val="32"/>
        </w:rPr>
        <w:t>文化旅游体育与传媒支出</w:t>
      </w:r>
      <w:r>
        <w:rPr>
          <w:rFonts w:ascii="仿宋" w:eastAsia="仿宋" w:hAnsi="仿宋"/>
          <w:b/>
          <w:bCs/>
          <w:sz w:val="32"/>
          <w:szCs w:val="32"/>
          <w:lang w:val="en"/>
        </w:rPr>
        <w:t>151.4</w:t>
      </w:r>
      <w:r>
        <w:rPr>
          <w:rFonts w:ascii="仿宋" w:eastAsia="仿宋" w:hAnsi="仿宋" w:hint="eastAsia"/>
          <w:b/>
          <w:bCs/>
          <w:sz w:val="32"/>
          <w:szCs w:val="32"/>
          <w:lang w:val="en"/>
        </w:rPr>
        <w:t>7</w:t>
      </w:r>
      <w:r>
        <w:rPr>
          <w:rFonts w:ascii="仿宋" w:eastAsia="仿宋" w:hAnsi="仿宋" w:hint="eastAsia"/>
          <w:b/>
          <w:bCs/>
          <w:sz w:val="32"/>
          <w:szCs w:val="32"/>
        </w:rPr>
        <w:t>万元，占</w:t>
      </w:r>
      <w:r>
        <w:rPr>
          <w:rFonts w:ascii="仿宋" w:eastAsia="仿宋" w:hAnsi="仿宋"/>
          <w:b/>
          <w:bCs/>
          <w:sz w:val="32"/>
          <w:szCs w:val="32"/>
          <w:lang w:val="en"/>
        </w:rPr>
        <w:t>84.18</w:t>
      </w:r>
      <w:r>
        <w:rPr>
          <w:rFonts w:ascii="仿宋" w:eastAsia="仿宋" w:hAnsi="仿宋"/>
          <w:b/>
          <w:bCs/>
          <w:sz w:val="32"/>
          <w:szCs w:val="32"/>
        </w:rPr>
        <w:t>%</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hint="eastAsia"/>
          <w:b/>
          <w:bCs/>
          <w:sz w:val="32"/>
          <w:szCs w:val="32"/>
        </w:rPr>
        <w:t>支出</w:t>
      </w:r>
      <w:r>
        <w:rPr>
          <w:rFonts w:ascii="仿宋" w:eastAsia="仿宋" w:hAnsi="仿宋"/>
          <w:b/>
          <w:bCs/>
          <w:sz w:val="32"/>
          <w:szCs w:val="32"/>
          <w:lang w:val="en"/>
        </w:rPr>
        <w:t>12.91</w:t>
      </w:r>
      <w:r>
        <w:rPr>
          <w:rFonts w:ascii="仿宋" w:eastAsia="仿宋" w:hAnsi="仿宋" w:hint="eastAsia"/>
          <w:sz w:val="32"/>
          <w:szCs w:val="32"/>
        </w:rPr>
        <w:t>万元，占</w:t>
      </w:r>
      <w:r>
        <w:rPr>
          <w:rFonts w:ascii="仿宋" w:eastAsia="仿宋" w:hAnsi="仿宋"/>
          <w:sz w:val="32"/>
          <w:szCs w:val="32"/>
          <w:lang w:val="en"/>
        </w:rPr>
        <w:t>7.18</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bCs/>
          <w:sz w:val="32"/>
          <w:szCs w:val="32"/>
        </w:rPr>
        <w:t>卫生健康支出</w:t>
      </w:r>
      <w:r>
        <w:rPr>
          <w:rFonts w:ascii="仿宋" w:eastAsia="仿宋" w:hAnsi="仿宋"/>
          <w:b/>
          <w:bCs/>
          <w:sz w:val="32"/>
          <w:szCs w:val="32"/>
          <w:lang w:val="en"/>
        </w:rPr>
        <w:t>0</w:t>
      </w:r>
      <w:r>
        <w:rPr>
          <w:rFonts w:ascii="仿宋" w:eastAsia="仿宋" w:hAnsi="仿宋" w:hint="eastAsia"/>
          <w:sz w:val="32"/>
          <w:szCs w:val="32"/>
        </w:rPr>
        <w:t>万元，占</w:t>
      </w:r>
      <w:r>
        <w:rPr>
          <w:rFonts w:ascii="仿宋" w:eastAsia="仿宋" w:hAnsi="仿宋"/>
          <w:sz w:val="32"/>
          <w:szCs w:val="32"/>
          <w:lang w:val="en"/>
        </w:rPr>
        <w:t>0</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bCs/>
          <w:sz w:val="32"/>
          <w:szCs w:val="32"/>
        </w:rPr>
        <w:t>住房保障支出</w:t>
      </w:r>
      <w:r>
        <w:rPr>
          <w:rFonts w:ascii="仿宋" w:eastAsia="仿宋" w:hAnsi="仿宋"/>
          <w:b/>
          <w:bCs/>
          <w:sz w:val="32"/>
          <w:szCs w:val="32"/>
          <w:lang w:val="en"/>
        </w:rPr>
        <w:t>15.56</w:t>
      </w:r>
      <w:r>
        <w:rPr>
          <w:rFonts w:ascii="仿宋" w:eastAsia="仿宋" w:hAnsi="仿宋" w:hint="eastAsia"/>
          <w:sz w:val="32"/>
          <w:szCs w:val="32"/>
        </w:rPr>
        <w:t>万元，占</w:t>
      </w:r>
      <w:r>
        <w:rPr>
          <w:rFonts w:ascii="仿宋" w:eastAsia="仿宋" w:hAnsi="仿宋"/>
          <w:sz w:val="32"/>
          <w:szCs w:val="32"/>
          <w:lang w:val="en"/>
        </w:rPr>
        <w:t>8.65</w:t>
      </w:r>
      <w:r>
        <w:rPr>
          <w:rFonts w:ascii="仿宋" w:eastAsia="仿宋" w:hAnsi="仿宋"/>
          <w:sz w:val="32"/>
          <w:szCs w:val="32"/>
        </w:rPr>
        <w:t>%</w:t>
      </w:r>
      <w:r>
        <w:rPr>
          <w:rFonts w:ascii="仿宋" w:eastAsia="仿宋" w:hAnsi="仿宋" w:hint="eastAsia"/>
          <w:sz w:val="32"/>
          <w:szCs w:val="32"/>
        </w:rPr>
        <w:t>。</w:t>
      </w:r>
    </w:p>
    <w:p w:rsidR="00F431B8" w:rsidRDefault="00395DCA">
      <w:pPr>
        <w:pStyle w:val="a0"/>
        <w:spacing w:before="93"/>
      </w:pPr>
      <w:r>
        <w:rPr>
          <w:noProof/>
        </w:rPr>
        <w:lastRenderedPageBreak/>
        <w:drawing>
          <wp:inline distT="0" distB="0" distL="114300" distR="114300">
            <wp:extent cx="5430520" cy="3992245"/>
            <wp:effectExtent l="4445" t="4445" r="13335" b="22860"/>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431B8" w:rsidRDefault="00F431B8">
      <w:pPr>
        <w:spacing w:line="600" w:lineRule="exact"/>
        <w:ind w:firstLineChars="200" w:firstLine="640"/>
        <w:rPr>
          <w:rFonts w:ascii="仿宋" w:eastAsia="仿宋" w:hAnsi="仿宋"/>
          <w:sz w:val="32"/>
          <w:szCs w:val="32"/>
        </w:rPr>
      </w:pPr>
    </w:p>
    <w:p w:rsidR="00F431B8" w:rsidRDefault="00F431B8">
      <w:pPr>
        <w:pStyle w:val="a0"/>
        <w:spacing w:before="93"/>
      </w:pPr>
    </w:p>
    <w:p w:rsidR="00F431B8" w:rsidRDefault="00395DCA">
      <w:pPr>
        <w:spacing w:line="600" w:lineRule="exact"/>
        <w:ind w:firstLineChars="200" w:firstLine="643"/>
        <w:outlineLvl w:val="2"/>
        <w:rPr>
          <w:rFonts w:ascii="仿宋" w:eastAsia="仿宋" w:hAnsi="仿宋"/>
          <w:b/>
          <w:sz w:val="32"/>
          <w:szCs w:val="32"/>
        </w:rPr>
      </w:pPr>
      <w:bookmarkStart w:id="31" w:name="_Toc15377212"/>
      <w:r>
        <w:rPr>
          <w:rFonts w:ascii="仿宋" w:eastAsia="仿宋" w:hAnsi="仿宋" w:hint="eastAsia"/>
          <w:b/>
          <w:sz w:val="32"/>
          <w:szCs w:val="32"/>
        </w:rPr>
        <w:t>（三）一般公共预算财政拨款支出决算具体情况</w:t>
      </w:r>
      <w:bookmarkEnd w:id="31"/>
    </w:p>
    <w:p w:rsidR="00F431B8" w:rsidRDefault="00395DCA">
      <w:pPr>
        <w:spacing w:line="600" w:lineRule="exact"/>
        <w:ind w:firstLineChars="200" w:firstLine="643"/>
        <w:outlineLvl w:val="2"/>
        <w:rPr>
          <w:rFonts w:ascii="仿宋" w:eastAsia="仿宋" w:hAnsi="仿宋"/>
          <w:sz w:val="32"/>
          <w:szCs w:val="32"/>
        </w:rPr>
      </w:pPr>
      <w:bookmarkStart w:id="32" w:name="_Toc15377213"/>
      <w:bookmarkStart w:id="33" w:name="_Toc15377444"/>
      <w:bookmarkStart w:id="34" w:name="_Toc15378460"/>
      <w:r>
        <w:rPr>
          <w:rFonts w:ascii="仿宋" w:eastAsia="仿宋" w:hAnsi="仿宋" w:hint="eastAsia"/>
          <w:b/>
          <w:sz w:val="32"/>
          <w:szCs w:val="32"/>
        </w:rPr>
        <w:t>2022年一般公共预算支出决算数为</w:t>
      </w:r>
      <w:r>
        <w:rPr>
          <w:rFonts w:ascii="仿宋" w:eastAsia="仿宋" w:hAnsi="仿宋"/>
          <w:b/>
          <w:sz w:val="32"/>
          <w:szCs w:val="32"/>
          <w:lang w:val="en"/>
        </w:rPr>
        <w:t>179.9</w:t>
      </w:r>
      <w:r>
        <w:rPr>
          <w:rFonts w:ascii="仿宋" w:eastAsia="仿宋" w:hAnsi="仿宋" w:hint="eastAsia"/>
          <w:b/>
          <w:sz w:val="32"/>
          <w:szCs w:val="32"/>
          <w:lang w:val="en"/>
        </w:rPr>
        <w:t>4</w:t>
      </w:r>
      <w:r>
        <w:rPr>
          <w:rFonts w:ascii="仿宋" w:eastAsia="仿宋" w:hAnsi="仿宋" w:hint="eastAsia"/>
          <w:sz w:val="32"/>
          <w:szCs w:val="32"/>
        </w:rPr>
        <w:t>，</w:t>
      </w:r>
      <w:r>
        <w:rPr>
          <w:rStyle w:val="a7"/>
          <w:rFonts w:ascii="仿宋" w:eastAsia="仿宋" w:hAnsi="仿宋" w:hint="eastAsia"/>
          <w:bCs/>
          <w:sz w:val="32"/>
          <w:szCs w:val="32"/>
        </w:rPr>
        <w:t>完成预算</w:t>
      </w:r>
      <w:r>
        <w:rPr>
          <w:rStyle w:val="a7"/>
          <w:rFonts w:ascii="仿宋" w:eastAsia="仿宋" w:hAnsi="仿宋"/>
          <w:bCs/>
          <w:sz w:val="32"/>
          <w:szCs w:val="32"/>
          <w:lang w:val="en"/>
        </w:rPr>
        <w:t>100</w:t>
      </w:r>
      <w:r>
        <w:rPr>
          <w:rStyle w:val="a7"/>
          <w:rFonts w:ascii="仿宋" w:eastAsia="仿宋" w:hAnsi="仿宋"/>
          <w:bCs/>
          <w:sz w:val="32"/>
          <w:szCs w:val="32"/>
        </w:rPr>
        <w:t>%</w:t>
      </w:r>
      <w:r>
        <w:rPr>
          <w:rStyle w:val="a7"/>
          <w:rFonts w:ascii="仿宋" w:eastAsia="仿宋" w:hAnsi="仿宋" w:hint="eastAsia"/>
          <w:bCs/>
          <w:sz w:val="32"/>
          <w:szCs w:val="32"/>
        </w:rPr>
        <w:t>。其中：</w:t>
      </w:r>
      <w:bookmarkEnd w:id="32"/>
      <w:bookmarkEnd w:id="33"/>
      <w:bookmarkEnd w:id="34"/>
    </w:p>
    <w:p w:rsidR="00F431B8" w:rsidRDefault="00395DCA">
      <w:pPr>
        <w:spacing w:line="600" w:lineRule="exact"/>
        <w:ind w:firstLineChars="200" w:firstLine="640"/>
        <w:rPr>
          <w:rStyle w:val="a7"/>
          <w:rFonts w:ascii="仿宋" w:eastAsia="仿宋" w:hAnsi="仿宋" w:cstheme="minorBidi"/>
          <w:b w:val="0"/>
          <w:bCs/>
          <w:sz w:val="32"/>
          <w:szCs w:val="32"/>
        </w:rPr>
      </w:pPr>
      <w:r>
        <w:rPr>
          <w:rStyle w:val="a7"/>
          <w:rFonts w:ascii="仿宋" w:eastAsia="仿宋" w:hAnsi="仿宋" w:cstheme="minorBidi" w:hint="eastAsia"/>
          <w:b w:val="0"/>
          <w:bCs/>
          <w:sz w:val="32"/>
          <w:szCs w:val="32"/>
        </w:rPr>
        <w:t>1</w:t>
      </w:r>
      <w:r>
        <w:rPr>
          <w:rStyle w:val="a7"/>
          <w:rFonts w:ascii="仿宋" w:eastAsia="仿宋" w:hAnsi="仿宋" w:cstheme="minorBidi"/>
          <w:b w:val="0"/>
          <w:bCs/>
          <w:sz w:val="32"/>
          <w:szCs w:val="32"/>
        </w:rPr>
        <w:t>.</w:t>
      </w:r>
      <w:r>
        <w:rPr>
          <w:rStyle w:val="a7"/>
          <w:rFonts w:ascii="仿宋" w:eastAsia="仿宋" w:hAnsi="仿宋" w:cstheme="minorBidi" w:hint="eastAsia"/>
          <w:b w:val="0"/>
          <w:bCs/>
          <w:sz w:val="32"/>
          <w:szCs w:val="32"/>
        </w:rPr>
        <w:t>文化旅游体育与传媒支出（类）体育（款）其他体育支出（项）</w:t>
      </w:r>
      <w:r>
        <w:rPr>
          <w:rStyle w:val="a7"/>
          <w:rFonts w:ascii="仿宋" w:eastAsia="仿宋" w:hAnsi="仿宋" w:cstheme="minorBidi"/>
          <w:b w:val="0"/>
          <w:bCs/>
          <w:sz w:val="32"/>
          <w:szCs w:val="32"/>
        </w:rPr>
        <w:t xml:space="preserve">: </w:t>
      </w:r>
      <w:r>
        <w:rPr>
          <w:rStyle w:val="a7"/>
          <w:rFonts w:ascii="仿宋" w:eastAsia="仿宋" w:hAnsi="仿宋" w:cstheme="minorBidi" w:hint="eastAsia"/>
          <w:b w:val="0"/>
          <w:bCs/>
          <w:sz w:val="32"/>
          <w:szCs w:val="32"/>
        </w:rPr>
        <w:t>支出决算为151.47万元，完成预算100</w:t>
      </w:r>
      <w:r>
        <w:rPr>
          <w:rStyle w:val="a7"/>
          <w:rFonts w:ascii="仿宋" w:eastAsia="仿宋" w:hAnsi="仿宋" w:cstheme="minorBidi"/>
          <w:b w:val="0"/>
          <w:bCs/>
          <w:sz w:val="32"/>
          <w:szCs w:val="32"/>
        </w:rPr>
        <w:t>%</w:t>
      </w:r>
      <w:r>
        <w:rPr>
          <w:rStyle w:val="a7"/>
          <w:rFonts w:ascii="仿宋" w:eastAsia="仿宋" w:hAnsi="仿宋" w:cstheme="minorBidi" w:hint="eastAsia"/>
          <w:b w:val="0"/>
          <w:bCs/>
          <w:sz w:val="32"/>
          <w:szCs w:val="32"/>
        </w:rPr>
        <w:t>。</w:t>
      </w:r>
    </w:p>
    <w:p w:rsidR="00F431B8" w:rsidRDefault="00395DCA">
      <w:pPr>
        <w:spacing w:line="600" w:lineRule="exact"/>
        <w:ind w:firstLineChars="200" w:firstLine="640"/>
        <w:rPr>
          <w:rStyle w:val="a7"/>
          <w:rFonts w:ascii="仿宋" w:eastAsia="仿宋" w:hAnsi="仿宋" w:cstheme="minorBidi"/>
          <w:b w:val="0"/>
          <w:bCs/>
          <w:sz w:val="32"/>
          <w:szCs w:val="32"/>
        </w:rPr>
      </w:pPr>
      <w:r>
        <w:rPr>
          <w:rStyle w:val="a7"/>
          <w:rFonts w:ascii="仿宋" w:eastAsia="仿宋" w:hAnsi="仿宋" w:cstheme="minorBidi" w:hint="eastAsia"/>
          <w:b w:val="0"/>
          <w:bCs/>
          <w:sz w:val="32"/>
          <w:szCs w:val="32"/>
        </w:rPr>
        <w:t>2.社会保障和就业（类）行政事业单位养老支出（款）事业单位离退休（项）: 支出决算为0.08万元，完成预算100%。</w:t>
      </w:r>
    </w:p>
    <w:p w:rsidR="00F431B8" w:rsidRDefault="00395DCA">
      <w:pPr>
        <w:spacing w:line="600" w:lineRule="exact"/>
        <w:ind w:firstLineChars="200" w:firstLine="640"/>
        <w:rPr>
          <w:rStyle w:val="a7"/>
          <w:rFonts w:ascii="仿宋" w:eastAsia="仿宋" w:hAnsi="仿宋" w:cstheme="minorBidi"/>
          <w:b w:val="0"/>
          <w:bCs/>
          <w:sz w:val="32"/>
          <w:szCs w:val="32"/>
        </w:rPr>
      </w:pPr>
      <w:r>
        <w:rPr>
          <w:rStyle w:val="a7"/>
          <w:rFonts w:ascii="仿宋" w:eastAsia="仿宋" w:hAnsi="仿宋" w:cstheme="minorBidi" w:hint="eastAsia"/>
          <w:b w:val="0"/>
          <w:bCs/>
          <w:sz w:val="32"/>
          <w:szCs w:val="32"/>
        </w:rPr>
        <w:t>3.社会保障和就业（类）行政事业单位养老支出（款）机关事业单位基本养老保险缴费支出（项）: 支出决算为</w:t>
      </w:r>
      <w:r>
        <w:rPr>
          <w:rStyle w:val="a7"/>
          <w:rFonts w:ascii="仿宋" w:eastAsia="仿宋" w:hAnsi="仿宋" w:cstheme="minorBidi" w:hint="eastAsia"/>
          <w:b w:val="0"/>
          <w:bCs/>
          <w:sz w:val="32"/>
          <w:szCs w:val="32"/>
        </w:rPr>
        <w:lastRenderedPageBreak/>
        <w:t>12.83万元，完成预算100%。</w:t>
      </w:r>
    </w:p>
    <w:p w:rsidR="00F431B8" w:rsidRDefault="00395DCA">
      <w:pPr>
        <w:spacing w:line="600" w:lineRule="exact"/>
        <w:ind w:firstLineChars="200" w:firstLine="640"/>
        <w:rPr>
          <w:rStyle w:val="a7"/>
          <w:rFonts w:ascii="仿宋" w:eastAsia="仿宋" w:hAnsi="仿宋" w:cstheme="minorBidi"/>
          <w:b w:val="0"/>
          <w:bCs/>
          <w:sz w:val="32"/>
          <w:szCs w:val="32"/>
        </w:rPr>
      </w:pPr>
      <w:r>
        <w:rPr>
          <w:rStyle w:val="a7"/>
          <w:rFonts w:ascii="仿宋" w:eastAsia="仿宋" w:hAnsi="仿宋" w:cstheme="minorBidi" w:hint="eastAsia"/>
          <w:b w:val="0"/>
          <w:bCs/>
          <w:sz w:val="32"/>
          <w:szCs w:val="32"/>
        </w:rPr>
        <w:t>4.住房保障支出（类）住房改革支出（款）住房公积金（项）:支出决算为15.56万元，完成预算100%。</w:t>
      </w:r>
    </w:p>
    <w:p w:rsidR="00F431B8" w:rsidRDefault="00395DCA">
      <w:pPr>
        <w:tabs>
          <w:tab w:val="right" w:pos="8306"/>
        </w:tabs>
        <w:spacing w:line="600" w:lineRule="exact"/>
        <w:ind w:firstLine="640"/>
        <w:outlineLvl w:val="1"/>
        <w:rPr>
          <w:rStyle w:val="2Char"/>
        </w:rPr>
      </w:pPr>
      <w:bookmarkStart w:id="35" w:name="_Toc15396608"/>
      <w:bookmarkStart w:id="36" w:name="_Toc15377214"/>
      <w:r>
        <w:rPr>
          <w:rFonts w:ascii="黑体" w:eastAsia="黑体" w:hint="eastAsia"/>
          <w:sz w:val="32"/>
          <w:szCs w:val="32"/>
        </w:rPr>
        <w:t>六</w:t>
      </w:r>
      <w:r>
        <w:rPr>
          <w:rFonts w:ascii="黑体" w:eastAsia="黑体" w:hint="eastAsia"/>
          <w:b/>
          <w:sz w:val="32"/>
          <w:szCs w:val="32"/>
        </w:rPr>
        <w:t>、</w:t>
      </w:r>
      <w:r>
        <w:rPr>
          <w:rFonts w:ascii="黑体" w:eastAsia="黑体" w:hAnsi="黑体" w:hint="eastAsia"/>
          <w:b/>
          <w:sz w:val="32"/>
          <w:szCs w:val="32"/>
        </w:rPr>
        <w:t>一</w:t>
      </w:r>
      <w:r>
        <w:rPr>
          <w:rStyle w:val="2Char"/>
          <w:rFonts w:ascii="黑体" w:eastAsia="黑体" w:hAnsi="黑体" w:hint="eastAsia"/>
          <w:b w:val="0"/>
        </w:rPr>
        <w:t>般公共预算财政拨款基本支出决算情况说明</w:t>
      </w:r>
      <w:bookmarkEnd w:id="35"/>
      <w:bookmarkEnd w:id="36"/>
      <w:r>
        <w:rPr>
          <w:rStyle w:val="2Char"/>
          <w:rFonts w:ascii="黑体" w:eastAsia="黑体" w:hAnsi="黑体"/>
          <w:b w:val="0"/>
        </w:rPr>
        <w:tab/>
      </w:r>
    </w:p>
    <w:p w:rsidR="00F431B8" w:rsidRDefault="00395DCA">
      <w:pPr>
        <w:spacing w:line="600" w:lineRule="exact"/>
        <w:ind w:firstLine="645"/>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22年一般公共预算财政拨款基本支出179.94万元，其中：</w:t>
      </w:r>
    </w:p>
    <w:p w:rsidR="00F431B8" w:rsidRDefault="00395DCA">
      <w:pPr>
        <w:spacing w:line="600" w:lineRule="exact"/>
        <w:ind w:firstLine="645"/>
        <w:rPr>
          <w:rFonts w:ascii="仿宋" w:eastAsia="仿宋" w:hAnsi="仿宋"/>
          <w:b/>
          <w:sz w:val="32"/>
          <w:szCs w:val="32"/>
        </w:rPr>
      </w:pPr>
      <w:r>
        <w:rPr>
          <w:rFonts w:ascii="仿宋" w:eastAsia="仿宋" w:hAnsi="仿宋" w:hint="eastAsia"/>
          <w:sz w:val="32"/>
          <w:szCs w:val="32"/>
        </w:rPr>
        <w:t>人员经费169.36万元，主要包括：基本工资、津贴补贴、绩效工资、机关事业单位基本养老保险缴费、职工基本医疗保险缴费、公务员医疗补助缴费、其他社会保障缴费、其他工资福利支出、生活补助、医疗费补助、住房公积金等。</w:t>
      </w:r>
      <w:r>
        <w:rPr>
          <w:rFonts w:ascii="仿宋" w:eastAsia="仿宋" w:hAnsi="仿宋"/>
          <w:sz w:val="32"/>
          <w:szCs w:val="32"/>
        </w:rPr>
        <w:br/>
      </w:r>
      <w:r>
        <w:rPr>
          <w:rFonts w:ascii="仿宋" w:eastAsia="仿宋" w:hAnsi="仿宋" w:hint="eastAsia"/>
          <w:sz w:val="32"/>
          <w:szCs w:val="32"/>
        </w:rPr>
        <w:t xml:space="preserve">　　公用经费10.58万元，主要包括：办公费、邮电费、差旅费、维修（护）费、培训费、劳务费、工会经费、福利费、其他商品和服务支出等。</w:t>
      </w:r>
    </w:p>
    <w:p w:rsidR="00F431B8" w:rsidRDefault="00395DCA">
      <w:pPr>
        <w:spacing w:line="600" w:lineRule="exact"/>
        <w:ind w:firstLine="640"/>
        <w:outlineLvl w:val="1"/>
        <w:rPr>
          <w:rStyle w:val="2Char"/>
          <w:rFonts w:ascii="黑体" w:eastAsia="黑体" w:hAnsi="黑体"/>
          <w:b w:val="0"/>
        </w:rPr>
      </w:pPr>
      <w:bookmarkStart w:id="37" w:name="_Toc15396609"/>
      <w:bookmarkStart w:id="38" w:name="_Toc15377215"/>
      <w:r>
        <w:rPr>
          <w:rFonts w:ascii="黑体" w:eastAsia="黑体" w:hint="eastAsia"/>
          <w:sz w:val="32"/>
          <w:szCs w:val="32"/>
        </w:rPr>
        <w:t>七、</w:t>
      </w:r>
      <w:r>
        <w:rPr>
          <w:rStyle w:val="2Char"/>
          <w:rFonts w:ascii="黑体" w:eastAsia="黑体" w:hAnsi="黑体" w:hint="eastAsia"/>
          <w:b w:val="0"/>
        </w:rPr>
        <w:t>财政拨款</w:t>
      </w:r>
      <w:r>
        <w:rPr>
          <w:rStyle w:val="2Char"/>
          <w:rFonts w:ascii="黑体" w:eastAsia="黑体" w:hAnsi="黑体" w:hint="eastAsia"/>
        </w:rPr>
        <w:t>“</w:t>
      </w:r>
      <w:r>
        <w:rPr>
          <w:rStyle w:val="2Char"/>
          <w:rFonts w:ascii="黑体" w:eastAsia="黑体" w:hAnsi="黑体" w:hint="eastAsia"/>
          <w:b w:val="0"/>
        </w:rPr>
        <w:t>三公”经费支出决算情况说明</w:t>
      </w:r>
      <w:bookmarkEnd w:id="37"/>
      <w:bookmarkEnd w:id="38"/>
    </w:p>
    <w:p w:rsidR="00F431B8" w:rsidRDefault="00395DCA">
      <w:pPr>
        <w:spacing w:line="600" w:lineRule="exact"/>
        <w:ind w:firstLine="640"/>
        <w:outlineLvl w:val="2"/>
        <w:rPr>
          <w:rFonts w:ascii="仿宋" w:eastAsia="仿宋" w:hAnsi="仿宋"/>
          <w:b/>
          <w:sz w:val="32"/>
          <w:szCs w:val="32"/>
        </w:rPr>
      </w:pPr>
      <w:bookmarkStart w:id="39" w:name="_Toc15377216"/>
      <w:r>
        <w:rPr>
          <w:rFonts w:ascii="仿宋" w:eastAsia="仿宋" w:hAnsi="仿宋" w:hint="eastAsia"/>
          <w:b/>
          <w:sz w:val="32"/>
          <w:szCs w:val="32"/>
        </w:rPr>
        <w:t>（一）“三公”经费财政拨款支出决算总体情况说明</w:t>
      </w:r>
      <w:bookmarkEnd w:id="39"/>
    </w:p>
    <w:p w:rsidR="00F431B8" w:rsidRDefault="00395DCA">
      <w:pPr>
        <w:spacing w:line="600" w:lineRule="exact"/>
        <w:ind w:firstLine="640"/>
        <w:rPr>
          <w:rFonts w:ascii="仿宋" w:eastAsia="仿宋" w:hAnsi="仿宋"/>
          <w:b/>
          <w:sz w:val="32"/>
          <w:szCs w:val="32"/>
        </w:rPr>
      </w:pPr>
      <w:r>
        <w:rPr>
          <w:rFonts w:ascii="仿宋" w:eastAsia="仿宋" w:hAnsi="仿宋"/>
          <w:sz w:val="32"/>
          <w:szCs w:val="32"/>
        </w:rPr>
        <w:t>20</w:t>
      </w:r>
      <w:r>
        <w:rPr>
          <w:rFonts w:ascii="仿宋" w:eastAsia="仿宋" w:hAnsi="仿宋" w:hint="eastAsia"/>
          <w:sz w:val="32"/>
          <w:szCs w:val="32"/>
        </w:rPr>
        <w:t>22年“三公”经费财政拨款支出决算为0.00万元，完成预算</w:t>
      </w:r>
      <w:r w:rsidR="000B0280">
        <w:rPr>
          <w:rFonts w:ascii="仿宋" w:eastAsia="仿宋" w:hAnsi="仿宋" w:hint="eastAsia"/>
          <w:sz w:val="32"/>
          <w:szCs w:val="32"/>
        </w:rPr>
        <w:t>10</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w:t>
      </w:r>
    </w:p>
    <w:p w:rsidR="00F431B8" w:rsidRDefault="00395DCA">
      <w:pPr>
        <w:spacing w:line="600" w:lineRule="exact"/>
        <w:ind w:firstLine="640"/>
        <w:outlineLvl w:val="2"/>
        <w:rPr>
          <w:rFonts w:ascii="仿宋" w:eastAsia="仿宋" w:hAnsi="仿宋"/>
          <w:b/>
          <w:sz w:val="32"/>
          <w:szCs w:val="32"/>
        </w:rPr>
      </w:pPr>
      <w:bookmarkStart w:id="40" w:name="_Toc15377217"/>
      <w:r>
        <w:rPr>
          <w:rFonts w:ascii="仿宋" w:eastAsia="仿宋" w:hAnsi="仿宋" w:hint="eastAsia"/>
          <w:b/>
          <w:sz w:val="32"/>
          <w:szCs w:val="32"/>
        </w:rPr>
        <w:t>（二）“三公”经费财政拨款支出决算具体情况说明</w:t>
      </w:r>
      <w:bookmarkEnd w:id="40"/>
    </w:p>
    <w:p w:rsidR="00F431B8" w:rsidRDefault="00395DCA">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22年“三公”经费财政拨款支出决算中，因公出国（境）费支出决算0.00万元，占0</w:t>
      </w:r>
      <w:r>
        <w:rPr>
          <w:rFonts w:ascii="仿宋" w:eastAsia="仿宋" w:hAnsi="仿宋"/>
          <w:sz w:val="32"/>
          <w:szCs w:val="32"/>
        </w:rPr>
        <w:t>%</w:t>
      </w:r>
      <w:r>
        <w:rPr>
          <w:rFonts w:ascii="仿宋" w:eastAsia="仿宋" w:hAnsi="仿宋" w:hint="eastAsia"/>
          <w:sz w:val="32"/>
          <w:szCs w:val="32"/>
        </w:rPr>
        <w:t>；公务用车购置及运行维护费支出决算0.00万元，占0</w:t>
      </w:r>
      <w:r>
        <w:rPr>
          <w:rFonts w:ascii="仿宋" w:eastAsia="仿宋" w:hAnsi="仿宋"/>
          <w:sz w:val="32"/>
          <w:szCs w:val="32"/>
        </w:rPr>
        <w:t>%</w:t>
      </w:r>
      <w:r>
        <w:rPr>
          <w:rFonts w:ascii="仿宋" w:eastAsia="仿宋" w:hAnsi="仿宋" w:hint="eastAsia"/>
          <w:sz w:val="32"/>
          <w:szCs w:val="32"/>
        </w:rPr>
        <w:t>；公务接待费支出决算0.00万元，占0</w:t>
      </w:r>
      <w:r>
        <w:rPr>
          <w:rFonts w:ascii="仿宋" w:eastAsia="仿宋" w:hAnsi="仿宋"/>
          <w:sz w:val="32"/>
          <w:szCs w:val="32"/>
        </w:rPr>
        <w:t>%</w:t>
      </w:r>
      <w:r>
        <w:rPr>
          <w:rFonts w:ascii="仿宋" w:eastAsia="仿宋" w:hAnsi="仿宋" w:hint="eastAsia"/>
          <w:sz w:val="32"/>
          <w:szCs w:val="32"/>
        </w:rPr>
        <w:t>。具体情况如下：</w:t>
      </w:r>
    </w:p>
    <w:p w:rsidR="00F431B8" w:rsidRDefault="00395DCA">
      <w:pPr>
        <w:spacing w:line="600" w:lineRule="exact"/>
        <w:ind w:firstLine="640"/>
        <w:rPr>
          <w:rFonts w:ascii="仿宋" w:eastAsia="仿宋" w:hAnsi="仿宋"/>
          <w:sz w:val="32"/>
          <w:szCs w:val="32"/>
        </w:rPr>
      </w:pPr>
      <w:r>
        <w:rPr>
          <w:rFonts w:ascii="仿宋_GB2312" w:eastAsia="仿宋_GB2312"/>
          <w:b/>
          <w:sz w:val="32"/>
          <w:szCs w:val="32"/>
        </w:rPr>
        <w:t>1.</w:t>
      </w:r>
      <w:r>
        <w:rPr>
          <w:rFonts w:ascii="仿宋_GB2312" w:eastAsia="仿宋_GB2312" w:hint="eastAsia"/>
          <w:b/>
          <w:sz w:val="32"/>
          <w:szCs w:val="32"/>
        </w:rPr>
        <w:t>因公出国（境）经费支出0.00</w:t>
      </w:r>
      <w:r>
        <w:rPr>
          <w:rFonts w:ascii="仿宋_GB2312" w:eastAsia="仿宋_GB2312" w:hint="eastAsia"/>
          <w:sz w:val="32"/>
          <w:szCs w:val="32"/>
        </w:rPr>
        <w:t>万元，</w:t>
      </w:r>
      <w:r>
        <w:rPr>
          <w:rStyle w:val="a7"/>
          <w:rFonts w:ascii="仿宋" w:eastAsia="仿宋" w:hAnsi="仿宋" w:hint="eastAsia"/>
          <w:b w:val="0"/>
          <w:bCs/>
          <w:sz w:val="32"/>
          <w:szCs w:val="32"/>
        </w:rPr>
        <w:t>完成预算</w:t>
      </w:r>
      <w:r w:rsidR="000B0280">
        <w:rPr>
          <w:rStyle w:val="a7"/>
          <w:rFonts w:ascii="仿宋" w:eastAsia="仿宋" w:hAnsi="仿宋" w:hint="eastAsia"/>
          <w:b w:val="0"/>
          <w:bCs/>
          <w:sz w:val="32"/>
          <w:szCs w:val="32"/>
        </w:rPr>
        <w:t>10</w:t>
      </w:r>
      <w:r>
        <w:rPr>
          <w:rStyle w:val="a7"/>
          <w:rFonts w:ascii="仿宋" w:eastAsia="仿宋" w:hAnsi="仿宋" w:hint="eastAsia"/>
          <w:b w:val="0"/>
          <w:bCs/>
          <w:sz w:val="32"/>
          <w:szCs w:val="32"/>
        </w:rPr>
        <w:t>0</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_GB2312" w:eastAsia="仿宋_GB2312" w:hint="eastAsia"/>
          <w:sz w:val="32"/>
          <w:szCs w:val="32"/>
        </w:rPr>
        <w:lastRenderedPageBreak/>
        <w:t>全年安排因公出国（境）团组0次，出国（境）0人。</w:t>
      </w:r>
      <w:r w:rsidR="000B0280">
        <w:rPr>
          <w:rFonts w:ascii="仿宋" w:eastAsia="仿宋" w:hAnsi="仿宋" w:hint="eastAsia"/>
          <w:color w:val="000000"/>
          <w:sz w:val="32"/>
          <w:szCs w:val="32"/>
        </w:rPr>
        <w:t>因公出国（境）支出决算与</w:t>
      </w:r>
      <w:r>
        <w:rPr>
          <w:rFonts w:ascii="仿宋" w:eastAsia="仿宋" w:hAnsi="仿宋" w:hint="eastAsia"/>
          <w:color w:val="000000"/>
          <w:sz w:val="32"/>
          <w:szCs w:val="32"/>
        </w:rPr>
        <w:t>2021年持平。</w:t>
      </w:r>
    </w:p>
    <w:p w:rsidR="00F431B8" w:rsidRDefault="00395DCA">
      <w:pPr>
        <w:spacing w:line="600" w:lineRule="exact"/>
        <w:ind w:firstLine="640"/>
        <w:rPr>
          <w:rFonts w:ascii="仿宋" w:eastAsia="仿宋" w:hAnsi="仿宋"/>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公务用车购置及运行维护费支出0.00</w:t>
      </w:r>
      <w:r>
        <w:rPr>
          <w:rFonts w:ascii="仿宋_GB2312" w:eastAsia="仿宋_GB2312" w:hint="eastAsia"/>
          <w:sz w:val="32"/>
          <w:szCs w:val="32"/>
        </w:rPr>
        <w:t>万元,</w:t>
      </w:r>
      <w:r>
        <w:rPr>
          <w:rStyle w:val="a7"/>
          <w:rFonts w:ascii="仿宋" w:eastAsia="仿宋" w:hAnsi="仿宋" w:hint="eastAsia"/>
          <w:b w:val="0"/>
          <w:bCs/>
          <w:sz w:val="32"/>
          <w:szCs w:val="32"/>
        </w:rPr>
        <w:t>完成预算</w:t>
      </w:r>
      <w:r w:rsidR="000B0280">
        <w:rPr>
          <w:rStyle w:val="a7"/>
          <w:rFonts w:ascii="仿宋" w:eastAsia="仿宋" w:hAnsi="仿宋" w:hint="eastAsia"/>
          <w:b w:val="0"/>
          <w:bCs/>
          <w:sz w:val="32"/>
          <w:szCs w:val="32"/>
        </w:rPr>
        <w:t>10</w:t>
      </w:r>
      <w:r>
        <w:rPr>
          <w:rStyle w:val="a7"/>
          <w:rFonts w:ascii="仿宋" w:eastAsia="仿宋" w:hAnsi="仿宋" w:hint="eastAsia"/>
          <w:b w:val="0"/>
          <w:bCs/>
          <w:sz w:val="32"/>
          <w:szCs w:val="32"/>
        </w:rPr>
        <w:t>0</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 w:eastAsia="仿宋" w:hAnsi="仿宋" w:hint="eastAsia"/>
          <w:color w:val="000000"/>
          <w:sz w:val="32"/>
          <w:szCs w:val="32"/>
        </w:rPr>
        <w:t>公务用车购置及运行维护费支出决算与</w:t>
      </w:r>
      <w:r>
        <w:rPr>
          <w:rFonts w:ascii="仿宋" w:eastAsia="仿宋" w:hAnsi="仿宋"/>
          <w:color w:val="000000"/>
          <w:sz w:val="32"/>
          <w:szCs w:val="32"/>
        </w:rPr>
        <w:t>20</w:t>
      </w:r>
      <w:r w:rsidR="000B0280">
        <w:rPr>
          <w:rFonts w:ascii="仿宋" w:eastAsia="仿宋" w:hAnsi="仿宋" w:hint="eastAsia"/>
          <w:color w:val="000000"/>
          <w:sz w:val="32"/>
          <w:szCs w:val="32"/>
        </w:rPr>
        <w:t>21</w:t>
      </w:r>
      <w:r>
        <w:rPr>
          <w:rFonts w:ascii="仿宋" w:eastAsia="仿宋" w:hAnsi="仿宋" w:hint="eastAsia"/>
          <w:color w:val="000000"/>
          <w:sz w:val="32"/>
          <w:szCs w:val="32"/>
        </w:rPr>
        <w:t>年持平。</w:t>
      </w:r>
    </w:p>
    <w:p w:rsidR="00F431B8" w:rsidRDefault="00395DCA">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公务用车购置支出0.00</w:t>
      </w:r>
      <w:r>
        <w:rPr>
          <w:rFonts w:ascii="仿宋_GB2312" w:eastAsia="仿宋_GB2312" w:hint="eastAsia"/>
          <w:sz w:val="32"/>
          <w:szCs w:val="32"/>
        </w:rPr>
        <w:t>万元。全年按规定更新购置公务用车0辆，其中：轿车0辆、金额0.00万元，越野车0辆、金额0.00万元，载客汽车0辆、金额0.00万元。截至</w:t>
      </w:r>
      <w:r>
        <w:rPr>
          <w:rFonts w:ascii="仿宋_GB2312" w:eastAsia="仿宋_GB2312"/>
          <w:sz w:val="32"/>
          <w:szCs w:val="32"/>
        </w:rPr>
        <w:t>20</w:t>
      </w:r>
      <w:r>
        <w:rPr>
          <w:rFonts w:ascii="仿宋_GB2312" w:eastAsia="仿宋_GB2312" w:hint="eastAsia"/>
          <w:sz w:val="32"/>
          <w:szCs w:val="32"/>
        </w:rPr>
        <w:t>22年</w:t>
      </w:r>
      <w:r>
        <w:rPr>
          <w:rFonts w:ascii="仿宋_GB2312" w:eastAsia="仿宋_GB2312"/>
          <w:sz w:val="32"/>
          <w:szCs w:val="32"/>
        </w:rPr>
        <w:t>12</w:t>
      </w:r>
      <w:r>
        <w:rPr>
          <w:rFonts w:ascii="仿宋_GB2312" w:eastAsia="仿宋_GB2312" w:hint="eastAsia"/>
          <w:sz w:val="32"/>
          <w:szCs w:val="32"/>
        </w:rPr>
        <w:t>月底，单位共有公务用车0辆，其中：轿车0辆、越野车0辆、载客汽车0辆。</w:t>
      </w:r>
    </w:p>
    <w:p w:rsidR="00F431B8" w:rsidRDefault="00395DCA">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_GB2312" w:eastAsia="仿宋_GB2312" w:hint="eastAsia"/>
          <w:sz w:val="32"/>
          <w:szCs w:val="32"/>
        </w:rPr>
        <w:t>0.00万元。</w:t>
      </w:r>
    </w:p>
    <w:p w:rsidR="00F431B8" w:rsidRDefault="00395DCA">
      <w:pPr>
        <w:spacing w:line="600" w:lineRule="exact"/>
        <w:ind w:firstLine="640"/>
        <w:rPr>
          <w:rFonts w:ascii="仿宋" w:eastAsia="仿宋" w:hAnsi="仿宋"/>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0.00万元，</w:t>
      </w:r>
      <w:r>
        <w:rPr>
          <w:rStyle w:val="a7"/>
          <w:rFonts w:ascii="仿宋" w:eastAsia="仿宋" w:hAnsi="仿宋" w:hint="eastAsia"/>
          <w:b w:val="0"/>
          <w:bCs/>
          <w:sz w:val="32"/>
          <w:szCs w:val="32"/>
        </w:rPr>
        <w:t>完成预算</w:t>
      </w:r>
      <w:r w:rsidR="000B0280">
        <w:rPr>
          <w:rStyle w:val="a7"/>
          <w:rFonts w:ascii="仿宋" w:eastAsia="仿宋" w:hAnsi="仿宋" w:hint="eastAsia"/>
          <w:b w:val="0"/>
          <w:bCs/>
          <w:sz w:val="32"/>
          <w:szCs w:val="32"/>
        </w:rPr>
        <w:t>10</w:t>
      </w:r>
      <w:r>
        <w:rPr>
          <w:rStyle w:val="a7"/>
          <w:rFonts w:ascii="仿宋" w:eastAsia="仿宋" w:hAnsi="仿宋" w:hint="eastAsia"/>
          <w:b w:val="0"/>
          <w:bCs/>
          <w:sz w:val="32"/>
          <w:szCs w:val="32"/>
        </w:rPr>
        <w:t>0</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 w:eastAsia="仿宋" w:hAnsi="仿宋" w:hint="eastAsia"/>
          <w:color w:val="000000"/>
          <w:sz w:val="32"/>
          <w:szCs w:val="32"/>
        </w:rPr>
        <w:t>公务接待费支出决算与</w:t>
      </w:r>
      <w:r>
        <w:rPr>
          <w:rFonts w:ascii="仿宋" w:eastAsia="仿宋" w:hAnsi="仿宋"/>
          <w:color w:val="000000"/>
          <w:sz w:val="32"/>
          <w:szCs w:val="32"/>
        </w:rPr>
        <w:t>20</w:t>
      </w:r>
      <w:r>
        <w:rPr>
          <w:rFonts w:ascii="仿宋" w:eastAsia="仿宋" w:hAnsi="仿宋" w:hint="eastAsia"/>
          <w:color w:val="000000"/>
          <w:sz w:val="32"/>
          <w:szCs w:val="32"/>
        </w:rPr>
        <w:t>21年持平。主要原因是单位坚决贯彻执行中央八项规定和省、市“十项规定”以及《党政机关厉行节约反对浪费条例》等相关规定</w:t>
      </w:r>
      <w:r>
        <w:rPr>
          <w:rFonts w:ascii="仿宋" w:eastAsia="仿宋" w:hAnsi="仿宋" w:hint="eastAsia"/>
          <w:sz w:val="32"/>
          <w:szCs w:val="32"/>
        </w:rPr>
        <w:t>。其中：</w:t>
      </w:r>
    </w:p>
    <w:p w:rsidR="00F431B8" w:rsidRDefault="00395DCA">
      <w:pPr>
        <w:spacing w:line="600" w:lineRule="exact"/>
        <w:ind w:firstLine="640"/>
        <w:rPr>
          <w:rFonts w:ascii="仿宋_GB2312" w:eastAsia="仿宋_GB2312"/>
          <w:sz w:val="32"/>
          <w:szCs w:val="32"/>
        </w:rPr>
      </w:pPr>
      <w:r>
        <w:rPr>
          <w:rFonts w:ascii="仿宋" w:eastAsia="仿宋" w:hAnsi="仿宋" w:hint="eastAsia"/>
          <w:b/>
          <w:sz w:val="32"/>
          <w:szCs w:val="32"/>
        </w:rPr>
        <w:t>国内公务接待支出0.00</w:t>
      </w:r>
      <w:r>
        <w:rPr>
          <w:rFonts w:ascii="仿宋_GB2312" w:eastAsia="仿宋_GB2312" w:hint="eastAsia"/>
          <w:sz w:val="32"/>
          <w:szCs w:val="32"/>
        </w:rPr>
        <w:t>万元。国内公务接待0批次，0人次（不包括陪同人员），共计支出0.00万元。</w:t>
      </w:r>
    </w:p>
    <w:p w:rsidR="00F431B8" w:rsidRDefault="00395DCA">
      <w:pPr>
        <w:spacing w:line="600" w:lineRule="exact"/>
        <w:ind w:firstLineChars="200" w:firstLine="643"/>
        <w:rPr>
          <w:rFonts w:ascii="仿宋_GB2312" w:eastAsia="仿宋_GB2312"/>
          <w:sz w:val="32"/>
          <w:szCs w:val="32"/>
        </w:rPr>
      </w:pPr>
      <w:r>
        <w:rPr>
          <w:rFonts w:ascii="仿宋" w:eastAsia="仿宋" w:hAnsi="仿宋" w:hint="eastAsia"/>
          <w:b/>
          <w:sz w:val="32"/>
          <w:szCs w:val="32"/>
        </w:rPr>
        <w:t>外事接待支出</w:t>
      </w:r>
      <w:r>
        <w:rPr>
          <w:rFonts w:ascii="仿宋" w:eastAsia="仿宋" w:hAnsi="仿宋" w:hint="eastAsia"/>
          <w:sz w:val="32"/>
          <w:szCs w:val="32"/>
        </w:rPr>
        <w:t>0.00</w:t>
      </w:r>
      <w:r>
        <w:rPr>
          <w:rFonts w:ascii="仿宋_GB2312" w:eastAsia="仿宋_GB2312" w:hint="eastAsia"/>
          <w:sz w:val="32"/>
          <w:szCs w:val="32"/>
        </w:rPr>
        <w:t>万元。外事接待0批次，0人次（不包括陪同人员），共计支出0.00万元。</w:t>
      </w:r>
      <w:bookmarkStart w:id="41" w:name="_Toc15377218"/>
      <w:bookmarkStart w:id="42" w:name="_Toc15396610"/>
    </w:p>
    <w:p w:rsidR="00F431B8" w:rsidRDefault="00395DCA">
      <w:pPr>
        <w:spacing w:line="600" w:lineRule="exact"/>
        <w:ind w:firstLine="640"/>
        <w:outlineLvl w:val="1"/>
        <w:rPr>
          <w:rStyle w:val="2Char"/>
          <w:rFonts w:ascii="黑体" w:eastAsia="黑体" w:hAnsi="黑体"/>
        </w:rPr>
      </w:pPr>
      <w:r>
        <w:rPr>
          <w:rFonts w:ascii="黑体" w:eastAsia="黑体" w:hint="eastAsia"/>
          <w:sz w:val="32"/>
          <w:szCs w:val="32"/>
        </w:rPr>
        <w:t>八、</w:t>
      </w:r>
      <w:r>
        <w:rPr>
          <w:rStyle w:val="2Char"/>
          <w:rFonts w:ascii="黑体" w:eastAsia="黑体" w:hAnsi="黑体" w:hint="eastAsia"/>
          <w:b w:val="0"/>
        </w:rPr>
        <w:t>政府性基金预算支出决算情况说明</w:t>
      </w:r>
      <w:bookmarkEnd w:id="41"/>
      <w:bookmarkEnd w:id="42"/>
    </w:p>
    <w:p w:rsidR="00F431B8" w:rsidRDefault="00395DCA">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22年政府性基金预算财政拨款支出19.19万元。</w:t>
      </w:r>
    </w:p>
    <w:p w:rsidR="00F431B8" w:rsidRDefault="00395DCA">
      <w:pPr>
        <w:numPr>
          <w:ilvl w:val="0"/>
          <w:numId w:val="3"/>
        </w:numPr>
        <w:spacing w:line="600" w:lineRule="exact"/>
        <w:ind w:firstLine="640"/>
        <w:outlineLvl w:val="1"/>
        <w:rPr>
          <w:rStyle w:val="2Char"/>
          <w:rFonts w:ascii="黑体" w:eastAsia="黑体" w:hAnsi="黑体"/>
          <w:b w:val="0"/>
        </w:rPr>
      </w:pPr>
      <w:bookmarkStart w:id="43" w:name="_Toc15377219"/>
      <w:bookmarkStart w:id="44" w:name="_Toc15396611"/>
      <w:r>
        <w:rPr>
          <w:rStyle w:val="2Char"/>
          <w:rFonts w:ascii="黑体" w:eastAsia="黑体" w:hAnsi="黑体" w:hint="eastAsia"/>
          <w:b w:val="0"/>
        </w:rPr>
        <w:t>国有资本经营预算支出决算情况说明</w:t>
      </w:r>
      <w:bookmarkEnd w:id="43"/>
      <w:bookmarkEnd w:id="44"/>
    </w:p>
    <w:p w:rsidR="00F431B8" w:rsidRDefault="00395DCA">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22年国有资本经营预算财政拨款支出0.00万元。</w:t>
      </w:r>
    </w:p>
    <w:p w:rsidR="00F431B8" w:rsidRDefault="00395DCA">
      <w:pPr>
        <w:numPr>
          <w:ilvl w:val="0"/>
          <w:numId w:val="3"/>
        </w:numPr>
        <w:spacing w:line="600" w:lineRule="exact"/>
        <w:ind w:firstLine="640"/>
        <w:outlineLvl w:val="1"/>
        <w:rPr>
          <w:rStyle w:val="2Char"/>
          <w:rFonts w:ascii="黑体" w:eastAsia="黑体" w:hAnsi="黑体"/>
          <w:b w:val="0"/>
        </w:rPr>
      </w:pPr>
      <w:bookmarkStart w:id="45" w:name="_Toc15377221"/>
      <w:bookmarkStart w:id="46" w:name="_Toc15396612"/>
      <w:r>
        <w:rPr>
          <w:rStyle w:val="2Char"/>
          <w:rFonts w:ascii="黑体" w:eastAsia="黑体" w:hAnsi="黑体" w:hint="eastAsia"/>
          <w:b w:val="0"/>
        </w:rPr>
        <w:t>其他重要事项的情况说明</w:t>
      </w:r>
      <w:bookmarkEnd w:id="45"/>
      <w:bookmarkEnd w:id="46"/>
    </w:p>
    <w:p w:rsidR="00F431B8" w:rsidRDefault="00395DCA">
      <w:pPr>
        <w:spacing w:line="600" w:lineRule="exact"/>
        <w:ind w:firstLineChars="200" w:firstLine="643"/>
        <w:outlineLvl w:val="2"/>
        <w:rPr>
          <w:rFonts w:ascii="仿宋" w:eastAsia="仿宋" w:hAnsi="仿宋"/>
          <w:sz w:val="32"/>
          <w:szCs w:val="32"/>
        </w:rPr>
      </w:pPr>
      <w:bookmarkStart w:id="47" w:name="_Toc15377222"/>
      <w:r>
        <w:rPr>
          <w:rFonts w:ascii="仿宋" w:eastAsia="仿宋" w:hAnsi="仿宋" w:hint="eastAsia"/>
          <w:b/>
          <w:sz w:val="32"/>
          <w:szCs w:val="32"/>
        </w:rPr>
        <w:lastRenderedPageBreak/>
        <w:t>（一）机关运行经费支出情况</w:t>
      </w:r>
      <w:bookmarkEnd w:id="47"/>
    </w:p>
    <w:p w:rsidR="00F431B8" w:rsidRDefault="00395DCA">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22年，攀枝花市社会体育指导中心机关运行经费支出0.00万元，</w:t>
      </w:r>
      <w:r>
        <w:rPr>
          <w:rFonts w:ascii="仿宋" w:eastAsia="仿宋" w:hAnsi="仿宋" w:hint="eastAsia"/>
          <w:color w:val="000000"/>
          <w:sz w:val="32"/>
          <w:szCs w:val="32"/>
        </w:rPr>
        <w:t>与</w:t>
      </w:r>
      <w:r>
        <w:rPr>
          <w:rFonts w:ascii="仿宋" w:eastAsia="仿宋" w:hAnsi="仿宋"/>
          <w:color w:val="000000"/>
          <w:sz w:val="32"/>
          <w:szCs w:val="32"/>
        </w:rPr>
        <w:t>20</w:t>
      </w:r>
      <w:r>
        <w:rPr>
          <w:rFonts w:ascii="仿宋" w:eastAsia="仿宋" w:hAnsi="仿宋" w:hint="eastAsia"/>
          <w:color w:val="000000"/>
          <w:sz w:val="32"/>
          <w:szCs w:val="32"/>
        </w:rPr>
        <w:t>21年决算数持平。</w:t>
      </w:r>
    </w:p>
    <w:p w:rsidR="00F431B8" w:rsidRDefault="00395DCA">
      <w:pPr>
        <w:autoSpaceDE w:val="0"/>
        <w:autoSpaceDN w:val="0"/>
        <w:adjustRightInd w:val="0"/>
        <w:spacing w:line="600" w:lineRule="exact"/>
        <w:ind w:firstLineChars="200" w:firstLine="643"/>
        <w:jc w:val="left"/>
        <w:outlineLvl w:val="2"/>
        <w:rPr>
          <w:rFonts w:ascii="仿宋" w:eastAsia="仿宋" w:hAnsi="仿宋"/>
          <w:b/>
          <w:sz w:val="32"/>
          <w:szCs w:val="32"/>
        </w:rPr>
      </w:pPr>
      <w:bookmarkStart w:id="48" w:name="_Toc15377223"/>
      <w:r>
        <w:rPr>
          <w:rFonts w:ascii="仿宋" w:eastAsia="仿宋" w:hAnsi="仿宋" w:hint="eastAsia"/>
          <w:b/>
          <w:sz w:val="32"/>
          <w:szCs w:val="32"/>
        </w:rPr>
        <w:t>（二）政府采购支出情况</w:t>
      </w:r>
      <w:bookmarkEnd w:id="48"/>
    </w:p>
    <w:p w:rsidR="00F431B8" w:rsidRDefault="00395DCA">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22年，攀枝花市社会体育指导中心政府采购支出总额0.00万元，其中：政府采购货物支出0.00万元、政府采购工程支出0.00万元、政府采购服务支出0.00万元。主要用于</w:t>
      </w:r>
      <w:r>
        <w:rPr>
          <w:rFonts w:ascii="仿宋" w:eastAsia="仿宋" w:hAnsi="仿宋" w:hint="eastAsia"/>
          <w:color w:val="000000"/>
          <w:sz w:val="32"/>
          <w:szCs w:val="32"/>
        </w:rPr>
        <w:t>单位运动队训练用器材</w:t>
      </w:r>
      <w:r>
        <w:rPr>
          <w:rFonts w:ascii="仿宋_GB2312" w:eastAsia="仿宋_GB2312" w:hint="eastAsia"/>
          <w:sz w:val="32"/>
          <w:szCs w:val="32"/>
        </w:rPr>
        <w:t>。授予中小企业合同金额0.00万元，占政府采购支出总额的0</w:t>
      </w:r>
      <w:r>
        <w:rPr>
          <w:rFonts w:ascii="仿宋_GB2312" w:eastAsia="仿宋_GB2312"/>
          <w:sz w:val="32"/>
          <w:szCs w:val="32"/>
        </w:rPr>
        <w:t>%</w:t>
      </w:r>
      <w:r>
        <w:rPr>
          <w:rFonts w:ascii="仿宋_GB2312" w:eastAsia="仿宋_GB2312" w:hint="eastAsia"/>
          <w:sz w:val="32"/>
          <w:szCs w:val="32"/>
        </w:rPr>
        <w:t>，其中：授予小微企业合同金额0.00万元，占政府采购支出总额的0</w:t>
      </w:r>
      <w:r>
        <w:rPr>
          <w:rFonts w:ascii="仿宋_GB2312" w:eastAsia="仿宋_GB2312"/>
          <w:sz w:val="32"/>
          <w:szCs w:val="32"/>
        </w:rPr>
        <w:t>%</w:t>
      </w:r>
      <w:r>
        <w:rPr>
          <w:rFonts w:ascii="仿宋_GB2312" w:eastAsia="仿宋_GB2312" w:hint="eastAsia"/>
          <w:sz w:val="32"/>
          <w:szCs w:val="32"/>
        </w:rPr>
        <w:t>。</w:t>
      </w:r>
    </w:p>
    <w:p w:rsidR="00F431B8" w:rsidRDefault="00395DCA">
      <w:pPr>
        <w:autoSpaceDE w:val="0"/>
        <w:autoSpaceDN w:val="0"/>
        <w:adjustRightInd w:val="0"/>
        <w:spacing w:line="600" w:lineRule="exact"/>
        <w:ind w:firstLineChars="200" w:firstLine="643"/>
        <w:jc w:val="left"/>
        <w:outlineLvl w:val="2"/>
        <w:rPr>
          <w:rFonts w:ascii="仿宋" w:eastAsia="仿宋" w:hAnsi="仿宋"/>
          <w:b/>
          <w:sz w:val="32"/>
          <w:szCs w:val="32"/>
        </w:rPr>
      </w:pPr>
      <w:bookmarkStart w:id="49" w:name="_Toc15377224"/>
      <w:r>
        <w:rPr>
          <w:rFonts w:ascii="仿宋" w:eastAsia="仿宋" w:hAnsi="仿宋" w:hint="eastAsia"/>
          <w:b/>
          <w:sz w:val="32"/>
          <w:szCs w:val="32"/>
        </w:rPr>
        <w:t>（三）国有资产占有使用情况</w:t>
      </w:r>
      <w:bookmarkEnd w:id="49"/>
    </w:p>
    <w:p w:rsidR="00F431B8" w:rsidRDefault="00395DCA">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w:t>
      </w:r>
      <w:r>
        <w:rPr>
          <w:rFonts w:ascii="仿宋_GB2312" w:eastAsia="仿宋_GB2312"/>
          <w:sz w:val="32"/>
          <w:szCs w:val="32"/>
        </w:rPr>
        <w:t>20</w:t>
      </w:r>
      <w:r>
        <w:rPr>
          <w:rFonts w:ascii="仿宋_GB2312" w:eastAsia="仿宋_GB2312" w:hint="eastAsia"/>
          <w:sz w:val="32"/>
          <w:szCs w:val="32"/>
        </w:rPr>
        <w:t>22年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日，共有车辆0辆，其中：主要领导干部用车0辆、机要通信用车0辆、应急保障用车0辆、其他用车0辆。单价</w:t>
      </w:r>
      <w:r>
        <w:rPr>
          <w:rFonts w:ascii="仿宋_GB2312" w:eastAsia="仿宋_GB2312"/>
          <w:sz w:val="32"/>
          <w:szCs w:val="32"/>
        </w:rPr>
        <w:t>100</w:t>
      </w:r>
      <w:r>
        <w:rPr>
          <w:rFonts w:ascii="仿宋_GB2312" w:eastAsia="仿宋_GB2312" w:hint="eastAsia"/>
          <w:sz w:val="32"/>
          <w:szCs w:val="32"/>
        </w:rPr>
        <w:t>万元以上专用设备0台（套）。</w:t>
      </w:r>
    </w:p>
    <w:p w:rsidR="00F431B8" w:rsidRDefault="00395DCA">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（四）预算绩效管理情况</w:t>
      </w:r>
    </w:p>
    <w:p w:rsidR="00F431B8" w:rsidRDefault="00395DCA">
      <w:pPr>
        <w:pStyle w:val="a0"/>
        <w:spacing w:before="93"/>
        <w:ind w:firstLineChars="200" w:firstLine="640"/>
        <w:rPr>
          <w:highlight w:val="yellow"/>
        </w:rPr>
      </w:pPr>
      <w:r>
        <w:rPr>
          <w:rFonts w:hAnsi="仿宋_GB2312" w:cs="仿宋_GB2312" w:hint="eastAsia"/>
          <w:sz w:val="32"/>
          <w:szCs w:val="32"/>
        </w:rPr>
        <w:t>根据预算绩效管理要求，本单位在2022年度预算编制阶段，组织对</w:t>
      </w:r>
      <w:r>
        <w:rPr>
          <w:rFonts w:ascii="仿宋" w:eastAsia="仿宋" w:hAnsi="仿宋" w:hint="eastAsia"/>
          <w:sz w:val="32"/>
          <w:szCs w:val="32"/>
        </w:rPr>
        <w:t>“群众体育活动”</w:t>
      </w:r>
      <w:r>
        <w:rPr>
          <w:rFonts w:hAnsi="仿宋_GB2312" w:cs="仿宋_GB2312" w:hint="eastAsia"/>
          <w:sz w:val="32"/>
          <w:szCs w:val="32"/>
        </w:rPr>
        <w:t>项目开展了预算事前绩效评估，对</w:t>
      </w:r>
      <w:r>
        <w:rPr>
          <w:rFonts w:hAnsi="仿宋_GB2312" w:cs="仿宋_GB2312"/>
          <w:sz w:val="32"/>
          <w:szCs w:val="32"/>
          <w:lang w:val="en"/>
        </w:rPr>
        <w:t>1</w:t>
      </w:r>
      <w:r>
        <w:rPr>
          <w:rFonts w:hAnsi="仿宋_GB2312" w:cs="仿宋_GB2312" w:hint="eastAsia"/>
          <w:sz w:val="32"/>
          <w:szCs w:val="32"/>
        </w:rPr>
        <w:t>个项目编制了绩效目标，预算执行过程中，选取</w:t>
      </w:r>
      <w:r>
        <w:rPr>
          <w:rFonts w:hAnsi="仿宋_GB2312" w:cs="仿宋_GB2312"/>
          <w:sz w:val="32"/>
          <w:szCs w:val="32"/>
          <w:lang w:val="en"/>
        </w:rPr>
        <w:t>1</w:t>
      </w:r>
      <w:r>
        <w:rPr>
          <w:rFonts w:hAnsi="仿宋_GB2312" w:cs="仿宋_GB2312" w:hint="eastAsia"/>
          <w:sz w:val="32"/>
          <w:szCs w:val="32"/>
        </w:rPr>
        <w:t>个项目开展绩效监控，组织对</w:t>
      </w:r>
      <w:r>
        <w:rPr>
          <w:rFonts w:hAnsi="仿宋_GB2312" w:cs="仿宋_GB2312"/>
          <w:sz w:val="32"/>
          <w:szCs w:val="32"/>
          <w:lang w:val="en"/>
        </w:rPr>
        <w:t>1</w:t>
      </w:r>
      <w:r>
        <w:rPr>
          <w:rFonts w:hAnsi="仿宋_GB2312" w:cs="仿宋_GB2312" w:hint="eastAsia"/>
          <w:sz w:val="32"/>
          <w:szCs w:val="32"/>
          <w:lang w:val="en"/>
        </w:rPr>
        <w:t>6</w:t>
      </w:r>
      <w:r>
        <w:rPr>
          <w:rFonts w:hAnsi="仿宋_GB2312" w:cs="仿宋_GB2312" w:hint="eastAsia"/>
          <w:sz w:val="32"/>
          <w:szCs w:val="32"/>
        </w:rPr>
        <w:t>个项目开展绩效自评，绩效自评表详见附件</w:t>
      </w:r>
      <w:r>
        <w:rPr>
          <w:rFonts w:hAnsi="仿宋_GB2312" w:cs="仿宋_GB2312"/>
          <w:sz w:val="32"/>
          <w:szCs w:val="32"/>
          <w:lang w:val="en"/>
        </w:rPr>
        <w:t>3</w:t>
      </w:r>
      <w:r>
        <w:rPr>
          <w:rFonts w:hAnsi="仿宋_GB2312" w:cs="仿宋_GB2312" w:hint="eastAsia"/>
          <w:sz w:val="32"/>
          <w:szCs w:val="32"/>
        </w:rPr>
        <w:t>。</w:t>
      </w:r>
    </w:p>
    <w:p w:rsidR="00F431B8" w:rsidRDefault="00395DCA">
      <w:pPr>
        <w:widowControl/>
        <w:jc w:val="left"/>
        <w:rPr>
          <w:rFonts w:ascii="仿宋_GB2312" w:eastAsia="仿宋_GB2312"/>
          <w:b/>
          <w:sz w:val="32"/>
          <w:szCs w:val="32"/>
        </w:rPr>
      </w:pPr>
      <w:r>
        <w:rPr>
          <w:rFonts w:ascii="仿宋_GB2312" w:eastAsia="仿宋_GB2312"/>
          <w:b/>
          <w:sz w:val="32"/>
          <w:szCs w:val="32"/>
        </w:rPr>
        <w:br w:type="page"/>
      </w:r>
    </w:p>
    <w:p w:rsidR="00F431B8" w:rsidRDefault="00395DCA">
      <w:pPr>
        <w:numPr>
          <w:ilvl w:val="0"/>
          <w:numId w:val="4"/>
        </w:numPr>
        <w:spacing w:line="600" w:lineRule="exact"/>
        <w:ind w:firstLineChars="150" w:firstLine="660"/>
        <w:jc w:val="center"/>
        <w:outlineLvl w:val="0"/>
        <w:rPr>
          <w:rStyle w:val="1Char"/>
          <w:rFonts w:ascii="黑体" w:eastAsia="黑体" w:hAnsi="黑体"/>
          <w:b w:val="0"/>
        </w:rPr>
      </w:pPr>
      <w:bookmarkStart w:id="50" w:name="_Toc15396613"/>
      <w:bookmarkStart w:id="51" w:name="_Toc15377225"/>
      <w:r>
        <w:rPr>
          <w:rFonts w:ascii="黑体" w:eastAsia="黑体" w:hAnsi="黑体" w:hint="eastAsia"/>
          <w:sz w:val="44"/>
          <w:szCs w:val="44"/>
        </w:rPr>
        <w:lastRenderedPageBreak/>
        <w:t>名</w:t>
      </w:r>
      <w:r>
        <w:rPr>
          <w:rStyle w:val="1Char"/>
          <w:rFonts w:ascii="黑体" w:eastAsia="黑体" w:hAnsi="黑体" w:hint="eastAsia"/>
          <w:b w:val="0"/>
        </w:rPr>
        <w:t>词解释</w:t>
      </w:r>
      <w:bookmarkEnd w:id="50"/>
      <w:bookmarkEnd w:id="51"/>
    </w:p>
    <w:p w:rsidR="00F431B8" w:rsidRDefault="00F431B8">
      <w:pPr>
        <w:spacing w:line="600" w:lineRule="exact"/>
        <w:jc w:val="left"/>
        <w:rPr>
          <w:rFonts w:ascii="宋体"/>
          <w:b/>
          <w:sz w:val="44"/>
          <w:szCs w:val="44"/>
        </w:rPr>
      </w:pP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t>1.</w:t>
      </w:r>
      <w:r>
        <w:rPr>
          <w:rFonts w:ascii="仿宋" w:eastAsia="仿宋" w:cs="仿宋_GB2312" w:hint="eastAsia"/>
          <w:sz w:val="32"/>
          <w:szCs w:val="32"/>
        </w:rPr>
        <w:t>财政拨款收入：指单位从同级财政部门取得的财政预算资金。</w:t>
      </w:r>
      <w:r>
        <w:rPr>
          <w:rFonts w:ascii="仿宋" w:eastAsia="仿宋" w:cs="仿宋_GB2312"/>
          <w:sz w:val="32"/>
          <w:szCs w:val="32"/>
        </w:rPr>
        <w:t xml:space="preserve"> </w:t>
      </w: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t>2.</w:t>
      </w:r>
      <w:r>
        <w:rPr>
          <w:rFonts w:ascii="仿宋" w:eastAsia="仿宋" w:cs="仿宋_GB2312" w:hint="eastAsia"/>
          <w:sz w:val="32"/>
          <w:szCs w:val="32"/>
        </w:rPr>
        <w:t>年初结转和结余：指以前年度尚未完成、结转到本年按有关规定继续使用的资金。</w:t>
      </w: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t>3.</w:t>
      </w:r>
      <w:r>
        <w:rPr>
          <w:rFonts w:ascii="仿宋" w:eastAsia="仿宋" w:cs="仿宋_GB2312" w:hint="eastAsia"/>
          <w:sz w:val="32"/>
          <w:szCs w:val="32"/>
        </w:rPr>
        <w:t>年末结转和结余：指单位按有关规定结转到下年或以后年度继续使用的资金。</w:t>
      </w: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t>4.</w:t>
      </w:r>
      <w:r>
        <w:rPr>
          <w:rFonts w:ascii="仿宋" w:eastAsia="仿宋" w:cs="仿宋_GB2312" w:hint="eastAsia"/>
          <w:sz w:val="32"/>
          <w:szCs w:val="32"/>
        </w:rPr>
        <w:t>教育（类）普通教育（款）初中教育（项）指</w:t>
      </w:r>
      <w:r>
        <w:rPr>
          <w:rFonts w:ascii="仿宋" w:eastAsia="仿宋" w:cs="仿宋_GB2312"/>
          <w:sz w:val="32"/>
          <w:szCs w:val="32"/>
        </w:rPr>
        <w:t xml:space="preserve">: </w:t>
      </w:r>
      <w:r>
        <w:rPr>
          <w:rFonts w:ascii="仿宋" w:eastAsia="仿宋" w:cs="仿宋_GB2312" w:hint="eastAsia"/>
          <w:sz w:val="32"/>
          <w:szCs w:val="32"/>
        </w:rPr>
        <w:t>教育类普通教育款初中教育支出项。教育（类）其他教育支出（款）其他教育支出（项）：其他用于教育方面的支出。</w:t>
      </w: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t>5.</w:t>
      </w:r>
      <w:r>
        <w:rPr>
          <w:rFonts w:ascii="仿宋" w:eastAsia="仿宋" w:cs="仿宋_GB2312" w:hint="eastAsia"/>
          <w:sz w:val="32"/>
          <w:szCs w:val="32"/>
        </w:rPr>
        <w:t>文化体育与传媒（类）其他文化体育与传媒支出（款）其他文化体育与传媒支出（项）：指反映除上述项目以外的其他文化体育与传媒方面的支出。</w:t>
      </w: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t>6.</w:t>
      </w:r>
      <w:r>
        <w:rPr>
          <w:rFonts w:ascii="仿宋" w:eastAsia="仿宋" w:cs="仿宋_GB2312" w:hint="eastAsia"/>
          <w:sz w:val="32"/>
          <w:szCs w:val="32"/>
        </w:rPr>
        <w:t>社会保障和就业（类）行政事业单位离退休（款）未归口管理的行政事业单位离退休（项）</w:t>
      </w:r>
      <w:r>
        <w:rPr>
          <w:rFonts w:ascii="仿宋" w:eastAsia="仿宋" w:cs="仿宋_GB2312"/>
          <w:sz w:val="32"/>
          <w:szCs w:val="32"/>
        </w:rPr>
        <w:t>:</w:t>
      </w:r>
      <w:r>
        <w:rPr>
          <w:rFonts w:ascii="仿宋" w:eastAsia="仿宋" w:cs="仿宋_GB2312" w:hint="eastAsia"/>
          <w:sz w:val="32"/>
          <w:szCs w:val="32"/>
        </w:rPr>
        <w:t>反映未实行归口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w:t>
      </w: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t>7.</w:t>
      </w:r>
      <w:r>
        <w:rPr>
          <w:rFonts w:ascii="仿宋" w:eastAsia="仿宋" w:cs="仿宋_GB2312" w:hint="eastAsia"/>
          <w:sz w:val="32"/>
          <w:szCs w:val="32"/>
        </w:rPr>
        <w:t>住房保障（类）住房改革支出（款）住房公积金（项）：指反映行政事业单位按人力资源和社会保障部、财政部规定的基本工资和津贴补贴以及规定</w:t>
      </w:r>
      <w:r w:rsidR="0042701D">
        <w:rPr>
          <w:rFonts w:ascii="仿宋" w:eastAsia="仿宋" w:cs="仿宋_GB2312" w:hint="eastAsia"/>
          <w:sz w:val="32"/>
          <w:szCs w:val="32"/>
        </w:rPr>
        <w:t>比例为</w:t>
      </w:r>
      <w:r>
        <w:rPr>
          <w:rFonts w:ascii="仿宋" w:eastAsia="仿宋" w:cs="仿宋_GB2312" w:hint="eastAsia"/>
          <w:sz w:val="32"/>
          <w:szCs w:val="32"/>
        </w:rPr>
        <w:t>职工缴纳的住房公积金</w:t>
      </w: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lastRenderedPageBreak/>
        <w:t>8.</w:t>
      </w:r>
      <w:r>
        <w:rPr>
          <w:rFonts w:ascii="仿宋" w:eastAsia="仿宋" w:cs="仿宋_GB2312" w:hint="eastAsia"/>
          <w:sz w:val="32"/>
          <w:szCs w:val="32"/>
        </w:rPr>
        <w:t>其他支出（类）彩票公益金及对应专项债务收入安排的支出（款）用于体育事业的彩票公益金支出（项）：反映用于体育事业的彩票公益金支出。</w:t>
      </w: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t>9.</w:t>
      </w:r>
      <w:r>
        <w:rPr>
          <w:rFonts w:ascii="仿宋" w:eastAsia="仿宋" w:cs="仿宋_GB2312" w:hint="eastAsia"/>
          <w:sz w:val="32"/>
          <w:szCs w:val="32"/>
        </w:rPr>
        <w:t>年末结转和结余指单位按有关规定结转到下年或以后年度继续使用的资金。</w:t>
      </w: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t>10.</w:t>
      </w:r>
      <w:r>
        <w:rPr>
          <w:rFonts w:ascii="仿宋" w:eastAsia="仿宋" w:cs="仿宋_GB2312" w:hint="eastAsia"/>
          <w:sz w:val="32"/>
          <w:szCs w:val="32"/>
        </w:rPr>
        <w:t>基本支出：指为保障机构正常运转、完成日常工作任务而发生的人员支出和公用支出。</w:t>
      </w:r>
    </w:p>
    <w:p w:rsidR="00F431B8" w:rsidRDefault="00395DCA">
      <w:pPr>
        <w:widowControl/>
        <w:spacing w:line="560" w:lineRule="exact"/>
        <w:ind w:firstLine="660"/>
        <w:rPr>
          <w:rFonts w:ascii="仿宋" w:eastAsia="仿宋" w:cs="仿宋_GB2312"/>
          <w:sz w:val="32"/>
          <w:szCs w:val="32"/>
        </w:rPr>
      </w:pPr>
      <w:r>
        <w:rPr>
          <w:rFonts w:ascii="仿宋" w:eastAsia="仿宋" w:cs="仿宋_GB2312"/>
          <w:sz w:val="32"/>
          <w:szCs w:val="32"/>
        </w:rPr>
        <w:t>11.</w:t>
      </w:r>
      <w:r>
        <w:rPr>
          <w:rFonts w:ascii="仿宋" w:eastAsia="仿宋" w:cs="仿宋_GB2312" w:hint="eastAsia"/>
          <w:sz w:val="32"/>
          <w:szCs w:val="32"/>
        </w:rPr>
        <w:t>项目支出：指在基本支出之外为完成特定行政任务和事业发展目标所发生的支出。</w:t>
      </w:r>
      <w:r>
        <w:rPr>
          <w:rFonts w:ascii="仿宋" w:eastAsia="仿宋" w:cs="仿宋_GB2312"/>
          <w:sz w:val="32"/>
          <w:szCs w:val="32"/>
        </w:rPr>
        <w:t xml:space="preserve"> </w:t>
      </w:r>
    </w:p>
    <w:p w:rsidR="00F431B8" w:rsidRDefault="00395DCA">
      <w:pPr>
        <w:widowControl/>
        <w:spacing w:line="560" w:lineRule="exact"/>
        <w:ind w:firstLine="660"/>
        <w:rPr>
          <w:rFonts w:ascii="仿宋" w:eastAsia="仿宋"/>
          <w:sz w:val="32"/>
          <w:szCs w:val="32"/>
        </w:rPr>
      </w:pPr>
      <w:r>
        <w:rPr>
          <w:rFonts w:ascii="仿宋" w:eastAsia="仿宋" w:cs="仿宋_GB2312"/>
          <w:sz w:val="32"/>
          <w:szCs w:val="32"/>
        </w:rPr>
        <w:t>12.</w:t>
      </w:r>
      <w:r>
        <w:rPr>
          <w:rFonts w:ascii="仿宋" w:eastAsia="仿宋"/>
          <w:sz w:val="32"/>
          <w:szCs w:val="32"/>
        </w:rPr>
        <w:t>“</w:t>
      </w:r>
      <w:r>
        <w:rPr>
          <w:rFonts w:ascii="仿宋" w:eastAsia="仿宋" w:cs="仿宋_GB2312" w:hint="eastAsia"/>
          <w:sz w:val="32"/>
          <w:szCs w:val="32"/>
        </w:rPr>
        <w:t>三公</w:t>
      </w:r>
      <w:r>
        <w:rPr>
          <w:rFonts w:ascii="仿宋" w:eastAsia="仿宋"/>
          <w:sz w:val="32"/>
          <w:szCs w:val="32"/>
        </w:rPr>
        <w:t>”</w:t>
      </w:r>
      <w:r>
        <w:rPr>
          <w:rFonts w:ascii="仿宋" w:eastAsia="仿宋" w:cs="仿宋_GB2312" w:hint="eastAsia"/>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F431B8" w:rsidRDefault="00F431B8">
      <w:pPr>
        <w:pStyle w:val="Default"/>
        <w:spacing w:line="560" w:lineRule="exact"/>
        <w:ind w:firstLineChars="200" w:firstLine="640"/>
        <w:rPr>
          <w:rFonts w:ascii="仿宋_GB2312" w:eastAsia="仿宋_GB2312" w:cs="黑体"/>
          <w:color w:val="auto"/>
          <w:sz w:val="32"/>
          <w:szCs w:val="32"/>
        </w:rPr>
      </w:pPr>
    </w:p>
    <w:p w:rsidR="00F431B8" w:rsidRDefault="00395DCA">
      <w:pPr>
        <w:spacing w:line="600" w:lineRule="exact"/>
        <w:jc w:val="center"/>
        <w:outlineLvl w:val="0"/>
        <w:rPr>
          <w:rStyle w:val="1Char"/>
          <w:rFonts w:ascii="黑体" w:eastAsia="黑体" w:hAnsi="黑体"/>
          <w:b w:val="0"/>
        </w:rPr>
      </w:pPr>
      <w:bookmarkStart w:id="52" w:name="_Toc15396614"/>
      <w:bookmarkStart w:id="53" w:name="_Toc15377226"/>
      <w:r>
        <w:rPr>
          <w:rFonts w:ascii="黑体" w:eastAsia="黑体" w:hAnsi="黑体" w:hint="eastAsia"/>
          <w:sz w:val="44"/>
          <w:szCs w:val="44"/>
        </w:rPr>
        <w:t>第</w:t>
      </w:r>
      <w:r>
        <w:rPr>
          <w:rStyle w:val="1Char"/>
          <w:rFonts w:ascii="黑体" w:eastAsia="黑体" w:hAnsi="黑体" w:hint="eastAsia"/>
          <w:b w:val="0"/>
        </w:rPr>
        <w:t>四部分 附件</w:t>
      </w:r>
      <w:bookmarkEnd w:id="52"/>
    </w:p>
    <w:p w:rsidR="00F431B8" w:rsidRDefault="00F431B8">
      <w:pPr>
        <w:spacing w:line="572" w:lineRule="exact"/>
        <w:jc w:val="left"/>
        <w:outlineLvl w:val="0"/>
        <w:rPr>
          <w:rFonts w:ascii="仿宋_GB2312" w:eastAsia="仿宋_GB2312" w:hAnsi="仿宋_GB2312" w:cs="仿宋_GB2312"/>
          <w:sz w:val="32"/>
          <w:szCs w:val="32"/>
        </w:rPr>
      </w:pPr>
    </w:p>
    <w:p w:rsidR="00F431B8" w:rsidRDefault="00395DCA">
      <w:pPr>
        <w:spacing w:line="600" w:lineRule="exact"/>
        <w:jc w:val="center"/>
        <w:outlineLvl w:val="0"/>
        <w:rPr>
          <w:rFonts w:ascii="宋体" w:hAnsi="宋体" w:cs="宋体"/>
          <w:kern w:val="0"/>
          <w:sz w:val="32"/>
          <w:szCs w:val="32"/>
          <w:lang w:val="en"/>
        </w:rPr>
      </w:pPr>
      <w:bookmarkStart w:id="54" w:name="_Toc15396618"/>
      <w:r>
        <w:rPr>
          <w:rFonts w:ascii="宋体" w:hAnsi="宋体" w:cs="宋体" w:hint="eastAsia"/>
          <w:kern w:val="0"/>
          <w:sz w:val="32"/>
          <w:szCs w:val="32"/>
        </w:rPr>
        <w:t>部门预算项目支出绩效自评表（2022年度）见附件</w:t>
      </w:r>
      <w:r>
        <w:rPr>
          <w:rFonts w:ascii="宋体" w:hAnsi="宋体" w:cs="宋体"/>
          <w:kern w:val="0"/>
          <w:sz w:val="32"/>
          <w:szCs w:val="32"/>
          <w:lang w:val="en"/>
        </w:rPr>
        <w:t>3</w:t>
      </w:r>
    </w:p>
    <w:p w:rsidR="00F431B8" w:rsidRDefault="00F431B8">
      <w:pPr>
        <w:spacing w:line="600" w:lineRule="exact"/>
        <w:jc w:val="left"/>
        <w:outlineLvl w:val="0"/>
        <w:rPr>
          <w:rFonts w:ascii="仿宋_GB2312" w:eastAsia="仿宋_GB2312" w:hAnsi="Calibri" w:cs="仿宋"/>
          <w:kern w:val="0"/>
          <w:sz w:val="32"/>
          <w:szCs w:val="32"/>
        </w:rPr>
      </w:pPr>
    </w:p>
    <w:p w:rsidR="00F431B8" w:rsidRDefault="00F431B8">
      <w:pPr>
        <w:pStyle w:val="a0"/>
        <w:spacing w:before="93"/>
        <w:rPr>
          <w:rFonts w:hAnsi="Calibri" w:cs="仿宋"/>
          <w:sz w:val="32"/>
          <w:szCs w:val="32"/>
        </w:rPr>
      </w:pPr>
    </w:p>
    <w:p w:rsidR="00F431B8" w:rsidRDefault="00F431B8">
      <w:pPr>
        <w:pStyle w:val="a0"/>
        <w:spacing w:before="93"/>
        <w:rPr>
          <w:rFonts w:hAnsi="Calibri" w:cs="仿宋"/>
          <w:sz w:val="32"/>
          <w:szCs w:val="32"/>
        </w:rPr>
      </w:pPr>
    </w:p>
    <w:p w:rsidR="00F431B8" w:rsidRDefault="00395DCA">
      <w:pPr>
        <w:spacing w:line="600" w:lineRule="exact"/>
        <w:jc w:val="center"/>
        <w:outlineLvl w:val="0"/>
        <w:rPr>
          <w:rFonts w:ascii="仿宋" w:eastAsia="仿宋" w:hAnsi="仿宋"/>
        </w:rPr>
      </w:pPr>
      <w:r>
        <w:rPr>
          <w:rFonts w:ascii="黑体" w:eastAsia="黑体" w:hAnsi="黑体" w:hint="eastAsia"/>
          <w:sz w:val="44"/>
          <w:szCs w:val="44"/>
        </w:rPr>
        <w:lastRenderedPageBreak/>
        <w:t>第</w:t>
      </w:r>
      <w:r>
        <w:rPr>
          <w:rStyle w:val="1Char"/>
          <w:rFonts w:ascii="黑体" w:eastAsia="黑体" w:hAnsi="黑体" w:hint="eastAsia"/>
          <w:b w:val="0"/>
        </w:rPr>
        <w:t>五部分 附表</w:t>
      </w:r>
      <w:bookmarkStart w:id="55" w:name="_Toc15396619"/>
      <w:bookmarkEnd w:id="53"/>
      <w:bookmarkEnd w:id="54"/>
    </w:p>
    <w:p w:rsidR="00F431B8" w:rsidRDefault="00395DCA">
      <w:pPr>
        <w:pStyle w:val="2"/>
        <w:rPr>
          <w:rFonts w:ascii="仿宋" w:eastAsia="仿宋" w:hAnsi="仿宋"/>
        </w:rPr>
      </w:pPr>
      <w:r>
        <w:rPr>
          <w:rFonts w:ascii="仿宋" w:eastAsia="仿宋" w:hAnsi="仿宋" w:hint="eastAsia"/>
          <w:b w:val="0"/>
        </w:rPr>
        <w:t>一、收</w:t>
      </w:r>
      <w:r>
        <w:rPr>
          <w:rStyle w:val="2Char"/>
          <w:rFonts w:ascii="仿宋" w:eastAsia="仿宋" w:hAnsi="仿宋" w:hint="eastAsia"/>
        </w:rPr>
        <w:t>入支出决算总表</w:t>
      </w:r>
      <w:bookmarkEnd w:id="55"/>
    </w:p>
    <w:p w:rsidR="00F431B8" w:rsidRDefault="00395DCA">
      <w:pPr>
        <w:pStyle w:val="2"/>
        <w:rPr>
          <w:rFonts w:ascii="仿宋" w:eastAsia="仿宋" w:hAnsi="仿宋"/>
        </w:rPr>
      </w:pPr>
      <w:bookmarkStart w:id="56" w:name="_Toc15396620"/>
      <w:r>
        <w:rPr>
          <w:rFonts w:ascii="仿宋" w:eastAsia="仿宋" w:hAnsi="仿宋" w:hint="eastAsia"/>
          <w:b w:val="0"/>
        </w:rPr>
        <w:t>二、收</w:t>
      </w:r>
      <w:r>
        <w:rPr>
          <w:rStyle w:val="2Char"/>
          <w:rFonts w:ascii="仿宋" w:eastAsia="仿宋" w:hAnsi="仿宋" w:hint="eastAsia"/>
        </w:rPr>
        <w:t>入决算表</w:t>
      </w:r>
      <w:bookmarkEnd w:id="56"/>
    </w:p>
    <w:p w:rsidR="00F431B8" w:rsidRDefault="00395DCA">
      <w:pPr>
        <w:pStyle w:val="2"/>
        <w:rPr>
          <w:rFonts w:ascii="仿宋" w:eastAsia="仿宋" w:hAnsi="仿宋"/>
        </w:rPr>
      </w:pPr>
      <w:bookmarkStart w:id="57" w:name="_Toc15396621"/>
      <w:r>
        <w:rPr>
          <w:rStyle w:val="2Char"/>
          <w:rFonts w:ascii="仿宋" w:eastAsia="仿宋" w:hAnsi="仿宋" w:hint="eastAsia"/>
        </w:rPr>
        <w:t>三、</w:t>
      </w:r>
      <w:r>
        <w:rPr>
          <w:rFonts w:ascii="仿宋" w:eastAsia="仿宋" w:hAnsi="仿宋" w:hint="eastAsia"/>
          <w:b w:val="0"/>
        </w:rPr>
        <w:t>支</w:t>
      </w:r>
      <w:r>
        <w:rPr>
          <w:rStyle w:val="2Char"/>
          <w:rFonts w:ascii="仿宋" w:eastAsia="仿宋" w:hAnsi="仿宋" w:hint="eastAsia"/>
        </w:rPr>
        <w:t>出决算表</w:t>
      </w:r>
      <w:bookmarkEnd w:id="57"/>
    </w:p>
    <w:p w:rsidR="00F431B8" w:rsidRDefault="00395DCA">
      <w:pPr>
        <w:pStyle w:val="2"/>
        <w:rPr>
          <w:rFonts w:ascii="仿宋" w:eastAsia="仿宋" w:hAnsi="仿宋"/>
          <w:b w:val="0"/>
        </w:rPr>
      </w:pPr>
      <w:bookmarkStart w:id="58" w:name="_Toc15396622"/>
      <w:r>
        <w:rPr>
          <w:rStyle w:val="2Char"/>
          <w:rFonts w:ascii="仿宋" w:eastAsia="仿宋" w:hAnsi="仿宋" w:hint="eastAsia"/>
        </w:rPr>
        <w:t>四、</w:t>
      </w:r>
      <w:r>
        <w:rPr>
          <w:rFonts w:ascii="仿宋" w:eastAsia="仿宋" w:hAnsi="仿宋" w:hint="eastAsia"/>
          <w:b w:val="0"/>
        </w:rPr>
        <w:t>财</w:t>
      </w:r>
      <w:r>
        <w:rPr>
          <w:rStyle w:val="2Char"/>
          <w:rFonts w:ascii="仿宋" w:eastAsia="仿宋" w:hAnsi="仿宋" w:hint="eastAsia"/>
        </w:rPr>
        <w:t>政拨款收入支出决算总表</w:t>
      </w:r>
      <w:bookmarkEnd w:id="58"/>
    </w:p>
    <w:p w:rsidR="00F431B8" w:rsidRDefault="00395DCA">
      <w:pPr>
        <w:pStyle w:val="2"/>
        <w:rPr>
          <w:rStyle w:val="2Char"/>
          <w:rFonts w:ascii="仿宋" w:eastAsia="仿宋" w:hAnsi="仿宋"/>
        </w:rPr>
      </w:pPr>
      <w:bookmarkStart w:id="59" w:name="_Toc15396623"/>
      <w:r>
        <w:rPr>
          <w:rStyle w:val="2Char"/>
          <w:rFonts w:ascii="仿宋" w:eastAsia="仿宋" w:hAnsi="仿宋" w:hint="eastAsia"/>
        </w:rPr>
        <w:t>五、</w:t>
      </w:r>
      <w:r>
        <w:rPr>
          <w:rFonts w:ascii="仿宋" w:eastAsia="仿宋" w:hAnsi="仿宋" w:hint="eastAsia"/>
          <w:b w:val="0"/>
        </w:rPr>
        <w:t>财</w:t>
      </w:r>
      <w:r>
        <w:rPr>
          <w:rStyle w:val="2Char"/>
          <w:rFonts w:ascii="仿宋" w:eastAsia="仿宋" w:hAnsi="仿宋" w:hint="eastAsia"/>
        </w:rPr>
        <w:t>政拨款支出决算明细表</w:t>
      </w:r>
      <w:bookmarkStart w:id="60" w:name="_Toc15396624"/>
      <w:bookmarkEnd w:id="59"/>
    </w:p>
    <w:p w:rsidR="00F431B8" w:rsidRDefault="00395DCA">
      <w:pPr>
        <w:pStyle w:val="2"/>
        <w:rPr>
          <w:rFonts w:ascii="仿宋" w:eastAsia="仿宋" w:hAnsi="仿宋"/>
        </w:rPr>
      </w:pPr>
      <w:r>
        <w:rPr>
          <w:rStyle w:val="2Char"/>
          <w:rFonts w:ascii="仿宋" w:eastAsia="仿宋" w:hAnsi="仿宋" w:hint="eastAsia"/>
        </w:rPr>
        <w:t>六、</w:t>
      </w:r>
      <w:r>
        <w:rPr>
          <w:rFonts w:ascii="仿宋" w:eastAsia="仿宋" w:hAnsi="仿宋" w:hint="eastAsia"/>
          <w:b w:val="0"/>
        </w:rPr>
        <w:t>一</w:t>
      </w:r>
      <w:r>
        <w:rPr>
          <w:rStyle w:val="2Char"/>
          <w:rFonts w:ascii="仿宋" w:eastAsia="仿宋" w:hAnsi="仿宋" w:hint="eastAsia"/>
        </w:rPr>
        <w:t>般公共预算财政拨款支出决算表</w:t>
      </w:r>
      <w:bookmarkEnd w:id="60"/>
    </w:p>
    <w:p w:rsidR="00F431B8" w:rsidRDefault="00395DCA">
      <w:pPr>
        <w:pStyle w:val="2"/>
        <w:rPr>
          <w:rFonts w:ascii="仿宋" w:eastAsia="仿宋" w:hAnsi="仿宋"/>
        </w:rPr>
      </w:pPr>
      <w:bookmarkStart w:id="61" w:name="_Toc15396625"/>
      <w:r>
        <w:rPr>
          <w:rStyle w:val="2Char"/>
          <w:rFonts w:ascii="仿宋" w:eastAsia="仿宋" w:hAnsi="仿宋" w:hint="eastAsia"/>
        </w:rPr>
        <w:t>七、</w:t>
      </w:r>
      <w:r>
        <w:rPr>
          <w:rFonts w:ascii="仿宋" w:eastAsia="仿宋" w:hAnsi="仿宋" w:hint="eastAsia"/>
          <w:b w:val="0"/>
        </w:rPr>
        <w:t>一</w:t>
      </w:r>
      <w:r>
        <w:rPr>
          <w:rStyle w:val="2Char"/>
          <w:rFonts w:ascii="仿宋" w:eastAsia="仿宋" w:hAnsi="仿宋" w:hint="eastAsia"/>
        </w:rPr>
        <w:t>般公共预算财政拨款支出决算明细表</w:t>
      </w:r>
      <w:bookmarkEnd w:id="61"/>
    </w:p>
    <w:p w:rsidR="00F431B8" w:rsidRDefault="00395DCA">
      <w:pPr>
        <w:pStyle w:val="2"/>
        <w:rPr>
          <w:rFonts w:ascii="仿宋" w:eastAsia="仿宋" w:hAnsi="仿宋"/>
        </w:rPr>
      </w:pPr>
      <w:bookmarkStart w:id="62" w:name="_Toc15396626"/>
      <w:r>
        <w:rPr>
          <w:rStyle w:val="2Char"/>
          <w:rFonts w:ascii="仿宋" w:eastAsia="仿宋" w:hAnsi="仿宋" w:hint="eastAsia"/>
        </w:rPr>
        <w:t>八、</w:t>
      </w:r>
      <w:r>
        <w:rPr>
          <w:rFonts w:ascii="仿宋" w:eastAsia="仿宋" w:hAnsi="仿宋" w:hint="eastAsia"/>
          <w:b w:val="0"/>
        </w:rPr>
        <w:t>一</w:t>
      </w:r>
      <w:r>
        <w:rPr>
          <w:rStyle w:val="2Char"/>
          <w:rFonts w:ascii="仿宋" w:eastAsia="仿宋" w:hAnsi="仿宋" w:hint="eastAsia"/>
        </w:rPr>
        <w:t>般公共预算财政拨款基本支出决算表</w:t>
      </w:r>
      <w:bookmarkEnd w:id="62"/>
    </w:p>
    <w:p w:rsidR="00F431B8" w:rsidRDefault="00395DCA">
      <w:pPr>
        <w:pStyle w:val="2"/>
        <w:rPr>
          <w:rFonts w:ascii="仿宋" w:eastAsia="仿宋" w:hAnsi="仿宋"/>
        </w:rPr>
      </w:pPr>
      <w:bookmarkStart w:id="63" w:name="_Toc15396627"/>
      <w:r>
        <w:rPr>
          <w:rStyle w:val="2Char"/>
          <w:rFonts w:ascii="仿宋" w:eastAsia="仿宋" w:hAnsi="仿宋" w:hint="eastAsia"/>
        </w:rPr>
        <w:t>九、</w:t>
      </w:r>
      <w:r>
        <w:rPr>
          <w:rFonts w:ascii="仿宋" w:eastAsia="仿宋" w:hAnsi="仿宋" w:hint="eastAsia"/>
          <w:b w:val="0"/>
        </w:rPr>
        <w:t>一</w:t>
      </w:r>
      <w:r>
        <w:rPr>
          <w:rStyle w:val="2Char"/>
          <w:rFonts w:ascii="仿宋" w:eastAsia="仿宋" w:hAnsi="仿宋" w:hint="eastAsia"/>
        </w:rPr>
        <w:t>般公共预算财政拨款项目支出决算表</w:t>
      </w:r>
      <w:bookmarkEnd w:id="63"/>
    </w:p>
    <w:p w:rsidR="00F431B8" w:rsidRDefault="00395DCA">
      <w:pPr>
        <w:pStyle w:val="2"/>
        <w:rPr>
          <w:rFonts w:ascii="仿宋" w:eastAsia="仿宋" w:hAnsi="仿宋"/>
        </w:rPr>
      </w:pPr>
      <w:bookmarkStart w:id="64" w:name="_Toc15396628"/>
      <w:r>
        <w:rPr>
          <w:rStyle w:val="2Char"/>
          <w:rFonts w:ascii="仿宋" w:eastAsia="仿宋" w:hAnsi="仿宋" w:hint="eastAsia"/>
        </w:rPr>
        <w:t>十、</w:t>
      </w:r>
      <w:bookmarkEnd w:id="64"/>
      <w:r>
        <w:rPr>
          <w:rFonts w:ascii="仿宋" w:eastAsia="仿宋" w:hAnsi="仿宋" w:hint="eastAsia"/>
          <w:b w:val="0"/>
        </w:rPr>
        <w:t>政</w:t>
      </w:r>
      <w:r>
        <w:rPr>
          <w:rStyle w:val="2Char"/>
          <w:rFonts w:ascii="仿宋" w:eastAsia="仿宋" w:hAnsi="仿宋" w:hint="eastAsia"/>
        </w:rPr>
        <w:t>府性基金预算财政拨款收入支出决算表</w:t>
      </w:r>
    </w:p>
    <w:p w:rsidR="00F431B8" w:rsidRDefault="00395DCA">
      <w:pPr>
        <w:pStyle w:val="2"/>
        <w:rPr>
          <w:rStyle w:val="2Char"/>
          <w:rFonts w:ascii="仿宋" w:eastAsia="仿宋" w:hAnsi="仿宋"/>
        </w:rPr>
      </w:pPr>
      <w:bookmarkStart w:id="65" w:name="_Toc15396629"/>
      <w:r>
        <w:rPr>
          <w:rStyle w:val="2Char"/>
          <w:rFonts w:ascii="仿宋" w:eastAsia="仿宋" w:hAnsi="仿宋" w:hint="eastAsia"/>
        </w:rPr>
        <w:t>十一、</w:t>
      </w:r>
      <w:bookmarkEnd w:id="65"/>
      <w:r>
        <w:rPr>
          <w:rFonts w:ascii="仿宋" w:eastAsia="仿宋" w:hAnsi="仿宋" w:hint="eastAsia"/>
          <w:b w:val="0"/>
        </w:rPr>
        <w:t>国</w:t>
      </w:r>
      <w:r>
        <w:rPr>
          <w:rStyle w:val="2Char"/>
          <w:rFonts w:ascii="仿宋" w:eastAsia="仿宋" w:hAnsi="仿宋" w:hint="eastAsia"/>
        </w:rPr>
        <w:t>有资本经营预算财政拨款收入支出决算表</w:t>
      </w:r>
      <w:bookmarkStart w:id="66" w:name="_Toc15396630"/>
    </w:p>
    <w:p w:rsidR="00F431B8" w:rsidRDefault="00395DCA">
      <w:pPr>
        <w:pStyle w:val="2"/>
        <w:rPr>
          <w:rStyle w:val="2Char"/>
          <w:rFonts w:ascii="仿宋" w:eastAsia="仿宋" w:hAnsi="仿宋"/>
        </w:rPr>
      </w:pPr>
      <w:r>
        <w:rPr>
          <w:rStyle w:val="2Char"/>
          <w:rFonts w:ascii="仿宋" w:eastAsia="仿宋" w:hAnsi="仿宋" w:hint="eastAsia"/>
        </w:rPr>
        <w:t>十二、</w:t>
      </w:r>
      <w:bookmarkEnd w:id="66"/>
      <w:r>
        <w:rPr>
          <w:rStyle w:val="2Char"/>
          <w:rFonts w:ascii="仿宋" w:eastAsia="仿宋" w:hAnsi="仿宋" w:hint="eastAsia"/>
        </w:rPr>
        <w:t>国有资本经营预算财政拨款支出决算表</w:t>
      </w:r>
      <w:bookmarkStart w:id="67" w:name="_Toc15396631"/>
    </w:p>
    <w:p w:rsidR="00F431B8" w:rsidRDefault="00395DCA">
      <w:pPr>
        <w:pStyle w:val="2"/>
        <w:rPr>
          <w:rFonts w:eastAsia="仿宋"/>
        </w:rPr>
      </w:pPr>
      <w:r>
        <w:rPr>
          <w:rStyle w:val="2Char"/>
          <w:rFonts w:ascii="仿宋" w:eastAsia="仿宋" w:hAnsi="仿宋" w:hint="eastAsia"/>
        </w:rPr>
        <w:t>十三、</w:t>
      </w:r>
      <w:bookmarkEnd w:id="67"/>
      <w:r>
        <w:rPr>
          <w:rStyle w:val="2Char"/>
          <w:rFonts w:ascii="仿宋" w:eastAsia="仿宋" w:hAnsi="仿宋" w:hint="eastAsia"/>
        </w:rPr>
        <w:t>财政拨款“三公”经费支出决算表</w:t>
      </w:r>
    </w:p>
    <w:sectPr w:rsidR="00F431B8">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E08" w:rsidRDefault="00D33E08">
      <w:r>
        <w:separator/>
      </w:r>
    </w:p>
  </w:endnote>
  <w:endnote w:type="continuationSeparator" w:id="0">
    <w:p w:rsidR="00D33E08" w:rsidRDefault="00D33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1B8" w:rsidRDefault="00F431B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781956"/>
    </w:sdtPr>
    <w:sdtEndPr/>
    <w:sdtContent>
      <w:p w:rsidR="00F431B8" w:rsidRDefault="00395DCA">
        <w:pPr>
          <w:pStyle w:val="a5"/>
          <w:jc w:val="center"/>
        </w:pPr>
        <w:r>
          <w:fldChar w:fldCharType="begin"/>
        </w:r>
        <w:r>
          <w:instrText>PAGE   \* MERGEFORMAT</w:instrText>
        </w:r>
        <w:r>
          <w:fldChar w:fldCharType="separate"/>
        </w:r>
        <w:r w:rsidR="0042701D" w:rsidRPr="0042701D">
          <w:rPr>
            <w:noProof/>
            <w:lang w:val="zh-CN"/>
          </w:rPr>
          <w:t>16</w:t>
        </w:r>
        <w:r>
          <w:fldChar w:fldCharType="end"/>
        </w:r>
      </w:p>
    </w:sdtContent>
  </w:sdt>
  <w:p w:rsidR="00F431B8" w:rsidRDefault="00F431B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1B8" w:rsidRDefault="00F431B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E08" w:rsidRDefault="00D33E08">
      <w:r>
        <w:separator/>
      </w:r>
    </w:p>
  </w:footnote>
  <w:footnote w:type="continuationSeparator" w:id="0">
    <w:p w:rsidR="00D33E08" w:rsidRDefault="00D33E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1B8" w:rsidRDefault="00F431B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1B8" w:rsidRDefault="00F431B8">
    <w:pPr>
      <w:pStyle w:val="a6"/>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1B8" w:rsidRDefault="00F431B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start w:val="9"/>
      <w:numFmt w:val="chineseCounting"/>
      <w:suff w:val="nothing"/>
      <w:lvlText w:val="%1、"/>
      <w:lvlJc w:val="left"/>
      <w:rPr>
        <w:rFonts w:hint="eastAsia"/>
      </w:rPr>
    </w:lvl>
  </w:abstractNum>
  <w:abstractNum w:abstractNumId="1">
    <w:nsid w:val="E2FA047D"/>
    <w:multiLevelType w:val="singleLevel"/>
    <w:tmpl w:val="E2FA047D"/>
    <w:lvl w:ilvl="0">
      <w:start w:val="3"/>
      <w:numFmt w:val="chineseCounting"/>
      <w:suff w:val="space"/>
      <w:lvlText w:val="第%1部分"/>
      <w:lvlJc w:val="left"/>
      <w:rPr>
        <w:rFonts w:ascii="黑体" w:eastAsia="黑体" w:hAnsi="黑体" w:cs="黑体" w:hint="eastAsia"/>
        <w:sz w:val="44"/>
        <w:szCs w:val="44"/>
      </w:rPr>
    </w:lvl>
  </w:abstractNum>
  <w:abstractNum w:abstractNumId="2">
    <w:nsid w:val="1272550B"/>
    <w:multiLevelType w:val="multilevel"/>
    <w:tmpl w:val="1272550B"/>
    <w:lvl w:ilvl="0">
      <w:start w:val="1"/>
      <w:numFmt w:val="japaneseCounting"/>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
    <w:nsid w:val="3818A09A"/>
    <w:multiLevelType w:val="singleLevel"/>
    <w:tmpl w:val="3818A09A"/>
    <w:lvl w:ilvl="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wMDYxY2YxZjAzNzI0ODM1NWQ1ZmNmYTYxNjk2YWEifQ=="/>
  </w:docVars>
  <w:rsids>
    <w:rsidRoot w:val="00F1361C"/>
    <w:rsid w:val="9E3A10E2"/>
    <w:rsid w:val="BAF9EC93"/>
    <w:rsid w:val="BCFDA9CB"/>
    <w:rsid w:val="BDF7D7E7"/>
    <w:rsid w:val="DEEFBA6A"/>
    <w:rsid w:val="DF78548F"/>
    <w:rsid w:val="EEA38C5B"/>
    <w:rsid w:val="F2E1F9D4"/>
    <w:rsid w:val="F5FF04EF"/>
    <w:rsid w:val="F7880819"/>
    <w:rsid w:val="000222C6"/>
    <w:rsid w:val="0002549F"/>
    <w:rsid w:val="000468DB"/>
    <w:rsid w:val="0006487A"/>
    <w:rsid w:val="00065F8F"/>
    <w:rsid w:val="00070A43"/>
    <w:rsid w:val="000768F2"/>
    <w:rsid w:val="00090D8E"/>
    <w:rsid w:val="0009184B"/>
    <w:rsid w:val="00094236"/>
    <w:rsid w:val="0009593C"/>
    <w:rsid w:val="00097322"/>
    <w:rsid w:val="000A6A92"/>
    <w:rsid w:val="000B0280"/>
    <w:rsid w:val="000B047F"/>
    <w:rsid w:val="000B5923"/>
    <w:rsid w:val="000B5A48"/>
    <w:rsid w:val="000B6FF3"/>
    <w:rsid w:val="000C3467"/>
    <w:rsid w:val="000C3CA6"/>
    <w:rsid w:val="000D1267"/>
    <w:rsid w:val="000D1D50"/>
    <w:rsid w:val="000D5782"/>
    <w:rsid w:val="000E6613"/>
    <w:rsid w:val="000E7119"/>
    <w:rsid w:val="000F3D30"/>
    <w:rsid w:val="00114E9B"/>
    <w:rsid w:val="00123991"/>
    <w:rsid w:val="00142216"/>
    <w:rsid w:val="00144D6A"/>
    <w:rsid w:val="0014729F"/>
    <w:rsid w:val="00157BAB"/>
    <w:rsid w:val="001654D1"/>
    <w:rsid w:val="00166E95"/>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1331"/>
    <w:rsid w:val="00235629"/>
    <w:rsid w:val="00260950"/>
    <w:rsid w:val="00260C38"/>
    <w:rsid w:val="00260C9E"/>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70D4D"/>
    <w:rsid w:val="00372CC6"/>
    <w:rsid w:val="00380C92"/>
    <w:rsid w:val="00395DCA"/>
    <w:rsid w:val="003A484F"/>
    <w:rsid w:val="003A4883"/>
    <w:rsid w:val="003B0BE0"/>
    <w:rsid w:val="003B0C1B"/>
    <w:rsid w:val="003B532A"/>
    <w:rsid w:val="003B688C"/>
    <w:rsid w:val="003C0291"/>
    <w:rsid w:val="003C39AE"/>
    <w:rsid w:val="003C7B60"/>
    <w:rsid w:val="003D0C0F"/>
    <w:rsid w:val="003D1FB2"/>
    <w:rsid w:val="003D66DA"/>
    <w:rsid w:val="003E1310"/>
    <w:rsid w:val="003E6F55"/>
    <w:rsid w:val="00406254"/>
    <w:rsid w:val="00415AE1"/>
    <w:rsid w:val="004223DE"/>
    <w:rsid w:val="0042701D"/>
    <w:rsid w:val="00434489"/>
    <w:rsid w:val="00437085"/>
    <w:rsid w:val="00443880"/>
    <w:rsid w:val="004464F4"/>
    <w:rsid w:val="00464B39"/>
    <w:rsid w:val="0046541F"/>
    <w:rsid w:val="00471401"/>
    <w:rsid w:val="00473F31"/>
    <w:rsid w:val="0048263A"/>
    <w:rsid w:val="00485945"/>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A049A"/>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47B2"/>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3BC4"/>
    <w:rsid w:val="008253BB"/>
    <w:rsid w:val="0083706E"/>
    <w:rsid w:val="008408F6"/>
    <w:rsid w:val="008423A5"/>
    <w:rsid w:val="008460DF"/>
    <w:rsid w:val="00850625"/>
    <w:rsid w:val="00853718"/>
    <w:rsid w:val="00855221"/>
    <w:rsid w:val="00860645"/>
    <w:rsid w:val="00871F71"/>
    <w:rsid w:val="00872FD8"/>
    <w:rsid w:val="00885AF4"/>
    <w:rsid w:val="008939CD"/>
    <w:rsid w:val="008A02A2"/>
    <w:rsid w:val="008B768C"/>
    <w:rsid w:val="008C4DB1"/>
    <w:rsid w:val="008C4EAF"/>
    <w:rsid w:val="008C5176"/>
    <w:rsid w:val="008C7FD0"/>
    <w:rsid w:val="008E1DE7"/>
    <w:rsid w:val="008E5A3A"/>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641D5"/>
    <w:rsid w:val="0097099F"/>
    <w:rsid w:val="00971997"/>
    <w:rsid w:val="00971FFC"/>
    <w:rsid w:val="00980214"/>
    <w:rsid w:val="00985CF3"/>
    <w:rsid w:val="0098660A"/>
    <w:rsid w:val="009931C3"/>
    <w:rsid w:val="009B2C43"/>
    <w:rsid w:val="009B4EAE"/>
    <w:rsid w:val="009B7573"/>
    <w:rsid w:val="009C22F4"/>
    <w:rsid w:val="009C2A4B"/>
    <w:rsid w:val="009C2B85"/>
    <w:rsid w:val="009C2E98"/>
    <w:rsid w:val="009D3447"/>
    <w:rsid w:val="009D4711"/>
    <w:rsid w:val="009F1185"/>
    <w:rsid w:val="009F18CD"/>
    <w:rsid w:val="009F2A13"/>
    <w:rsid w:val="009F7527"/>
    <w:rsid w:val="00A04EB0"/>
    <w:rsid w:val="00A13CC1"/>
    <w:rsid w:val="00A16847"/>
    <w:rsid w:val="00A237D8"/>
    <w:rsid w:val="00A268C4"/>
    <w:rsid w:val="00A303E2"/>
    <w:rsid w:val="00A307CD"/>
    <w:rsid w:val="00A331C8"/>
    <w:rsid w:val="00A35860"/>
    <w:rsid w:val="00A40A00"/>
    <w:rsid w:val="00A4142F"/>
    <w:rsid w:val="00A422EB"/>
    <w:rsid w:val="00A45BB7"/>
    <w:rsid w:val="00A56DF2"/>
    <w:rsid w:val="00A56E6E"/>
    <w:rsid w:val="00A67AB5"/>
    <w:rsid w:val="00A733B2"/>
    <w:rsid w:val="00A741C2"/>
    <w:rsid w:val="00A91760"/>
    <w:rsid w:val="00A93B00"/>
    <w:rsid w:val="00A93C21"/>
    <w:rsid w:val="00A95AFE"/>
    <w:rsid w:val="00AB64C9"/>
    <w:rsid w:val="00AC3C6A"/>
    <w:rsid w:val="00AC537F"/>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E2CCE"/>
    <w:rsid w:val="00BF5BD6"/>
    <w:rsid w:val="00C03E31"/>
    <w:rsid w:val="00C33E72"/>
    <w:rsid w:val="00C354B2"/>
    <w:rsid w:val="00C35554"/>
    <w:rsid w:val="00C42709"/>
    <w:rsid w:val="00C533CC"/>
    <w:rsid w:val="00C5751C"/>
    <w:rsid w:val="00C61BFC"/>
    <w:rsid w:val="00C62B85"/>
    <w:rsid w:val="00C65438"/>
    <w:rsid w:val="00C736CA"/>
    <w:rsid w:val="00C7524A"/>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3E08"/>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7526F"/>
    <w:rsid w:val="00E82267"/>
    <w:rsid w:val="00E853CE"/>
    <w:rsid w:val="00E867B6"/>
    <w:rsid w:val="00EA010F"/>
    <w:rsid w:val="00ED1B63"/>
    <w:rsid w:val="00ED287E"/>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31B8"/>
    <w:rsid w:val="00F45853"/>
    <w:rsid w:val="00F602DF"/>
    <w:rsid w:val="00F754A1"/>
    <w:rsid w:val="00F81FD9"/>
    <w:rsid w:val="00F841AA"/>
    <w:rsid w:val="00F84A94"/>
    <w:rsid w:val="00F86497"/>
    <w:rsid w:val="00F87E96"/>
    <w:rsid w:val="00FA23E8"/>
    <w:rsid w:val="00FD3CC1"/>
    <w:rsid w:val="00FF1E02"/>
    <w:rsid w:val="00FF30B4"/>
    <w:rsid w:val="053A62B5"/>
    <w:rsid w:val="0A2032A3"/>
    <w:rsid w:val="0B8A37D8"/>
    <w:rsid w:val="10C055FF"/>
    <w:rsid w:val="118107EC"/>
    <w:rsid w:val="11DD6519"/>
    <w:rsid w:val="15DD8FAB"/>
    <w:rsid w:val="16BB723D"/>
    <w:rsid w:val="18015F3F"/>
    <w:rsid w:val="1BE8440E"/>
    <w:rsid w:val="1D155CEE"/>
    <w:rsid w:val="20F57F95"/>
    <w:rsid w:val="240371BF"/>
    <w:rsid w:val="25711CC6"/>
    <w:rsid w:val="25C741E6"/>
    <w:rsid w:val="27842671"/>
    <w:rsid w:val="29FD04D3"/>
    <w:rsid w:val="2ABE7A3E"/>
    <w:rsid w:val="2CA234A8"/>
    <w:rsid w:val="2EFA178C"/>
    <w:rsid w:val="30B46D73"/>
    <w:rsid w:val="319F7F4E"/>
    <w:rsid w:val="383D272C"/>
    <w:rsid w:val="39AE70AB"/>
    <w:rsid w:val="3C0C0783"/>
    <w:rsid w:val="3F9F3A96"/>
    <w:rsid w:val="47525D99"/>
    <w:rsid w:val="48BF60AB"/>
    <w:rsid w:val="493C27E9"/>
    <w:rsid w:val="496F39ED"/>
    <w:rsid w:val="49FF41D3"/>
    <w:rsid w:val="4BE068DB"/>
    <w:rsid w:val="4BF6002B"/>
    <w:rsid w:val="4ECE2238"/>
    <w:rsid w:val="51050B5D"/>
    <w:rsid w:val="51DB4B86"/>
    <w:rsid w:val="55333C3E"/>
    <w:rsid w:val="57AB7B83"/>
    <w:rsid w:val="5CFD1EAA"/>
    <w:rsid w:val="61E82EA1"/>
    <w:rsid w:val="64A70DF2"/>
    <w:rsid w:val="64CA39A1"/>
    <w:rsid w:val="69630ADE"/>
    <w:rsid w:val="6C4A05C8"/>
    <w:rsid w:val="6D3B1A89"/>
    <w:rsid w:val="71BF4EC2"/>
    <w:rsid w:val="72734D90"/>
    <w:rsid w:val="7412278C"/>
    <w:rsid w:val="769B035B"/>
    <w:rsid w:val="79E7B28D"/>
    <w:rsid w:val="7AEB55FA"/>
    <w:rsid w:val="7AFF41C9"/>
    <w:rsid w:val="7F9F2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6">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styleId="a7">
    <w:name w:val="Strong"/>
    <w:basedOn w:val="a1"/>
    <w:uiPriority w:val="99"/>
    <w:qFormat/>
    <w:rPr>
      <w:b/>
    </w:rPr>
  </w:style>
  <w:style w:type="character" w:styleId="a8">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6"/>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5"/>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9">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4"/>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6">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styleId="a7">
    <w:name w:val="Strong"/>
    <w:basedOn w:val="a1"/>
    <w:uiPriority w:val="99"/>
    <w:qFormat/>
    <w:rPr>
      <w:b/>
    </w:rPr>
  </w:style>
  <w:style w:type="character" w:styleId="a8">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6"/>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5"/>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9">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4"/>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3.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home/user/&#26700;&#38754;/&#20851;&#20110;2022&#24180;&#37096;&#38376;&#20915;&#31639;&#20844;&#24320;&#30456;&#20851;&#35201;&#27714;&#30340;&#36890;&#30693;/&#20851;&#20110;2022&#24180;&#37096;&#38376;&#20915;&#31639;&#20844;&#24320;&#30456;&#20851;&#35201;&#27714;&#30340;&#36890;&#30693;%20(&#22797;&#20214;)/&#32534;&#22270;&#25968;&#25454;&#65288;&#24066;&#31038;&#20307;&#6528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ome/user/&#26700;&#38754;/&#20851;&#20110;2022&#24180;&#37096;&#38376;&#20915;&#31639;&#20844;&#24320;&#30456;&#20851;&#35201;&#27714;&#30340;&#36890;&#30693;/&#20851;&#20110;2022&#24180;&#37096;&#38376;&#20915;&#31639;&#20844;&#24320;&#30456;&#20851;&#35201;&#27714;&#30340;&#36890;&#30693;%20(&#22797;&#20214;)/&#32534;&#22270;&#25968;&#25454;&#65288;&#24066;&#31038;&#20307;&#6528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ome/user/&#26700;&#38754;/&#20851;&#20110;2022&#24180;&#37096;&#38376;&#20915;&#31639;&#20844;&#24320;&#30456;&#20851;&#35201;&#27714;&#30340;&#36890;&#30693;/&#20851;&#20110;2022&#24180;&#37096;&#38376;&#20915;&#31639;&#20844;&#24320;&#30456;&#20851;&#35201;&#27714;&#30340;&#36890;&#30693;%20(&#22797;&#20214;)/&#32534;&#22270;&#25968;&#25454;&#65288;&#24066;&#31038;&#20307;&#6528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ome/user/&#26700;&#38754;/&#20851;&#20110;2022&#24180;&#37096;&#38376;&#20915;&#31639;&#20844;&#24320;&#30456;&#20851;&#35201;&#27714;&#30340;&#36890;&#30693;/&#20851;&#20110;2022&#24180;&#37096;&#38376;&#20915;&#31639;&#20844;&#24320;&#30456;&#20851;&#35201;&#27714;&#30340;&#36890;&#30693;%20(&#22797;&#20214;)/&#32534;&#22270;&#25968;&#25454;&#65288;&#24066;&#31038;&#20307;&#6528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ome/user/&#26700;&#38754;/&#20851;&#20110;2022&#24180;&#37096;&#38376;&#20915;&#31639;&#20844;&#24320;&#30456;&#20851;&#35201;&#27714;&#30340;&#36890;&#30693;/&#20851;&#20110;2022&#24180;&#37096;&#38376;&#20915;&#31639;&#20844;&#24320;&#30456;&#20851;&#35201;&#27714;&#30340;&#36890;&#30693;%20(&#22797;&#20214;)/&#32534;&#22270;&#25968;&#25454;&#65288;&#24066;&#31038;&#20307;&#6528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ome/user/&#26700;&#38754;/&#20851;&#20110;2022&#24180;&#37096;&#38376;&#20915;&#31639;&#20844;&#24320;&#30456;&#20851;&#35201;&#27714;&#30340;&#36890;&#30693;/&#20851;&#20110;2022&#24180;&#37096;&#38376;&#20915;&#31639;&#20844;&#24320;&#30456;&#20851;&#35201;&#27714;&#30340;&#36890;&#30693;%20(&#22797;&#20214;)/&#32534;&#22270;&#25968;&#25454;&#65288;&#24066;&#31038;&#20307;&#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收、支决算总计变动情况</a:t>
            </a:r>
          </a:p>
        </c:rich>
      </c:tx>
      <c:layout>
        <c:manualLayout>
          <c:xMode val="edge"/>
          <c:yMode val="edge"/>
          <c:x val="0.31490038179766699"/>
          <c:y val="0"/>
        </c:manualLayout>
      </c:layout>
      <c:overlay val="0"/>
      <c:spPr>
        <a:noFill/>
        <a:ln>
          <a:noFill/>
        </a:ln>
        <a:effectLst/>
      </c:spPr>
    </c:title>
    <c:autoTitleDeleted val="0"/>
    <c:plotArea>
      <c:layout>
        <c:manualLayout>
          <c:layoutTarget val="inner"/>
          <c:xMode val="edge"/>
          <c:yMode val="edge"/>
          <c:x val="0.16350561434638999"/>
          <c:y val="0.14991394148020701"/>
          <c:w val="0.83259726951954904"/>
          <c:h val="0.38094670047071899"/>
        </c:manualLayout>
      </c:layout>
      <c:barChart>
        <c:barDir val="col"/>
        <c:grouping val="percentStacked"/>
        <c:varyColors val="0"/>
        <c:ser>
          <c:idx val="0"/>
          <c:order val="0"/>
          <c:tx>
            <c:strRef>
              <c:f>"收、支决算总计变动情况"</c:f>
              <c:strCache>
                <c:ptCount val="1"/>
                <c:pt idx="0">
                  <c:v>收、支决算总计变动情况</c:v>
                </c:pt>
              </c:strCache>
            </c:strRef>
          </c:tx>
          <c:spPr>
            <a:solidFill>
              <a:schemeClr val="accent1"/>
            </a:solidFill>
            <a:ln>
              <a:noFill/>
            </a:ln>
            <a:effectLst/>
          </c:spPr>
          <c:invertIfNegative val="0"/>
          <c:dLbls>
            <c:dLbl>
              <c:idx val="0"/>
              <c:layout>
                <c:manualLayout>
                  <c:x val="2.1175554889648701E-2"/>
                  <c:y val="-0.1485867428611319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6117782257256701E-2"/>
                  <c:y val="-0.1539556683383120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6.5805430248076797E-3"/>
                  <c:y val="-0.127818621423823"/>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8705370444333699E-2"/>
                  <c:y val="-0.15221745566119901"/>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extLst>
                <c:ext xmlns:c15="http://schemas.microsoft.com/office/drawing/2012/chart" uri="{CE6537A1-D6FC-4f65-9D91-7224C49458BB}">
                  <c15:layout/>
                </c:ext>
              </c:extLst>
            </c:dLbl>
            <c:numFmt formatCode="#,##0.00_ "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prstDash val="solid"/>
                      <a:round/>
                    </a:ln>
                    <a:effectLst/>
                  </c:spPr>
                </c15:leaderLines>
              </c:ext>
            </c:extLst>
          </c:dLbls>
          <c:cat>
            <c:strRef>
              <c:f>'[编图数据（市社体）.xlsx]收、支决算总计变动情况'!$A$28:$A$31</c:f>
              <c:strCache>
                <c:ptCount val="4"/>
                <c:pt idx="0">
                  <c:v>2021年收、支总计（万元）</c:v>
                </c:pt>
                <c:pt idx="1">
                  <c:v>2022年收、支总计（万元）</c:v>
                </c:pt>
                <c:pt idx="2">
                  <c:v>2022年与2021年相比收、支总计增加（万元）</c:v>
                </c:pt>
                <c:pt idx="3">
                  <c:v>同比增加</c:v>
                </c:pt>
              </c:strCache>
            </c:strRef>
          </c:cat>
          <c:val>
            <c:numRef>
              <c:f>'[编图数据（市社体）.xlsx]收、支决算总计变动情况'!$B$28:$B$31</c:f>
              <c:numCache>
                <c:formatCode>General</c:formatCode>
                <c:ptCount val="4"/>
                <c:pt idx="0">
                  <c:v>183.28</c:v>
                </c:pt>
                <c:pt idx="1">
                  <c:v>199.13</c:v>
                </c:pt>
                <c:pt idx="2">
                  <c:v>15.85</c:v>
                </c:pt>
                <c:pt idx="3" formatCode="0.00%">
                  <c:v>8.6499999999999994E-2</c:v>
                </c:pt>
              </c:numCache>
            </c:numRef>
          </c:val>
        </c:ser>
        <c:dLbls>
          <c:showLegendKey val="0"/>
          <c:showVal val="1"/>
          <c:showCatName val="0"/>
          <c:showSerName val="0"/>
          <c:showPercent val="0"/>
          <c:showBubbleSize val="0"/>
        </c:dLbls>
        <c:gapWidth val="150"/>
        <c:overlap val="100"/>
        <c:axId val="350921472"/>
        <c:axId val="350922624"/>
      </c:barChart>
      <c:catAx>
        <c:axId val="350921472"/>
        <c:scaling>
          <c:orientation val="minMax"/>
        </c:scaling>
        <c:delete val="0"/>
        <c:axPos val="b"/>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350922624"/>
        <c:crosses val="autoZero"/>
        <c:auto val="1"/>
        <c:lblAlgn val="ctr"/>
        <c:lblOffset val="100"/>
        <c:noMultiLvlLbl val="0"/>
      </c:catAx>
      <c:valAx>
        <c:axId val="3509226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out"/>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350921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lang="zh-CN" altLang="en-US"/>
              <a:t>收入决算结构图</a:t>
            </a:r>
          </a:p>
        </c:rich>
      </c:tx>
      <c:overlay val="0"/>
    </c:title>
    <c:autoTitleDeleted val="0"/>
    <c:plotArea>
      <c:layout>
        <c:manualLayout>
          <c:layoutTarget val="inner"/>
          <c:xMode val="edge"/>
          <c:yMode val="edge"/>
          <c:x val="8.5497943004895202E-2"/>
          <c:y val="0.11799974096196"/>
          <c:w val="0.58740871824011698"/>
          <c:h val="0.78389512631675795"/>
        </c:manualLayout>
      </c:layout>
      <c:pieChart>
        <c:varyColors val="1"/>
        <c:ser>
          <c:idx val="0"/>
          <c:order val="0"/>
          <c:tx>
            <c:strRef>
              <c:f>"收入决算情况"</c:f>
              <c:strCache>
                <c:ptCount val="1"/>
                <c:pt idx="0">
                  <c:v>收入决算情况</c:v>
                </c:pt>
              </c:strCache>
            </c:strRef>
          </c:tx>
          <c:explosion val="52"/>
          <c:dPt>
            <c:idx val="0"/>
            <c:bubble3D val="0"/>
          </c:dPt>
          <c:dPt>
            <c:idx val="1"/>
            <c:bubble3D val="0"/>
          </c:dPt>
          <c:dLbls>
            <c:dLbl>
              <c:idx val="0"/>
              <c:tx>
                <c:rich>
                  <a:bodyPr/>
                  <a:lstStyle/>
                  <a:p>
                    <a:r>
                      <a:rPr lang="en-US" altLang="en-US"/>
                      <a:t>179.94</a:t>
                    </a:r>
                    <a:r>
                      <a:rPr lang="zh-CN" altLang="en-US"/>
                      <a:t>万元</a:t>
                    </a:r>
                    <a:r>
                      <a:rPr lang="en-US" altLang="en-US"/>
                      <a:t>, 90.36%</a:t>
                    </a:r>
                  </a:p>
                </c:rich>
              </c:tx>
              <c:dLblPos val="bestFit"/>
              <c:showLegendKey val="0"/>
              <c:showVal val="1"/>
              <c:showCatName val="0"/>
              <c:showSerName val="0"/>
              <c:showPercent val="1"/>
              <c:showBubbleSize val="0"/>
              <c:extLst>
                <c:ext xmlns:c15="http://schemas.microsoft.com/office/drawing/2012/chart" uri="{CE6537A1-D6FC-4f65-9D91-7224C49458BB}"/>
              </c:extLst>
            </c:dLbl>
            <c:dLbl>
              <c:idx val="1"/>
              <c:layout>
                <c:manualLayout>
                  <c:x val="-0.11492776293420599"/>
                  <c:y val="1.3914202531521799E-2"/>
                </c:manualLayout>
              </c:layout>
              <c:tx>
                <c:rich>
                  <a:bodyPr/>
                  <a:lstStyle/>
                  <a:p>
                    <a:r>
                      <a:rPr lang="en-US" altLang="en-US"/>
                      <a:t>19.19</a:t>
                    </a:r>
                    <a:r>
                      <a:rPr lang="zh-CN" altLang="en-US"/>
                      <a:t>万元</a:t>
                    </a:r>
                    <a:r>
                      <a:rPr lang="en-US" altLang="en-US"/>
                      <a:t>, 9.64%</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'[编图数据（市社体）.xlsx]收入决算情况'!$A$1:$A$2</c:f>
              <c:strCache>
                <c:ptCount val="2"/>
                <c:pt idx="0">
                  <c:v>一般公共预算财政拨款收入</c:v>
                </c:pt>
                <c:pt idx="1">
                  <c:v>政府性基金预算财政拨款</c:v>
                </c:pt>
              </c:strCache>
            </c:strRef>
          </c:cat>
          <c:val>
            <c:numRef>
              <c:f>'[编图数据（市社体）.xlsx]收入决算情况'!$B$1:$B$2</c:f>
              <c:numCache>
                <c:formatCode>#,##0.00</c:formatCode>
                <c:ptCount val="2"/>
                <c:pt idx="0">
                  <c:v>179.93</c:v>
                </c:pt>
                <c:pt idx="1">
                  <c:v>19.190000000000001</c:v>
                </c:pt>
              </c:numCache>
            </c:numRef>
          </c:val>
        </c:ser>
        <c:dLbls>
          <c:showLegendKey val="0"/>
          <c:showVal val="1"/>
          <c:showCatName val="0"/>
          <c:showSerName val="0"/>
          <c:showPercent val="1"/>
          <c:showBubbleSize val="0"/>
          <c:showLeaderLines val="1"/>
        </c:dLbls>
        <c:firstSliceAng val="15"/>
      </c:pieChart>
      <c:spPr>
        <a:noFill/>
        <a:ln>
          <a:noFill/>
        </a:ln>
        <a:effectLst/>
      </c:spPr>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lang="zh-CN" altLang="en-US"/>
              <a:t>支出决算结构图</a:t>
            </a:r>
          </a:p>
        </c:rich>
      </c:tx>
      <c:overlay val="0"/>
    </c:title>
    <c:autoTitleDeleted val="0"/>
    <c:plotArea>
      <c:layout/>
      <c:pieChart>
        <c:varyColors val="1"/>
        <c:ser>
          <c:idx val="0"/>
          <c:order val="0"/>
          <c:tx>
            <c:strRef>
              <c:f>"支出决算情况"</c:f>
              <c:strCache>
                <c:ptCount val="1"/>
                <c:pt idx="0">
                  <c:v>支出决算情况</c:v>
                </c:pt>
              </c:strCache>
            </c:strRef>
          </c:tx>
          <c:dPt>
            <c:idx val="0"/>
            <c:bubble3D val="0"/>
            <c:explosion val="24"/>
          </c:dPt>
          <c:dPt>
            <c:idx val="1"/>
            <c:bubble3D val="0"/>
          </c:dPt>
          <c:dLbls>
            <c:dLbl>
              <c:idx val="0"/>
              <c:layout>
                <c:manualLayout>
                  <c:x val="-0.175978051287278"/>
                  <c:y val="-0.29200311499524101"/>
                </c:manualLayout>
              </c:layout>
              <c:tx>
                <c:rich>
                  <a:bodyPr/>
                  <a:lstStyle/>
                  <a:p>
                    <a:r>
                      <a:rPr lang="en-US" altLang="en-US"/>
                      <a:t>179.94</a:t>
                    </a:r>
                    <a:r>
                      <a:rPr lang="zh-CN" altLang="en-US"/>
                      <a:t>万元</a:t>
                    </a:r>
                    <a:r>
                      <a:rPr lang="en-US" altLang="en-US"/>
                      <a:t>, 90.36%</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15738186852857"/>
                  <c:y val="4.9045023218251597E-2"/>
                </c:manualLayout>
              </c:layout>
              <c:tx>
                <c:rich>
                  <a:bodyPr/>
                  <a:lstStyle/>
                  <a:p>
                    <a:r>
                      <a:rPr lang="en-US" altLang="en-US"/>
                      <a:t>19.19</a:t>
                    </a:r>
                    <a:r>
                      <a:rPr lang="zh-CN" altLang="en-US"/>
                      <a:t>万元</a:t>
                    </a:r>
                    <a:r>
                      <a:rPr lang="en-US" altLang="en-US"/>
                      <a:t>, 9.64%</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multiLvlStrRef>
              <c:f>'[编图数据（市社体）.xlsx]支出情况'!$A$1:$B$4</c:f>
              <c:multiLvlStrCache>
                <c:ptCount val="2"/>
                <c:lvl/>
                <c:lvl/>
                <c:lvl/>
                <c:lvl>
                  <c:pt idx="0">
                    <c:v>基本支出</c:v>
                  </c:pt>
                  <c:pt idx="1">
                    <c:v>项目支出</c:v>
                  </c:pt>
                </c:lvl>
              </c:multiLvlStrCache>
            </c:multiLvlStrRef>
          </c:cat>
          <c:val>
            <c:numRef>
              <c:f>'[编图数据（市社体）.xlsx]支出情况'!$A$5:$B$5</c:f>
              <c:numCache>
                <c:formatCode>#,##0.00</c:formatCode>
                <c:ptCount val="2"/>
                <c:pt idx="0">
                  <c:v>179.93</c:v>
                </c:pt>
                <c:pt idx="1">
                  <c:v>19.190000000000001</c:v>
                </c:pt>
              </c:numCache>
            </c:numRef>
          </c:val>
        </c:ser>
        <c:dLbls>
          <c:showLegendKey val="0"/>
          <c:showVal val="1"/>
          <c:showCatName val="0"/>
          <c:showSerName val="0"/>
          <c:showPercent val="1"/>
          <c:showBubbleSize val="0"/>
          <c:showLeaderLines val="1"/>
        </c:dLbls>
        <c:firstSliceAng val="15"/>
      </c:pieChart>
      <c:spPr>
        <a:noFill/>
        <a:ln>
          <a:noFill/>
        </a:ln>
        <a:effectLst/>
      </c:spPr>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收、支决算总计变动情况</a:t>
            </a:r>
          </a:p>
        </c:rich>
      </c:tx>
      <c:layout>
        <c:manualLayout>
          <c:xMode val="edge"/>
          <c:yMode val="edge"/>
          <c:x val="0.31490038179766699"/>
          <c:y val="0"/>
        </c:manualLayout>
      </c:layout>
      <c:overlay val="0"/>
      <c:spPr>
        <a:noFill/>
        <a:ln>
          <a:noFill/>
        </a:ln>
        <a:effectLst/>
      </c:spPr>
    </c:title>
    <c:autoTitleDeleted val="0"/>
    <c:plotArea>
      <c:layout>
        <c:manualLayout>
          <c:layoutTarget val="inner"/>
          <c:xMode val="edge"/>
          <c:yMode val="edge"/>
          <c:x val="0.16350561434638999"/>
          <c:y val="0.14991394148020701"/>
          <c:w val="0.83259726951954904"/>
          <c:h val="0.38094670047071899"/>
        </c:manualLayout>
      </c:layout>
      <c:barChart>
        <c:barDir val="col"/>
        <c:grouping val="percentStacked"/>
        <c:varyColors val="0"/>
        <c:ser>
          <c:idx val="0"/>
          <c:order val="0"/>
          <c:tx>
            <c:strRef>
              <c:f>"收、支决算总计变动情况"</c:f>
              <c:strCache>
                <c:ptCount val="1"/>
                <c:pt idx="0">
                  <c:v>收、支决算总计变动情况</c:v>
                </c:pt>
              </c:strCache>
            </c:strRef>
          </c:tx>
          <c:spPr>
            <a:solidFill>
              <a:schemeClr val="accent1"/>
            </a:solidFill>
            <a:ln>
              <a:noFill/>
            </a:ln>
            <a:effectLst/>
          </c:spPr>
          <c:invertIfNegative val="0"/>
          <c:dLbls>
            <c:dLbl>
              <c:idx val="0"/>
              <c:layout>
                <c:manualLayout>
                  <c:x val="2.1175554889648701E-2"/>
                  <c:y val="-0.1485867428611319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6117782257256701E-2"/>
                  <c:y val="-0.1539556683383120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6.5805430248076797E-3"/>
                  <c:y val="-0.127818621423823"/>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8705370444333699E-2"/>
                  <c:y val="-0.15221745566119901"/>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extLst>
                <c:ext xmlns:c15="http://schemas.microsoft.com/office/drawing/2012/chart" uri="{CE6537A1-D6FC-4f65-9D91-7224C49458BB}">
                  <c15:layout/>
                </c:ext>
              </c:extLst>
            </c:dLbl>
            <c:numFmt formatCode="#,##0.00_ "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prstDash val="solid"/>
                      <a:round/>
                    </a:ln>
                    <a:effectLst/>
                  </c:spPr>
                </c15:leaderLines>
              </c:ext>
            </c:extLst>
          </c:dLbls>
          <c:cat>
            <c:strRef>
              <c:f>'[编图数据（市社体）.xlsx]收、支决算总计变动情况'!$A$28:$A$31</c:f>
              <c:strCache>
                <c:ptCount val="4"/>
                <c:pt idx="0">
                  <c:v>2021年收、支总计（万元）</c:v>
                </c:pt>
                <c:pt idx="1">
                  <c:v>2022年收、支总计（万元）</c:v>
                </c:pt>
                <c:pt idx="2">
                  <c:v>2022年与2021年相比收、支总计增加（万元）</c:v>
                </c:pt>
                <c:pt idx="3">
                  <c:v>同比增加</c:v>
                </c:pt>
              </c:strCache>
            </c:strRef>
          </c:cat>
          <c:val>
            <c:numRef>
              <c:f>'[编图数据（市社体）.xlsx]收、支决算总计变动情况'!$B$28:$B$31</c:f>
              <c:numCache>
                <c:formatCode>General</c:formatCode>
                <c:ptCount val="4"/>
                <c:pt idx="0">
                  <c:v>183.28</c:v>
                </c:pt>
                <c:pt idx="1">
                  <c:v>199.13</c:v>
                </c:pt>
                <c:pt idx="2">
                  <c:v>15.85</c:v>
                </c:pt>
                <c:pt idx="3" formatCode="0.00%">
                  <c:v>8.6499999999999994E-2</c:v>
                </c:pt>
              </c:numCache>
            </c:numRef>
          </c:val>
        </c:ser>
        <c:dLbls>
          <c:showLegendKey val="0"/>
          <c:showVal val="1"/>
          <c:showCatName val="0"/>
          <c:showSerName val="0"/>
          <c:showPercent val="0"/>
          <c:showBubbleSize val="0"/>
        </c:dLbls>
        <c:gapWidth val="150"/>
        <c:overlap val="100"/>
        <c:axId val="381328768"/>
        <c:axId val="381351040"/>
      </c:barChart>
      <c:catAx>
        <c:axId val="381328768"/>
        <c:scaling>
          <c:orientation val="minMax"/>
        </c:scaling>
        <c:delete val="0"/>
        <c:axPos val="b"/>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381351040"/>
        <c:crosses val="autoZero"/>
        <c:auto val="1"/>
        <c:lblAlgn val="ctr"/>
        <c:lblOffset val="100"/>
        <c:noMultiLvlLbl val="0"/>
      </c:catAx>
      <c:valAx>
        <c:axId val="38135104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out"/>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381328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manualLayout>
          <c:layoutTarget val="inner"/>
          <c:xMode val="edge"/>
          <c:yMode val="edge"/>
          <c:x val="0.17995655715449399"/>
          <c:y val="0.13005237574002801"/>
          <c:w val="0.79475608652366703"/>
          <c:h val="0.45738780410296198"/>
        </c:manualLayout>
      </c:layout>
      <c:barChart>
        <c:barDir val="col"/>
        <c:grouping val="stacked"/>
        <c:varyColors val="0"/>
        <c:ser>
          <c:idx val="0"/>
          <c:order val="0"/>
          <c:tx>
            <c:strRef>
              <c:f>"一般公共预算财政拨款支出决算变动情况"</c:f>
              <c:strCache>
                <c:ptCount val="1"/>
                <c:pt idx="0">
                  <c:v>一般公共预算财政拨款支出决算变动情况</c:v>
                </c:pt>
              </c:strCache>
            </c:strRef>
          </c:tx>
          <c:invertIfNegative val="0"/>
          <c:dLbls>
            <c:dLbl>
              <c:idx val="0"/>
              <c:layout>
                <c:manualLayout>
                  <c:x val="4.13793103448276E-2"/>
                  <c:y val="-0.1846571622539039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3678160919540202E-2"/>
                  <c:y val="-0.192803801765105"/>
                </c:manualLayout>
              </c:layout>
              <c:tx>
                <c:rich>
                  <a:bodyPr/>
                  <a:lstStyle/>
                  <a:p>
                    <a:r>
                      <a:rPr lang="en-US" altLang="en-US"/>
                      <a:t>179.94 </a:t>
                    </a:r>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8390804597701201E-2"/>
                  <c:y val="-0.11133740665308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9885057471264399E-2"/>
                  <c:y val="-5.7026476578411402E-2"/>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extLst>
                <c:ext xmlns:c15="http://schemas.microsoft.com/office/drawing/2012/chart" uri="{CE6537A1-D6FC-4f65-9D91-7224C49458BB}">
                  <c15:layout/>
                </c:ext>
              </c:extLst>
            </c:dLbl>
            <c:numFmt formatCode="#,##0.00_);[Red]\(#,##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'[编图数据（市社体）.xlsx]一般公共预算财政拨款支出决算变动情况'!$A$1:$A$4</c:f>
              <c:strCache>
                <c:ptCount val="4"/>
                <c:pt idx="0">
                  <c:v>2021年一般公共预算财政拨款支出（万元）</c:v>
                </c:pt>
                <c:pt idx="1">
                  <c:v>2022年一般公共预算财政拨款支出（万元）</c:v>
                </c:pt>
                <c:pt idx="2">
                  <c:v>2022年与2021年相支出增加（万元）</c:v>
                </c:pt>
                <c:pt idx="3">
                  <c:v>同比增长</c:v>
                </c:pt>
              </c:strCache>
            </c:strRef>
          </c:cat>
          <c:val>
            <c:numRef>
              <c:f>'[编图数据（市社体）.xlsx]一般公共预算财政拨款支出决算变动情况'!$B$1:$B$4</c:f>
              <c:numCache>
                <c:formatCode>General</c:formatCode>
                <c:ptCount val="4"/>
                <c:pt idx="0">
                  <c:v>162.63</c:v>
                </c:pt>
                <c:pt idx="1">
                  <c:v>179.93</c:v>
                </c:pt>
                <c:pt idx="2">
                  <c:v>17.3</c:v>
                </c:pt>
                <c:pt idx="3" formatCode="0.00%">
                  <c:v>0.10639999999999999</c:v>
                </c:pt>
              </c:numCache>
            </c:numRef>
          </c:val>
        </c:ser>
        <c:dLbls>
          <c:showLegendKey val="0"/>
          <c:showVal val="1"/>
          <c:showCatName val="0"/>
          <c:showSerName val="0"/>
          <c:showPercent val="0"/>
          <c:showBubbleSize val="0"/>
        </c:dLbls>
        <c:gapWidth val="150"/>
        <c:overlap val="100"/>
        <c:axId val="425555456"/>
        <c:axId val="425556992"/>
      </c:barChart>
      <c:catAx>
        <c:axId val="42555545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25556992"/>
        <c:crosses val="autoZero"/>
        <c:auto val="1"/>
        <c:lblAlgn val="ctr"/>
        <c:lblOffset val="100"/>
        <c:noMultiLvlLbl val="0"/>
      </c:catAx>
      <c:valAx>
        <c:axId val="42555699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25555456"/>
        <c:crosses val="autoZero"/>
        <c:crossBetween val="between"/>
      </c:valAx>
      <c:spPr>
        <a:solidFill>
          <a:schemeClr val="bg1"/>
        </a:solidFill>
        <a:ln>
          <a:noFill/>
        </a:ln>
        <a:effectLst/>
      </c:spPr>
    </c:plotArea>
    <c:plotVisOnly val="1"/>
    <c:dispBlanksAs val="gap"/>
    <c:showDLblsOverMax val="0"/>
  </c:chart>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8488792480115699"/>
          <c:y val="1.2922562281045999E-2"/>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manualLayout>
          <c:layoutTarget val="inner"/>
          <c:xMode val="edge"/>
          <c:yMode val="edge"/>
          <c:x val="1.0725476018317699E-2"/>
          <c:y val="0.326110315186246"/>
          <c:w val="0.43311641359363701"/>
          <c:h val="0.64362464183381096"/>
        </c:manualLayout>
      </c:layout>
      <c:pieChart>
        <c:varyColors val="1"/>
        <c:ser>
          <c:idx val="0"/>
          <c:order val="0"/>
          <c:tx>
            <c:strRef>
              <c:f>"一般公共预算财政拨款支出决算结构"</c:f>
              <c:strCache>
                <c:ptCount val="1"/>
                <c:pt idx="0">
                  <c:v>一般公共预算财政拨款支出决算结构</c:v>
                </c:pt>
              </c:strCache>
            </c:strRef>
          </c:tx>
          <c:dPt>
            <c:idx val="0"/>
            <c:bubble3D val="0"/>
          </c:dPt>
          <c:dPt>
            <c:idx val="1"/>
            <c:bubble3D val="0"/>
            <c:explosion val="18"/>
          </c:dPt>
          <c:dPt>
            <c:idx val="2"/>
            <c:bubble3D val="0"/>
            <c:explosion val="41"/>
          </c:dPt>
          <c:dLbls>
            <c:dLbl>
              <c:idx val="0"/>
              <c:layout>
                <c:manualLayout>
                  <c:x val="2.53528194748447E-2"/>
                  <c:y val="-3.7001379982141397E-2"/>
                </c:manualLayout>
              </c:layout>
              <c:tx>
                <c:rich>
                  <a:bodyPr/>
                  <a:lstStyle/>
                  <a:p>
                    <a:r>
                      <a:rPr lang="en-US" altLang="en-US"/>
                      <a:t>151.47</a:t>
                    </a:r>
                    <a:r>
                      <a:rPr lang="zh-CN" altLang="en-US"/>
                      <a:t>万元</a:t>
                    </a:r>
                    <a:r>
                      <a:rPr lang="en-US" altLang="en-US"/>
                      <a:t>, 84.18%</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29402515933890799"/>
                  <c:y val="2.8346186108179801E-2"/>
                </c:manualLayout>
              </c:layout>
              <c:tx>
                <c:rich>
                  <a:bodyPr/>
                  <a:lstStyle/>
                  <a:p>
                    <a:r>
                      <a:rPr lang="en-US" altLang="en-US"/>
                      <a:t>12.91</a:t>
                    </a:r>
                    <a:r>
                      <a:rPr lang="zh-CN" altLang="en-US"/>
                      <a:t>万元</a:t>
                    </a:r>
                    <a:r>
                      <a:rPr lang="en-US" altLang="en-US"/>
                      <a:t>, 7.18%</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2.35296983879912E-2"/>
                  <c:y val="-4.43748139729956E-2"/>
                </c:manualLayout>
              </c:layout>
              <c:tx>
                <c:rich>
                  <a:bodyPr/>
                  <a:lstStyle/>
                  <a:p>
                    <a:r>
                      <a:rPr lang="en-US" altLang="en-US"/>
                      <a:t>15.56 </a:t>
                    </a:r>
                    <a:r>
                      <a:rPr lang="zh-CN" altLang="en-US"/>
                      <a:t>万元，</a:t>
                    </a:r>
                    <a:r>
                      <a:rPr lang="en-US" altLang="en-US"/>
                      <a:t>8.65%</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'[编图数据（市社体）.xlsx]一般公共预算财政拨款支出决算结构'!$A$1:$A$3</c:f>
              <c:strCache>
                <c:ptCount val="3"/>
                <c:pt idx="0">
                  <c:v>文化旅游体育与传媒支出</c:v>
                </c:pt>
                <c:pt idx="1">
                  <c:v>社会保障和就业支出</c:v>
                </c:pt>
                <c:pt idx="2">
                  <c:v>住房保障支出</c:v>
                </c:pt>
              </c:strCache>
            </c:strRef>
          </c:cat>
          <c:val>
            <c:numRef>
              <c:f>'[编图数据（市社体）.xlsx]一般公共预算财政拨款支出决算结构'!$B$1:$B$3</c:f>
              <c:numCache>
                <c:formatCode>#,##0.00</c:formatCode>
                <c:ptCount val="3"/>
                <c:pt idx="0">
                  <c:v>151.46</c:v>
                </c:pt>
                <c:pt idx="1">
                  <c:v>12.91</c:v>
                </c:pt>
                <c:pt idx="2">
                  <c:v>15.56</c:v>
                </c:pt>
              </c:numCache>
            </c:numRef>
          </c:val>
        </c:ser>
        <c:dLbls>
          <c:showLegendKey val="0"/>
          <c:showVal val="1"/>
          <c:showCatName val="0"/>
          <c:showSerName val="0"/>
          <c:showPercent val="1"/>
          <c:showBubbleSize val="0"/>
          <c:showLeaderLines val="1"/>
        </c:dLbls>
        <c:firstSliceAng val="15"/>
      </c:pieChart>
      <c:spPr>
        <a:noFill/>
        <a:ln>
          <a:noFill/>
        </a:ln>
        <a:effectLst/>
      </c:spPr>
    </c:plotArea>
    <c:legend>
      <c:legendPos val="r"/>
      <c:layout>
        <c:manualLayout>
          <c:xMode val="edge"/>
          <c:yMode val="edge"/>
          <c:x val="0.71720475083118795"/>
          <c:y val="0.19771193549259899"/>
          <c:w val="0.27003608065133999"/>
          <c:h val="0.48223935925535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16</Pages>
  <Words>680</Words>
  <Characters>3877</Characters>
  <Application>Microsoft Office Word</Application>
  <DocSecurity>0</DocSecurity>
  <Lines>32</Lines>
  <Paragraphs>9</Paragraphs>
  <ScaleCrop>false</ScaleCrop>
  <Company>四川省财政厅</Company>
  <LinksUpToDate>false</LinksUpToDate>
  <CharactersWithSpaces>4548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59</cp:revision>
  <cp:lastPrinted>2023-08-02T02:35:00Z</cp:lastPrinted>
  <dcterms:created xsi:type="dcterms:W3CDTF">2020-08-07T01:49:00Z</dcterms:created>
  <dcterms:modified xsi:type="dcterms:W3CDTF">2026-10-20T07:42:00Z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F0D7A77AF1D549EF940932856A2885C6_12</vt:lpwstr>
  </property>
</Properties>
</file>