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49C" w:rsidRDefault="0068449C">
      <w:pPr>
        <w:spacing w:line="600" w:lineRule="exact"/>
        <w:jc w:val="center"/>
        <w:outlineLvl w:val="0"/>
        <w:rPr>
          <w:rFonts w:ascii="方正小标宋简体" w:eastAsia="方正小标宋简体" w:hAnsi="宋体"/>
          <w:color w:val="000000"/>
          <w:sz w:val="72"/>
          <w:szCs w:val="72"/>
        </w:rPr>
      </w:pPr>
      <w:bookmarkStart w:id="0" w:name="_Toc15306267"/>
    </w:p>
    <w:p w:rsidR="0068449C" w:rsidRDefault="0068449C">
      <w:pPr>
        <w:spacing w:line="600" w:lineRule="exact"/>
        <w:jc w:val="center"/>
        <w:outlineLvl w:val="0"/>
        <w:rPr>
          <w:rFonts w:ascii="方正小标宋简体" w:eastAsia="方正小标宋简体" w:hAnsi="宋体"/>
          <w:color w:val="000000"/>
          <w:sz w:val="72"/>
          <w:szCs w:val="72"/>
        </w:rPr>
      </w:pPr>
    </w:p>
    <w:p w:rsidR="0068449C" w:rsidRDefault="0068449C">
      <w:pPr>
        <w:spacing w:line="600" w:lineRule="exact"/>
        <w:jc w:val="center"/>
        <w:outlineLvl w:val="0"/>
        <w:rPr>
          <w:rFonts w:ascii="方正小标宋简体" w:eastAsia="方正小标宋简体" w:hAnsi="宋体"/>
          <w:color w:val="000000"/>
          <w:sz w:val="72"/>
          <w:szCs w:val="72"/>
        </w:rPr>
      </w:pPr>
    </w:p>
    <w:p w:rsidR="0068449C" w:rsidRDefault="00A3283D">
      <w:pPr>
        <w:adjustRightInd w:val="0"/>
        <w:snapToGrid w:val="0"/>
        <w:spacing w:line="360" w:lineRule="auto"/>
        <w:jc w:val="center"/>
        <w:outlineLvl w:val="0"/>
        <w:rPr>
          <w:rFonts w:ascii="方正小标宋简体" w:eastAsia="方正小标宋简体" w:hAnsi="宋体"/>
          <w:color w:val="000000"/>
          <w:sz w:val="72"/>
          <w:szCs w:val="72"/>
        </w:rPr>
      </w:pPr>
      <w:bookmarkStart w:id="1" w:name="_Toc15378441"/>
      <w:bookmarkStart w:id="2" w:name="_Toc15396475"/>
      <w:bookmarkStart w:id="3" w:name="_Toc15377425"/>
      <w:bookmarkStart w:id="4" w:name="_Toc15396597"/>
      <w:bookmarkStart w:id="5" w:name="_Toc15377193"/>
      <w:r>
        <w:rPr>
          <w:rFonts w:ascii="黑体" w:eastAsia="黑体" w:hAnsi="黑体"/>
          <w:color w:val="000000"/>
          <w:sz w:val="72"/>
          <w:szCs w:val="72"/>
        </w:rPr>
        <w:t>2020</w:t>
      </w:r>
      <w:r>
        <w:rPr>
          <w:rFonts w:ascii="方正小标宋简体" w:eastAsia="方正小标宋简体" w:hAnsi="宋体" w:hint="eastAsia"/>
          <w:color w:val="000000"/>
          <w:sz w:val="72"/>
          <w:szCs w:val="72"/>
        </w:rPr>
        <w:t>年度</w:t>
      </w:r>
      <w:bookmarkStart w:id="6" w:name="_GoBack"/>
      <w:bookmarkEnd w:id="1"/>
      <w:bookmarkEnd w:id="2"/>
      <w:bookmarkEnd w:id="3"/>
      <w:bookmarkEnd w:id="4"/>
      <w:bookmarkEnd w:id="5"/>
      <w:bookmarkEnd w:id="6"/>
    </w:p>
    <w:p w:rsidR="0068449C" w:rsidRDefault="00A3283D">
      <w:pPr>
        <w:adjustRightInd w:val="0"/>
        <w:snapToGrid w:val="0"/>
        <w:spacing w:line="360" w:lineRule="auto"/>
        <w:jc w:val="center"/>
        <w:outlineLvl w:val="0"/>
        <w:rPr>
          <w:rFonts w:ascii="方正小标宋简体" w:eastAsia="方正小标宋简体" w:hAnsi="宋体"/>
          <w:color w:val="000000"/>
          <w:sz w:val="72"/>
          <w:szCs w:val="72"/>
        </w:rPr>
      </w:pPr>
      <w:bookmarkStart w:id="7" w:name="_Toc15377194"/>
      <w:bookmarkStart w:id="8" w:name="_Toc15377426"/>
      <w:bookmarkStart w:id="9" w:name="_Toc15378442"/>
      <w:bookmarkStart w:id="10" w:name="_Toc15396476"/>
      <w:bookmarkStart w:id="11" w:name="_Toc15396598"/>
      <w:r>
        <w:rPr>
          <w:rFonts w:ascii="方正小标宋简体" w:eastAsia="方正小标宋简体" w:hAnsi="宋体" w:hint="eastAsia"/>
          <w:color w:val="000000"/>
          <w:sz w:val="72"/>
          <w:szCs w:val="72"/>
        </w:rPr>
        <w:t>四川省</w:t>
      </w:r>
      <w:bookmarkStart w:id="12" w:name="_Toc15306268"/>
      <w:bookmarkEnd w:id="0"/>
      <w:r>
        <w:rPr>
          <w:rFonts w:ascii="方正小标宋简体" w:eastAsia="方正小标宋简体" w:hAnsi="宋体" w:hint="eastAsia"/>
          <w:color w:val="000000"/>
          <w:sz w:val="72"/>
          <w:szCs w:val="72"/>
        </w:rPr>
        <w:t>攀枝花市外国语学校部门决算</w:t>
      </w:r>
      <w:bookmarkEnd w:id="7"/>
      <w:bookmarkEnd w:id="8"/>
      <w:bookmarkEnd w:id="9"/>
      <w:bookmarkEnd w:id="10"/>
      <w:bookmarkEnd w:id="11"/>
      <w:bookmarkEnd w:id="12"/>
    </w:p>
    <w:p w:rsidR="0068449C" w:rsidRDefault="0068449C">
      <w:pPr>
        <w:adjustRightInd w:val="0"/>
        <w:snapToGrid w:val="0"/>
        <w:spacing w:line="360" w:lineRule="auto"/>
        <w:jc w:val="center"/>
        <w:outlineLvl w:val="0"/>
        <w:rPr>
          <w:rFonts w:ascii="方正小标宋简体" w:eastAsia="方正小标宋简体" w:hAnsi="宋体"/>
          <w:color w:val="000000"/>
          <w:sz w:val="52"/>
          <w:szCs w:val="52"/>
        </w:rPr>
      </w:pPr>
    </w:p>
    <w:p w:rsidR="0068449C" w:rsidRDefault="00A3283D">
      <w:pPr>
        <w:jc w:val="center"/>
        <w:rPr>
          <w:rFonts w:ascii="黑体" w:eastAsia="黑体" w:hAnsi="黑体"/>
          <w:color w:val="000000"/>
          <w:sz w:val="48"/>
          <w:szCs w:val="48"/>
        </w:rPr>
      </w:pPr>
      <w:r>
        <w:rPr>
          <w:rFonts w:ascii="方正小标宋简体" w:eastAsia="方正小标宋简体" w:hAnsi="宋体"/>
          <w:color w:val="000000"/>
          <w:sz w:val="36"/>
          <w:szCs w:val="36"/>
        </w:rPr>
        <w:br w:type="page"/>
      </w:r>
      <w:r>
        <w:rPr>
          <w:rFonts w:ascii="黑体" w:eastAsia="黑体" w:hAnsi="黑体" w:hint="eastAsia"/>
          <w:color w:val="000000"/>
          <w:sz w:val="48"/>
          <w:szCs w:val="48"/>
        </w:rPr>
        <w:lastRenderedPageBreak/>
        <w:t>目录</w:t>
      </w:r>
    </w:p>
    <w:p w:rsidR="0068449C" w:rsidRDefault="0068449C">
      <w:pPr>
        <w:jc w:val="center"/>
        <w:rPr>
          <w:rFonts w:ascii="黑体" w:eastAsia="黑体" w:hAnsi="黑体"/>
          <w:sz w:val="28"/>
          <w:szCs w:val="28"/>
        </w:rPr>
      </w:pPr>
    </w:p>
    <w:p w:rsidR="0068449C" w:rsidRDefault="00A3283D">
      <w:pPr>
        <w:pStyle w:val="1"/>
      </w:pPr>
      <w:r>
        <w:rPr>
          <w:rFonts w:hint="eastAsia"/>
        </w:rPr>
        <w:t>公开时间：</w:t>
      </w:r>
      <w:r>
        <w:t>2021</w:t>
      </w:r>
      <w:r>
        <w:rPr>
          <w:rFonts w:hint="eastAsia"/>
        </w:rPr>
        <w:t>年</w:t>
      </w:r>
      <w:r>
        <w:rPr>
          <w:rFonts w:hint="eastAsia"/>
        </w:rPr>
        <w:t>9</w:t>
      </w:r>
      <w:r>
        <w:rPr>
          <w:rFonts w:hint="eastAsia"/>
        </w:rPr>
        <w:t>月</w:t>
      </w:r>
      <w:r>
        <w:rPr>
          <w:rFonts w:hint="eastAsia"/>
        </w:rPr>
        <w:t>14</w:t>
      </w:r>
      <w:r>
        <w:rPr>
          <w:rFonts w:hint="eastAsia"/>
        </w:rPr>
        <w:t>日</w:t>
      </w:r>
    </w:p>
    <w:p w:rsidR="0068449C" w:rsidRDefault="0068449C"/>
    <w:bookmarkStart w:id="13" w:name="_Toc15377196"/>
    <w:bookmarkStart w:id="14" w:name="_Toc15396599"/>
    <w:p w:rsidR="0068449C" w:rsidRDefault="00A3283D">
      <w:pPr>
        <w:pStyle w:val="1"/>
        <w:adjustRightInd w:val="0"/>
        <w:snapToGrid w:val="0"/>
        <w:spacing w:before="0" w:line="440" w:lineRule="exact"/>
        <w:jc w:val="left"/>
        <w:rPr>
          <w:sz w:val="24"/>
        </w:rPr>
      </w:pPr>
      <w:r>
        <w:fldChar w:fldCharType="begin"/>
      </w:r>
      <w:r>
        <w:instrText>HYPERLINK \l "_Toc82101359"</w:instrText>
      </w:r>
      <w:r>
        <w:fldChar w:fldCharType="separate"/>
      </w:r>
      <w:r>
        <w:rPr>
          <w:rFonts w:hint="eastAsia"/>
          <w:sz w:val="24"/>
        </w:rPr>
        <w:t>第一部分部门概况………………………………………………………</w:t>
      </w:r>
      <w:r>
        <w:rPr>
          <w:sz w:val="24"/>
        </w:rPr>
        <w:t>…………</w:t>
      </w:r>
      <w:r>
        <w:rPr>
          <w:sz w:val="24"/>
        </w:rPr>
        <w:fldChar w:fldCharType="begin"/>
      </w:r>
      <w:r>
        <w:rPr>
          <w:sz w:val="24"/>
        </w:rPr>
        <w:instrText xml:space="preserve"> PAGEREF _Toc82101359 \h </w:instrText>
      </w:r>
      <w:r>
        <w:rPr>
          <w:sz w:val="24"/>
        </w:rPr>
      </w:r>
      <w:r>
        <w:rPr>
          <w:sz w:val="24"/>
        </w:rPr>
        <w:fldChar w:fldCharType="separate"/>
      </w:r>
      <w:r>
        <w:rPr>
          <w:sz w:val="24"/>
        </w:rPr>
        <w:t>4</w:t>
      </w:r>
      <w:r>
        <w:rPr>
          <w:sz w:val="24"/>
        </w:rPr>
        <w:fldChar w:fldCharType="end"/>
      </w:r>
      <w:r>
        <w:fldChar w:fldCharType="end"/>
      </w:r>
    </w:p>
    <w:p w:rsidR="0068449C" w:rsidRDefault="00A3283D">
      <w:pPr>
        <w:pStyle w:val="1"/>
        <w:adjustRightInd w:val="0"/>
        <w:snapToGrid w:val="0"/>
        <w:spacing w:before="0" w:line="440" w:lineRule="exact"/>
        <w:jc w:val="left"/>
        <w:rPr>
          <w:sz w:val="24"/>
        </w:rPr>
      </w:pPr>
      <w:hyperlink w:anchor="_Toc82101360" w:history="1">
        <w:r>
          <w:rPr>
            <w:rFonts w:hint="eastAsia"/>
            <w:sz w:val="24"/>
          </w:rPr>
          <w:t>一、基本职能及主要工作…………………………………………………</w:t>
        </w:r>
        <w:r>
          <w:rPr>
            <w:sz w:val="24"/>
          </w:rPr>
          <w:t>…………</w:t>
        </w:r>
        <w:r>
          <w:rPr>
            <w:sz w:val="24"/>
          </w:rPr>
          <w:fldChar w:fldCharType="begin"/>
        </w:r>
        <w:r>
          <w:rPr>
            <w:sz w:val="24"/>
          </w:rPr>
          <w:instrText xml:space="preserve"> PAGEREF _Toc82101360 \h </w:instrText>
        </w:r>
        <w:r>
          <w:rPr>
            <w:sz w:val="24"/>
          </w:rPr>
        </w:r>
        <w:r>
          <w:rPr>
            <w:sz w:val="24"/>
          </w:rPr>
          <w:fldChar w:fldCharType="separate"/>
        </w:r>
        <w:r>
          <w:rPr>
            <w:sz w:val="24"/>
          </w:rPr>
          <w:t>4</w:t>
        </w:r>
        <w:r>
          <w:rPr>
            <w:sz w:val="24"/>
          </w:rPr>
          <w:fldChar w:fldCharType="end"/>
        </w:r>
      </w:hyperlink>
    </w:p>
    <w:p w:rsidR="0068449C" w:rsidRDefault="00A3283D">
      <w:pPr>
        <w:pStyle w:val="1"/>
        <w:adjustRightInd w:val="0"/>
        <w:snapToGrid w:val="0"/>
        <w:spacing w:before="0" w:line="440" w:lineRule="exact"/>
        <w:jc w:val="left"/>
        <w:rPr>
          <w:sz w:val="24"/>
        </w:rPr>
      </w:pPr>
      <w:hyperlink w:anchor="_Toc82101361" w:history="1">
        <w:r>
          <w:rPr>
            <w:rFonts w:hint="eastAsia"/>
            <w:sz w:val="24"/>
          </w:rPr>
          <w:t>（一）主要职能……………………………………………………………</w:t>
        </w:r>
        <w:r>
          <w:rPr>
            <w:sz w:val="24"/>
          </w:rPr>
          <w:t>…………</w:t>
        </w:r>
        <w:r>
          <w:rPr>
            <w:sz w:val="24"/>
          </w:rPr>
          <w:fldChar w:fldCharType="begin"/>
        </w:r>
        <w:r>
          <w:rPr>
            <w:sz w:val="24"/>
          </w:rPr>
          <w:instrText xml:space="preserve"> PAGEREF _Toc82101361 \h </w:instrText>
        </w:r>
        <w:r>
          <w:rPr>
            <w:sz w:val="24"/>
          </w:rPr>
        </w:r>
        <w:r>
          <w:rPr>
            <w:sz w:val="24"/>
          </w:rPr>
          <w:fldChar w:fldCharType="separate"/>
        </w:r>
        <w:r>
          <w:rPr>
            <w:sz w:val="24"/>
          </w:rPr>
          <w:t>4</w:t>
        </w:r>
        <w:r>
          <w:rPr>
            <w:sz w:val="24"/>
          </w:rPr>
          <w:fldChar w:fldCharType="end"/>
        </w:r>
      </w:hyperlink>
    </w:p>
    <w:p w:rsidR="0068449C" w:rsidRDefault="00A3283D">
      <w:pPr>
        <w:pStyle w:val="1"/>
        <w:adjustRightInd w:val="0"/>
        <w:snapToGrid w:val="0"/>
        <w:spacing w:before="0" w:line="440" w:lineRule="exact"/>
        <w:jc w:val="left"/>
        <w:rPr>
          <w:sz w:val="24"/>
        </w:rPr>
      </w:pPr>
      <w:hyperlink w:anchor="_Toc82101362" w:history="1">
        <w:r>
          <w:rPr>
            <w:rFonts w:hint="eastAsia"/>
            <w:sz w:val="24"/>
          </w:rPr>
          <w:t>（二）</w:t>
        </w:r>
        <w:r>
          <w:rPr>
            <w:sz w:val="24"/>
          </w:rPr>
          <w:t>2020</w:t>
        </w:r>
        <w:r>
          <w:rPr>
            <w:rFonts w:hint="eastAsia"/>
            <w:sz w:val="24"/>
          </w:rPr>
          <w:t>年重点工作完成情况…………………………………………</w:t>
        </w:r>
        <w:r>
          <w:rPr>
            <w:sz w:val="24"/>
          </w:rPr>
          <w:t>…………</w:t>
        </w:r>
        <w:r>
          <w:rPr>
            <w:rFonts w:hint="eastAsia"/>
            <w:sz w:val="24"/>
          </w:rPr>
          <w:t>4</w:t>
        </w:r>
      </w:hyperlink>
    </w:p>
    <w:p w:rsidR="0068449C" w:rsidRDefault="00A3283D">
      <w:pPr>
        <w:pStyle w:val="1"/>
        <w:adjustRightInd w:val="0"/>
        <w:snapToGrid w:val="0"/>
        <w:spacing w:before="0" w:line="440" w:lineRule="exact"/>
        <w:jc w:val="left"/>
        <w:rPr>
          <w:sz w:val="24"/>
        </w:rPr>
      </w:pPr>
      <w:hyperlink w:anchor="_Toc82101363" w:history="1">
        <w:r>
          <w:rPr>
            <w:rFonts w:hint="eastAsia"/>
            <w:sz w:val="24"/>
          </w:rPr>
          <w:t>二、机构设置……………………………………………………</w:t>
        </w:r>
        <w:r>
          <w:rPr>
            <w:rFonts w:hint="eastAsia"/>
            <w:sz w:val="24"/>
          </w:rPr>
          <w:t>…………</w:t>
        </w:r>
        <w:r>
          <w:rPr>
            <w:sz w:val="24"/>
          </w:rPr>
          <w:t>…………</w:t>
        </w:r>
        <w:r>
          <w:rPr>
            <w:rFonts w:hint="eastAsia"/>
            <w:sz w:val="24"/>
          </w:rPr>
          <w:t>5</w:t>
        </w:r>
      </w:hyperlink>
    </w:p>
    <w:p w:rsidR="0068449C" w:rsidRDefault="00A3283D">
      <w:pPr>
        <w:pStyle w:val="1"/>
        <w:adjustRightInd w:val="0"/>
        <w:snapToGrid w:val="0"/>
        <w:spacing w:before="0" w:line="440" w:lineRule="exact"/>
        <w:jc w:val="both"/>
        <w:rPr>
          <w:sz w:val="24"/>
        </w:rPr>
      </w:pPr>
      <w:hyperlink w:anchor="_Toc82101364" w:history="1">
        <w:r>
          <w:rPr>
            <w:rFonts w:hint="eastAsia"/>
            <w:sz w:val="24"/>
          </w:rPr>
          <w:t>第二部分</w:t>
        </w:r>
        <w:r>
          <w:rPr>
            <w:sz w:val="24"/>
          </w:rPr>
          <w:t xml:space="preserve"> 2020</w:t>
        </w:r>
        <w:r>
          <w:rPr>
            <w:rFonts w:hint="eastAsia"/>
            <w:sz w:val="24"/>
          </w:rPr>
          <w:t>年度部门决算情况说明…………………………………</w:t>
        </w:r>
        <w:r>
          <w:rPr>
            <w:sz w:val="24"/>
          </w:rPr>
          <w:t>…………</w:t>
        </w:r>
        <w:r>
          <w:rPr>
            <w:rFonts w:hint="eastAsia"/>
            <w:sz w:val="24"/>
          </w:rPr>
          <w:t>6</w:t>
        </w:r>
      </w:hyperlink>
    </w:p>
    <w:p w:rsidR="0068449C" w:rsidRDefault="00A3283D">
      <w:pPr>
        <w:pStyle w:val="1"/>
        <w:adjustRightInd w:val="0"/>
        <w:snapToGrid w:val="0"/>
        <w:spacing w:before="0" w:line="440" w:lineRule="exact"/>
        <w:jc w:val="left"/>
        <w:rPr>
          <w:sz w:val="24"/>
        </w:rPr>
      </w:pPr>
      <w:hyperlink w:anchor="_Toc82101365" w:history="1">
        <w:r>
          <w:rPr>
            <w:rFonts w:hint="eastAsia"/>
            <w:sz w:val="24"/>
          </w:rPr>
          <w:t>一、收入支出决算总体情况说明…………………………………………</w:t>
        </w:r>
        <w:r>
          <w:rPr>
            <w:sz w:val="24"/>
          </w:rPr>
          <w:t>…………</w:t>
        </w:r>
        <w:r>
          <w:rPr>
            <w:rFonts w:hint="eastAsia"/>
            <w:sz w:val="24"/>
          </w:rPr>
          <w:t>6</w:t>
        </w:r>
      </w:hyperlink>
    </w:p>
    <w:p w:rsidR="0068449C" w:rsidRDefault="00A3283D">
      <w:pPr>
        <w:pStyle w:val="1"/>
        <w:adjustRightInd w:val="0"/>
        <w:snapToGrid w:val="0"/>
        <w:spacing w:before="0" w:line="440" w:lineRule="exact"/>
        <w:jc w:val="left"/>
        <w:rPr>
          <w:sz w:val="24"/>
        </w:rPr>
      </w:pPr>
      <w:hyperlink w:anchor="_Toc82101366" w:history="1">
        <w:r>
          <w:rPr>
            <w:rFonts w:hint="eastAsia"/>
            <w:sz w:val="24"/>
          </w:rPr>
          <w:t>二、收入决算情况说明……………………………………………………</w:t>
        </w:r>
        <w:r>
          <w:rPr>
            <w:sz w:val="24"/>
          </w:rPr>
          <w:t>…………</w:t>
        </w:r>
        <w:r>
          <w:rPr>
            <w:rFonts w:hint="eastAsia"/>
            <w:sz w:val="24"/>
          </w:rPr>
          <w:t>6</w:t>
        </w:r>
      </w:hyperlink>
    </w:p>
    <w:p w:rsidR="0068449C" w:rsidRDefault="00A3283D">
      <w:pPr>
        <w:pStyle w:val="1"/>
        <w:adjustRightInd w:val="0"/>
        <w:snapToGrid w:val="0"/>
        <w:spacing w:before="0" w:line="440" w:lineRule="exact"/>
        <w:jc w:val="left"/>
        <w:rPr>
          <w:sz w:val="24"/>
        </w:rPr>
      </w:pPr>
      <w:hyperlink w:anchor="_Toc82101368" w:history="1">
        <w:r>
          <w:rPr>
            <w:rFonts w:hint="eastAsia"/>
            <w:sz w:val="24"/>
          </w:rPr>
          <w:t>三、支出决算情况</w:t>
        </w:r>
        <w:r>
          <w:rPr>
            <w:rFonts w:hint="eastAsia"/>
            <w:sz w:val="24"/>
          </w:rPr>
          <w:t>说明……………………………………………………</w:t>
        </w:r>
        <w:r>
          <w:rPr>
            <w:sz w:val="24"/>
          </w:rPr>
          <w:t>…………</w:t>
        </w:r>
        <w:r>
          <w:rPr>
            <w:rFonts w:hint="eastAsia"/>
            <w:sz w:val="24"/>
          </w:rPr>
          <w:t>7</w:t>
        </w:r>
      </w:hyperlink>
    </w:p>
    <w:p w:rsidR="0068449C" w:rsidRDefault="00A3283D">
      <w:pPr>
        <w:pStyle w:val="1"/>
        <w:adjustRightInd w:val="0"/>
        <w:snapToGrid w:val="0"/>
        <w:spacing w:before="0" w:line="440" w:lineRule="exact"/>
        <w:jc w:val="left"/>
        <w:rPr>
          <w:sz w:val="24"/>
        </w:rPr>
      </w:pPr>
      <w:hyperlink w:anchor="_Toc82101370" w:history="1">
        <w:r>
          <w:rPr>
            <w:rFonts w:hint="eastAsia"/>
            <w:sz w:val="24"/>
          </w:rPr>
          <w:t>四、财政拨款收入支出决算总体情况说明………………………………</w:t>
        </w:r>
        <w:r>
          <w:rPr>
            <w:sz w:val="24"/>
          </w:rPr>
          <w:t>…………</w:t>
        </w:r>
        <w:r>
          <w:rPr>
            <w:rFonts w:hint="eastAsia"/>
            <w:sz w:val="24"/>
          </w:rPr>
          <w:t>7</w:t>
        </w:r>
      </w:hyperlink>
    </w:p>
    <w:p w:rsidR="0068449C" w:rsidRDefault="00A3283D">
      <w:pPr>
        <w:pStyle w:val="1"/>
        <w:adjustRightInd w:val="0"/>
        <w:snapToGrid w:val="0"/>
        <w:spacing w:before="0" w:line="440" w:lineRule="exact"/>
        <w:jc w:val="left"/>
        <w:rPr>
          <w:sz w:val="24"/>
        </w:rPr>
      </w:pPr>
      <w:hyperlink w:anchor="_Toc82101372" w:history="1">
        <w:r>
          <w:rPr>
            <w:rFonts w:hint="eastAsia"/>
            <w:sz w:val="24"/>
          </w:rPr>
          <w:t>五、一般公共预算财政拨款支出决算情况说明…………………………</w:t>
        </w:r>
        <w:r>
          <w:rPr>
            <w:sz w:val="24"/>
          </w:rPr>
          <w:t>…………</w:t>
        </w:r>
        <w:r>
          <w:rPr>
            <w:rFonts w:hint="eastAsia"/>
            <w:sz w:val="24"/>
          </w:rPr>
          <w:t>8</w:t>
        </w:r>
      </w:hyperlink>
    </w:p>
    <w:p w:rsidR="0068449C" w:rsidRDefault="00A3283D">
      <w:pPr>
        <w:pStyle w:val="1"/>
        <w:adjustRightInd w:val="0"/>
        <w:snapToGrid w:val="0"/>
        <w:spacing w:before="0" w:line="440" w:lineRule="exact"/>
        <w:jc w:val="left"/>
        <w:rPr>
          <w:sz w:val="24"/>
        </w:rPr>
      </w:pPr>
      <w:hyperlink w:anchor="_Toc82101373" w:history="1">
        <w:r>
          <w:rPr>
            <w:rFonts w:hint="eastAsia"/>
            <w:sz w:val="24"/>
          </w:rPr>
          <w:t>（一）一般公共预算财政拨款支出决算总体情况………………………</w:t>
        </w:r>
        <w:r>
          <w:rPr>
            <w:sz w:val="24"/>
          </w:rPr>
          <w:t>…………</w:t>
        </w:r>
        <w:r>
          <w:rPr>
            <w:rFonts w:hint="eastAsia"/>
            <w:sz w:val="24"/>
          </w:rPr>
          <w:t>8</w:t>
        </w:r>
      </w:hyperlink>
    </w:p>
    <w:p w:rsidR="0068449C" w:rsidRDefault="00A3283D">
      <w:pPr>
        <w:pStyle w:val="1"/>
        <w:adjustRightInd w:val="0"/>
        <w:snapToGrid w:val="0"/>
        <w:spacing w:before="0" w:line="440" w:lineRule="exact"/>
        <w:jc w:val="left"/>
        <w:rPr>
          <w:sz w:val="24"/>
        </w:rPr>
      </w:pPr>
      <w:hyperlink w:anchor="_Toc82101374" w:history="1">
        <w:r>
          <w:rPr>
            <w:rFonts w:hint="eastAsia"/>
            <w:sz w:val="24"/>
          </w:rPr>
          <w:t>（二）一般公共预算财政拨款支出决算结构情况………………………</w:t>
        </w:r>
        <w:r>
          <w:rPr>
            <w:sz w:val="24"/>
          </w:rPr>
          <w:t>…………</w:t>
        </w:r>
        <w:r>
          <w:rPr>
            <w:rFonts w:hint="eastAsia"/>
            <w:sz w:val="24"/>
          </w:rPr>
          <w:t>8</w:t>
        </w:r>
      </w:hyperlink>
    </w:p>
    <w:p w:rsidR="0068449C" w:rsidRDefault="00A3283D">
      <w:pPr>
        <w:pStyle w:val="1"/>
        <w:adjustRightInd w:val="0"/>
        <w:snapToGrid w:val="0"/>
        <w:spacing w:before="0" w:line="440" w:lineRule="exact"/>
        <w:jc w:val="left"/>
        <w:rPr>
          <w:sz w:val="24"/>
        </w:rPr>
      </w:pPr>
      <w:hyperlink w:anchor="_Toc82101375" w:history="1">
        <w:r>
          <w:rPr>
            <w:rFonts w:hint="eastAsia"/>
            <w:sz w:val="24"/>
          </w:rPr>
          <w:t>（三）一般公共预算财政拨款支出决算具体情况………………………</w:t>
        </w:r>
        <w:r>
          <w:rPr>
            <w:sz w:val="24"/>
          </w:rPr>
          <w:t>…………</w:t>
        </w:r>
      </w:hyperlink>
      <w:r>
        <w:rPr>
          <w:rFonts w:hint="eastAsia"/>
          <w:sz w:val="24"/>
          <w:szCs w:val="24"/>
        </w:rPr>
        <w:t>9</w:t>
      </w:r>
    </w:p>
    <w:p w:rsidR="0068449C" w:rsidRDefault="00A3283D">
      <w:pPr>
        <w:pStyle w:val="1"/>
        <w:adjustRightInd w:val="0"/>
        <w:snapToGrid w:val="0"/>
        <w:spacing w:before="0" w:line="440" w:lineRule="exact"/>
        <w:jc w:val="left"/>
        <w:rPr>
          <w:sz w:val="24"/>
        </w:rPr>
      </w:pPr>
      <w:hyperlink w:anchor="_Toc82101377" w:history="1">
        <w:r>
          <w:rPr>
            <w:rFonts w:hint="eastAsia"/>
            <w:sz w:val="24"/>
          </w:rPr>
          <w:t>六、一般公共预算财政拨款基本支出决算情况说明……………………</w:t>
        </w:r>
        <w:r>
          <w:rPr>
            <w:sz w:val="24"/>
          </w:rPr>
          <w:t>…………</w:t>
        </w:r>
        <w:r>
          <w:rPr>
            <w:rFonts w:hint="eastAsia"/>
            <w:sz w:val="24"/>
          </w:rPr>
          <w:t>10</w:t>
        </w:r>
      </w:hyperlink>
    </w:p>
    <w:p w:rsidR="0068449C" w:rsidRDefault="00A3283D">
      <w:pPr>
        <w:pStyle w:val="1"/>
        <w:adjustRightInd w:val="0"/>
        <w:snapToGrid w:val="0"/>
        <w:spacing w:before="0" w:line="440" w:lineRule="exact"/>
        <w:jc w:val="left"/>
        <w:rPr>
          <w:sz w:val="24"/>
        </w:rPr>
      </w:pPr>
      <w:hyperlink w:anchor="_Toc82101378" w:history="1">
        <w:r>
          <w:rPr>
            <w:rFonts w:hint="eastAsia"/>
            <w:sz w:val="24"/>
          </w:rPr>
          <w:t>七、“三公”经费财政拨款支出决算情况说明…………………………</w:t>
        </w:r>
        <w:r>
          <w:rPr>
            <w:sz w:val="24"/>
          </w:rPr>
          <w:t>…………</w:t>
        </w:r>
        <w:r>
          <w:rPr>
            <w:rFonts w:hint="eastAsia"/>
            <w:sz w:val="24"/>
          </w:rPr>
          <w:t>11</w:t>
        </w:r>
      </w:hyperlink>
    </w:p>
    <w:p w:rsidR="0068449C" w:rsidRDefault="00A3283D">
      <w:pPr>
        <w:pStyle w:val="1"/>
        <w:adjustRightInd w:val="0"/>
        <w:snapToGrid w:val="0"/>
        <w:spacing w:before="0" w:line="440" w:lineRule="exact"/>
        <w:jc w:val="left"/>
        <w:rPr>
          <w:sz w:val="24"/>
        </w:rPr>
      </w:pPr>
      <w:hyperlink w:anchor="_Toc82101379" w:history="1">
        <w:r>
          <w:rPr>
            <w:rFonts w:hint="eastAsia"/>
            <w:sz w:val="24"/>
          </w:rPr>
          <w:t>（一）“三公”经费财政拨款支出决算总体情况说明……………………</w:t>
        </w:r>
        <w:r>
          <w:rPr>
            <w:sz w:val="24"/>
          </w:rPr>
          <w:t>………</w:t>
        </w:r>
        <w:r>
          <w:rPr>
            <w:rFonts w:hint="eastAsia"/>
            <w:sz w:val="24"/>
          </w:rPr>
          <w:t>11</w:t>
        </w:r>
      </w:hyperlink>
    </w:p>
    <w:p w:rsidR="0068449C" w:rsidRDefault="00A3283D">
      <w:pPr>
        <w:pStyle w:val="1"/>
        <w:adjustRightInd w:val="0"/>
        <w:snapToGrid w:val="0"/>
        <w:spacing w:before="0" w:line="440" w:lineRule="exact"/>
        <w:jc w:val="left"/>
        <w:rPr>
          <w:sz w:val="24"/>
        </w:rPr>
      </w:pPr>
      <w:hyperlink w:anchor="_Toc82101380" w:history="1">
        <w:r>
          <w:rPr>
            <w:rFonts w:hint="eastAsia"/>
            <w:sz w:val="24"/>
          </w:rPr>
          <w:t>八、政府性基金预算支出决算情况说明…………………………………</w:t>
        </w:r>
        <w:r>
          <w:rPr>
            <w:sz w:val="24"/>
          </w:rPr>
          <w:t>…………</w:t>
        </w:r>
        <w:r>
          <w:rPr>
            <w:rFonts w:hint="eastAsia"/>
            <w:sz w:val="24"/>
          </w:rPr>
          <w:t>12</w:t>
        </w:r>
      </w:hyperlink>
    </w:p>
    <w:p w:rsidR="0068449C" w:rsidRDefault="00A3283D">
      <w:pPr>
        <w:pStyle w:val="1"/>
        <w:adjustRightInd w:val="0"/>
        <w:snapToGrid w:val="0"/>
        <w:spacing w:before="0" w:line="440" w:lineRule="exact"/>
        <w:jc w:val="left"/>
        <w:rPr>
          <w:sz w:val="24"/>
        </w:rPr>
      </w:pPr>
      <w:hyperlink w:anchor="_Toc82101381" w:history="1">
        <w:r>
          <w:rPr>
            <w:rFonts w:hint="eastAsia"/>
            <w:sz w:val="24"/>
          </w:rPr>
          <w:t>九、国有资本经营预算支出决算情况说明………………………………</w:t>
        </w:r>
        <w:r>
          <w:rPr>
            <w:sz w:val="24"/>
          </w:rPr>
          <w:t>………</w:t>
        </w:r>
        <w:r>
          <w:rPr>
            <w:rFonts w:hint="eastAsia"/>
            <w:sz w:val="24"/>
          </w:rPr>
          <w:t>12</w:t>
        </w:r>
      </w:hyperlink>
    </w:p>
    <w:p w:rsidR="0068449C" w:rsidRDefault="00A3283D">
      <w:pPr>
        <w:pStyle w:val="1"/>
        <w:adjustRightInd w:val="0"/>
        <w:snapToGrid w:val="0"/>
        <w:spacing w:before="0" w:line="440" w:lineRule="exact"/>
        <w:jc w:val="left"/>
        <w:rPr>
          <w:sz w:val="24"/>
        </w:rPr>
      </w:pPr>
      <w:hyperlink w:anchor="_Toc82101382" w:history="1">
        <w:r>
          <w:rPr>
            <w:rFonts w:hint="eastAsia"/>
            <w:sz w:val="24"/>
          </w:rPr>
          <w:t>十、其他重要事项的情况说明……………………</w:t>
        </w:r>
        <w:r>
          <w:rPr>
            <w:rFonts w:hint="eastAsia"/>
            <w:sz w:val="24"/>
          </w:rPr>
          <w:t>………………………</w:t>
        </w:r>
        <w:r>
          <w:rPr>
            <w:sz w:val="24"/>
          </w:rPr>
          <w:t>…………</w:t>
        </w:r>
        <w:r>
          <w:rPr>
            <w:rFonts w:hint="eastAsia"/>
            <w:sz w:val="24"/>
          </w:rPr>
          <w:t>13</w:t>
        </w:r>
      </w:hyperlink>
    </w:p>
    <w:p w:rsidR="0068449C" w:rsidRDefault="00A3283D">
      <w:pPr>
        <w:pStyle w:val="1"/>
        <w:adjustRightInd w:val="0"/>
        <w:snapToGrid w:val="0"/>
        <w:spacing w:before="0" w:line="440" w:lineRule="exact"/>
        <w:jc w:val="left"/>
        <w:rPr>
          <w:sz w:val="24"/>
        </w:rPr>
      </w:pPr>
      <w:hyperlink w:anchor="_Toc82101385" w:history="1">
        <w:r>
          <w:rPr>
            <w:rFonts w:hint="eastAsia"/>
            <w:sz w:val="24"/>
          </w:rPr>
          <w:t>（三）国有资产占有使用情况……………………………………………</w:t>
        </w:r>
        <w:r>
          <w:rPr>
            <w:sz w:val="24"/>
          </w:rPr>
          <w:t>…………</w:t>
        </w:r>
        <w:r>
          <w:rPr>
            <w:rFonts w:hint="eastAsia"/>
            <w:sz w:val="24"/>
          </w:rPr>
          <w:t>13</w:t>
        </w:r>
      </w:hyperlink>
    </w:p>
    <w:p w:rsidR="0068449C" w:rsidRDefault="00A3283D">
      <w:pPr>
        <w:pStyle w:val="1"/>
        <w:adjustRightInd w:val="0"/>
        <w:snapToGrid w:val="0"/>
        <w:spacing w:before="0" w:line="440" w:lineRule="exact"/>
        <w:jc w:val="left"/>
        <w:rPr>
          <w:sz w:val="24"/>
        </w:rPr>
      </w:pPr>
      <w:hyperlink w:anchor="_Toc82101386" w:history="1">
        <w:r>
          <w:rPr>
            <w:rFonts w:hint="eastAsia"/>
            <w:sz w:val="24"/>
          </w:rPr>
          <w:t>（四）预算绩效管理情况…………………………………………………</w:t>
        </w:r>
        <w:r>
          <w:rPr>
            <w:sz w:val="24"/>
          </w:rPr>
          <w:t>…………</w:t>
        </w:r>
        <w:r>
          <w:rPr>
            <w:rFonts w:hint="eastAsia"/>
            <w:sz w:val="24"/>
          </w:rPr>
          <w:t>13</w:t>
        </w:r>
      </w:hyperlink>
    </w:p>
    <w:p w:rsidR="0068449C" w:rsidRDefault="00A3283D">
      <w:pPr>
        <w:pStyle w:val="1"/>
        <w:adjustRightInd w:val="0"/>
        <w:snapToGrid w:val="0"/>
        <w:spacing w:before="0" w:line="440" w:lineRule="exact"/>
        <w:jc w:val="left"/>
        <w:rPr>
          <w:sz w:val="24"/>
        </w:rPr>
      </w:pPr>
      <w:hyperlink w:anchor="_Toc82101387" w:history="1">
        <w:r>
          <w:rPr>
            <w:rFonts w:hint="eastAsia"/>
            <w:sz w:val="24"/>
          </w:rPr>
          <w:t>第三部分名词解释…………………………………………………………</w:t>
        </w:r>
        <w:r>
          <w:rPr>
            <w:sz w:val="24"/>
          </w:rPr>
          <w:t>………</w:t>
        </w:r>
        <w:r>
          <w:rPr>
            <w:rFonts w:hint="eastAsia"/>
            <w:sz w:val="24"/>
          </w:rPr>
          <w:t>17</w:t>
        </w:r>
      </w:hyperlink>
    </w:p>
    <w:p w:rsidR="0068449C" w:rsidRDefault="00A3283D">
      <w:pPr>
        <w:pStyle w:val="1"/>
        <w:adjustRightInd w:val="0"/>
        <w:snapToGrid w:val="0"/>
        <w:spacing w:before="0" w:line="440" w:lineRule="exact"/>
        <w:jc w:val="left"/>
        <w:rPr>
          <w:sz w:val="24"/>
        </w:rPr>
      </w:pPr>
      <w:hyperlink w:anchor="_Toc82101388" w:history="1">
        <w:r>
          <w:rPr>
            <w:rFonts w:hint="eastAsia"/>
            <w:sz w:val="24"/>
          </w:rPr>
          <w:t>第四</w:t>
        </w:r>
        <w:r>
          <w:rPr>
            <w:rFonts w:hint="eastAsia"/>
            <w:sz w:val="24"/>
          </w:rPr>
          <w:t>部分附件………………………………………………………………</w:t>
        </w:r>
        <w:r>
          <w:rPr>
            <w:sz w:val="24"/>
          </w:rPr>
          <w:t>………</w:t>
        </w:r>
        <w:r>
          <w:rPr>
            <w:rFonts w:hint="eastAsia"/>
            <w:sz w:val="24"/>
          </w:rPr>
          <w:t>23</w:t>
        </w:r>
      </w:hyperlink>
    </w:p>
    <w:p w:rsidR="0068449C" w:rsidRDefault="00A3283D">
      <w:pPr>
        <w:pStyle w:val="1"/>
        <w:adjustRightInd w:val="0"/>
        <w:snapToGrid w:val="0"/>
        <w:spacing w:before="0" w:line="440" w:lineRule="exact"/>
        <w:jc w:val="left"/>
        <w:rPr>
          <w:sz w:val="24"/>
        </w:rPr>
      </w:pPr>
      <w:hyperlink w:anchor="_Toc82101389" w:history="1">
        <w:r>
          <w:rPr>
            <w:rFonts w:hint="eastAsia"/>
            <w:sz w:val="24"/>
          </w:rPr>
          <w:t>附件</w:t>
        </w:r>
        <w:r>
          <w:rPr>
            <w:sz w:val="24"/>
          </w:rPr>
          <w:t xml:space="preserve">1 </w:t>
        </w:r>
        <w:r>
          <w:rPr>
            <w:rFonts w:hint="eastAsia"/>
            <w:sz w:val="24"/>
          </w:rPr>
          <w:t>……………………………………………………………………</w:t>
        </w:r>
        <w:r>
          <w:rPr>
            <w:sz w:val="24"/>
          </w:rPr>
          <w:t>…………</w:t>
        </w:r>
        <w:r>
          <w:rPr>
            <w:rFonts w:hint="eastAsia"/>
            <w:sz w:val="24"/>
          </w:rPr>
          <w:t>23</w:t>
        </w:r>
      </w:hyperlink>
    </w:p>
    <w:p w:rsidR="0068449C" w:rsidRDefault="00A3283D">
      <w:pPr>
        <w:pStyle w:val="1"/>
        <w:adjustRightInd w:val="0"/>
        <w:snapToGrid w:val="0"/>
        <w:spacing w:before="0" w:line="440" w:lineRule="exact"/>
        <w:jc w:val="left"/>
        <w:rPr>
          <w:sz w:val="24"/>
        </w:rPr>
      </w:pPr>
      <w:hyperlink w:anchor="_Toc82101389" w:history="1">
        <w:r>
          <w:rPr>
            <w:rFonts w:hint="eastAsia"/>
            <w:sz w:val="24"/>
          </w:rPr>
          <w:t>附件</w:t>
        </w:r>
        <w:r>
          <w:rPr>
            <w:sz w:val="24"/>
          </w:rPr>
          <w:t>2</w:t>
        </w:r>
        <w:r>
          <w:rPr>
            <w:rFonts w:hint="eastAsia"/>
            <w:sz w:val="24"/>
          </w:rPr>
          <w:t xml:space="preserve"> </w:t>
        </w:r>
        <w:r>
          <w:rPr>
            <w:rFonts w:hint="eastAsia"/>
            <w:sz w:val="24"/>
          </w:rPr>
          <w:t>……………………………………………………………………</w:t>
        </w:r>
        <w:r>
          <w:rPr>
            <w:sz w:val="24"/>
          </w:rPr>
          <w:t>…………</w:t>
        </w:r>
        <w:r>
          <w:rPr>
            <w:rFonts w:hint="eastAsia"/>
            <w:sz w:val="24"/>
          </w:rPr>
          <w:t>28</w:t>
        </w:r>
      </w:hyperlink>
    </w:p>
    <w:p w:rsidR="0068449C" w:rsidRDefault="00A3283D">
      <w:pPr>
        <w:pStyle w:val="1"/>
        <w:adjustRightInd w:val="0"/>
        <w:snapToGrid w:val="0"/>
        <w:spacing w:before="0" w:line="440" w:lineRule="exact"/>
        <w:jc w:val="left"/>
        <w:rPr>
          <w:sz w:val="24"/>
        </w:rPr>
      </w:pPr>
      <w:hyperlink w:anchor="_Toc82101391" w:history="1">
        <w:r>
          <w:rPr>
            <w:rFonts w:hint="eastAsia"/>
            <w:sz w:val="24"/>
          </w:rPr>
          <w:t>第五部分附表</w:t>
        </w:r>
        <w:r>
          <w:rPr>
            <w:rFonts w:hint="eastAsia"/>
            <w:sz w:val="24"/>
          </w:rPr>
          <w:t xml:space="preserve"> </w:t>
        </w:r>
        <w:r>
          <w:rPr>
            <w:rFonts w:hint="eastAsia"/>
            <w:sz w:val="24"/>
          </w:rPr>
          <w:t>…………………………………………………………</w:t>
        </w:r>
        <w:r>
          <w:rPr>
            <w:sz w:val="24"/>
          </w:rPr>
          <w:t>…………</w:t>
        </w:r>
        <w:r>
          <w:rPr>
            <w:rFonts w:hint="eastAsia"/>
            <w:sz w:val="24"/>
          </w:rPr>
          <w:t>3</w:t>
        </w:r>
      </w:hyperlink>
      <w:r>
        <w:rPr>
          <w:rFonts w:hint="eastAsia"/>
        </w:rPr>
        <w:t>3</w:t>
      </w:r>
      <w:hyperlink w:anchor="_Toc82101392" w:history="1">
        <w:r>
          <w:rPr>
            <w:rFonts w:hint="eastAsia"/>
            <w:sz w:val="24"/>
          </w:rPr>
          <w:t>一、收入支出决算总表…………………………………………………</w:t>
        </w:r>
        <w:r>
          <w:rPr>
            <w:sz w:val="24"/>
          </w:rPr>
          <w:t>…………</w:t>
        </w:r>
        <w:r>
          <w:rPr>
            <w:rFonts w:hint="eastAsia"/>
            <w:sz w:val="24"/>
          </w:rPr>
          <w:t>33</w:t>
        </w:r>
      </w:hyperlink>
    </w:p>
    <w:p w:rsidR="0068449C" w:rsidRDefault="00A3283D">
      <w:pPr>
        <w:pStyle w:val="1"/>
        <w:adjustRightInd w:val="0"/>
        <w:snapToGrid w:val="0"/>
        <w:spacing w:before="0" w:line="440" w:lineRule="exact"/>
        <w:jc w:val="left"/>
        <w:rPr>
          <w:sz w:val="24"/>
        </w:rPr>
      </w:pPr>
      <w:hyperlink w:anchor="_Toc82101393" w:history="1">
        <w:r>
          <w:rPr>
            <w:rFonts w:hint="eastAsia"/>
            <w:sz w:val="24"/>
          </w:rPr>
          <w:t>二、收入决算表…………………………………………………………</w:t>
        </w:r>
        <w:r>
          <w:rPr>
            <w:sz w:val="24"/>
          </w:rPr>
          <w:t>……………</w:t>
        </w:r>
        <w:r>
          <w:rPr>
            <w:rFonts w:hint="eastAsia"/>
            <w:sz w:val="24"/>
          </w:rPr>
          <w:t>33</w:t>
        </w:r>
      </w:hyperlink>
    </w:p>
    <w:p w:rsidR="0068449C" w:rsidRDefault="00A3283D">
      <w:pPr>
        <w:pStyle w:val="1"/>
        <w:adjustRightInd w:val="0"/>
        <w:snapToGrid w:val="0"/>
        <w:spacing w:before="0" w:line="440" w:lineRule="exact"/>
        <w:jc w:val="both"/>
        <w:rPr>
          <w:sz w:val="24"/>
        </w:rPr>
      </w:pPr>
      <w:hyperlink w:anchor="_Toc82101394" w:history="1">
        <w:r>
          <w:rPr>
            <w:rFonts w:hint="eastAsia"/>
            <w:sz w:val="24"/>
          </w:rPr>
          <w:t>三、支出决算表…………………………………………………………</w:t>
        </w:r>
        <w:r>
          <w:rPr>
            <w:sz w:val="24"/>
          </w:rPr>
          <w:t>……………</w:t>
        </w:r>
        <w:r>
          <w:rPr>
            <w:rFonts w:hint="eastAsia"/>
            <w:sz w:val="24"/>
          </w:rPr>
          <w:t>33</w:t>
        </w:r>
      </w:hyperlink>
    </w:p>
    <w:p w:rsidR="0068449C" w:rsidRDefault="00A3283D">
      <w:pPr>
        <w:pStyle w:val="1"/>
        <w:adjustRightInd w:val="0"/>
        <w:snapToGrid w:val="0"/>
        <w:spacing w:before="0" w:line="440" w:lineRule="exact"/>
        <w:jc w:val="left"/>
        <w:rPr>
          <w:sz w:val="24"/>
        </w:rPr>
      </w:pPr>
      <w:hyperlink w:anchor="_Toc82101395" w:history="1">
        <w:r>
          <w:rPr>
            <w:rFonts w:hint="eastAsia"/>
            <w:sz w:val="24"/>
          </w:rPr>
          <w:t>四、财政拨款收入支出决算总表</w:t>
        </w:r>
        <w:r>
          <w:rPr>
            <w:rFonts w:hint="eastAsia"/>
            <w:sz w:val="24"/>
            <w:szCs w:val="24"/>
          </w:rPr>
          <w:t>………………………………………</w:t>
        </w:r>
        <w:r>
          <w:rPr>
            <w:sz w:val="24"/>
            <w:szCs w:val="24"/>
          </w:rPr>
          <w:t>…………</w:t>
        </w:r>
        <w:r>
          <w:rPr>
            <w:rFonts w:hint="eastAsia"/>
            <w:sz w:val="24"/>
            <w:szCs w:val="24"/>
          </w:rPr>
          <w:t>33</w:t>
        </w:r>
      </w:hyperlink>
    </w:p>
    <w:p w:rsidR="0068449C" w:rsidRDefault="00A3283D">
      <w:pPr>
        <w:pStyle w:val="1"/>
        <w:adjustRightInd w:val="0"/>
        <w:snapToGrid w:val="0"/>
        <w:spacing w:before="0" w:line="440" w:lineRule="exact"/>
        <w:jc w:val="left"/>
        <w:rPr>
          <w:sz w:val="24"/>
        </w:rPr>
      </w:pPr>
      <w:hyperlink w:anchor="_Toc82101396" w:history="1">
        <w:r>
          <w:rPr>
            <w:rFonts w:hint="eastAsia"/>
            <w:sz w:val="24"/>
          </w:rPr>
          <w:t>五、财政拨款支出决算明细表…</w:t>
        </w:r>
        <w:r>
          <w:rPr>
            <w:rFonts w:hint="eastAsia"/>
            <w:sz w:val="24"/>
            <w:szCs w:val="24"/>
          </w:rPr>
          <w:t>………………………………………</w:t>
        </w:r>
        <w:r>
          <w:rPr>
            <w:sz w:val="24"/>
            <w:szCs w:val="24"/>
          </w:rPr>
          <w:t>……………</w:t>
        </w:r>
        <w:r>
          <w:rPr>
            <w:rFonts w:hint="eastAsia"/>
            <w:sz w:val="24"/>
            <w:szCs w:val="24"/>
          </w:rPr>
          <w:t>33</w:t>
        </w:r>
      </w:hyperlink>
    </w:p>
    <w:p w:rsidR="0068449C" w:rsidRDefault="00A3283D">
      <w:pPr>
        <w:pStyle w:val="1"/>
        <w:adjustRightInd w:val="0"/>
        <w:snapToGrid w:val="0"/>
        <w:spacing w:before="0" w:line="440" w:lineRule="exact"/>
        <w:jc w:val="left"/>
        <w:rPr>
          <w:sz w:val="24"/>
        </w:rPr>
      </w:pPr>
      <w:hyperlink w:anchor="_Toc82101397" w:history="1">
        <w:r>
          <w:rPr>
            <w:rFonts w:hint="eastAsia"/>
            <w:sz w:val="24"/>
          </w:rPr>
          <w:t>六、一般公共预算财政拨款支出决算表………………………………</w:t>
        </w:r>
        <w:r>
          <w:rPr>
            <w:sz w:val="24"/>
          </w:rPr>
          <w:t>…………</w:t>
        </w:r>
        <w:r>
          <w:rPr>
            <w:rFonts w:hint="eastAsia"/>
            <w:sz w:val="24"/>
          </w:rPr>
          <w:t>33</w:t>
        </w:r>
      </w:hyperlink>
    </w:p>
    <w:p w:rsidR="0068449C" w:rsidRDefault="00A3283D">
      <w:pPr>
        <w:pStyle w:val="1"/>
        <w:adjustRightInd w:val="0"/>
        <w:snapToGrid w:val="0"/>
        <w:spacing w:before="0" w:line="440" w:lineRule="exact"/>
        <w:jc w:val="left"/>
        <w:rPr>
          <w:sz w:val="24"/>
        </w:rPr>
      </w:pPr>
      <w:hyperlink w:anchor="_Toc82101398" w:history="1">
        <w:r>
          <w:rPr>
            <w:rFonts w:hint="eastAsia"/>
            <w:sz w:val="24"/>
          </w:rPr>
          <w:t>七、一般公共预算财政拨款支出决算明细表…………………………</w:t>
        </w:r>
        <w:r>
          <w:rPr>
            <w:sz w:val="24"/>
          </w:rPr>
          <w:t>……………</w:t>
        </w:r>
        <w:r>
          <w:rPr>
            <w:rFonts w:hint="eastAsia"/>
            <w:sz w:val="24"/>
          </w:rPr>
          <w:t>33</w:t>
        </w:r>
      </w:hyperlink>
    </w:p>
    <w:p w:rsidR="0068449C" w:rsidRDefault="00A3283D">
      <w:pPr>
        <w:pStyle w:val="1"/>
        <w:adjustRightInd w:val="0"/>
        <w:snapToGrid w:val="0"/>
        <w:spacing w:before="0" w:line="440" w:lineRule="exact"/>
        <w:jc w:val="left"/>
        <w:rPr>
          <w:sz w:val="24"/>
        </w:rPr>
      </w:pPr>
      <w:hyperlink w:anchor="_Toc82101399" w:history="1">
        <w:r>
          <w:rPr>
            <w:rFonts w:hint="eastAsia"/>
            <w:sz w:val="24"/>
          </w:rPr>
          <w:t>八、一般公共预算财政拨款基本支出决</w:t>
        </w:r>
        <w:r>
          <w:rPr>
            <w:rFonts w:hint="eastAsia"/>
            <w:sz w:val="24"/>
          </w:rPr>
          <w:t>算表…………………………</w:t>
        </w:r>
        <w:r>
          <w:rPr>
            <w:sz w:val="24"/>
          </w:rPr>
          <w:t>…………</w:t>
        </w:r>
        <w:r>
          <w:rPr>
            <w:rFonts w:hint="eastAsia"/>
            <w:sz w:val="24"/>
          </w:rPr>
          <w:t>33</w:t>
        </w:r>
      </w:hyperlink>
    </w:p>
    <w:p w:rsidR="0068449C" w:rsidRDefault="00A3283D">
      <w:pPr>
        <w:pStyle w:val="1"/>
        <w:adjustRightInd w:val="0"/>
        <w:snapToGrid w:val="0"/>
        <w:spacing w:before="0" w:line="440" w:lineRule="exact"/>
        <w:jc w:val="left"/>
        <w:rPr>
          <w:sz w:val="24"/>
        </w:rPr>
      </w:pPr>
      <w:hyperlink w:anchor="_Toc82101400" w:history="1">
        <w:r>
          <w:rPr>
            <w:rFonts w:hint="eastAsia"/>
            <w:sz w:val="24"/>
          </w:rPr>
          <w:t>九、一般公共预算财政拨款项目支出决算表…………………………</w:t>
        </w:r>
        <w:r>
          <w:rPr>
            <w:sz w:val="24"/>
          </w:rPr>
          <w:t>…………</w:t>
        </w:r>
        <w:r>
          <w:rPr>
            <w:rFonts w:hint="eastAsia"/>
            <w:sz w:val="24"/>
          </w:rPr>
          <w:t xml:space="preserve"> 33</w:t>
        </w:r>
      </w:hyperlink>
    </w:p>
    <w:p w:rsidR="0068449C" w:rsidRDefault="00A3283D">
      <w:pPr>
        <w:pStyle w:val="1"/>
        <w:adjustRightInd w:val="0"/>
        <w:snapToGrid w:val="0"/>
        <w:spacing w:before="0" w:line="440" w:lineRule="exact"/>
        <w:jc w:val="left"/>
        <w:rPr>
          <w:sz w:val="24"/>
        </w:rPr>
      </w:pPr>
      <w:hyperlink w:anchor="_Toc82101401" w:history="1">
        <w:r>
          <w:rPr>
            <w:rFonts w:hint="eastAsia"/>
            <w:sz w:val="24"/>
          </w:rPr>
          <w:t>十、一般公共预算财政拨款“三公”经费支出决算表………………</w:t>
        </w:r>
        <w:r>
          <w:rPr>
            <w:sz w:val="24"/>
          </w:rPr>
          <w:t>…………</w:t>
        </w:r>
        <w:r>
          <w:rPr>
            <w:rFonts w:hint="eastAsia"/>
            <w:sz w:val="24"/>
          </w:rPr>
          <w:t>33</w:t>
        </w:r>
      </w:hyperlink>
    </w:p>
    <w:p w:rsidR="0068449C" w:rsidRDefault="00A3283D">
      <w:pPr>
        <w:pStyle w:val="1"/>
        <w:adjustRightInd w:val="0"/>
        <w:snapToGrid w:val="0"/>
        <w:spacing w:before="0" w:line="440" w:lineRule="exact"/>
        <w:jc w:val="left"/>
        <w:rPr>
          <w:sz w:val="24"/>
        </w:rPr>
      </w:pPr>
      <w:hyperlink w:anchor="_Toc82101402" w:history="1">
        <w:r>
          <w:rPr>
            <w:rFonts w:hint="eastAsia"/>
            <w:sz w:val="24"/>
          </w:rPr>
          <w:t>十一、政府性基金预算财政拨款收入支出决算表……………………</w:t>
        </w:r>
        <w:r>
          <w:rPr>
            <w:sz w:val="24"/>
          </w:rPr>
          <w:t xml:space="preserve">………… </w:t>
        </w:r>
        <w:r>
          <w:rPr>
            <w:rFonts w:hint="eastAsia"/>
            <w:sz w:val="24"/>
          </w:rPr>
          <w:t>33</w:t>
        </w:r>
      </w:hyperlink>
    </w:p>
    <w:p w:rsidR="0068449C" w:rsidRDefault="00A3283D">
      <w:pPr>
        <w:pStyle w:val="1"/>
        <w:adjustRightInd w:val="0"/>
        <w:snapToGrid w:val="0"/>
        <w:spacing w:before="0" w:line="440" w:lineRule="exact"/>
        <w:jc w:val="both"/>
        <w:rPr>
          <w:sz w:val="24"/>
        </w:rPr>
      </w:pPr>
      <w:hyperlink w:anchor="_Toc82101403" w:history="1">
        <w:r>
          <w:rPr>
            <w:rFonts w:hint="eastAsia"/>
            <w:sz w:val="24"/>
          </w:rPr>
          <w:t>十二、政府性基金预算财政拨款“三公”经费支出决算表…………</w:t>
        </w:r>
        <w:r>
          <w:rPr>
            <w:sz w:val="24"/>
          </w:rPr>
          <w:t>…………</w:t>
        </w:r>
        <w:r>
          <w:rPr>
            <w:rFonts w:hint="eastAsia"/>
            <w:sz w:val="24"/>
          </w:rPr>
          <w:t>33</w:t>
        </w:r>
      </w:hyperlink>
    </w:p>
    <w:p w:rsidR="0068449C" w:rsidRDefault="00A3283D">
      <w:pPr>
        <w:pStyle w:val="1"/>
        <w:adjustRightInd w:val="0"/>
        <w:snapToGrid w:val="0"/>
        <w:spacing w:before="0" w:line="440" w:lineRule="exact"/>
        <w:jc w:val="both"/>
        <w:rPr>
          <w:sz w:val="24"/>
        </w:rPr>
      </w:pPr>
      <w:hyperlink w:anchor="_Toc82101404" w:history="1">
        <w:r>
          <w:rPr>
            <w:rFonts w:hint="eastAsia"/>
            <w:sz w:val="24"/>
          </w:rPr>
          <w:t>十三、国有资本经营预算财政拨款收入支出决算表……………</w:t>
        </w:r>
        <w:r>
          <w:rPr>
            <w:sz w:val="24"/>
          </w:rPr>
          <w:t>……</w:t>
        </w:r>
        <w:r>
          <w:rPr>
            <w:rFonts w:hint="eastAsia"/>
            <w:sz w:val="24"/>
          </w:rPr>
          <w:t>……</w:t>
        </w:r>
      </w:hyperlink>
      <w:r>
        <w:t>……</w:t>
      </w:r>
      <w:r>
        <w:rPr>
          <w:rFonts w:hint="eastAsia"/>
          <w:sz w:val="24"/>
          <w:szCs w:val="24"/>
        </w:rPr>
        <w:t>33</w:t>
      </w:r>
    </w:p>
    <w:p w:rsidR="0068449C" w:rsidRDefault="00A3283D">
      <w:pPr>
        <w:pStyle w:val="1"/>
        <w:adjustRightInd w:val="0"/>
        <w:snapToGrid w:val="0"/>
        <w:spacing w:before="0" w:line="440" w:lineRule="exact"/>
        <w:jc w:val="left"/>
        <w:rPr>
          <w:sz w:val="24"/>
        </w:rPr>
      </w:pPr>
      <w:hyperlink w:anchor="_Toc82101405" w:history="1">
        <w:r>
          <w:rPr>
            <w:rFonts w:hint="eastAsia"/>
            <w:sz w:val="24"/>
          </w:rPr>
          <w:t>十四、国有资本经营预算财政拨款支出决算表…………………………</w:t>
        </w:r>
        <w:r>
          <w:rPr>
            <w:sz w:val="24"/>
          </w:rPr>
          <w:t>…………</w:t>
        </w:r>
        <w:r>
          <w:rPr>
            <w:rFonts w:hint="eastAsia"/>
            <w:sz w:val="24"/>
          </w:rPr>
          <w:t>33</w:t>
        </w:r>
      </w:hyperlink>
    </w:p>
    <w:p w:rsidR="0068449C" w:rsidRDefault="0068449C">
      <w:pPr>
        <w:pStyle w:val="11"/>
        <w:jc w:val="center"/>
        <w:rPr>
          <w:rFonts w:ascii="黑体" w:eastAsia="黑体" w:hAnsi="黑体"/>
          <w:b w:val="0"/>
        </w:rPr>
      </w:pPr>
    </w:p>
    <w:p w:rsidR="0068449C" w:rsidRDefault="0068449C">
      <w:pPr>
        <w:pStyle w:val="11"/>
        <w:jc w:val="center"/>
        <w:rPr>
          <w:rFonts w:ascii="黑体" w:eastAsia="黑体" w:hAnsi="黑体"/>
          <w:b w:val="0"/>
        </w:rPr>
      </w:pPr>
    </w:p>
    <w:p w:rsidR="0068449C" w:rsidRDefault="0068449C">
      <w:pPr>
        <w:pStyle w:val="11"/>
        <w:jc w:val="center"/>
        <w:rPr>
          <w:rFonts w:ascii="黑体" w:eastAsia="黑体" w:hAnsi="黑体"/>
          <w:b w:val="0"/>
        </w:rPr>
      </w:pPr>
    </w:p>
    <w:p w:rsidR="0068449C" w:rsidRDefault="0068449C"/>
    <w:p w:rsidR="0068449C" w:rsidRDefault="0068449C">
      <w:pPr>
        <w:pStyle w:val="11"/>
        <w:jc w:val="center"/>
        <w:rPr>
          <w:rFonts w:ascii="黑体" w:eastAsia="黑体" w:hAnsi="黑体"/>
          <w:b w:val="0"/>
        </w:rPr>
      </w:pPr>
    </w:p>
    <w:p w:rsidR="0068449C" w:rsidRDefault="00A3283D">
      <w:pPr>
        <w:pStyle w:val="11"/>
        <w:jc w:val="center"/>
        <w:rPr>
          <w:rFonts w:ascii="黑体" w:eastAsia="黑体" w:hAnsi="黑体"/>
          <w:bCs w:val="0"/>
        </w:rPr>
      </w:pPr>
      <w:r>
        <w:rPr>
          <w:rFonts w:ascii="黑体" w:eastAsia="黑体" w:hAnsi="黑体" w:hint="eastAsia"/>
          <w:b w:val="0"/>
        </w:rPr>
        <w:t>第一部分</w:t>
      </w:r>
      <w:r>
        <w:rPr>
          <w:rStyle w:val="1Char"/>
          <w:rFonts w:ascii="黑体" w:eastAsia="黑体" w:hAnsi="黑体" w:hint="eastAsia"/>
        </w:rPr>
        <w:t>部门概况</w:t>
      </w:r>
      <w:bookmarkEnd w:id="13"/>
      <w:bookmarkEnd w:id="14"/>
    </w:p>
    <w:p w:rsidR="0068449C" w:rsidRDefault="00A3283D">
      <w:pPr>
        <w:pStyle w:val="21"/>
        <w:rPr>
          <w:rStyle w:val="2Char1"/>
          <w:rFonts w:ascii="仿宋" w:eastAsia="仿宋" w:hAnsi="仿宋"/>
          <w:b/>
          <w:bCs/>
        </w:rPr>
      </w:pPr>
      <w:bookmarkStart w:id="15" w:name="_Toc15396600"/>
      <w:bookmarkStart w:id="16" w:name="_Toc15377197"/>
      <w:r>
        <w:rPr>
          <w:rFonts w:ascii="黑体" w:eastAsia="黑体" w:hAnsi="黑体" w:hint="eastAsia"/>
          <w:b w:val="0"/>
          <w:color w:val="000000"/>
        </w:rPr>
        <w:t>一、基</w:t>
      </w:r>
      <w:r>
        <w:rPr>
          <w:rStyle w:val="2Char1"/>
          <w:rFonts w:ascii="黑体" w:eastAsia="黑体" w:hAnsi="黑体" w:hint="eastAsia"/>
        </w:rPr>
        <w:t>本职能及主要工作</w:t>
      </w:r>
      <w:bookmarkEnd w:id="15"/>
      <w:bookmarkEnd w:id="16"/>
    </w:p>
    <w:p w:rsidR="0068449C" w:rsidRDefault="00A3283D">
      <w:pPr>
        <w:pStyle w:val="a3"/>
        <w:adjustRightInd w:val="0"/>
        <w:snapToGrid w:val="0"/>
        <w:spacing w:before="93" w:line="600" w:lineRule="exact"/>
        <w:ind w:firstLine="672"/>
        <w:outlineLvl w:val="2"/>
        <w:rPr>
          <w:rFonts w:ascii="仿宋" w:eastAsia="仿宋" w:hAnsi="仿宋"/>
          <w:bCs/>
          <w:color w:val="000000"/>
          <w:sz w:val="32"/>
          <w:szCs w:val="32"/>
        </w:rPr>
      </w:pPr>
      <w:bookmarkStart w:id="17" w:name="_Toc15377198"/>
      <w:bookmarkStart w:id="18" w:name="_Toc15378445"/>
      <w:r>
        <w:rPr>
          <w:rFonts w:ascii="仿宋" w:eastAsia="仿宋" w:hAnsi="仿宋" w:hint="eastAsia"/>
          <w:bCs/>
          <w:color w:val="000000"/>
          <w:sz w:val="32"/>
          <w:szCs w:val="32"/>
        </w:rPr>
        <w:t>（一）主要职能。</w:t>
      </w:r>
    </w:p>
    <w:p w:rsidR="0068449C" w:rsidRDefault="00A3283D">
      <w:pPr>
        <w:spacing w:line="520" w:lineRule="exact"/>
        <w:ind w:right="210" w:firstLine="640"/>
        <w:rPr>
          <w:rFonts w:ascii="仿宋" w:eastAsia="仿宋" w:hAnsi="仿宋"/>
          <w:color w:val="000000"/>
          <w:sz w:val="32"/>
          <w:szCs w:val="32"/>
        </w:rPr>
      </w:pPr>
      <w:bookmarkStart w:id="19" w:name="_Toc15378446"/>
      <w:bookmarkStart w:id="20" w:name="_Toc15377199"/>
      <w:bookmarkEnd w:id="17"/>
      <w:bookmarkEnd w:id="18"/>
      <w:r>
        <w:rPr>
          <w:rFonts w:ascii="仿宋" w:eastAsia="仿宋" w:hAnsi="仿宋" w:hint="eastAsia"/>
          <w:color w:val="000000"/>
          <w:sz w:val="32"/>
          <w:szCs w:val="32"/>
        </w:rPr>
        <w:t>攀枝花市外国语学校按照《义务教育法》的规定确定义务教育阶段的教学内容和课程设置开展教育教学活动，保证教育教学达到国家规定的基本质量要求；开展青少年选拔和培养工作；制定业余体育训练参赛及管理制度，组队参加省青少年体育竞赛；向国家、省级运动队输送优秀青少年后备人才。</w:t>
      </w:r>
    </w:p>
    <w:p w:rsidR="0068449C" w:rsidRDefault="00A3283D">
      <w:pPr>
        <w:pStyle w:val="a3"/>
        <w:adjustRightInd w:val="0"/>
        <w:snapToGrid w:val="0"/>
        <w:spacing w:before="93" w:line="600" w:lineRule="exact"/>
        <w:ind w:firstLine="672"/>
        <w:outlineLvl w:val="2"/>
        <w:rPr>
          <w:rFonts w:ascii="仿宋" w:eastAsia="仿宋" w:hAnsi="仿宋"/>
          <w:bCs/>
          <w:color w:val="000000"/>
          <w:sz w:val="32"/>
          <w:szCs w:val="32"/>
        </w:rPr>
      </w:pPr>
      <w:r>
        <w:rPr>
          <w:rFonts w:ascii="仿宋" w:eastAsia="仿宋" w:hAnsi="仿宋" w:hint="eastAsia"/>
          <w:bCs/>
          <w:color w:val="000000"/>
          <w:sz w:val="32"/>
          <w:szCs w:val="32"/>
        </w:rPr>
        <w:t>（二）</w:t>
      </w:r>
      <w:r>
        <w:rPr>
          <w:rFonts w:ascii="仿宋" w:eastAsia="仿宋" w:hAnsi="仿宋"/>
          <w:bCs/>
          <w:color w:val="000000"/>
          <w:sz w:val="32"/>
          <w:szCs w:val="32"/>
        </w:rPr>
        <w:t>2020</w:t>
      </w:r>
      <w:r>
        <w:rPr>
          <w:rFonts w:ascii="仿宋" w:eastAsia="仿宋" w:hAnsi="仿宋" w:hint="eastAsia"/>
          <w:bCs/>
          <w:color w:val="000000"/>
          <w:sz w:val="32"/>
          <w:szCs w:val="32"/>
        </w:rPr>
        <w:t>年重点工作完成情况。</w:t>
      </w:r>
      <w:bookmarkEnd w:id="19"/>
      <w:bookmarkEnd w:id="20"/>
    </w:p>
    <w:p w:rsidR="0068449C" w:rsidRDefault="00A3283D">
      <w:pPr>
        <w:spacing w:line="560" w:lineRule="exact"/>
        <w:ind w:firstLine="660"/>
        <w:rPr>
          <w:rFonts w:ascii="仿宋" w:eastAsia="仿宋" w:hAnsi="仿宋"/>
          <w:color w:val="000000"/>
          <w:sz w:val="32"/>
          <w:szCs w:val="32"/>
        </w:rPr>
      </w:pPr>
      <w:r>
        <w:rPr>
          <w:rFonts w:ascii="仿宋" w:eastAsia="仿宋" w:hAnsi="仿宋" w:hint="eastAsia"/>
          <w:color w:val="000000"/>
          <w:sz w:val="32"/>
          <w:szCs w:val="32"/>
        </w:rPr>
        <w:t>一是</w:t>
      </w:r>
      <w:r>
        <w:rPr>
          <w:rFonts w:ascii="仿宋" w:eastAsia="仿宋" w:hAnsi="仿宋"/>
          <w:color w:val="000000"/>
          <w:sz w:val="32"/>
          <w:szCs w:val="32"/>
        </w:rPr>
        <w:t>加强党员干部思想政治教育，巩固和拓展主题教育工作成果；加强党组织、党员队伍和支部文化建设；深化加强党风廉政建设。</w:t>
      </w:r>
    </w:p>
    <w:p w:rsidR="0068449C" w:rsidRDefault="00A3283D">
      <w:pPr>
        <w:spacing w:line="560" w:lineRule="exact"/>
        <w:ind w:firstLine="660"/>
        <w:rPr>
          <w:rFonts w:ascii="仿宋" w:eastAsia="仿宋" w:hAnsi="仿宋"/>
          <w:color w:val="000000"/>
          <w:sz w:val="32"/>
          <w:szCs w:val="32"/>
        </w:rPr>
      </w:pPr>
      <w:r>
        <w:rPr>
          <w:rFonts w:ascii="仿宋" w:eastAsia="仿宋" w:hAnsi="仿宋" w:hint="eastAsia"/>
          <w:color w:val="000000"/>
          <w:sz w:val="32"/>
          <w:szCs w:val="32"/>
        </w:rPr>
        <w:t>二是</w:t>
      </w:r>
      <w:r>
        <w:rPr>
          <w:rFonts w:ascii="仿宋" w:eastAsia="仿宋" w:hAnsi="仿宋"/>
          <w:color w:val="000000"/>
          <w:sz w:val="32"/>
          <w:szCs w:val="32"/>
        </w:rPr>
        <w:t>进一步开发德育资源，促进学生全面发展；充分利用智慧德育平台，完善学生管理和评价，进一步加强</w:t>
      </w:r>
      <w:r>
        <w:rPr>
          <w:rFonts w:ascii="仿宋" w:eastAsia="仿宋" w:hAnsi="仿宋"/>
          <w:color w:val="000000"/>
          <w:sz w:val="32"/>
          <w:szCs w:val="32"/>
        </w:rPr>
        <w:t>学生规范意识；充分利用学校后勤、训练、德育平台，扩大学生参与学校管理范围，加强学生会自主管理能力。</w:t>
      </w:r>
    </w:p>
    <w:p w:rsidR="0068449C" w:rsidRDefault="00A3283D">
      <w:pPr>
        <w:spacing w:line="560" w:lineRule="exact"/>
        <w:ind w:firstLine="660"/>
        <w:rPr>
          <w:rFonts w:ascii="仿宋" w:eastAsia="仿宋" w:hAnsi="仿宋"/>
          <w:color w:val="000000"/>
          <w:sz w:val="32"/>
          <w:szCs w:val="32"/>
        </w:rPr>
      </w:pPr>
      <w:r>
        <w:rPr>
          <w:rFonts w:ascii="仿宋" w:eastAsia="仿宋" w:hAnsi="仿宋" w:hint="eastAsia"/>
          <w:color w:val="000000"/>
          <w:sz w:val="32"/>
          <w:szCs w:val="32"/>
        </w:rPr>
        <w:t>三是</w:t>
      </w:r>
      <w:r>
        <w:rPr>
          <w:rFonts w:ascii="仿宋" w:eastAsia="仿宋" w:hAnsi="仿宋"/>
          <w:color w:val="000000"/>
          <w:sz w:val="32"/>
          <w:szCs w:val="32"/>
        </w:rPr>
        <w:t>积极备战省第十四届运动会，加大人才输送力度，做</w:t>
      </w:r>
      <w:r>
        <w:rPr>
          <w:rFonts w:ascii="仿宋" w:eastAsia="仿宋" w:hAnsi="仿宋" w:hint="eastAsia"/>
          <w:color w:val="000000"/>
          <w:sz w:val="32"/>
          <w:szCs w:val="32"/>
        </w:rPr>
        <w:t>学生培训</w:t>
      </w:r>
      <w:r>
        <w:rPr>
          <w:rFonts w:ascii="仿宋" w:eastAsia="仿宋" w:hAnsi="仿宋"/>
          <w:color w:val="000000"/>
          <w:sz w:val="32"/>
          <w:szCs w:val="32"/>
        </w:rPr>
        <w:t>工作，确保</w:t>
      </w:r>
      <w:r>
        <w:rPr>
          <w:rFonts w:ascii="仿宋" w:eastAsia="仿宋" w:hAnsi="仿宋" w:hint="eastAsia"/>
          <w:color w:val="000000"/>
          <w:sz w:val="32"/>
          <w:szCs w:val="32"/>
        </w:rPr>
        <w:t>学习生活</w:t>
      </w:r>
      <w:r>
        <w:rPr>
          <w:rFonts w:ascii="仿宋" w:eastAsia="仿宋" w:hAnsi="仿宋"/>
          <w:color w:val="000000"/>
          <w:sz w:val="32"/>
          <w:szCs w:val="32"/>
        </w:rPr>
        <w:t>安全，认真组织好</w:t>
      </w:r>
      <w:r>
        <w:rPr>
          <w:rFonts w:ascii="仿宋" w:eastAsia="仿宋" w:hAnsi="仿宋"/>
          <w:color w:val="000000"/>
          <w:sz w:val="32"/>
          <w:szCs w:val="32"/>
        </w:rPr>
        <w:t>2020</w:t>
      </w:r>
      <w:r>
        <w:rPr>
          <w:rFonts w:ascii="仿宋" w:eastAsia="仿宋" w:hAnsi="仿宋"/>
          <w:color w:val="000000"/>
          <w:sz w:val="32"/>
          <w:szCs w:val="32"/>
        </w:rPr>
        <w:t>年学校运动队参加各级各项比赛。</w:t>
      </w:r>
    </w:p>
    <w:p w:rsidR="0068449C" w:rsidRDefault="00A3283D">
      <w:pPr>
        <w:spacing w:line="560" w:lineRule="exact"/>
        <w:ind w:firstLine="660"/>
        <w:rPr>
          <w:rFonts w:ascii="仿宋" w:eastAsia="仿宋" w:hAnsi="仿宋"/>
          <w:color w:val="000000"/>
          <w:sz w:val="32"/>
          <w:szCs w:val="32"/>
        </w:rPr>
      </w:pPr>
      <w:r>
        <w:rPr>
          <w:rFonts w:ascii="仿宋" w:eastAsia="仿宋" w:hAnsi="仿宋" w:hint="eastAsia"/>
          <w:color w:val="000000"/>
          <w:sz w:val="32"/>
          <w:szCs w:val="32"/>
        </w:rPr>
        <w:lastRenderedPageBreak/>
        <w:t>四是</w:t>
      </w:r>
      <w:r>
        <w:rPr>
          <w:rFonts w:ascii="仿宋" w:eastAsia="仿宋" w:hAnsi="仿宋"/>
          <w:color w:val="000000"/>
          <w:sz w:val="32"/>
          <w:szCs w:val="32"/>
        </w:rPr>
        <w:t>规范、强化教学常规管理，大力推进课题研究，课程改革，强化师德师风建设。</w:t>
      </w:r>
    </w:p>
    <w:p w:rsidR="0068449C" w:rsidRDefault="00A3283D">
      <w:pPr>
        <w:pStyle w:val="a3"/>
        <w:adjustRightInd w:val="0"/>
        <w:snapToGrid w:val="0"/>
        <w:spacing w:before="93" w:line="600" w:lineRule="exact"/>
        <w:ind w:firstLine="672"/>
        <w:outlineLvl w:val="2"/>
        <w:rPr>
          <w:rFonts w:ascii="仿宋" w:eastAsia="仿宋" w:hAnsi="仿宋"/>
          <w:color w:val="000000"/>
          <w:kern w:val="2"/>
          <w:sz w:val="32"/>
          <w:szCs w:val="32"/>
        </w:rPr>
      </w:pPr>
      <w:r>
        <w:rPr>
          <w:rFonts w:ascii="仿宋" w:eastAsia="仿宋" w:hAnsi="仿宋" w:hint="eastAsia"/>
          <w:color w:val="000000"/>
          <w:kern w:val="2"/>
          <w:sz w:val="32"/>
          <w:szCs w:val="32"/>
        </w:rPr>
        <w:t>五是</w:t>
      </w:r>
      <w:r>
        <w:rPr>
          <w:rFonts w:ascii="仿宋" w:eastAsia="仿宋" w:hAnsi="仿宋"/>
          <w:color w:val="000000"/>
          <w:kern w:val="2"/>
          <w:sz w:val="32"/>
          <w:szCs w:val="32"/>
        </w:rPr>
        <w:t>强化后勤队伍建设，提高后勤服务质量；深入开展隐患排查治理，认真做好学校各项安全工作，切实加强事故防范，全力确保学校年内无安全责任事故</w:t>
      </w:r>
      <w:r>
        <w:rPr>
          <w:rFonts w:ascii="仿宋" w:eastAsia="仿宋" w:hAnsi="仿宋" w:hint="eastAsia"/>
          <w:color w:val="000000"/>
          <w:kern w:val="2"/>
          <w:sz w:val="32"/>
          <w:szCs w:val="32"/>
        </w:rPr>
        <w:t>。</w:t>
      </w:r>
    </w:p>
    <w:p w:rsidR="0068449C" w:rsidRDefault="00A3283D">
      <w:pPr>
        <w:pStyle w:val="21"/>
        <w:rPr>
          <w:rStyle w:val="2Char1"/>
          <w:b/>
          <w:bCs/>
        </w:rPr>
      </w:pPr>
      <w:bookmarkStart w:id="21" w:name="_Toc15396601"/>
      <w:bookmarkStart w:id="22" w:name="_Toc15377200"/>
      <w:r>
        <w:rPr>
          <w:rFonts w:ascii="黑体" w:eastAsia="黑体" w:hint="eastAsia"/>
          <w:b w:val="0"/>
          <w:color w:val="000000"/>
        </w:rPr>
        <w:t>二、</w:t>
      </w:r>
      <w:r>
        <w:rPr>
          <w:rFonts w:ascii="黑体" w:eastAsia="黑体" w:hAnsi="黑体" w:hint="eastAsia"/>
          <w:b w:val="0"/>
          <w:color w:val="000000"/>
        </w:rPr>
        <w:t>机</w:t>
      </w:r>
      <w:r>
        <w:rPr>
          <w:rStyle w:val="2Char1"/>
          <w:rFonts w:ascii="黑体" w:eastAsia="黑体" w:hAnsi="黑体" w:hint="eastAsia"/>
        </w:rPr>
        <w:t>构设置</w:t>
      </w:r>
      <w:bookmarkEnd w:id="21"/>
      <w:bookmarkEnd w:id="22"/>
    </w:p>
    <w:p w:rsidR="0068449C" w:rsidRDefault="00A3283D">
      <w:pPr>
        <w:ind w:firstLine="800"/>
        <w:rPr>
          <w:rFonts w:ascii="仿宋" w:eastAsia="仿宋" w:hAnsi="仿宋"/>
          <w:sz w:val="32"/>
          <w:szCs w:val="32"/>
        </w:rPr>
      </w:pPr>
      <w:r>
        <w:rPr>
          <w:rFonts w:ascii="仿宋" w:eastAsia="仿宋" w:hAnsi="仿宋" w:hint="eastAsia"/>
          <w:sz w:val="32"/>
          <w:szCs w:val="32"/>
        </w:rPr>
        <w:t>攀枝花市外国语学校下属二级单位</w:t>
      </w:r>
      <w:r>
        <w:rPr>
          <w:rFonts w:ascii="仿宋" w:eastAsia="仿宋" w:hAnsi="仿宋" w:hint="eastAsia"/>
          <w:sz w:val="32"/>
          <w:szCs w:val="32"/>
        </w:rPr>
        <w:t>0</w:t>
      </w:r>
      <w:r>
        <w:rPr>
          <w:rFonts w:ascii="仿宋" w:eastAsia="仿宋" w:hAnsi="仿宋" w:hint="eastAsia"/>
          <w:sz w:val="32"/>
          <w:szCs w:val="32"/>
        </w:rPr>
        <w:t>个，其中行政单位</w:t>
      </w:r>
      <w:r>
        <w:rPr>
          <w:rFonts w:ascii="仿宋" w:eastAsia="仿宋" w:hAnsi="仿宋" w:hint="eastAsia"/>
          <w:sz w:val="32"/>
          <w:szCs w:val="32"/>
        </w:rPr>
        <w:t>0</w:t>
      </w:r>
      <w:r>
        <w:rPr>
          <w:rFonts w:ascii="仿宋" w:eastAsia="仿宋" w:hAnsi="仿宋" w:hint="eastAsia"/>
          <w:sz w:val="32"/>
          <w:szCs w:val="32"/>
        </w:rPr>
        <w:t>个，参照公务员法管理的事业单位</w:t>
      </w:r>
      <w:r>
        <w:rPr>
          <w:rFonts w:ascii="仿宋" w:eastAsia="仿宋" w:hAnsi="仿宋" w:hint="eastAsia"/>
          <w:bCs/>
          <w:sz w:val="32"/>
          <w:szCs w:val="32"/>
        </w:rPr>
        <w:t>0</w:t>
      </w:r>
      <w:r>
        <w:rPr>
          <w:rFonts w:ascii="仿宋" w:eastAsia="仿宋" w:hAnsi="仿宋" w:hint="eastAsia"/>
          <w:sz w:val="32"/>
          <w:szCs w:val="32"/>
        </w:rPr>
        <w:t>个，其他事业单位</w:t>
      </w:r>
      <w:r>
        <w:rPr>
          <w:rFonts w:ascii="仿宋" w:eastAsia="仿宋" w:hAnsi="仿宋" w:hint="eastAsia"/>
          <w:sz w:val="32"/>
          <w:szCs w:val="32"/>
        </w:rPr>
        <w:t>0</w:t>
      </w:r>
      <w:r>
        <w:rPr>
          <w:rFonts w:ascii="仿宋" w:eastAsia="仿宋" w:hAnsi="仿宋" w:hint="eastAsia"/>
          <w:sz w:val="32"/>
          <w:szCs w:val="32"/>
        </w:rPr>
        <w:t>个。</w:t>
      </w:r>
    </w:p>
    <w:p w:rsidR="0068449C" w:rsidRDefault="00A3283D">
      <w:pPr>
        <w:rPr>
          <w:rFonts w:ascii="仿宋" w:eastAsia="仿宋" w:hAnsi="仿宋"/>
          <w:color w:val="000000"/>
          <w:sz w:val="32"/>
          <w:szCs w:val="32"/>
        </w:rPr>
      </w:pPr>
      <w:r>
        <w:rPr>
          <w:rFonts w:ascii="仿宋" w:eastAsia="仿宋" w:hAnsi="仿宋"/>
          <w:color w:val="000000"/>
          <w:sz w:val="32"/>
          <w:szCs w:val="32"/>
        </w:rPr>
        <w:br w:type="page"/>
      </w:r>
    </w:p>
    <w:p w:rsidR="0068449C" w:rsidRDefault="00A3283D">
      <w:pPr>
        <w:pStyle w:val="11"/>
        <w:ind w:right="440"/>
        <w:jc w:val="right"/>
        <w:rPr>
          <w:rStyle w:val="1Char"/>
          <w:rFonts w:ascii="黑体" w:eastAsia="黑体" w:hAnsi="黑体"/>
          <w:b/>
          <w:bCs/>
        </w:rPr>
      </w:pPr>
      <w:bookmarkStart w:id="23" w:name="_Toc15396602"/>
      <w:bookmarkStart w:id="24" w:name="_Toc15377204"/>
      <w:r>
        <w:rPr>
          <w:rFonts w:ascii="黑体" w:eastAsia="黑体" w:hAnsi="黑体" w:hint="eastAsia"/>
          <w:b w:val="0"/>
          <w:color w:val="000000"/>
        </w:rPr>
        <w:lastRenderedPageBreak/>
        <w:t>第二部分</w:t>
      </w:r>
      <w:r>
        <w:rPr>
          <w:rStyle w:val="1Char"/>
          <w:rFonts w:ascii="黑体" w:eastAsia="黑体" w:hAnsi="黑体"/>
        </w:rPr>
        <w:t>2020</w:t>
      </w:r>
      <w:r>
        <w:rPr>
          <w:rStyle w:val="1Char"/>
          <w:rFonts w:ascii="黑体" w:eastAsia="黑体" w:hAnsi="黑体" w:hint="eastAsia"/>
        </w:rPr>
        <w:t>年度部门决算情况说明</w:t>
      </w:r>
      <w:bookmarkEnd w:id="23"/>
      <w:bookmarkEnd w:id="24"/>
    </w:p>
    <w:p w:rsidR="0068449C" w:rsidRDefault="0068449C"/>
    <w:p w:rsidR="0068449C" w:rsidRDefault="00A3283D">
      <w:pPr>
        <w:pStyle w:val="10"/>
        <w:numPr>
          <w:ilvl w:val="0"/>
          <w:numId w:val="1"/>
        </w:numPr>
        <w:spacing w:line="600" w:lineRule="exact"/>
        <w:outlineLvl w:val="1"/>
        <w:rPr>
          <w:rStyle w:val="2Char"/>
          <w:rFonts w:ascii="黑体" w:eastAsia="黑体" w:hAnsi="黑体"/>
          <w:b w:val="0"/>
          <w:bCs w:val="0"/>
        </w:rPr>
      </w:pPr>
      <w:bookmarkStart w:id="25" w:name="_Toc15377205"/>
      <w:bookmarkStart w:id="26" w:name="_Toc15396603"/>
      <w:r>
        <w:rPr>
          <w:rFonts w:ascii="黑体" w:eastAsia="黑体" w:hAnsi="黑体" w:hint="eastAsia"/>
          <w:color w:val="000000"/>
          <w:sz w:val="32"/>
          <w:szCs w:val="32"/>
        </w:rPr>
        <w:t>收</w:t>
      </w:r>
      <w:r>
        <w:rPr>
          <w:rStyle w:val="2Char"/>
          <w:rFonts w:ascii="黑体" w:eastAsia="黑体" w:hAnsi="黑体" w:hint="eastAsia"/>
          <w:b w:val="0"/>
        </w:rPr>
        <w:t>入支出决算总体情况说明</w:t>
      </w:r>
      <w:bookmarkEnd w:id="25"/>
      <w:bookmarkEnd w:id="26"/>
    </w:p>
    <w:p w:rsidR="0068449C" w:rsidRDefault="00A3283D">
      <w:pPr>
        <w:spacing w:line="600" w:lineRule="exact"/>
        <w:ind w:firstLine="640"/>
        <w:rPr>
          <w:rFonts w:ascii="仿宋" w:eastAsia="仿宋" w:hAnsi="仿宋"/>
          <w:color w:val="000000"/>
          <w:sz w:val="32"/>
          <w:szCs w:val="32"/>
        </w:rPr>
      </w:pPr>
      <w:r>
        <w:rPr>
          <w:rFonts w:ascii="仿宋" w:eastAsia="仿宋" w:hAnsi="仿宋"/>
          <w:color w:val="000000"/>
          <w:sz w:val="32"/>
          <w:szCs w:val="32"/>
        </w:rPr>
        <w:t>2020</w:t>
      </w:r>
      <w:r>
        <w:rPr>
          <w:rFonts w:ascii="仿宋" w:eastAsia="仿宋" w:hAnsi="仿宋" w:hint="eastAsia"/>
          <w:color w:val="000000"/>
          <w:sz w:val="32"/>
          <w:szCs w:val="32"/>
        </w:rPr>
        <w:t>年度收、支总计</w:t>
      </w:r>
      <w:r>
        <w:rPr>
          <w:rFonts w:ascii="仿宋" w:eastAsia="仿宋" w:hAnsi="仿宋" w:hint="eastAsia"/>
          <w:color w:val="000000"/>
          <w:sz w:val="32"/>
          <w:szCs w:val="32"/>
        </w:rPr>
        <w:t>8339.12</w:t>
      </w:r>
      <w:r>
        <w:rPr>
          <w:rFonts w:ascii="仿宋" w:eastAsia="仿宋" w:hAnsi="仿宋" w:hint="eastAsia"/>
          <w:color w:val="000000"/>
          <w:sz w:val="32"/>
          <w:szCs w:val="32"/>
        </w:rPr>
        <w:t>万元。与</w:t>
      </w:r>
      <w:r>
        <w:rPr>
          <w:rFonts w:ascii="仿宋" w:eastAsia="仿宋" w:hAnsi="仿宋"/>
          <w:color w:val="000000"/>
          <w:sz w:val="32"/>
          <w:szCs w:val="32"/>
        </w:rPr>
        <w:t>2019</w:t>
      </w:r>
      <w:r>
        <w:rPr>
          <w:rFonts w:ascii="仿宋" w:eastAsia="仿宋" w:hAnsi="仿宋" w:hint="eastAsia"/>
          <w:color w:val="000000"/>
          <w:sz w:val="32"/>
          <w:szCs w:val="32"/>
        </w:rPr>
        <w:t>年相比，收、支总计各增加</w:t>
      </w:r>
      <w:r>
        <w:rPr>
          <w:rFonts w:ascii="仿宋" w:eastAsia="仿宋" w:hAnsi="仿宋" w:hint="eastAsia"/>
          <w:color w:val="000000"/>
          <w:sz w:val="32"/>
          <w:szCs w:val="32"/>
        </w:rPr>
        <w:t>514.06</w:t>
      </w:r>
      <w:r>
        <w:rPr>
          <w:rFonts w:ascii="仿宋" w:eastAsia="仿宋" w:hAnsi="仿宋" w:hint="eastAsia"/>
          <w:color w:val="000000"/>
          <w:sz w:val="32"/>
          <w:szCs w:val="32"/>
        </w:rPr>
        <w:t>万元，减少</w:t>
      </w:r>
      <w:r>
        <w:rPr>
          <w:rFonts w:ascii="仿宋" w:eastAsia="仿宋" w:hAnsi="仿宋" w:hint="eastAsia"/>
          <w:color w:val="000000"/>
          <w:sz w:val="32"/>
          <w:szCs w:val="32"/>
        </w:rPr>
        <w:t xml:space="preserve"> 5.8</w:t>
      </w:r>
      <w:r>
        <w:rPr>
          <w:rFonts w:ascii="仿宋" w:eastAsia="仿宋" w:hAnsi="仿宋"/>
          <w:color w:val="000000"/>
          <w:sz w:val="32"/>
          <w:szCs w:val="32"/>
        </w:rPr>
        <w:t>%</w:t>
      </w:r>
      <w:r>
        <w:rPr>
          <w:rFonts w:ascii="仿宋" w:eastAsia="仿宋" w:hAnsi="仿宋" w:hint="eastAsia"/>
          <w:color w:val="000000"/>
          <w:sz w:val="32"/>
          <w:szCs w:val="32"/>
        </w:rPr>
        <w:t>。主要变动原因是学校加强管理，避免一部分非必要支出。</w:t>
      </w:r>
    </w:p>
    <w:p w:rsidR="0068449C" w:rsidRDefault="00A3283D">
      <w:pPr>
        <w:spacing w:line="600" w:lineRule="exact"/>
        <w:ind w:firstLine="640"/>
        <w:rPr>
          <w:rFonts w:ascii="仿宋" w:eastAsia="仿宋"/>
          <w:color w:val="000000"/>
          <w:sz w:val="32"/>
          <w:szCs w:val="32"/>
        </w:rPr>
      </w:pPr>
      <w:r>
        <w:rPr>
          <w:rFonts w:ascii="仿宋" w:eastAsia="仿宋" w:hint="eastAsia"/>
          <w:color w:val="000000"/>
          <w:sz w:val="32"/>
          <w:szCs w:val="32"/>
        </w:rPr>
        <w:t>（图</w:t>
      </w:r>
      <w:r>
        <w:rPr>
          <w:rFonts w:ascii="仿宋" w:eastAsia="仿宋" w:hint="eastAsia"/>
          <w:color w:val="000000"/>
          <w:sz w:val="32"/>
          <w:szCs w:val="32"/>
        </w:rPr>
        <w:t>1</w:t>
      </w:r>
      <w:r>
        <w:rPr>
          <w:rFonts w:ascii="仿宋" w:eastAsia="仿宋" w:hint="eastAsia"/>
          <w:color w:val="000000"/>
          <w:sz w:val="32"/>
          <w:szCs w:val="32"/>
        </w:rPr>
        <w:t>：收、支决算总计变动情况图）（柱状图）</w:t>
      </w:r>
    </w:p>
    <w:p w:rsidR="0068449C" w:rsidRDefault="00A3283D">
      <w:pPr>
        <w:spacing w:line="600" w:lineRule="exact"/>
        <w:ind w:firstLine="640"/>
        <w:rPr>
          <w:rFonts w:ascii="仿宋" w:eastAsia="仿宋" w:hAnsi="仿宋"/>
          <w:color w:val="000000"/>
          <w:sz w:val="32"/>
          <w:szCs w:val="32"/>
        </w:rPr>
      </w:pPr>
      <w:r>
        <w:rPr>
          <w:noProof/>
        </w:rPr>
        <w:drawing>
          <wp:anchor distT="0" distB="0" distL="114300" distR="114300" simplePos="0" relativeHeight="251659264" behindDoc="0" locked="0" layoutInCell="1" allowOverlap="1">
            <wp:simplePos x="0" y="0"/>
            <wp:positionH relativeFrom="column">
              <wp:posOffset>533400</wp:posOffset>
            </wp:positionH>
            <wp:positionV relativeFrom="paragraph">
              <wp:posOffset>77470</wp:posOffset>
            </wp:positionV>
            <wp:extent cx="4400550" cy="2228850"/>
            <wp:effectExtent l="0" t="0" r="0" b="0"/>
            <wp:wrapNone/>
            <wp:docPr id="2" name="对象 2" descr="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68449C" w:rsidRDefault="0068449C">
      <w:pPr>
        <w:spacing w:line="600" w:lineRule="exact"/>
        <w:ind w:firstLine="640"/>
        <w:rPr>
          <w:rFonts w:ascii="仿宋_GB2312" w:eastAsia="仿宋_GB2312"/>
          <w:color w:val="000000"/>
          <w:sz w:val="32"/>
          <w:szCs w:val="32"/>
        </w:rPr>
      </w:pPr>
    </w:p>
    <w:p w:rsidR="0068449C" w:rsidRDefault="0068449C">
      <w:pPr>
        <w:spacing w:line="600" w:lineRule="exact"/>
        <w:ind w:firstLine="640"/>
        <w:rPr>
          <w:rFonts w:ascii="仿宋_GB2312" w:eastAsia="仿宋_GB2312"/>
          <w:color w:val="000000"/>
          <w:sz w:val="32"/>
          <w:szCs w:val="32"/>
        </w:rPr>
      </w:pPr>
    </w:p>
    <w:p w:rsidR="0068449C" w:rsidRDefault="0068449C">
      <w:pPr>
        <w:spacing w:line="600" w:lineRule="exact"/>
        <w:ind w:firstLine="640"/>
        <w:rPr>
          <w:rFonts w:ascii="仿宋_GB2312" w:eastAsia="仿宋_GB2312"/>
          <w:color w:val="000000"/>
          <w:sz w:val="32"/>
          <w:szCs w:val="32"/>
        </w:rPr>
      </w:pPr>
    </w:p>
    <w:p w:rsidR="0068449C" w:rsidRDefault="0068449C">
      <w:pPr>
        <w:spacing w:line="600" w:lineRule="exact"/>
        <w:ind w:firstLine="640"/>
        <w:rPr>
          <w:rFonts w:ascii="仿宋_GB2312" w:eastAsia="仿宋_GB2312"/>
          <w:color w:val="000000"/>
          <w:sz w:val="32"/>
          <w:szCs w:val="32"/>
        </w:rPr>
      </w:pPr>
    </w:p>
    <w:p w:rsidR="0068449C" w:rsidRDefault="0068449C">
      <w:pPr>
        <w:spacing w:line="600" w:lineRule="exact"/>
        <w:ind w:firstLine="640"/>
        <w:rPr>
          <w:rFonts w:ascii="仿宋_GB2312" w:eastAsia="仿宋_GB2312"/>
          <w:color w:val="000000"/>
          <w:sz w:val="32"/>
          <w:szCs w:val="32"/>
        </w:rPr>
      </w:pPr>
    </w:p>
    <w:p w:rsidR="0068449C" w:rsidRDefault="00A3283D">
      <w:pPr>
        <w:pStyle w:val="10"/>
        <w:numPr>
          <w:ilvl w:val="0"/>
          <w:numId w:val="1"/>
        </w:numPr>
        <w:spacing w:line="600" w:lineRule="exact"/>
        <w:outlineLvl w:val="1"/>
        <w:rPr>
          <w:rStyle w:val="2Char"/>
          <w:rFonts w:ascii="黑体" w:eastAsia="黑体" w:hAnsi="黑体"/>
          <w:b w:val="0"/>
          <w:bCs w:val="0"/>
        </w:rPr>
      </w:pPr>
      <w:bookmarkStart w:id="27" w:name="_Toc15396604"/>
      <w:bookmarkStart w:id="28" w:name="_Toc15377206"/>
      <w:r>
        <w:rPr>
          <w:rFonts w:ascii="黑体" w:eastAsia="黑体" w:hAnsi="黑体" w:hint="eastAsia"/>
          <w:color w:val="000000"/>
          <w:sz w:val="32"/>
          <w:szCs w:val="32"/>
        </w:rPr>
        <w:t>收</w:t>
      </w:r>
      <w:r>
        <w:rPr>
          <w:rStyle w:val="2Char"/>
          <w:rFonts w:ascii="黑体" w:eastAsia="黑体" w:hAnsi="黑体" w:hint="eastAsia"/>
          <w:b w:val="0"/>
        </w:rPr>
        <w:t>入决算情况说明</w:t>
      </w:r>
      <w:bookmarkEnd w:id="27"/>
      <w:bookmarkEnd w:id="28"/>
    </w:p>
    <w:p w:rsidR="0068449C" w:rsidRDefault="00A3283D">
      <w:pPr>
        <w:spacing w:line="600" w:lineRule="exact"/>
        <w:ind w:firstLine="640"/>
        <w:rPr>
          <w:rFonts w:ascii="仿宋" w:eastAsia="仿宋"/>
          <w:color w:val="000000"/>
          <w:sz w:val="32"/>
          <w:szCs w:val="32"/>
        </w:rPr>
      </w:pPr>
      <w:r>
        <w:rPr>
          <w:rFonts w:ascii="仿宋" w:eastAsia="仿宋" w:hAnsi="仿宋"/>
          <w:color w:val="000000"/>
          <w:sz w:val="32"/>
          <w:szCs w:val="32"/>
        </w:rPr>
        <w:t>2020</w:t>
      </w:r>
      <w:r>
        <w:rPr>
          <w:rFonts w:ascii="仿宋" w:eastAsia="仿宋" w:hAnsi="仿宋" w:hint="eastAsia"/>
          <w:color w:val="000000"/>
          <w:sz w:val="32"/>
          <w:szCs w:val="32"/>
        </w:rPr>
        <w:t>年本年收入合计</w:t>
      </w:r>
      <w:r>
        <w:rPr>
          <w:rFonts w:ascii="仿宋" w:eastAsia="仿宋" w:hAnsi="仿宋" w:hint="eastAsia"/>
          <w:color w:val="000000"/>
          <w:sz w:val="32"/>
          <w:szCs w:val="32"/>
        </w:rPr>
        <w:t>4169.56</w:t>
      </w:r>
      <w:r>
        <w:rPr>
          <w:rFonts w:ascii="仿宋" w:eastAsia="仿宋" w:hAnsi="仿宋" w:hint="eastAsia"/>
          <w:color w:val="000000"/>
          <w:sz w:val="32"/>
          <w:szCs w:val="32"/>
        </w:rPr>
        <w:t>万元，其中：一般公共预算财政拨款收入</w:t>
      </w:r>
      <w:r>
        <w:rPr>
          <w:rFonts w:ascii="仿宋" w:eastAsia="仿宋" w:hAnsi="仿宋" w:hint="eastAsia"/>
          <w:color w:val="000000"/>
          <w:sz w:val="32"/>
          <w:szCs w:val="32"/>
        </w:rPr>
        <w:t>4162.56</w:t>
      </w:r>
      <w:r>
        <w:rPr>
          <w:rFonts w:ascii="仿宋" w:eastAsia="仿宋" w:hAnsi="仿宋" w:hint="eastAsia"/>
          <w:color w:val="000000"/>
          <w:sz w:val="32"/>
          <w:szCs w:val="32"/>
        </w:rPr>
        <w:t>万元，占</w:t>
      </w:r>
      <w:r>
        <w:rPr>
          <w:rFonts w:ascii="仿宋" w:eastAsia="仿宋" w:hAnsi="仿宋" w:hint="eastAsia"/>
          <w:color w:val="000000"/>
          <w:sz w:val="32"/>
          <w:szCs w:val="32"/>
        </w:rPr>
        <w:t>99.83%</w:t>
      </w:r>
      <w:r>
        <w:rPr>
          <w:rFonts w:ascii="仿宋" w:eastAsia="仿宋" w:hAnsi="仿宋" w:hint="eastAsia"/>
          <w:color w:val="000000"/>
          <w:sz w:val="32"/>
          <w:szCs w:val="32"/>
        </w:rPr>
        <w:t>；其他收入</w:t>
      </w:r>
      <w:r>
        <w:rPr>
          <w:rFonts w:ascii="仿宋" w:eastAsia="仿宋" w:hAnsi="仿宋" w:hint="eastAsia"/>
          <w:color w:val="000000"/>
          <w:sz w:val="32"/>
          <w:szCs w:val="32"/>
        </w:rPr>
        <w:t>7</w:t>
      </w:r>
      <w:r>
        <w:rPr>
          <w:rFonts w:ascii="仿宋" w:eastAsia="仿宋" w:hAnsi="仿宋" w:hint="eastAsia"/>
          <w:color w:val="000000"/>
          <w:sz w:val="32"/>
          <w:szCs w:val="32"/>
        </w:rPr>
        <w:t>万元，占</w:t>
      </w:r>
      <w:r>
        <w:rPr>
          <w:rFonts w:ascii="仿宋" w:eastAsia="仿宋" w:hAnsi="仿宋" w:hint="eastAsia"/>
          <w:color w:val="000000"/>
          <w:sz w:val="32"/>
          <w:szCs w:val="32"/>
        </w:rPr>
        <w:t>0.17</w:t>
      </w:r>
      <w:r>
        <w:rPr>
          <w:rFonts w:ascii="仿宋" w:eastAsia="仿宋" w:hAnsi="仿宋"/>
          <w:color w:val="000000"/>
          <w:sz w:val="32"/>
          <w:szCs w:val="32"/>
        </w:rPr>
        <w:t>%</w:t>
      </w:r>
      <w:r>
        <w:rPr>
          <w:rFonts w:ascii="仿宋" w:eastAsia="仿宋" w:hAnsi="仿宋" w:hint="eastAsia"/>
          <w:color w:val="000000"/>
          <w:sz w:val="32"/>
          <w:szCs w:val="32"/>
        </w:rPr>
        <w:t>。</w:t>
      </w:r>
      <w:r>
        <w:rPr>
          <w:rFonts w:ascii="仿宋" w:eastAsia="仿宋" w:hint="eastAsia"/>
          <w:color w:val="000000"/>
          <w:sz w:val="32"/>
          <w:szCs w:val="32"/>
        </w:rPr>
        <w:t>（图</w:t>
      </w:r>
      <w:r>
        <w:rPr>
          <w:rFonts w:ascii="仿宋" w:eastAsia="仿宋" w:hint="eastAsia"/>
          <w:color w:val="000000"/>
          <w:sz w:val="32"/>
          <w:szCs w:val="32"/>
        </w:rPr>
        <w:t>2</w:t>
      </w:r>
      <w:r>
        <w:rPr>
          <w:rFonts w:ascii="仿宋" w:eastAsia="仿宋" w:hint="eastAsia"/>
          <w:color w:val="000000"/>
          <w:sz w:val="32"/>
          <w:szCs w:val="32"/>
        </w:rPr>
        <w:t>：收入决算结构图）（饼状图）</w:t>
      </w:r>
    </w:p>
    <w:p w:rsidR="0068449C" w:rsidRDefault="00A3283D">
      <w:pPr>
        <w:spacing w:line="600" w:lineRule="exact"/>
        <w:ind w:firstLine="640"/>
        <w:outlineLvl w:val="1"/>
        <w:rPr>
          <w:rFonts w:ascii="仿宋" w:eastAsia="仿宋" w:hAnsi="仿宋"/>
          <w:color w:val="000000"/>
          <w:sz w:val="32"/>
          <w:szCs w:val="32"/>
        </w:rPr>
      </w:pPr>
      <w:r>
        <w:rPr>
          <w:noProof/>
        </w:rPr>
        <w:drawing>
          <wp:anchor distT="0" distB="0" distL="114300" distR="114300" simplePos="0" relativeHeight="251660288" behindDoc="0" locked="0" layoutInCell="1" allowOverlap="1">
            <wp:simplePos x="0" y="0"/>
            <wp:positionH relativeFrom="column">
              <wp:posOffset>-428625</wp:posOffset>
            </wp:positionH>
            <wp:positionV relativeFrom="paragraph">
              <wp:posOffset>77470</wp:posOffset>
            </wp:positionV>
            <wp:extent cx="6276975" cy="3514725"/>
            <wp:effectExtent l="0" t="0" r="0" b="0"/>
            <wp:wrapNone/>
            <wp:docPr id="3" name="对象 3" descr="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68449C" w:rsidRDefault="0068449C">
      <w:pPr>
        <w:spacing w:line="600" w:lineRule="exact"/>
        <w:ind w:firstLine="640"/>
        <w:outlineLvl w:val="1"/>
        <w:rPr>
          <w:rFonts w:ascii="仿宋" w:eastAsia="仿宋" w:hAnsi="仿宋"/>
          <w:color w:val="000000"/>
          <w:sz w:val="32"/>
          <w:szCs w:val="32"/>
        </w:rPr>
      </w:pPr>
    </w:p>
    <w:p w:rsidR="0068449C" w:rsidRDefault="0068449C">
      <w:pPr>
        <w:spacing w:line="600" w:lineRule="exact"/>
        <w:ind w:firstLine="640"/>
        <w:outlineLvl w:val="1"/>
        <w:rPr>
          <w:rFonts w:ascii="仿宋" w:eastAsia="仿宋" w:hAnsi="仿宋"/>
          <w:color w:val="000000"/>
          <w:sz w:val="32"/>
          <w:szCs w:val="32"/>
        </w:rPr>
      </w:pPr>
    </w:p>
    <w:p w:rsidR="0068449C" w:rsidRDefault="0068449C">
      <w:pPr>
        <w:spacing w:line="600" w:lineRule="exact"/>
        <w:ind w:firstLine="640"/>
        <w:outlineLvl w:val="1"/>
        <w:rPr>
          <w:rFonts w:ascii="仿宋" w:eastAsia="仿宋" w:hAnsi="仿宋"/>
          <w:color w:val="000000"/>
          <w:sz w:val="32"/>
          <w:szCs w:val="32"/>
        </w:rPr>
      </w:pPr>
    </w:p>
    <w:p w:rsidR="0068449C" w:rsidRDefault="0068449C">
      <w:pPr>
        <w:spacing w:line="600" w:lineRule="exact"/>
        <w:ind w:firstLine="640"/>
        <w:outlineLvl w:val="1"/>
        <w:rPr>
          <w:rFonts w:ascii="仿宋" w:eastAsia="仿宋" w:hAnsi="仿宋"/>
          <w:color w:val="000000"/>
          <w:sz w:val="32"/>
          <w:szCs w:val="32"/>
        </w:rPr>
      </w:pPr>
    </w:p>
    <w:p w:rsidR="0068449C" w:rsidRDefault="0068449C">
      <w:pPr>
        <w:spacing w:line="600" w:lineRule="exact"/>
        <w:rPr>
          <w:rFonts w:ascii="仿宋_GB2312" w:eastAsia="仿宋_GB2312"/>
          <w:color w:val="FF0000"/>
          <w:sz w:val="32"/>
          <w:szCs w:val="32"/>
        </w:rPr>
      </w:pPr>
    </w:p>
    <w:p w:rsidR="0068449C" w:rsidRDefault="00A3283D">
      <w:pPr>
        <w:pStyle w:val="10"/>
        <w:numPr>
          <w:ilvl w:val="0"/>
          <w:numId w:val="1"/>
        </w:numPr>
        <w:spacing w:line="600" w:lineRule="exact"/>
        <w:outlineLvl w:val="1"/>
        <w:rPr>
          <w:rStyle w:val="2Char"/>
          <w:rFonts w:ascii="黑体" w:eastAsia="黑体" w:hAnsi="黑体"/>
          <w:b w:val="0"/>
          <w:bCs w:val="0"/>
        </w:rPr>
      </w:pPr>
      <w:bookmarkStart w:id="29" w:name="_Toc15377207"/>
      <w:bookmarkStart w:id="30" w:name="_Toc15396605"/>
      <w:r>
        <w:rPr>
          <w:rFonts w:ascii="黑体" w:eastAsia="黑体" w:hAnsi="黑体" w:hint="eastAsia"/>
          <w:color w:val="000000"/>
          <w:sz w:val="32"/>
          <w:szCs w:val="32"/>
        </w:rPr>
        <w:t>支</w:t>
      </w:r>
      <w:r>
        <w:rPr>
          <w:rStyle w:val="2Char"/>
          <w:rFonts w:ascii="黑体" w:eastAsia="黑体" w:hAnsi="黑体" w:hint="eastAsia"/>
          <w:b w:val="0"/>
        </w:rPr>
        <w:t>出决算情况说明</w:t>
      </w:r>
      <w:bookmarkEnd w:id="29"/>
      <w:bookmarkEnd w:id="30"/>
    </w:p>
    <w:p w:rsidR="0068449C" w:rsidRDefault="00A3283D">
      <w:pPr>
        <w:spacing w:line="600" w:lineRule="exact"/>
        <w:ind w:firstLine="640"/>
        <w:rPr>
          <w:rFonts w:ascii="仿宋" w:eastAsia="仿宋"/>
          <w:color w:val="000000"/>
          <w:sz w:val="32"/>
          <w:szCs w:val="32"/>
        </w:rPr>
      </w:pPr>
      <w:r>
        <w:rPr>
          <w:noProof/>
        </w:rPr>
        <w:drawing>
          <wp:anchor distT="0" distB="0" distL="114300" distR="114300" simplePos="0" relativeHeight="251661312" behindDoc="0" locked="0" layoutInCell="1" allowOverlap="1">
            <wp:simplePos x="0" y="0"/>
            <wp:positionH relativeFrom="column">
              <wp:posOffset>514350</wp:posOffset>
            </wp:positionH>
            <wp:positionV relativeFrom="paragraph">
              <wp:posOffset>1038225</wp:posOffset>
            </wp:positionV>
            <wp:extent cx="4438650" cy="3076575"/>
            <wp:effectExtent l="0" t="0" r="0" b="0"/>
            <wp:wrapNone/>
            <wp:docPr id="4" name="对象 4" descr="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ascii="仿宋" w:eastAsia="仿宋" w:hAnsi="仿宋"/>
          <w:color w:val="000000"/>
          <w:sz w:val="32"/>
          <w:szCs w:val="32"/>
        </w:rPr>
        <w:t>2020</w:t>
      </w:r>
      <w:r>
        <w:rPr>
          <w:rFonts w:ascii="仿宋" w:eastAsia="仿宋" w:hAnsi="仿宋" w:hint="eastAsia"/>
          <w:color w:val="000000"/>
          <w:sz w:val="32"/>
          <w:szCs w:val="32"/>
        </w:rPr>
        <w:t>年本年支出合计</w:t>
      </w:r>
      <w:r>
        <w:rPr>
          <w:rFonts w:ascii="仿宋" w:eastAsia="仿宋" w:hAnsi="仿宋" w:hint="eastAsia"/>
          <w:color w:val="000000"/>
          <w:sz w:val="32"/>
          <w:szCs w:val="32"/>
        </w:rPr>
        <w:t>4169.56</w:t>
      </w:r>
      <w:r>
        <w:rPr>
          <w:rFonts w:ascii="仿宋" w:eastAsia="仿宋" w:hAnsi="仿宋" w:hint="eastAsia"/>
          <w:color w:val="000000"/>
          <w:sz w:val="32"/>
          <w:szCs w:val="32"/>
        </w:rPr>
        <w:t>万元，其中：基本支出</w:t>
      </w:r>
      <w:r>
        <w:rPr>
          <w:rFonts w:ascii="仿宋" w:eastAsia="仿宋" w:hAnsi="仿宋" w:hint="eastAsia"/>
          <w:color w:val="000000"/>
          <w:sz w:val="32"/>
          <w:szCs w:val="32"/>
        </w:rPr>
        <w:t>2987.24</w:t>
      </w:r>
      <w:r>
        <w:rPr>
          <w:rFonts w:ascii="仿宋" w:eastAsia="仿宋" w:hAnsi="仿宋" w:hint="eastAsia"/>
          <w:color w:val="000000"/>
          <w:sz w:val="32"/>
          <w:szCs w:val="32"/>
        </w:rPr>
        <w:t>万元，占</w:t>
      </w:r>
      <w:r>
        <w:rPr>
          <w:rFonts w:ascii="仿宋" w:eastAsia="仿宋" w:hAnsi="仿宋" w:hint="eastAsia"/>
          <w:color w:val="000000"/>
          <w:sz w:val="32"/>
          <w:szCs w:val="32"/>
        </w:rPr>
        <w:t>71.65</w:t>
      </w:r>
      <w:r>
        <w:rPr>
          <w:rFonts w:ascii="仿宋" w:eastAsia="仿宋" w:hAnsi="仿宋"/>
          <w:color w:val="000000"/>
          <w:sz w:val="32"/>
          <w:szCs w:val="32"/>
        </w:rPr>
        <w:t>%</w:t>
      </w:r>
      <w:r>
        <w:rPr>
          <w:rFonts w:ascii="仿宋" w:eastAsia="仿宋" w:hAnsi="仿宋" w:hint="eastAsia"/>
          <w:color w:val="000000"/>
          <w:sz w:val="32"/>
          <w:szCs w:val="32"/>
        </w:rPr>
        <w:t>；项目支出</w:t>
      </w:r>
      <w:r>
        <w:rPr>
          <w:rFonts w:ascii="仿宋" w:eastAsia="仿宋" w:hAnsi="仿宋" w:hint="eastAsia"/>
          <w:color w:val="000000"/>
          <w:sz w:val="32"/>
          <w:szCs w:val="32"/>
        </w:rPr>
        <w:t>1182.32</w:t>
      </w:r>
      <w:r>
        <w:rPr>
          <w:rFonts w:ascii="仿宋" w:eastAsia="仿宋" w:hAnsi="仿宋" w:hint="eastAsia"/>
          <w:color w:val="000000"/>
          <w:sz w:val="32"/>
          <w:szCs w:val="32"/>
        </w:rPr>
        <w:t>万元，占</w:t>
      </w:r>
      <w:r>
        <w:rPr>
          <w:rFonts w:ascii="仿宋" w:eastAsia="仿宋" w:hAnsi="仿宋" w:hint="eastAsia"/>
          <w:color w:val="000000"/>
          <w:sz w:val="32"/>
          <w:szCs w:val="32"/>
        </w:rPr>
        <w:t>28.35</w:t>
      </w:r>
      <w:r>
        <w:rPr>
          <w:rFonts w:ascii="仿宋" w:eastAsia="仿宋" w:hAnsi="仿宋"/>
          <w:color w:val="000000"/>
          <w:sz w:val="32"/>
          <w:szCs w:val="32"/>
        </w:rPr>
        <w:t>%</w:t>
      </w:r>
      <w:r>
        <w:rPr>
          <w:rFonts w:ascii="仿宋" w:eastAsia="仿宋" w:hAnsi="仿宋" w:hint="eastAsia"/>
          <w:color w:val="000000"/>
          <w:sz w:val="32"/>
          <w:szCs w:val="32"/>
        </w:rPr>
        <w:t>；</w:t>
      </w:r>
      <w:r>
        <w:rPr>
          <w:rFonts w:ascii="仿宋" w:eastAsia="仿宋" w:hint="eastAsia"/>
          <w:color w:val="000000"/>
          <w:sz w:val="32"/>
          <w:szCs w:val="32"/>
        </w:rPr>
        <w:t>（图</w:t>
      </w:r>
      <w:r>
        <w:rPr>
          <w:rFonts w:ascii="仿宋" w:eastAsia="仿宋" w:hint="eastAsia"/>
          <w:color w:val="000000"/>
          <w:sz w:val="32"/>
          <w:szCs w:val="32"/>
        </w:rPr>
        <w:t>3</w:t>
      </w:r>
      <w:r>
        <w:rPr>
          <w:rFonts w:ascii="仿宋" w:eastAsia="仿宋" w:hint="eastAsia"/>
          <w:color w:val="000000"/>
          <w:sz w:val="32"/>
          <w:szCs w:val="32"/>
        </w:rPr>
        <w:t>：支出决算结构图）（饼状图）</w:t>
      </w:r>
    </w:p>
    <w:p w:rsidR="0068449C" w:rsidRDefault="0068449C">
      <w:pPr>
        <w:spacing w:line="600" w:lineRule="exact"/>
        <w:ind w:firstLine="640"/>
        <w:outlineLvl w:val="1"/>
        <w:rPr>
          <w:rFonts w:ascii="仿宋" w:eastAsia="仿宋" w:hAnsi="仿宋"/>
          <w:color w:val="000000"/>
          <w:sz w:val="32"/>
          <w:szCs w:val="32"/>
        </w:rPr>
      </w:pPr>
    </w:p>
    <w:p w:rsidR="0068449C" w:rsidRDefault="0068449C">
      <w:pPr>
        <w:spacing w:line="600" w:lineRule="exact"/>
        <w:ind w:firstLine="640"/>
        <w:outlineLvl w:val="1"/>
        <w:rPr>
          <w:rFonts w:ascii="仿宋" w:eastAsia="仿宋" w:hAnsi="仿宋"/>
          <w:color w:val="000000"/>
          <w:sz w:val="32"/>
          <w:szCs w:val="32"/>
        </w:rPr>
      </w:pPr>
    </w:p>
    <w:p w:rsidR="0068449C" w:rsidRDefault="0068449C">
      <w:pPr>
        <w:spacing w:line="600" w:lineRule="exact"/>
        <w:ind w:firstLine="640"/>
        <w:outlineLvl w:val="1"/>
        <w:rPr>
          <w:rFonts w:ascii="仿宋" w:eastAsia="仿宋" w:hAnsi="仿宋"/>
          <w:color w:val="000000"/>
          <w:sz w:val="32"/>
          <w:szCs w:val="32"/>
        </w:rPr>
      </w:pPr>
    </w:p>
    <w:p w:rsidR="0068449C" w:rsidRDefault="0068449C">
      <w:pPr>
        <w:spacing w:line="600" w:lineRule="exact"/>
        <w:ind w:firstLine="640"/>
        <w:outlineLvl w:val="1"/>
        <w:rPr>
          <w:rFonts w:ascii="仿宋" w:eastAsia="仿宋" w:hAnsi="仿宋"/>
          <w:color w:val="000000"/>
          <w:sz w:val="32"/>
          <w:szCs w:val="32"/>
        </w:rPr>
      </w:pPr>
    </w:p>
    <w:p w:rsidR="0068449C" w:rsidRDefault="0068449C">
      <w:pPr>
        <w:spacing w:line="600" w:lineRule="exact"/>
        <w:ind w:firstLine="640"/>
        <w:outlineLvl w:val="1"/>
        <w:rPr>
          <w:rFonts w:ascii="仿宋" w:eastAsia="仿宋" w:hAnsi="仿宋"/>
          <w:color w:val="000000"/>
          <w:sz w:val="32"/>
          <w:szCs w:val="32"/>
        </w:rPr>
      </w:pPr>
    </w:p>
    <w:p w:rsidR="0068449C" w:rsidRDefault="0068449C">
      <w:pPr>
        <w:spacing w:line="600" w:lineRule="exact"/>
        <w:ind w:firstLine="640"/>
        <w:outlineLvl w:val="1"/>
        <w:rPr>
          <w:rFonts w:ascii="仿宋" w:eastAsia="仿宋" w:hAnsi="仿宋"/>
          <w:color w:val="000000"/>
          <w:sz w:val="32"/>
          <w:szCs w:val="32"/>
        </w:rPr>
      </w:pPr>
    </w:p>
    <w:p w:rsidR="0068449C" w:rsidRDefault="0068449C">
      <w:pPr>
        <w:spacing w:line="600" w:lineRule="exact"/>
        <w:ind w:firstLine="640"/>
        <w:outlineLvl w:val="1"/>
        <w:rPr>
          <w:rFonts w:ascii="仿宋" w:eastAsia="仿宋" w:hAnsi="仿宋"/>
          <w:color w:val="000000"/>
          <w:sz w:val="32"/>
          <w:szCs w:val="32"/>
        </w:rPr>
      </w:pPr>
    </w:p>
    <w:p w:rsidR="0068449C" w:rsidRDefault="0068449C">
      <w:pPr>
        <w:spacing w:line="600" w:lineRule="exact"/>
        <w:ind w:firstLine="640"/>
        <w:outlineLvl w:val="1"/>
        <w:rPr>
          <w:rFonts w:ascii="仿宋" w:eastAsia="仿宋" w:hAnsi="仿宋"/>
          <w:color w:val="000000"/>
          <w:sz w:val="32"/>
          <w:szCs w:val="32"/>
        </w:rPr>
      </w:pPr>
    </w:p>
    <w:p w:rsidR="0068449C" w:rsidRDefault="00A3283D">
      <w:pPr>
        <w:spacing w:line="600" w:lineRule="exact"/>
        <w:ind w:firstLine="640"/>
        <w:outlineLvl w:val="1"/>
        <w:rPr>
          <w:rStyle w:val="2Char"/>
          <w:rFonts w:ascii="黑体" w:eastAsia="黑体" w:hAnsi="黑体"/>
          <w:b w:val="0"/>
          <w:bCs w:val="0"/>
        </w:rPr>
      </w:pPr>
      <w:bookmarkStart w:id="31" w:name="_Toc15377208"/>
      <w:bookmarkStart w:id="32" w:name="_Toc15396606"/>
      <w:r>
        <w:rPr>
          <w:rFonts w:ascii="黑体" w:eastAsia="黑体" w:hAnsi="黑体" w:hint="eastAsia"/>
          <w:color w:val="000000"/>
          <w:sz w:val="32"/>
          <w:szCs w:val="32"/>
        </w:rPr>
        <w:t>四、财</w:t>
      </w:r>
      <w:r>
        <w:rPr>
          <w:rStyle w:val="2Char"/>
          <w:rFonts w:ascii="黑体" w:eastAsia="黑体" w:hAnsi="黑体" w:hint="eastAsia"/>
          <w:b w:val="0"/>
        </w:rPr>
        <w:t>政拨款收入支出决算总体情况说明</w:t>
      </w:r>
      <w:bookmarkEnd w:id="31"/>
      <w:bookmarkEnd w:id="32"/>
    </w:p>
    <w:p w:rsidR="0068449C" w:rsidRDefault="00A3283D">
      <w:pPr>
        <w:spacing w:line="600" w:lineRule="exact"/>
        <w:ind w:firstLine="640"/>
        <w:rPr>
          <w:rFonts w:ascii="仿宋" w:eastAsia="仿宋"/>
          <w:color w:val="000000"/>
          <w:sz w:val="32"/>
          <w:szCs w:val="32"/>
        </w:rPr>
      </w:pPr>
      <w:r>
        <w:rPr>
          <w:noProof/>
        </w:rPr>
        <w:drawing>
          <wp:anchor distT="0" distB="0" distL="114300" distR="114300" simplePos="0" relativeHeight="251662336" behindDoc="0" locked="0" layoutInCell="1" allowOverlap="1">
            <wp:simplePos x="0" y="0"/>
            <wp:positionH relativeFrom="column">
              <wp:posOffset>514350</wp:posOffset>
            </wp:positionH>
            <wp:positionV relativeFrom="paragraph">
              <wp:posOffset>1333500</wp:posOffset>
            </wp:positionV>
            <wp:extent cx="4572000" cy="2781300"/>
            <wp:effectExtent l="0" t="0" r="0" b="0"/>
            <wp:wrapNone/>
            <wp:docPr id="6" name="对象 6" descr="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ascii="仿宋" w:eastAsia="仿宋" w:hAnsi="仿宋"/>
          <w:color w:val="000000"/>
          <w:sz w:val="32"/>
          <w:szCs w:val="32"/>
        </w:rPr>
        <w:t>2020</w:t>
      </w:r>
      <w:r>
        <w:rPr>
          <w:rFonts w:ascii="仿宋" w:eastAsia="仿宋" w:hAnsi="仿宋" w:hint="eastAsia"/>
          <w:color w:val="000000"/>
          <w:sz w:val="32"/>
          <w:szCs w:val="32"/>
        </w:rPr>
        <w:t>年财政拨款收、支总计</w:t>
      </w:r>
      <w:r>
        <w:rPr>
          <w:rFonts w:ascii="仿宋" w:eastAsia="仿宋" w:hAnsi="仿宋" w:hint="eastAsia"/>
          <w:color w:val="000000"/>
          <w:sz w:val="32"/>
          <w:szCs w:val="32"/>
        </w:rPr>
        <w:t>8325.12</w:t>
      </w:r>
      <w:r>
        <w:rPr>
          <w:rFonts w:ascii="仿宋" w:eastAsia="仿宋" w:hAnsi="仿宋" w:hint="eastAsia"/>
          <w:color w:val="000000"/>
          <w:sz w:val="32"/>
          <w:szCs w:val="32"/>
        </w:rPr>
        <w:t>万元。与</w:t>
      </w:r>
      <w:r>
        <w:rPr>
          <w:rFonts w:ascii="仿宋" w:eastAsia="仿宋" w:hAnsi="仿宋"/>
          <w:color w:val="000000"/>
          <w:sz w:val="32"/>
          <w:szCs w:val="32"/>
        </w:rPr>
        <w:t>2019</w:t>
      </w:r>
      <w:r>
        <w:rPr>
          <w:rFonts w:ascii="仿宋" w:eastAsia="仿宋" w:hAnsi="仿宋" w:hint="eastAsia"/>
          <w:color w:val="000000"/>
          <w:sz w:val="32"/>
          <w:szCs w:val="32"/>
        </w:rPr>
        <w:t>年相比，财政拨款收、支总计各减少</w:t>
      </w:r>
      <w:r>
        <w:rPr>
          <w:rFonts w:ascii="仿宋" w:eastAsia="仿宋" w:hAnsi="仿宋" w:hint="eastAsia"/>
          <w:color w:val="000000"/>
          <w:sz w:val="32"/>
          <w:szCs w:val="32"/>
        </w:rPr>
        <w:t>528.06</w:t>
      </w:r>
      <w:r>
        <w:rPr>
          <w:rFonts w:ascii="仿宋" w:eastAsia="仿宋" w:hAnsi="仿宋" w:hint="eastAsia"/>
          <w:color w:val="000000"/>
          <w:sz w:val="32"/>
          <w:szCs w:val="32"/>
        </w:rPr>
        <w:t>万元，下降</w:t>
      </w:r>
      <w:r>
        <w:rPr>
          <w:rFonts w:ascii="仿宋" w:eastAsia="仿宋" w:hAnsi="仿宋" w:hint="eastAsia"/>
          <w:color w:val="000000"/>
          <w:sz w:val="32"/>
          <w:szCs w:val="32"/>
        </w:rPr>
        <w:t>6</w:t>
      </w:r>
      <w:r>
        <w:rPr>
          <w:rFonts w:ascii="仿宋" w:eastAsia="仿宋" w:hAnsi="仿宋"/>
          <w:color w:val="000000"/>
          <w:sz w:val="32"/>
          <w:szCs w:val="32"/>
        </w:rPr>
        <w:t>%</w:t>
      </w:r>
      <w:r>
        <w:rPr>
          <w:rFonts w:ascii="仿宋" w:eastAsia="仿宋" w:hAnsi="仿宋" w:hint="eastAsia"/>
          <w:color w:val="000000"/>
          <w:sz w:val="32"/>
          <w:szCs w:val="32"/>
        </w:rPr>
        <w:t>。主要变动原因是相比上一年度，减少了一部分的工程项目。</w:t>
      </w:r>
      <w:r>
        <w:rPr>
          <w:rFonts w:ascii="仿宋" w:eastAsia="仿宋" w:hint="eastAsia"/>
          <w:color w:val="000000"/>
          <w:sz w:val="32"/>
          <w:szCs w:val="32"/>
        </w:rPr>
        <w:t>（图</w:t>
      </w:r>
      <w:r>
        <w:rPr>
          <w:rFonts w:ascii="仿宋" w:eastAsia="仿宋" w:hint="eastAsia"/>
          <w:color w:val="000000"/>
          <w:sz w:val="32"/>
          <w:szCs w:val="32"/>
        </w:rPr>
        <w:t>4</w:t>
      </w:r>
      <w:r>
        <w:rPr>
          <w:rFonts w:ascii="仿宋" w:eastAsia="仿宋" w:hint="eastAsia"/>
          <w:color w:val="000000"/>
          <w:sz w:val="32"/>
          <w:szCs w:val="32"/>
        </w:rPr>
        <w:t>：财政拨款收、支决算总计变动情况）（柱状图）</w:t>
      </w:r>
    </w:p>
    <w:p w:rsidR="0068449C" w:rsidRDefault="0068449C">
      <w:pPr>
        <w:spacing w:line="600" w:lineRule="exact"/>
        <w:rPr>
          <w:rFonts w:ascii="仿宋" w:eastAsia="仿宋" w:hAnsi="仿宋"/>
          <w:color w:val="000000"/>
          <w:sz w:val="32"/>
          <w:szCs w:val="32"/>
        </w:rPr>
      </w:pPr>
    </w:p>
    <w:p w:rsidR="0068449C" w:rsidRDefault="0068449C">
      <w:pPr>
        <w:spacing w:line="600" w:lineRule="exact"/>
        <w:ind w:firstLine="640"/>
        <w:rPr>
          <w:rFonts w:ascii="仿宋" w:eastAsia="仿宋" w:hAnsi="仿宋"/>
          <w:b/>
          <w:color w:val="00B050"/>
          <w:sz w:val="32"/>
          <w:szCs w:val="32"/>
        </w:rPr>
      </w:pPr>
    </w:p>
    <w:p w:rsidR="0068449C" w:rsidRDefault="0068449C">
      <w:pPr>
        <w:spacing w:line="600" w:lineRule="exact"/>
        <w:ind w:firstLine="640"/>
        <w:rPr>
          <w:rFonts w:ascii="仿宋" w:eastAsia="仿宋" w:hAnsi="仿宋"/>
          <w:b/>
          <w:color w:val="00B050"/>
          <w:sz w:val="32"/>
          <w:szCs w:val="32"/>
        </w:rPr>
      </w:pPr>
    </w:p>
    <w:p w:rsidR="0068449C" w:rsidRDefault="0068449C">
      <w:pPr>
        <w:spacing w:line="600" w:lineRule="exact"/>
        <w:ind w:firstLine="640"/>
        <w:rPr>
          <w:rFonts w:ascii="仿宋" w:eastAsia="仿宋" w:hAnsi="仿宋"/>
          <w:b/>
          <w:color w:val="00B050"/>
          <w:sz w:val="32"/>
          <w:szCs w:val="32"/>
        </w:rPr>
      </w:pPr>
    </w:p>
    <w:p w:rsidR="0068449C" w:rsidRDefault="0068449C">
      <w:pPr>
        <w:spacing w:line="600" w:lineRule="exact"/>
        <w:ind w:firstLine="640"/>
        <w:rPr>
          <w:rFonts w:ascii="仿宋" w:eastAsia="仿宋" w:hAnsi="仿宋"/>
          <w:b/>
          <w:color w:val="00B050"/>
          <w:sz w:val="32"/>
          <w:szCs w:val="32"/>
        </w:rPr>
      </w:pPr>
    </w:p>
    <w:p w:rsidR="0068449C" w:rsidRDefault="0068449C">
      <w:pPr>
        <w:spacing w:line="600" w:lineRule="exact"/>
        <w:rPr>
          <w:rFonts w:ascii="仿宋" w:eastAsia="仿宋" w:hAnsi="仿宋"/>
          <w:b/>
          <w:color w:val="00B050"/>
          <w:sz w:val="32"/>
          <w:szCs w:val="32"/>
        </w:rPr>
      </w:pPr>
    </w:p>
    <w:p w:rsidR="0068449C" w:rsidRDefault="00A3283D">
      <w:pPr>
        <w:spacing w:line="600" w:lineRule="exact"/>
        <w:ind w:firstLine="640"/>
        <w:outlineLvl w:val="1"/>
        <w:rPr>
          <w:rStyle w:val="2Char"/>
          <w:rFonts w:ascii="黑体" w:eastAsia="黑体" w:hAnsi="黑体"/>
          <w:b w:val="0"/>
          <w:bCs w:val="0"/>
        </w:rPr>
      </w:pPr>
      <w:bookmarkStart w:id="33" w:name="_Toc15377209"/>
      <w:bookmarkStart w:id="34" w:name="_Toc15396607"/>
      <w:r>
        <w:rPr>
          <w:rFonts w:ascii="黑体" w:eastAsia="黑体" w:hAnsi="黑体" w:hint="eastAsia"/>
          <w:color w:val="000000"/>
          <w:sz w:val="32"/>
          <w:szCs w:val="32"/>
        </w:rPr>
        <w:t>五、</w:t>
      </w:r>
      <w:r>
        <w:rPr>
          <w:rFonts w:ascii="黑体" w:eastAsia="黑体" w:hAnsi="黑体" w:hint="eastAsia"/>
          <w:b/>
          <w:color w:val="000000"/>
          <w:sz w:val="32"/>
          <w:szCs w:val="32"/>
        </w:rPr>
        <w:t>一</w:t>
      </w:r>
      <w:r>
        <w:rPr>
          <w:rStyle w:val="2Char"/>
          <w:rFonts w:ascii="黑体" w:eastAsia="黑体" w:hAnsi="黑体" w:hint="eastAsia"/>
          <w:b w:val="0"/>
        </w:rPr>
        <w:t>般公共预算财政拨款支出决算情况说明</w:t>
      </w:r>
      <w:bookmarkEnd w:id="33"/>
      <w:bookmarkEnd w:id="34"/>
    </w:p>
    <w:p w:rsidR="0068449C" w:rsidRDefault="00A3283D">
      <w:pPr>
        <w:spacing w:line="600" w:lineRule="exact"/>
        <w:ind w:firstLine="643"/>
        <w:outlineLvl w:val="2"/>
        <w:rPr>
          <w:rFonts w:ascii="仿宋" w:eastAsia="仿宋" w:hAnsi="仿宋"/>
          <w:b/>
          <w:color w:val="000000"/>
          <w:sz w:val="32"/>
          <w:szCs w:val="32"/>
        </w:rPr>
      </w:pPr>
      <w:bookmarkStart w:id="35" w:name="_Toc15377210"/>
      <w:r>
        <w:rPr>
          <w:rFonts w:ascii="仿宋" w:eastAsia="仿宋" w:hAnsi="仿宋" w:hint="eastAsia"/>
          <w:b/>
          <w:color w:val="000000"/>
          <w:sz w:val="32"/>
          <w:szCs w:val="32"/>
        </w:rPr>
        <w:t>（一）一般公共预算财政拨款支出决算总体情况</w:t>
      </w:r>
      <w:bookmarkEnd w:id="35"/>
    </w:p>
    <w:p w:rsidR="0068449C" w:rsidRDefault="00A3283D">
      <w:pPr>
        <w:spacing w:line="600" w:lineRule="exact"/>
        <w:ind w:firstLine="640"/>
        <w:rPr>
          <w:rFonts w:ascii="仿宋" w:eastAsia="仿宋"/>
          <w:color w:val="000000"/>
          <w:sz w:val="32"/>
          <w:szCs w:val="32"/>
        </w:rPr>
      </w:pPr>
      <w:r>
        <w:rPr>
          <w:noProof/>
        </w:rPr>
        <w:drawing>
          <wp:anchor distT="0" distB="0" distL="114300" distR="114300" simplePos="0" relativeHeight="251663360" behindDoc="0" locked="0" layoutInCell="1" allowOverlap="1">
            <wp:simplePos x="0" y="0"/>
            <wp:positionH relativeFrom="column">
              <wp:posOffset>514350</wp:posOffset>
            </wp:positionH>
            <wp:positionV relativeFrom="paragraph">
              <wp:posOffset>1810385</wp:posOffset>
            </wp:positionV>
            <wp:extent cx="4571365" cy="2780665"/>
            <wp:effectExtent l="0" t="0" r="0" b="0"/>
            <wp:wrapNone/>
            <wp:docPr id="7" name="对象 7" descr="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ascii="仿宋" w:eastAsia="仿宋" w:hAnsi="仿宋"/>
          <w:color w:val="000000"/>
          <w:sz w:val="32"/>
          <w:szCs w:val="32"/>
        </w:rPr>
        <w:t>2020</w:t>
      </w:r>
      <w:r>
        <w:rPr>
          <w:rFonts w:ascii="仿宋" w:eastAsia="仿宋" w:hAnsi="仿宋" w:hint="eastAsia"/>
          <w:color w:val="000000"/>
          <w:sz w:val="32"/>
          <w:szCs w:val="32"/>
        </w:rPr>
        <w:t>年一般公共预算财政拨款支出</w:t>
      </w:r>
      <w:r>
        <w:rPr>
          <w:rFonts w:ascii="仿宋" w:eastAsia="仿宋" w:hAnsi="仿宋" w:hint="eastAsia"/>
          <w:color w:val="000000"/>
          <w:sz w:val="32"/>
          <w:szCs w:val="32"/>
        </w:rPr>
        <w:t>4162.56</w:t>
      </w:r>
      <w:r>
        <w:rPr>
          <w:rFonts w:ascii="仿宋" w:eastAsia="仿宋" w:hAnsi="仿宋" w:hint="eastAsia"/>
          <w:color w:val="000000"/>
          <w:sz w:val="32"/>
          <w:szCs w:val="32"/>
        </w:rPr>
        <w:t>万元，占本年支出合计的</w:t>
      </w:r>
      <w:r>
        <w:rPr>
          <w:rFonts w:ascii="仿宋" w:eastAsia="仿宋" w:hAnsi="仿宋" w:hint="eastAsia"/>
          <w:color w:val="000000"/>
          <w:sz w:val="32"/>
          <w:szCs w:val="32"/>
        </w:rPr>
        <w:t>99.83</w:t>
      </w:r>
      <w:r>
        <w:rPr>
          <w:rFonts w:ascii="仿宋" w:eastAsia="仿宋" w:hAnsi="仿宋"/>
          <w:color w:val="000000"/>
          <w:sz w:val="32"/>
          <w:szCs w:val="32"/>
        </w:rPr>
        <w:t>%</w:t>
      </w:r>
      <w:r>
        <w:rPr>
          <w:rFonts w:ascii="仿宋" w:eastAsia="仿宋" w:hAnsi="仿宋" w:hint="eastAsia"/>
          <w:color w:val="000000"/>
          <w:sz w:val="32"/>
          <w:szCs w:val="32"/>
        </w:rPr>
        <w:t>。与</w:t>
      </w:r>
      <w:r>
        <w:rPr>
          <w:rFonts w:ascii="仿宋" w:eastAsia="仿宋" w:hAnsi="仿宋"/>
          <w:color w:val="000000"/>
          <w:sz w:val="32"/>
          <w:szCs w:val="32"/>
        </w:rPr>
        <w:t>2019</w:t>
      </w:r>
      <w:r>
        <w:rPr>
          <w:rFonts w:ascii="仿宋" w:eastAsia="仿宋" w:hAnsi="仿宋" w:hint="eastAsia"/>
          <w:color w:val="000000"/>
          <w:sz w:val="32"/>
          <w:szCs w:val="32"/>
        </w:rPr>
        <w:t>年相比，一般公共预算财政拨款减少</w:t>
      </w:r>
      <w:r>
        <w:rPr>
          <w:rFonts w:ascii="仿宋" w:eastAsia="仿宋" w:hAnsi="仿宋" w:hint="eastAsia"/>
          <w:color w:val="000000"/>
          <w:sz w:val="32"/>
          <w:szCs w:val="32"/>
        </w:rPr>
        <w:t>264.03</w:t>
      </w:r>
      <w:r>
        <w:rPr>
          <w:rFonts w:ascii="仿宋" w:eastAsia="仿宋" w:hAnsi="仿宋" w:hint="eastAsia"/>
          <w:color w:val="000000"/>
          <w:sz w:val="32"/>
          <w:szCs w:val="32"/>
        </w:rPr>
        <w:t>万元，下降</w:t>
      </w:r>
      <w:r>
        <w:rPr>
          <w:rFonts w:ascii="仿宋" w:eastAsia="仿宋" w:hAnsi="仿宋" w:hint="eastAsia"/>
          <w:color w:val="000000"/>
          <w:sz w:val="32"/>
          <w:szCs w:val="32"/>
        </w:rPr>
        <w:t>6</w:t>
      </w:r>
      <w:r>
        <w:rPr>
          <w:rFonts w:ascii="仿宋" w:eastAsia="仿宋" w:hAnsi="仿宋"/>
          <w:color w:val="000000"/>
          <w:sz w:val="32"/>
          <w:szCs w:val="32"/>
        </w:rPr>
        <w:t>%</w:t>
      </w:r>
      <w:r>
        <w:rPr>
          <w:rFonts w:ascii="仿宋" w:eastAsia="仿宋" w:hAnsi="仿宋" w:hint="eastAsia"/>
          <w:color w:val="000000"/>
          <w:sz w:val="32"/>
          <w:szCs w:val="32"/>
        </w:rPr>
        <w:t>。主要变动原因是相比上一年度，减少了一部分的工程项目。</w:t>
      </w:r>
      <w:r>
        <w:rPr>
          <w:rFonts w:ascii="仿宋" w:eastAsia="仿宋" w:hint="eastAsia"/>
          <w:color w:val="000000"/>
          <w:sz w:val="32"/>
          <w:szCs w:val="32"/>
        </w:rPr>
        <w:t>（图</w:t>
      </w:r>
      <w:r>
        <w:rPr>
          <w:rFonts w:ascii="仿宋" w:eastAsia="仿宋" w:hint="eastAsia"/>
          <w:color w:val="000000"/>
          <w:sz w:val="32"/>
          <w:szCs w:val="32"/>
        </w:rPr>
        <w:t>5</w:t>
      </w:r>
      <w:r>
        <w:rPr>
          <w:rFonts w:ascii="仿宋" w:eastAsia="仿宋" w:hint="eastAsia"/>
          <w:color w:val="000000"/>
          <w:sz w:val="32"/>
          <w:szCs w:val="32"/>
        </w:rPr>
        <w:t>：一般公共预算财政拨款支出决算变动情况）（柱状图）</w:t>
      </w:r>
    </w:p>
    <w:p w:rsidR="0068449C" w:rsidRDefault="0068449C">
      <w:pPr>
        <w:spacing w:line="600" w:lineRule="exact"/>
        <w:ind w:firstLine="640"/>
        <w:rPr>
          <w:rFonts w:ascii="仿宋" w:eastAsia="仿宋" w:hAnsi="仿宋"/>
          <w:color w:val="000000"/>
          <w:sz w:val="32"/>
          <w:szCs w:val="32"/>
        </w:rPr>
      </w:pPr>
    </w:p>
    <w:p w:rsidR="0068449C" w:rsidRDefault="0068449C">
      <w:pPr>
        <w:spacing w:line="600" w:lineRule="exact"/>
        <w:rPr>
          <w:rFonts w:ascii="仿宋" w:eastAsia="仿宋" w:hAnsi="仿宋"/>
          <w:color w:val="000000"/>
          <w:sz w:val="32"/>
          <w:szCs w:val="32"/>
        </w:rPr>
      </w:pPr>
    </w:p>
    <w:p w:rsidR="0068449C" w:rsidRDefault="0068449C">
      <w:pPr>
        <w:spacing w:line="600" w:lineRule="exact"/>
        <w:rPr>
          <w:rFonts w:ascii="仿宋" w:eastAsia="仿宋" w:hAnsi="仿宋"/>
          <w:color w:val="000000"/>
          <w:sz w:val="32"/>
          <w:szCs w:val="32"/>
        </w:rPr>
      </w:pPr>
    </w:p>
    <w:p w:rsidR="0068449C" w:rsidRDefault="0068449C">
      <w:pPr>
        <w:spacing w:line="600" w:lineRule="exact"/>
        <w:rPr>
          <w:rFonts w:ascii="仿宋" w:eastAsia="仿宋" w:hAnsi="仿宋"/>
          <w:color w:val="000000"/>
          <w:sz w:val="32"/>
          <w:szCs w:val="32"/>
        </w:rPr>
      </w:pPr>
    </w:p>
    <w:p w:rsidR="0068449C" w:rsidRDefault="0068449C">
      <w:pPr>
        <w:spacing w:line="600" w:lineRule="exact"/>
        <w:rPr>
          <w:rFonts w:ascii="仿宋" w:eastAsia="仿宋" w:hAnsi="仿宋"/>
          <w:color w:val="000000"/>
          <w:sz w:val="32"/>
          <w:szCs w:val="32"/>
        </w:rPr>
      </w:pPr>
    </w:p>
    <w:p w:rsidR="0068449C" w:rsidRDefault="0068449C">
      <w:pPr>
        <w:spacing w:line="600" w:lineRule="exact"/>
        <w:rPr>
          <w:rFonts w:ascii="仿宋" w:eastAsia="仿宋" w:hAnsi="仿宋"/>
          <w:color w:val="000000"/>
          <w:sz w:val="32"/>
          <w:szCs w:val="32"/>
        </w:rPr>
      </w:pPr>
    </w:p>
    <w:p w:rsidR="0068449C" w:rsidRDefault="0068449C">
      <w:pPr>
        <w:spacing w:line="600" w:lineRule="exact"/>
        <w:rPr>
          <w:rFonts w:ascii="仿宋" w:eastAsia="仿宋" w:hAnsi="仿宋"/>
          <w:color w:val="000000"/>
          <w:sz w:val="32"/>
          <w:szCs w:val="32"/>
        </w:rPr>
      </w:pPr>
    </w:p>
    <w:p w:rsidR="0068449C" w:rsidRDefault="00A3283D">
      <w:pPr>
        <w:spacing w:line="600" w:lineRule="exact"/>
        <w:ind w:firstLine="643"/>
        <w:outlineLvl w:val="2"/>
        <w:rPr>
          <w:rFonts w:ascii="仿宋" w:eastAsia="仿宋" w:hAnsi="仿宋"/>
          <w:b/>
          <w:color w:val="000000"/>
          <w:sz w:val="32"/>
          <w:szCs w:val="32"/>
        </w:rPr>
      </w:pPr>
      <w:bookmarkStart w:id="36" w:name="_Toc15377211"/>
      <w:r>
        <w:rPr>
          <w:rFonts w:ascii="仿宋" w:eastAsia="仿宋" w:hAnsi="仿宋" w:hint="eastAsia"/>
          <w:b/>
          <w:color w:val="000000"/>
          <w:sz w:val="32"/>
          <w:szCs w:val="32"/>
        </w:rPr>
        <w:t>（二）一般公共预算财政拨款支出决算结构情况</w:t>
      </w:r>
      <w:bookmarkEnd w:id="36"/>
    </w:p>
    <w:p w:rsidR="0068449C" w:rsidRDefault="00A3283D">
      <w:pPr>
        <w:spacing w:line="600" w:lineRule="exact"/>
        <w:ind w:firstLine="640"/>
        <w:rPr>
          <w:rFonts w:ascii="仿宋" w:eastAsia="仿宋"/>
          <w:color w:val="000000"/>
          <w:sz w:val="32"/>
          <w:szCs w:val="32"/>
        </w:rPr>
      </w:pPr>
      <w:r>
        <w:rPr>
          <w:rFonts w:ascii="仿宋" w:eastAsia="仿宋" w:hAnsi="仿宋"/>
          <w:color w:val="000000"/>
          <w:sz w:val="32"/>
          <w:szCs w:val="32"/>
        </w:rPr>
        <w:t>2020</w:t>
      </w:r>
      <w:r>
        <w:rPr>
          <w:rFonts w:ascii="仿宋" w:eastAsia="仿宋" w:hAnsi="仿宋" w:hint="eastAsia"/>
          <w:color w:val="000000"/>
          <w:sz w:val="32"/>
          <w:szCs w:val="32"/>
        </w:rPr>
        <w:t>年一般公共预算财政拨款支出</w:t>
      </w:r>
      <w:r>
        <w:rPr>
          <w:rFonts w:ascii="仿宋" w:eastAsia="仿宋" w:hAnsi="仿宋" w:hint="eastAsia"/>
          <w:color w:val="000000"/>
          <w:sz w:val="32"/>
          <w:szCs w:val="32"/>
        </w:rPr>
        <w:t>4169.56</w:t>
      </w:r>
      <w:r>
        <w:rPr>
          <w:rFonts w:ascii="仿宋" w:eastAsia="仿宋" w:hAnsi="仿宋" w:hint="eastAsia"/>
          <w:color w:val="000000"/>
          <w:sz w:val="32"/>
          <w:szCs w:val="32"/>
        </w:rPr>
        <w:t>万元，主要用于以下方面</w:t>
      </w:r>
      <w:r>
        <w:rPr>
          <w:rFonts w:ascii="仿宋" w:eastAsia="仿宋" w:hAnsi="仿宋"/>
          <w:color w:val="000000"/>
          <w:sz w:val="32"/>
          <w:szCs w:val="32"/>
        </w:rPr>
        <w:t>:</w:t>
      </w:r>
      <w:r>
        <w:rPr>
          <w:rFonts w:ascii="仿宋" w:eastAsia="仿宋" w:hAnsi="仿宋" w:hint="eastAsia"/>
          <w:b/>
          <w:color w:val="000000"/>
          <w:sz w:val="32"/>
          <w:szCs w:val="32"/>
        </w:rPr>
        <w:t>一般公共服务（类）</w:t>
      </w:r>
      <w:r>
        <w:rPr>
          <w:rFonts w:ascii="仿宋" w:eastAsia="仿宋" w:hAnsi="仿宋" w:hint="eastAsia"/>
          <w:color w:val="000000"/>
          <w:sz w:val="32"/>
          <w:szCs w:val="32"/>
        </w:rPr>
        <w:t>支出</w:t>
      </w:r>
      <w:r>
        <w:rPr>
          <w:rFonts w:ascii="仿宋" w:eastAsia="仿宋" w:hAnsi="仿宋" w:hint="eastAsia"/>
          <w:color w:val="000000"/>
          <w:sz w:val="32"/>
          <w:szCs w:val="32"/>
        </w:rPr>
        <w:t>5.2</w:t>
      </w:r>
      <w:r>
        <w:rPr>
          <w:rFonts w:ascii="仿宋" w:eastAsia="仿宋" w:hAnsi="仿宋" w:hint="eastAsia"/>
          <w:color w:val="000000"/>
          <w:sz w:val="32"/>
          <w:szCs w:val="32"/>
        </w:rPr>
        <w:t>万元，占</w:t>
      </w:r>
      <w:r>
        <w:rPr>
          <w:rFonts w:ascii="仿宋" w:eastAsia="仿宋" w:hAnsi="仿宋" w:hint="eastAsia"/>
          <w:color w:val="000000"/>
          <w:sz w:val="32"/>
          <w:szCs w:val="32"/>
        </w:rPr>
        <w:t>0.12</w:t>
      </w:r>
      <w:r>
        <w:rPr>
          <w:rFonts w:ascii="仿宋" w:eastAsia="仿宋" w:hAnsi="仿宋"/>
          <w:color w:val="000000"/>
          <w:sz w:val="32"/>
          <w:szCs w:val="32"/>
        </w:rPr>
        <w:t>%</w:t>
      </w:r>
      <w:r>
        <w:rPr>
          <w:rFonts w:ascii="仿宋" w:eastAsia="仿宋" w:hAnsi="仿宋" w:hint="eastAsia"/>
          <w:color w:val="000000"/>
          <w:sz w:val="32"/>
          <w:szCs w:val="32"/>
        </w:rPr>
        <w:t>；</w:t>
      </w:r>
      <w:r>
        <w:rPr>
          <w:rFonts w:ascii="仿宋" w:eastAsia="仿宋" w:hAnsi="仿宋" w:hint="eastAsia"/>
          <w:b/>
          <w:color w:val="000000"/>
          <w:sz w:val="32"/>
          <w:szCs w:val="32"/>
        </w:rPr>
        <w:t>教育支出（类）</w:t>
      </w:r>
      <w:r>
        <w:rPr>
          <w:rFonts w:ascii="仿宋" w:eastAsia="仿宋" w:hAnsi="仿宋" w:hint="eastAsia"/>
          <w:color w:val="000000"/>
          <w:sz w:val="32"/>
          <w:szCs w:val="32"/>
        </w:rPr>
        <w:t>3587.99</w:t>
      </w:r>
      <w:r>
        <w:rPr>
          <w:rFonts w:ascii="仿宋" w:eastAsia="仿宋" w:hAnsi="仿宋" w:hint="eastAsia"/>
          <w:color w:val="000000"/>
          <w:sz w:val="32"/>
          <w:szCs w:val="32"/>
        </w:rPr>
        <w:t>万元，占</w:t>
      </w:r>
      <w:r>
        <w:rPr>
          <w:rFonts w:ascii="仿宋" w:eastAsia="仿宋" w:hAnsi="仿宋" w:hint="eastAsia"/>
          <w:color w:val="000000"/>
          <w:sz w:val="32"/>
          <w:szCs w:val="32"/>
        </w:rPr>
        <w:t>86.05</w:t>
      </w:r>
      <w:r>
        <w:rPr>
          <w:rFonts w:ascii="仿宋" w:eastAsia="仿宋" w:hAnsi="仿宋"/>
          <w:color w:val="000000"/>
          <w:sz w:val="32"/>
          <w:szCs w:val="32"/>
        </w:rPr>
        <w:t>%</w:t>
      </w:r>
      <w:r>
        <w:rPr>
          <w:rFonts w:ascii="仿宋" w:eastAsia="仿宋" w:hAnsi="仿宋" w:hint="eastAsia"/>
          <w:color w:val="000000"/>
          <w:sz w:val="32"/>
          <w:szCs w:val="32"/>
        </w:rPr>
        <w:t>；</w:t>
      </w:r>
      <w:r>
        <w:rPr>
          <w:rFonts w:ascii="仿宋" w:eastAsia="仿宋" w:hAnsi="仿宋" w:hint="eastAsia"/>
          <w:b/>
          <w:color w:val="000000"/>
          <w:sz w:val="32"/>
          <w:szCs w:val="32"/>
        </w:rPr>
        <w:t>社会保障和就业（类）</w:t>
      </w:r>
      <w:r>
        <w:rPr>
          <w:rFonts w:ascii="仿宋" w:eastAsia="仿宋" w:hAnsi="仿宋" w:hint="eastAsia"/>
          <w:color w:val="000000"/>
          <w:sz w:val="32"/>
          <w:szCs w:val="32"/>
        </w:rPr>
        <w:t>支出</w:t>
      </w:r>
      <w:r>
        <w:rPr>
          <w:rFonts w:ascii="仿宋" w:eastAsia="仿宋" w:hAnsi="仿宋" w:hint="eastAsia"/>
          <w:color w:val="000000"/>
          <w:sz w:val="32"/>
          <w:szCs w:val="32"/>
        </w:rPr>
        <w:t>290.14</w:t>
      </w:r>
      <w:r>
        <w:rPr>
          <w:rFonts w:ascii="仿宋" w:eastAsia="仿宋" w:hAnsi="仿宋" w:hint="eastAsia"/>
          <w:color w:val="000000"/>
          <w:sz w:val="32"/>
          <w:szCs w:val="32"/>
        </w:rPr>
        <w:t>万元，占</w:t>
      </w:r>
      <w:r>
        <w:rPr>
          <w:rFonts w:ascii="仿宋" w:eastAsia="仿宋" w:hAnsi="仿宋" w:hint="eastAsia"/>
          <w:color w:val="000000"/>
          <w:sz w:val="32"/>
          <w:szCs w:val="32"/>
        </w:rPr>
        <w:t>6.96</w:t>
      </w:r>
      <w:r>
        <w:rPr>
          <w:rFonts w:ascii="仿宋" w:eastAsia="仿宋" w:hAnsi="仿宋"/>
          <w:color w:val="000000"/>
          <w:sz w:val="32"/>
          <w:szCs w:val="32"/>
        </w:rPr>
        <w:t>%</w:t>
      </w:r>
      <w:r>
        <w:rPr>
          <w:rFonts w:ascii="仿宋" w:eastAsia="仿宋" w:hAnsi="仿宋" w:hint="eastAsia"/>
          <w:color w:val="000000"/>
          <w:sz w:val="32"/>
          <w:szCs w:val="32"/>
        </w:rPr>
        <w:t>；住房保障支出</w:t>
      </w:r>
      <w:r>
        <w:rPr>
          <w:rFonts w:ascii="仿宋" w:eastAsia="仿宋" w:hAnsi="仿宋" w:hint="eastAsia"/>
          <w:color w:val="000000"/>
          <w:sz w:val="32"/>
          <w:szCs w:val="32"/>
        </w:rPr>
        <w:t>265.96</w:t>
      </w:r>
      <w:r>
        <w:rPr>
          <w:rFonts w:ascii="仿宋" w:eastAsia="仿宋" w:hAnsi="仿宋" w:hint="eastAsia"/>
          <w:color w:val="000000"/>
          <w:sz w:val="32"/>
          <w:szCs w:val="32"/>
        </w:rPr>
        <w:t>万元，占</w:t>
      </w:r>
      <w:r>
        <w:rPr>
          <w:rFonts w:ascii="仿宋" w:eastAsia="仿宋" w:hAnsi="仿宋" w:hint="eastAsia"/>
          <w:color w:val="000000"/>
          <w:sz w:val="32"/>
          <w:szCs w:val="32"/>
        </w:rPr>
        <w:t>6.38</w:t>
      </w:r>
      <w:r>
        <w:rPr>
          <w:rFonts w:ascii="仿宋" w:eastAsia="仿宋" w:hAnsi="仿宋"/>
          <w:color w:val="000000"/>
          <w:sz w:val="32"/>
          <w:szCs w:val="32"/>
        </w:rPr>
        <w:t>%</w:t>
      </w:r>
      <w:r>
        <w:rPr>
          <w:rFonts w:ascii="仿宋" w:eastAsia="仿宋" w:hAnsi="仿宋" w:hint="eastAsia"/>
          <w:color w:val="000000"/>
          <w:sz w:val="32"/>
          <w:szCs w:val="32"/>
        </w:rPr>
        <w:t>；城乡社区（类）支出</w:t>
      </w:r>
      <w:r>
        <w:rPr>
          <w:rFonts w:ascii="仿宋" w:eastAsia="仿宋" w:hAnsi="仿宋" w:hint="eastAsia"/>
          <w:color w:val="000000"/>
          <w:sz w:val="32"/>
          <w:szCs w:val="32"/>
        </w:rPr>
        <w:t>20.27</w:t>
      </w:r>
      <w:r>
        <w:rPr>
          <w:rFonts w:ascii="仿宋" w:eastAsia="仿宋" w:hAnsi="仿宋" w:hint="eastAsia"/>
          <w:color w:val="000000"/>
          <w:sz w:val="32"/>
          <w:szCs w:val="32"/>
        </w:rPr>
        <w:t>，占</w:t>
      </w:r>
      <w:r>
        <w:rPr>
          <w:rFonts w:ascii="仿宋" w:eastAsia="仿宋" w:hAnsi="仿宋" w:hint="eastAsia"/>
          <w:color w:val="000000"/>
          <w:sz w:val="32"/>
          <w:szCs w:val="32"/>
        </w:rPr>
        <w:t>0.49%</w:t>
      </w:r>
      <w:r>
        <w:rPr>
          <w:rFonts w:ascii="仿宋" w:eastAsia="仿宋" w:hAnsi="仿宋" w:hint="eastAsia"/>
          <w:color w:val="000000"/>
          <w:sz w:val="32"/>
          <w:szCs w:val="32"/>
        </w:rPr>
        <w:t>。</w:t>
      </w:r>
      <w:r>
        <w:rPr>
          <w:rFonts w:ascii="仿宋" w:eastAsia="仿宋" w:hint="eastAsia"/>
          <w:color w:val="000000"/>
          <w:sz w:val="32"/>
          <w:szCs w:val="32"/>
        </w:rPr>
        <w:t>（图</w:t>
      </w:r>
      <w:r>
        <w:rPr>
          <w:rFonts w:ascii="仿宋" w:eastAsia="仿宋" w:hint="eastAsia"/>
          <w:color w:val="000000"/>
          <w:sz w:val="32"/>
          <w:szCs w:val="32"/>
        </w:rPr>
        <w:t>6</w:t>
      </w:r>
      <w:r>
        <w:rPr>
          <w:rFonts w:ascii="仿宋" w:eastAsia="仿宋" w:hint="eastAsia"/>
          <w:color w:val="000000"/>
          <w:sz w:val="32"/>
          <w:szCs w:val="32"/>
        </w:rPr>
        <w:t>：一般公共预算财政拨款支出决算结构）（饼状图）</w:t>
      </w:r>
    </w:p>
    <w:p w:rsidR="0068449C" w:rsidRDefault="00A3283D">
      <w:pPr>
        <w:spacing w:line="600" w:lineRule="exact"/>
        <w:ind w:firstLine="640"/>
        <w:rPr>
          <w:rFonts w:ascii="仿宋" w:eastAsia="仿宋"/>
          <w:color w:val="000000"/>
          <w:sz w:val="32"/>
          <w:szCs w:val="32"/>
        </w:rPr>
      </w:pPr>
      <w:r>
        <w:rPr>
          <w:noProof/>
        </w:rPr>
        <w:lastRenderedPageBreak/>
        <w:drawing>
          <wp:anchor distT="0" distB="0" distL="114300" distR="114300" simplePos="0" relativeHeight="251664384" behindDoc="0" locked="0" layoutInCell="1" allowOverlap="1">
            <wp:simplePos x="0" y="0"/>
            <wp:positionH relativeFrom="column">
              <wp:posOffset>-161925</wp:posOffset>
            </wp:positionH>
            <wp:positionV relativeFrom="paragraph">
              <wp:posOffset>219075</wp:posOffset>
            </wp:positionV>
            <wp:extent cx="5838825" cy="3343275"/>
            <wp:effectExtent l="0" t="0" r="0" b="0"/>
            <wp:wrapSquare wrapText="bothSides"/>
            <wp:docPr id="8" name="对象 8" descr="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68449C" w:rsidRDefault="00A3283D">
      <w:pPr>
        <w:spacing w:line="600" w:lineRule="exact"/>
        <w:ind w:firstLine="643"/>
        <w:outlineLvl w:val="2"/>
        <w:rPr>
          <w:rFonts w:ascii="仿宋" w:eastAsia="仿宋" w:hAnsi="仿宋"/>
          <w:b/>
          <w:color w:val="000000"/>
          <w:sz w:val="32"/>
          <w:szCs w:val="32"/>
        </w:rPr>
      </w:pPr>
      <w:bookmarkStart w:id="37" w:name="_Toc15377212"/>
      <w:r>
        <w:rPr>
          <w:rFonts w:ascii="仿宋" w:eastAsia="仿宋" w:hAnsi="仿宋" w:hint="eastAsia"/>
          <w:b/>
          <w:color w:val="000000"/>
          <w:sz w:val="32"/>
          <w:szCs w:val="32"/>
        </w:rPr>
        <w:t>（三）一般公共预算财政拨款支出决算具体情况</w:t>
      </w:r>
      <w:bookmarkEnd w:id="37"/>
    </w:p>
    <w:p w:rsidR="0068449C" w:rsidRDefault="00A3283D">
      <w:pPr>
        <w:spacing w:line="600" w:lineRule="exact"/>
        <w:ind w:firstLine="643"/>
        <w:outlineLvl w:val="2"/>
        <w:rPr>
          <w:rFonts w:ascii="仿宋" w:eastAsia="仿宋" w:hAnsi="仿宋"/>
          <w:color w:val="FF0000"/>
          <w:sz w:val="32"/>
          <w:szCs w:val="32"/>
        </w:rPr>
      </w:pPr>
      <w:bookmarkStart w:id="38" w:name="_Toc15377213"/>
      <w:bookmarkStart w:id="39" w:name="_Toc15378460"/>
      <w:bookmarkStart w:id="40" w:name="_Toc15377444"/>
      <w:r>
        <w:rPr>
          <w:rFonts w:ascii="仿宋" w:eastAsia="仿宋" w:hAnsi="仿宋"/>
          <w:b/>
          <w:color w:val="000000"/>
          <w:sz w:val="32"/>
          <w:szCs w:val="32"/>
        </w:rPr>
        <w:t>2020</w:t>
      </w:r>
      <w:r>
        <w:rPr>
          <w:rFonts w:ascii="仿宋" w:eastAsia="仿宋" w:hAnsi="仿宋" w:hint="eastAsia"/>
          <w:b/>
          <w:color w:val="000000"/>
          <w:sz w:val="32"/>
          <w:szCs w:val="32"/>
        </w:rPr>
        <w:t>年一般公共预算支出决算数为</w:t>
      </w:r>
      <w:r>
        <w:rPr>
          <w:rFonts w:ascii="仿宋" w:eastAsia="仿宋" w:hAnsi="仿宋" w:hint="eastAsia"/>
          <w:b/>
          <w:color w:val="000000"/>
          <w:sz w:val="32"/>
          <w:szCs w:val="32"/>
        </w:rPr>
        <w:t>4169.56</w:t>
      </w:r>
      <w:r>
        <w:rPr>
          <w:rFonts w:ascii="仿宋" w:eastAsia="仿宋" w:hAnsi="仿宋" w:hint="eastAsia"/>
          <w:color w:val="000000"/>
          <w:sz w:val="32"/>
          <w:szCs w:val="32"/>
        </w:rPr>
        <w:t>，</w:t>
      </w:r>
      <w:r>
        <w:rPr>
          <w:rStyle w:val="aa"/>
          <w:rFonts w:ascii="仿宋" w:eastAsia="仿宋" w:hAnsi="仿宋" w:hint="eastAsia"/>
          <w:bCs/>
          <w:color w:val="000000"/>
          <w:sz w:val="32"/>
          <w:szCs w:val="32"/>
        </w:rPr>
        <w:t>完成预算</w:t>
      </w:r>
      <w:r>
        <w:rPr>
          <w:rStyle w:val="aa"/>
          <w:rFonts w:ascii="仿宋" w:eastAsia="仿宋" w:hAnsi="仿宋" w:hint="eastAsia"/>
          <w:bCs/>
          <w:color w:val="000000"/>
          <w:sz w:val="32"/>
          <w:szCs w:val="32"/>
        </w:rPr>
        <w:t>100</w:t>
      </w:r>
      <w:r>
        <w:rPr>
          <w:rStyle w:val="aa"/>
          <w:rFonts w:ascii="仿宋" w:eastAsia="仿宋" w:hAnsi="仿宋"/>
          <w:bCs/>
          <w:color w:val="000000"/>
          <w:sz w:val="32"/>
          <w:szCs w:val="32"/>
        </w:rPr>
        <w:t>%</w:t>
      </w:r>
      <w:r>
        <w:rPr>
          <w:rStyle w:val="aa"/>
          <w:rFonts w:ascii="仿宋" w:eastAsia="仿宋" w:hAnsi="仿宋" w:hint="eastAsia"/>
          <w:bCs/>
          <w:color w:val="000000"/>
          <w:sz w:val="32"/>
          <w:szCs w:val="32"/>
        </w:rPr>
        <w:t>。其中：</w:t>
      </w:r>
      <w:bookmarkEnd w:id="38"/>
      <w:bookmarkEnd w:id="39"/>
      <w:bookmarkEnd w:id="40"/>
    </w:p>
    <w:p w:rsidR="0068449C" w:rsidRDefault="00A3283D">
      <w:pPr>
        <w:spacing w:line="600" w:lineRule="exact"/>
        <w:ind w:firstLine="643"/>
        <w:rPr>
          <w:rFonts w:ascii="仿宋" w:eastAsia="仿宋" w:hAnsi="仿宋"/>
          <w:b/>
          <w:color w:val="000000"/>
          <w:sz w:val="32"/>
          <w:szCs w:val="32"/>
        </w:rPr>
      </w:pPr>
      <w:r>
        <w:rPr>
          <w:rStyle w:val="aa"/>
          <w:rFonts w:ascii="仿宋" w:eastAsia="仿宋" w:hAnsi="仿宋"/>
          <w:bCs/>
          <w:color w:val="000000"/>
          <w:sz w:val="32"/>
          <w:szCs w:val="32"/>
        </w:rPr>
        <w:t>1.</w:t>
      </w:r>
      <w:r>
        <w:rPr>
          <w:rStyle w:val="aa"/>
          <w:rFonts w:ascii="仿宋" w:eastAsia="仿宋" w:hAnsi="仿宋" w:hint="eastAsia"/>
          <w:bCs/>
          <w:color w:val="000000"/>
          <w:sz w:val="32"/>
          <w:szCs w:val="32"/>
        </w:rPr>
        <w:t>一般公共服务（类）人力资源事务（款）其他人力资源事务（项）</w:t>
      </w:r>
      <w:r>
        <w:rPr>
          <w:rStyle w:val="aa"/>
          <w:rFonts w:ascii="仿宋" w:eastAsia="仿宋" w:hAnsi="仿宋"/>
          <w:bCs/>
          <w:color w:val="000000"/>
          <w:sz w:val="32"/>
          <w:szCs w:val="32"/>
        </w:rPr>
        <w:t>:</w:t>
      </w:r>
      <w:r>
        <w:rPr>
          <w:rStyle w:val="aa"/>
          <w:rFonts w:ascii="仿宋" w:eastAsia="仿宋" w:hAnsi="仿宋" w:hint="eastAsia"/>
          <w:b w:val="0"/>
          <w:bCs/>
          <w:color w:val="000000"/>
          <w:sz w:val="32"/>
          <w:szCs w:val="32"/>
        </w:rPr>
        <w:t>支出决算为</w:t>
      </w:r>
      <w:r>
        <w:rPr>
          <w:rStyle w:val="aa"/>
          <w:rFonts w:ascii="仿宋" w:eastAsia="仿宋" w:hAnsi="仿宋" w:hint="eastAsia"/>
          <w:b w:val="0"/>
          <w:bCs/>
          <w:color w:val="000000"/>
          <w:sz w:val="32"/>
          <w:szCs w:val="32"/>
        </w:rPr>
        <w:t>5.2</w:t>
      </w:r>
      <w:r>
        <w:rPr>
          <w:rStyle w:val="aa"/>
          <w:rFonts w:ascii="仿宋" w:eastAsia="仿宋" w:hAnsi="仿宋" w:hint="eastAsia"/>
          <w:b w:val="0"/>
          <w:bCs/>
          <w:color w:val="000000"/>
          <w:sz w:val="32"/>
          <w:szCs w:val="32"/>
        </w:rPr>
        <w:t>万元，完成预算</w:t>
      </w:r>
      <w:r>
        <w:rPr>
          <w:rStyle w:val="aa"/>
          <w:rFonts w:ascii="仿宋" w:eastAsia="仿宋" w:hAnsi="仿宋" w:hint="eastAsia"/>
          <w:b w:val="0"/>
          <w:bCs/>
          <w:color w:val="000000"/>
          <w:sz w:val="32"/>
          <w:szCs w:val="32"/>
        </w:rPr>
        <w:t>100</w:t>
      </w:r>
      <w:r>
        <w:rPr>
          <w:rStyle w:val="aa"/>
          <w:rFonts w:ascii="仿宋" w:eastAsia="仿宋" w:hAnsi="仿宋"/>
          <w:b w:val="0"/>
          <w:bCs/>
          <w:color w:val="000000"/>
          <w:sz w:val="32"/>
          <w:szCs w:val="32"/>
        </w:rPr>
        <w:t>%</w:t>
      </w:r>
      <w:r>
        <w:rPr>
          <w:rStyle w:val="aa"/>
          <w:rFonts w:ascii="仿宋" w:eastAsia="仿宋" w:hAnsi="仿宋" w:hint="eastAsia"/>
          <w:b w:val="0"/>
          <w:bCs/>
          <w:color w:val="000000"/>
          <w:sz w:val="32"/>
          <w:szCs w:val="32"/>
        </w:rPr>
        <w:t>。</w:t>
      </w:r>
    </w:p>
    <w:p w:rsidR="0068449C" w:rsidRDefault="00A3283D">
      <w:pPr>
        <w:spacing w:line="600" w:lineRule="exact"/>
        <w:ind w:firstLine="643"/>
        <w:rPr>
          <w:rFonts w:ascii="仿宋" w:eastAsia="仿宋" w:hAnsi="仿宋"/>
          <w:b/>
          <w:color w:val="000000"/>
          <w:sz w:val="32"/>
          <w:szCs w:val="32"/>
        </w:rPr>
      </w:pPr>
      <w:r>
        <w:rPr>
          <w:rStyle w:val="aa"/>
          <w:rFonts w:ascii="仿宋" w:eastAsia="仿宋" w:hAnsi="仿宋"/>
          <w:bCs/>
          <w:color w:val="000000"/>
          <w:sz w:val="32"/>
          <w:szCs w:val="32"/>
        </w:rPr>
        <w:t>2.</w:t>
      </w:r>
      <w:r>
        <w:rPr>
          <w:rStyle w:val="aa"/>
          <w:rFonts w:ascii="仿宋" w:eastAsia="仿宋" w:hAnsi="仿宋" w:hint="eastAsia"/>
          <w:bCs/>
          <w:color w:val="000000"/>
          <w:sz w:val="32"/>
          <w:szCs w:val="32"/>
        </w:rPr>
        <w:t>教育（类）普通教育（款）初中教育（项）</w:t>
      </w:r>
      <w:r>
        <w:rPr>
          <w:rStyle w:val="aa"/>
          <w:rFonts w:ascii="仿宋" w:eastAsia="仿宋" w:hAnsi="仿宋"/>
          <w:bCs/>
          <w:color w:val="000000"/>
          <w:sz w:val="32"/>
          <w:szCs w:val="32"/>
        </w:rPr>
        <w:t>:</w:t>
      </w:r>
      <w:r>
        <w:rPr>
          <w:rStyle w:val="aa"/>
          <w:rFonts w:ascii="仿宋" w:eastAsia="仿宋" w:hAnsi="仿宋" w:hint="eastAsia"/>
          <w:b w:val="0"/>
          <w:bCs/>
          <w:color w:val="000000"/>
          <w:sz w:val="32"/>
          <w:szCs w:val="32"/>
        </w:rPr>
        <w:t>支出决算为</w:t>
      </w:r>
      <w:r>
        <w:rPr>
          <w:rStyle w:val="aa"/>
          <w:rFonts w:ascii="仿宋" w:eastAsia="仿宋" w:hAnsi="仿宋" w:hint="eastAsia"/>
          <w:b w:val="0"/>
          <w:bCs/>
          <w:color w:val="000000"/>
          <w:sz w:val="32"/>
          <w:szCs w:val="32"/>
        </w:rPr>
        <w:t>3482.07</w:t>
      </w:r>
      <w:r>
        <w:rPr>
          <w:rStyle w:val="aa"/>
          <w:rFonts w:ascii="仿宋" w:eastAsia="仿宋" w:hAnsi="仿宋" w:hint="eastAsia"/>
          <w:b w:val="0"/>
          <w:bCs/>
          <w:color w:val="000000"/>
          <w:sz w:val="32"/>
          <w:szCs w:val="32"/>
        </w:rPr>
        <w:t>万元，完成预算</w:t>
      </w:r>
      <w:r>
        <w:rPr>
          <w:rStyle w:val="aa"/>
          <w:rFonts w:ascii="仿宋" w:eastAsia="仿宋" w:hAnsi="仿宋" w:hint="eastAsia"/>
          <w:b w:val="0"/>
          <w:bCs/>
          <w:color w:val="000000"/>
          <w:sz w:val="32"/>
          <w:szCs w:val="32"/>
        </w:rPr>
        <w:t>100</w:t>
      </w:r>
      <w:r>
        <w:rPr>
          <w:rStyle w:val="aa"/>
          <w:rFonts w:ascii="仿宋" w:eastAsia="仿宋" w:hAnsi="仿宋"/>
          <w:b w:val="0"/>
          <w:bCs/>
          <w:color w:val="000000"/>
          <w:sz w:val="32"/>
          <w:szCs w:val="32"/>
        </w:rPr>
        <w:t>%</w:t>
      </w:r>
      <w:r>
        <w:rPr>
          <w:rStyle w:val="aa"/>
          <w:rFonts w:ascii="仿宋" w:eastAsia="仿宋" w:hAnsi="仿宋" w:hint="eastAsia"/>
          <w:b w:val="0"/>
          <w:bCs/>
          <w:color w:val="000000"/>
          <w:sz w:val="32"/>
          <w:szCs w:val="32"/>
        </w:rPr>
        <w:t>。</w:t>
      </w:r>
      <w:r>
        <w:rPr>
          <w:rStyle w:val="aa"/>
          <w:rFonts w:ascii="仿宋" w:eastAsia="仿宋" w:hAnsi="仿宋" w:hint="eastAsia"/>
          <w:bCs/>
          <w:color w:val="000000"/>
          <w:sz w:val="32"/>
          <w:szCs w:val="32"/>
        </w:rPr>
        <w:t>教育费附加安排的支出（款）其他教育费安排的支出（项）：</w:t>
      </w:r>
      <w:r>
        <w:rPr>
          <w:rStyle w:val="aa"/>
          <w:rFonts w:ascii="仿宋" w:eastAsia="仿宋" w:hAnsi="仿宋" w:hint="eastAsia"/>
          <w:b w:val="0"/>
          <w:bCs/>
          <w:color w:val="000000"/>
          <w:sz w:val="32"/>
          <w:szCs w:val="32"/>
        </w:rPr>
        <w:t>支出决算为</w:t>
      </w:r>
      <w:r>
        <w:rPr>
          <w:rStyle w:val="aa"/>
          <w:rFonts w:ascii="仿宋" w:eastAsia="仿宋" w:hAnsi="仿宋" w:hint="eastAsia"/>
          <w:b w:val="0"/>
          <w:bCs/>
          <w:color w:val="000000"/>
          <w:sz w:val="32"/>
          <w:szCs w:val="32"/>
        </w:rPr>
        <w:t>105.92</w:t>
      </w:r>
      <w:r>
        <w:rPr>
          <w:rStyle w:val="aa"/>
          <w:rFonts w:ascii="仿宋" w:eastAsia="仿宋" w:hAnsi="仿宋" w:hint="eastAsia"/>
          <w:b w:val="0"/>
          <w:bCs/>
          <w:color w:val="000000"/>
          <w:sz w:val="32"/>
          <w:szCs w:val="32"/>
        </w:rPr>
        <w:t>万元，完成预算</w:t>
      </w:r>
      <w:r>
        <w:rPr>
          <w:rStyle w:val="aa"/>
          <w:rFonts w:ascii="仿宋" w:eastAsia="仿宋" w:hAnsi="仿宋" w:hint="eastAsia"/>
          <w:b w:val="0"/>
          <w:bCs/>
          <w:color w:val="000000"/>
          <w:sz w:val="32"/>
          <w:szCs w:val="32"/>
        </w:rPr>
        <w:t>100%</w:t>
      </w:r>
      <w:r>
        <w:rPr>
          <w:rStyle w:val="aa"/>
          <w:rFonts w:ascii="仿宋" w:eastAsia="仿宋" w:hAnsi="仿宋" w:hint="eastAsia"/>
          <w:b w:val="0"/>
          <w:bCs/>
          <w:color w:val="000000"/>
          <w:sz w:val="32"/>
          <w:szCs w:val="32"/>
        </w:rPr>
        <w:t>。</w:t>
      </w:r>
    </w:p>
    <w:p w:rsidR="0068449C" w:rsidRDefault="00A3283D">
      <w:pPr>
        <w:spacing w:line="600" w:lineRule="exact"/>
        <w:ind w:firstLine="643"/>
        <w:rPr>
          <w:rStyle w:val="aa"/>
          <w:rFonts w:ascii="仿宋" w:eastAsia="仿宋" w:hAnsi="仿宋"/>
          <w:b w:val="0"/>
          <w:bCs/>
          <w:color w:val="000000"/>
          <w:sz w:val="32"/>
          <w:szCs w:val="32"/>
        </w:rPr>
      </w:pPr>
      <w:r>
        <w:rPr>
          <w:rStyle w:val="aa"/>
          <w:rFonts w:ascii="仿宋" w:eastAsia="仿宋" w:hAnsi="仿宋" w:hint="eastAsia"/>
          <w:bCs/>
          <w:color w:val="000000"/>
          <w:sz w:val="32"/>
          <w:szCs w:val="32"/>
        </w:rPr>
        <w:t>3</w:t>
      </w:r>
      <w:r>
        <w:rPr>
          <w:rStyle w:val="aa"/>
          <w:rFonts w:ascii="仿宋" w:eastAsia="仿宋" w:hAnsi="仿宋"/>
          <w:bCs/>
          <w:color w:val="000000"/>
          <w:sz w:val="32"/>
          <w:szCs w:val="32"/>
        </w:rPr>
        <w:t>.</w:t>
      </w:r>
      <w:r>
        <w:rPr>
          <w:rStyle w:val="aa"/>
          <w:rFonts w:ascii="仿宋" w:eastAsia="仿宋" w:hAnsi="仿宋" w:hint="eastAsia"/>
          <w:bCs/>
          <w:color w:val="000000"/>
          <w:sz w:val="32"/>
          <w:szCs w:val="32"/>
        </w:rPr>
        <w:t>社会保障和就业（类）行政事业单位养老支出（款）机关事业单位基本养老保险支出（项）</w:t>
      </w:r>
      <w:r>
        <w:rPr>
          <w:rStyle w:val="aa"/>
          <w:rFonts w:ascii="仿宋" w:eastAsia="仿宋" w:hAnsi="仿宋"/>
          <w:bCs/>
          <w:color w:val="000000"/>
          <w:sz w:val="32"/>
          <w:szCs w:val="32"/>
        </w:rPr>
        <w:t>:</w:t>
      </w:r>
      <w:r>
        <w:rPr>
          <w:rStyle w:val="aa"/>
          <w:rFonts w:ascii="仿宋" w:eastAsia="仿宋" w:hAnsi="仿宋" w:hint="eastAsia"/>
          <w:b w:val="0"/>
          <w:bCs/>
          <w:color w:val="000000"/>
          <w:sz w:val="32"/>
          <w:szCs w:val="32"/>
        </w:rPr>
        <w:t>支出决算为</w:t>
      </w:r>
      <w:r>
        <w:rPr>
          <w:rStyle w:val="aa"/>
          <w:rFonts w:ascii="仿宋" w:eastAsia="仿宋" w:hAnsi="仿宋" w:hint="eastAsia"/>
          <w:b w:val="0"/>
          <w:bCs/>
          <w:color w:val="000000"/>
          <w:sz w:val="32"/>
          <w:szCs w:val="32"/>
        </w:rPr>
        <w:t>209.15</w:t>
      </w:r>
      <w:r>
        <w:rPr>
          <w:rStyle w:val="aa"/>
          <w:rFonts w:ascii="仿宋" w:eastAsia="仿宋" w:hAnsi="仿宋" w:hint="eastAsia"/>
          <w:b w:val="0"/>
          <w:bCs/>
          <w:color w:val="000000"/>
          <w:sz w:val="32"/>
          <w:szCs w:val="32"/>
        </w:rPr>
        <w:lastRenderedPageBreak/>
        <w:t>万元，完成预算</w:t>
      </w:r>
      <w:r>
        <w:rPr>
          <w:rStyle w:val="aa"/>
          <w:rFonts w:ascii="仿宋" w:eastAsia="仿宋" w:hAnsi="仿宋" w:hint="eastAsia"/>
          <w:b w:val="0"/>
          <w:bCs/>
          <w:color w:val="000000"/>
          <w:sz w:val="32"/>
          <w:szCs w:val="32"/>
        </w:rPr>
        <w:t>100</w:t>
      </w:r>
      <w:r>
        <w:rPr>
          <w:rStyle w:val="aa"/>
          <w:rFonts w:ascii="仿宋" w:eastAsia="仿宋" w:hAnsi="仿宋"/>
          <w:b w:val="0"/>
          <w:bCs/>
          <w:color w:val="000000"/>
          <w:sz w:val="32"/>
          <w:szCs w:val="32"/>
        </w:rPr>
        <w:t>%</w:t>
      </w:r>
      <w:r>
        <w:rPr>
          <w:rStyle w:val="aa"/>
          <w:rFonts w:ascii="仿宋" w:eastAsia="仿宋" w:hAnsi="仿宋" w:hint="eastAsia"/>
          <w:b w:val="0"/>
          <w:bCs/>
          <w:color w:val="000000"/>
          <w:sz w:val="32"/>
          <w:szCs w:val="32"/>
        </w:rPr>
        <w:t>。</w:t>
      </w:r>
      <w:r>
        <w:rPr>
          <w:rStyle w:val="aa"/>
          <w:rFonts w:ascii="仿宋" w:eastAsia="仿宋" w:hAnsi="仿宋" w:hint="eastAsia"/>
          <w:bCs/>
          <w:color w:val="000000"/>
          <w:sz w:val="32"/>
          <w:szCs w:val="32"/>
        </w:rPr>
        <w:t>抚恤（款）死亡抚恤（项）</w:t>
      </w:r>
      <w:r>
        <w:rPr>
          <w:rStyle w:val="aa"/>
          <w:rFonts w:ascii="仿宋" w:eastAsia="仿宋" w:hAnsi="仿宋"/>
          <w:bCs/>
          <w:color w:val="000000"/>
          <w:sz w:val="32"/>
          <w:szCs w:val="32"/>
        </w:rPr>
        <w:t>:</w:t>
      </w:r>
      <w:r>
        <w:rPr>
          <w:rStyle w:val="aa"/>
          <w:rFonts w:ascii="仿宋" w:eastAsia="仿宋" w:hAnsi="仿宋" w:hint="eastAsia"/>
          <w:b w:val="0"/>
          <w:bCs/>
          <w:color w:val="000000"/>
          <w:sz w:val="32"/>
          <w:szCs w:val="32"/>
        </w:rPr>
        <w:t>支出决算为</w:t>
      </w:r>
      <w:r>
        <w:rPr>
          <w:rStyle w:val="aa"/>
          <w:rFonts w:ascii="仿宋" w:eastAsia="仿宋" w:hAnsi="仿宋" w:hint="eastAsia"/>
          <w:b w:val="0"/>
          <w:bCs/>
          <w:color w:val="000000"/>
          <w:sz w:val="32"/>
          <w:szCs w:val="32"/>
        </w:rPr>
        <w:t>4.74</w:t>
      </w:r>
      <w:r>
        <w:rPr>
          <w:rStyle w:val="aa"/>
          <w:rFonts w:ascii="仿宋" w:eastAsia="仿宋" w:hAnsi="仿宋" w:hint="eastAsia"/>
          <w:b w:val="0"/>
          <w:bCs/>
          <w:color w:val="000000"/>
          <w:sz w:val="32"/>
          <w:szCs w:val="32"/>
        </w:rPr>
        <w:t>万元，完成预算</w:t>
      </w:r>
      <w:r>
        <w:rPr>
          <w:rStyle w:val="aa"/>
          <w:rFonts w:ascii="仿宋" w:eastAsia="仿宋" w:hAnsi="仿宋" w:hint="eastAsia"/>
          <w:b w:val="0"/>
          <w:bCs/>
          <w:color w:val="000000"/>
          <w:sz w:val="32"/>
          <w:szCs w:val="32"/>
        </w:rPr>
        <w:t>100%</w:t>
      </w:r>
      <w:r>
        <w:rPr>
          <w:rStyle w:val="aa"/>
          <w:rFonts w:ascii="仿宋" w:eastAsia="仿宋" w:hAnsi="仿宋" w:hint="eastAsia"/>
          <w:b w:val="0"/>
          <w:bCs/>
          <w:color w:val="000000"/>
          <w:sz w:val="32"/>
          <w:szCs w:val="32"/>
        </w:rPr>
        <w:t>。</w:t>
      </w:r>
    </w:p>
    <w:p w:rsidR="0068449C" w:rsidRDefault="00A3283D">
      <w:pPr>
        <w:spacing w:line="600" w:lineRule="exact"/>
        <w:ind w:firstLine="643"/>
        <w:rPr>
          <w:rStyle w:val="aa"/>
          <w:rFonts w:ascii="仿宋" w:eastAsia="仿宋" w:hAnsi="仿宋"/>
          <w:b w:val="0"/>
          <w:bCs/>
          <w:color w:val="000000"/>
          <w:sz w:val="32"/>
          <w:szCs w:val="32"/>
        </w:rPr>
      </w:pPr>
      <w:r>
        <w:rPr>
          <w:rStyle w:val="aa"/>
          <w:rFonts w:ascii="仿宋" w:eastAsia="仿宋" w:hAnsi="仿宋" w:hint="eastAsia"/>
          <w:bCs/>
          <w:color w:val="000000"/>
          <w:sz w:val="32"/>
          <w:szCs w:val="32"/>
        </w:rPr>
        <w:t>4</w:t>
      </w:r>
      <w:r>
        <w:rPr>
          <w:rStyle w:val="aa"/>
          <w:rFonts w:ascii="仿宋" w:eastAsia="仿宋" w:hAnsi="仿宋"/>
          <w:bCs/>
          <w:color w:val="000000"/>
          <w:sz w:val="32"/>
          <w:szCs w:val="32"/>
        </w:rPr>
        <w:t>.</w:t>
      </w:r>
      <w:r>
        <w:rPr>
          <w:rStyle w:val="aa"/>
          <w:rFonts w:ascii="仿宋" w:eastAsia="仿宋" w:hAnsi="仿宋" w:hint="eastAsia"/>
          <w:bCs/>
          <w:color w:val="000000"/>
          <w:sz w:val="32"/>
          <w:szCs w:val="32"/>
        </w:rPr>
        <w:t>城乡社区支出（类）</w:t>
      </w:r>
      <w:r>
        <w:rPr>
          <w:rFonts w:ascii="仿宋" w:eastAsia="仿宋" w:hAnsi="仿宋" w:hint="eastAsia"/>
          <w:b/>
          <w:color w:val="000000"/>
          <w:sz w:val="32"/>
          <w:szCs w:val="32"/>
        </w:rPr>
        <w:t>国有土地使用权出让收入安排的支出（款）土地开发支出（项）：</w:t>
      </w:r>
      <w:r>
        <w:rPr>
          <w:rStyle w:val="aa"/>
          <w:rFonts w:ascii="仿宋" w:eastAsia="仿宋" w:hAnsi="仿宋" w:hint="eastAsia"/>
          <w:b w:val="0"/>
          <w:bCs/>
          <w:color w:val="000000"/>
          <w:sz w:val="32"/>
          <w:szCs w:val="32"/>
        </w:rPr>
        <w:t>支出决算为</w:t>
      </w:r>
      <w:r>
        <w:rPr>
          <w:rStyle w:val="aa"/>
          <w:rFonts w:ascii="仿宋" w:eastAsia="仿宋" w:hAnsi="仿宋" w:hint="eastAsia"/>
          <w:b w:val="0"/>
          <w:bCs/>
          <w:color w:val="000000"/>
          <w:sz w:val="32"/>
          <w:szCs w:val="32"/>
        </w:rPr>
        <w:t>20.27</w:t>
      </w:r>
      <w:r>
        <w:rPr>
          <w:rStyle w:val="aa"/>
          <w:rFonts w:ascii="仿宋" w:eastAsia="仿宋" w:hAnsi="仿宋" w:hint="eastAsia"/>
          <w:b w:val="0"/>
          <w:bCs/>
          <w:color w:val="000000"/>
          <w:sz w:val="32"/>
          <w:szCs w:val="32"/>
        </w:rPr>
        <w:t>万元，完成预算</w:t>
      </w:r>
      <w:r>
        <w:rPr>
          <w:rStyle w:val="aa"/>
          <w:rFonts w:ascii="仿宋" w:eastAsia="仿宋" w:hAnsi="仿宋" w:hint="eastAsia"/>
          <w:b w:val="0"/>
          <w:bCs/>
          <w:color w:val="000000"/>
          <w:sz w:val="32"/>
          <w:szCs w:val="32"/>
        </w:rPr>
        <w:t>100%</w:t>
      </w:r>
    </w:p>
    <w:p w:rsidR="0068449C" w:rsidRDefault="00A3283D">
      <w:pPr>
        <w:spacing w:line="600" w:lineRule="exact"/>
        <w:ind w:firstLine="643"/>
        <w:rPr>
          <w:rFonts w:ascii="仿宋" w:eastAsia="仿宋" w:hAnsi="仿宋"/>
          <w:b/>
          <w:color w:val="000000"/>
          <w:sz w:val="32"/>
          <w:szCs w:val="32"/>
        </w:rPr>
      </w:pPr>
      <w:r>
        <w:rPr>
          <w:rStyle w:val="aa"/>
          <w:rFonts w:ascii="仿宋" w:eastAsia="仿宋" w:hAnsi="仿宋" w:hint="eastAsia"/>
          <w:bCs/>
          <w:color w:val="000000"/>
          <w:sz w:val="32"/>
          <w:szCs w:val="32"/>
        </w:rPr>
        <w:t>5</w:t>
      </w:r>
      <w:r>
        <w:rPr>
          <w:rStyle w:val="aa"/>
          <w:rFonts w:ascii="仿宋" w:eastAsia="仿宋" w:hAnsi="仿宋"/>
          <w:bCs/>
          <w:color w:val="000000"/>
          <w:sz w:val="32"/>
          <w:szCs w:val="32"/>
        </w:rPr>
        <w:t>.</w:t>
      </w:r>
      <w:r>
        <w:rPr>
          <w:rStyle w:val="aa"/>
          <w:rFonts w:ascii="仿宋" w:eastAsia="仿宋" w:hAnsi="仿宋" w:hint="eastAsia"/>
          <w:bCs/>
          <w:color w:val="000000"/>
          <w:sz w:val="32"/>
          <w:szCs w:val="32"/>
        </w:rPr>
        <w:t>住房保障支出（类）住房改革支出（款）住房公积金（项）：</w:t>
      </w:r>
      <w:r>
        <w:rPr>
          <w:rStyle w:val="aa"/>
          <w:rFonts w:ascii="仿宋" w:eastAsia="仿宋" w:hAnsi="仿宋" w:hint="eastAsia"/>
          <w:b w:val="0"/>
          <w:bCs/>
          <w:color w:val="000000"/>
          <w:sz w:val="32"/>
          <w:szCs w:val="32"/>
        </w:rPr>
        <w:t>支出决算为</w:t>
      </w:r>
      <w:r>
        <w:rPr>
          <w:rStyle w:val="aa"/>
          <w:rFonts w:ascii="仿宋" w:eastAsia="仿宋" w:hAnsi="仿宋" w:hint="eastAsia"/>
          <w:b w:val="0"/>
          <w:bCs/>
          <w:color w:val="000000"/>
          <w:sz w:val="32"/>
          <w:szCs w:val="32"/>
        </w:rPr>
        <w:t>265.96</w:t>
      </w:r>
      <w:r>
        <w:rPr>
          <w:rStyle w:val="aa"/>
          <w:rFonts w:ascii="仿宋" w:eastAsia="仿宋" w:hAnsi="仿宋" w:hint="eastAsia"/>
          <w:b w:val="0"/>
          <w:bCs/>
          <w:color w:val="000000"/>
          <w:sz w:val="32"/>
          <w:szCs w:val="32"/>
        </w:rPr>
        <w:t>万元，完成预算</w:t>
      </w:r>
      <w:r>
        <w:rPr>
          <w:rStyle w:val="aa"/>
          <w:rFonts w:ascii="仿宋" w:eastAsia="仿宋" w:hAnsi="仿宋" w:hint="eastAsia"/>
          <w:b w:val="0"/>
          <w:bCs/>
          <w:color w:val="000000"/>
          <w:sz w:val="32"/>
          <w:szCs w:val="32"/>
        </w:rPr>
        <w:t>100%</w:t>
      </w:r>
    </w:p>
    <w:p w:rsidR="0068449C" w:rsidRDefault="0068449C">
      <w:pPr>
        <w:spacing w:line="600" w:lineRule="exact"/>
        <w:ind w:firstLine="640"/>
        <w:rPr>
          <w:rFonts w:ascii="仿宋" w:eastAsia="仿宋" w:hAnsi="仿宋"/>
          <w:b/>
          <w:color w:val="000000"/>
          <w:sz w:val="32"/>
          <w:szCs w:val="32"/>
        </w:rPr>
      </w:pPr>
    </w:p>
    <w:p w:rsidR="0068449C" w:rsidRDefault="00A3283D">
      <w:pPr>
        <w:tabs>
          <w:tab w:val="right" w:pos="8306"/>
        </w:tabs>
        <w:spacing w:line="600" w:lineRule="exact"/>
        <w:ind w:firstLine="640"/>
        <w:outlineLvl w:val="1"/>
        <w:rPr>
          <w:rStyle w:val="2Char"/>
          <w:b w:val="0"/>
          <w:bCs w:val="0"/>
        </w:rPr>
      </w:pPr>
      <w:bookmarkStart w:id="41" w:name="_Toc15396608"/>
      <w:bookmarkStart w:id="42" w:name="_Toc15377214"/>
      <w:r>
        <w:rPr>
          <w:rFonts w:ascii="黑体" w:eastAsia="黑体" w:hint="eastAsia"/>
          <w:color w:val="000000"/>
          <w:sz w:val="32"/>
          <w:szCs w:val="32"/>
        </w:rPr>
        <w:t>六</w:t>
      </w:r>
      <w:r>
        <w:rPr>
          <w:rFonts w:ascii="黑体" w:eastAsia="黑体" w:hint="eastAsia"/>
          <w:b/>
          <w:color w:val="000000"/>
          <w:sz w:val="32"/>
          <w:szCs w:val="32"/>
        </w:rPr>
        <w:t>、</w:t>
      </w:r>
      <w:r>
        <w:rPr>
          <w:rFonts w:ascii="黑体" w:eastAsia="黑体" w:hAnsi="黑体" w:hint="eastAsia"/>
          <w:b/>
          <w:color w:val="000000"/>
          <w:sz w:val="32"/>
          <w:szCs w:val="32"/>
        </w:rPr>
        <w:t>一</w:t>
      </w:r>
      <w:r>
        <w:rPr>
          <w:rStyle w:val="2Char"/>
          <w:rFonts w:ascii="黑体" w:eastAsia="黑体" w:hAnsi="黑体" w:hint="eastAsia"/>
          <w:b w:val="0"/>
        </w:rPr>
        <w:t>般公共预算财政拨款基本支出决算情况说明</w:t>
      </w:r>
      <w:bookmarkEnd w:id="41"/>
      <w:bookmarkEnd w:id="42"/>
      <w:r>
        <w:rPr>
          <w:rStyle w:val="2Char"/>
          <w:rFonts w:ascii="黑体" w:eastAsia="黑体" w:hAnsi="黑体"/>
          <w:b w:val="0"/>
        </w:rPr>
        <w:tab/>
      </w:r>
    </w:p>
    <w:p w:rsidR="0068449C" w:rsidRDefault="00A3283D">
      <w:pPr>
        <w:spacing w:line="600" w:lineRule="exact"/>
        <w:ind w:firstLine="645"/>
        <w:rPr>
          <w:rFonts w:ascii="仿宋" w:eastAsia="仿宋" w:hAnsi="仿宋"/>
          <w:color w:val="000000"/>
          <w:sz w:val="32"/>
          <w:szCs w:val="32"/>
        </w:rPr>
      </w:pPr>
      <w:r>
        <w:rPr>
          <w:rFonts w:ascii="仿宋" w:eastAsia="仿宋" w:hAnsi="仿宋"/>
          <w:color w:val="000000"/>
          <w:sz w:val="32"/>
          <w:szCs w:val="32"/>
        </w:rPr>
        <w:t>2020</w:t>
      </w:r>
      <w:r>
        <w:rPr>
          <w:rFonts w:ascii="仿宋" w:eastAsia="仿宋" w:hAnsi="仿宋" w:hint="eastAsia"/>
          <w:color w:val="000000"/>
          <w:sz w:val="32"/>
          <w:szCs w:val="32"/>
        </w:rPr>
        <w:t>年一般公共预算财政拨款基本支出</w:t>
      </w:r>
      <w:r>
        <w:rPr>
          <w:rFonts w:ascii="仿宋" w:eastAsia="仿宋" w:hAnsi="仿宋" w:hint="eastAsia"/>
          <w:color w:val="000000"/>
          <w:sz w:val="32"/>
          <w:szCs w:val="32"/>
        </w:rPr>
        <w:t>4162.56</w:t>
      </w:r>
      <w:r>
        <w:rPr>
          <w:rFonts w:ascii="仿宋" w:eastAsia="仿宋" w:hAnsi="仿宋" w:hint="eastAsia"/>
          <w:color w:val="000000"/>
          <w:sz w:val="32"/>
          <w:szCs w:val="32"/>
        </w:rPr>
        <w:t>万元，其中：</w:t>
      </w:r>
    </w:p>
    <w:p w:rsidR="0068449C" w:rsidRDefault="00A3283D">
      <w:pPr>
        <w:spacing w:line="600" w:lineRule="exact"/>
        <w:ind w:firstLine="645"/>
        <w:rPr>
          <w:rFonts w:ascii="仿宋" w:eastAsia="仿宋" w:hAnsi="仿宋"/>
          <w:color w:val="000000"/>
          <w:sz w:val="32"/>
          <w:szCs w:val="32"/>
        </w:rPr>
      </w:pPr>
      <w:r>
        <w:rPr>
          <w:rFonts w:ascii="仿宋" w:eastAsia="仿宋" w:hAnsi="仿宋" w:hint="eastAsia"/>
          <w:color w:val="000000"/>
          <w:sz w:val="32"/>
          <w:szCs w:val="32"/>
        </w:rPr>
        <w:t>人员经费</w:t>
      </w:r>
      <w:r>
        <w:rPr>
          <w:rFonts w:ascii="仿宋" w:eastAsia="仿宋" w:hAnsi="仿宋" w:hint="eastAsia"/>
          <w:color w:val="000000"/>
          <w:sz w:val="32"/>
          <w:szCs w:val="32"/>
        </w:rPr>
        <w:t>3181.17</w:t>
      </w:r>
      <w:r>
        <w:rPr>
          <w:rFonts w:ascii="仿宋" w:eastAsia="仿宋" w:hAnsi="仿宋" w:hint="eastAsia"/>
          <w:color w:val="000000"/>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eastAsia="仿宋" w:hAnsi="仿宋"/>
          <w:color w:val="000000"/>
          <w:sz w:val="32"/>
          <w:szCs w:val="32"/>
        </w:rPr>
        <w:br/>
      </w:r>
      <w:r>
        <w:rPr>
          <w:rFonts w:ascii="仿宋" w:eastAsia="仿宋" w:hAnsi="仿宋" w:hint="eastAsia"/>
          <w:color w:val="000000"/>
          <w:sz w:val="32"/>
          <w:szCs w:val="32"/>
        </w:rPr>
        <w:t xml:space="preserve">　　日常公用经费</w:t>
      </w:r>
      <w:r>
        <w:rPr>
          <w:rFonts w:ascii="仿宋" w:eastAsia="仿宋" w:hAnsi="仿宋" w:hint="eastAsia"/>
          <w:color w:val="000000"/>
          <w:sz w:val="32"/>
          <w:szCs w:val="32"/>
        </w:rPr>
        <w:t>255.59</w:t>
      </w:r>
      <w:r>
        <w:rPr>
          <w:rFonts w:ascii="仿宋" w:eastAsia="仿宋" w:hAnsi="仿宋" w:hint="eastAsia"/>
          <w:color w:val="000000"/>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w:t>
      </w:r>
      <w:r>
        <w:rPr>
          <w:rFonts w:ascii="仿宋" w:eastAsia="仿宋" w:hAnsi="仿宋" w:hint="eastAsia"/>
          <w:color w:val="000000"/>
          <w:sz w:val="32"/>
          <w:szCs w:val="32"/>
        </w:rPr>
        <w:t>费、其他交通费、税金及附加费用、其他商品和服务支出、办公设备购置、专用设备购置、信息网络及软件购置更新、其他资本性支出等。</w:t>
      </w:r>
    </w:p>
    <w:p w:rsidR="0068449C" w:rsidRDefault="0068449C">
      <w:pPr>
        <w:spacing w:line="600" w:lineRule="exact"/>
        <w:ind w:firstLine="640"/>
        <w:rPr>
          <w:rFonts w:ascii="仿宋" w:eastAsia="仿宋" w:hAnsi="仿宋"/>
          <w:b/>
          <w:color w:val="FF0000"/>
          <w:sz w:val="32"/>
          <w:szCs w:val="32"/>
        </w:rPr>
      </w:pPr>
    </w:p>
    <w:p w:rsidR="0068449C" w:rsidRDefault="00A3283D">
      <w:pPr>
        <w:spacing w:line="600" w:lineRule="exact"/>
        <w:ind w:firstLine="640"/>
        <w:outlineLvl w:val="1"/>
        <w:rPr>
          <w:rStyle w:val="2Char"/>
          <w:rFonts w:ascii="黑体" w:eastAsia="黑体" w:hAnsi="黑体"/>
          <w:b w:val="0"/>
          <w:bCs w:val="0"/>
        </w:rPr>
      </w:pPr>
      <w:bookmarkStart w:id="43" w:name="_Toc15377215"/>
      <w:bookmarkStart w:id="44" w:name="_Toc15396609"/>
      <w:r>
        <w:rPr>
          <w:rFonts w:ascii="黑体" w:eastAsia="黑体" w:hint="eastAsia"/>
          <w:color w:val="000000"/>
          <w:sz w:val="32"/>
          <w:szCs w:val="32"/>
        </w:rPr>
        <w:t>七、</w:t>
      </w:r>
      <w:r>
        <w:rPr>
          <w:rStyle w:val="2Char"/>
          <w:rFonts w:ascii="黑体" w:eastAsia="黑体" w:hAnsi="黑体" w:hint="eastAsia"/>
        </w:rPr>
        <w:t>“</w:t>
      </w:r>
      <w:r>
        <w:rPr>
          <w:rStyle w:val="2Char"/>
          <w:rFonts w:ascii="黑体" w:eastAsia="黑体" w:hAnsi="黑体" w:hint="eastAsia"/>
          <w:b w:val="0"/>
        </w:rPr>
        <w:t>三公”经费财政拨款支出决算情况说明</w:t>
      </w:r>
      <w:bookmarkEnd w:id="43"/>
      <w:bookmarkEnd w:id="44"/>
    </w:p>
    <w:p w:rsidR="0068449C" w:rsidRDefault="00A3283D">
      <w:pPr>
        <w:spacing w:line="600" w:lineRule="exact"/>
        <w:ind w:firstLine="640"/>
        <w:outlineLvl w:val="2"/>
        <w:rPr>
          <w:rFonts w:ascii="仿宋" w:eastAsia="仿宋" w:hAnsi="仿宋"/>
          <w:b/>
          <w:color w:val="000000"/>
          <w:sz w:val="32"/>
          <w:szCs w:val="32"/>
        </w:rPr>
      </w:pPr>
      <w:bookmarkStart w:id="45" w:name="_Toc15377216"/>
      <w:r>
        <w:rPr>
          <w:rFonts w:ascii="仿宋" w:eastAsia="仿宋" w:hAnsi="仿宋" w:hint="eastAsia"/>
          <w:b/>
          <w:color w:val="000000"/>
          <w:sz w:val="32"/>
          <w:szCs w:val="32"/>
        </w:rPr>
        <w:t>（一）“三公”经费财政拨款支出决算总体情况说明</w:t>
      </w:r>
      <w:bookmarkEnd w:id="45"/>
    </w:p>
    <w:p w:rsidR="0068449C" w:rsidRDefault="00A3283D">
      <w:pPr>
        <w:spacing w:line="600" w:lineRule="exact"/>
        <w:ind w:firstLine="640"/>
        <w:rPr>
          <w:rFonts w:ascii="仿宋" w:eastAsia="仿宋" w:hAnsi="仿宋"/>
          <w:color w:val="000000"/>
          <w:sz w:val="32"/>
          <w:szCs w:val="32"/>
        </w:rPr>
      </w:pPr>
      <w:r>
        <w:rPr>
          <w:rFonts w:ascii="仿宋" w:eastAsia="仿宋" w:hAnsi="仿宋"/>
          <w:color w:val="000000"/>
          <w:sz w:val="32"/>
          <w:szCs w:val="32"/>
        </w:rPr>
        <w:t>2020</w:t>
      </w:r>
      <w:r>
        <w:rPr>
          <w:rFonts w:ascii="仿宋" w:eastAsia="仿宋" w:hAnsi="仿宋" w:hint="eastAsia"/>
          <w:color w:val="000000"/>
          <w:sz w:val="32"/>
          <w:szCs w:val="32"/>
        </w:rPr>
        <w:t>年“三公”经费财政拨款支出决算为</w:t>
      </w:r>
      <w:r>
        <w:rPr>
          <w:rFonts w:ascii="仿宋" w:eastAsia="仿宋" w:hAnsi="仿宋" w:hint="eastAsia"/>
          <w:color w:val="000000"/>
          <w:sz w:val="32"/>
          <w:szCs w:val="32"/>
        </w:rPr>
        <w:t>12.85</w:t>
      </w:r>
      <w:r>
        <w:rPr>
          <w:rFonts w:ascii="仿宋" w:eastAsia="仿宋" w:hAnsi="仿宋" w:hint="eastAsia"/>
          <w:color w:val="000000"/>
          <w:sz w:val="32"/>
          <w:szCs w:val="32"/>
        </w:rPr>
        <w:t>万元，完成预算</w:t>
      </w:r>
      <w:r>
        <w:rPr>
          <w:rFonts w:ascii="仿宋" w:eastAsia="仿宋" w:hAnsi="仿宋" w:hint="eastAsia"/>
          <w:color w:val="000000"/>
          <w:sz w:val="32"/>
          <w:szCs w:val="32"/>
        </w:rPr>
        <w:t>82.9</w:t>
      </w:r>
      <w:r>
        <w:rPr>
          <w:rFonts w:ascii="仿宋" w:eastAsia="仿宋" w:hAnsi="仿宋"/>
          <w:color w:val="000000"/>
          <w:sz w:val="32"/>
          <w:szCs w:val="32"/>
        </w:rPr>
        <w:t>%</w:t>
      </w:r>
      <w:r>
        <w:rPr>
          <w:rFonts w:ascii="仿宋" w:eastAsia="仿宋" w:hAnsi="仿宋" w:hint="eastAsia"/>
          <w:color w:val="000000"/>
          <w:sz w:val="32"/>
          <w:szCs w:val="32"/>
        </w:rPr>
        <w:t>。</w:t>
      </w:r>
    </w:p>
    <w:p w:rsidR="0068449C" w:rsidRDefault="00A3283D">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1.</w:t>
      </w:r>
      <w:r>
        <w:rPr>
          <w:rFonts w:ascii="仿宋_GB2312" w:eastAsia="仿宋_GB2312" w:hint="eastAsia"/>
          <w:b/>
          <w:color w:val="000000"/>
          <w:sz w:val="32"/>
          <w:szCs w:val="32"/>
        </w:rPr>
        <w:t>因公出国（境）经费支出</w:t>
      </w:r>
      <w:r>
        <w:rPr>
          <w:rFonts w:ascii="仿宋_GB2312" w:eastAsia="仿宋_GB2312" w:hint="eastAsia"/>
          <w:color w:val="000000"/>
          <w:sz w:val="32"/>
          <w:szCs w:val="32"/>
        </w:rPr>
        <w:t>0</w:t>
      </w:r>
      <w:r>
        <w:rPr>
          <w:rFonts w:ascii="仿宋_GB2312" w:eastAsia="仿宋_GB2312" w:hint="eastAsia"/>
          <w:color w:val="000000"/>
          <w:sz w:val="32"/>
          <w:szCs w:val="32"/>
        </w:rPr>
        <w:t>万元，</w:t>
      </w:r>
      <w:r>
        <w:rPr>
          <w:rStyle w:val="aa"/>
          <w:rFonts w:ascii="仿宋" w:eastAsia="仿宋" w:hAnsi="仿宋" w:hint="eastAsia"/>
          <w:bCs/>
          <w:color w:val="000000"/>
          <w:sz w:val="32"/>
          <w:szCs w:val="32"/>
        </w:rPr>
        <w:t>完成预算</w:t>
      </w:r>
      <w:r>
        <w:rPr>
          <w:rStyle w:val="aa"/>
          <w:rFonts w:ascii="仿宋" w:eastAsia="仿宋" w:hAnsi="仿宋" w:hint="eastAsia"/>
          <w:bCs/>
          <w:color w:val="000000"/>
          <w:sz w:val="32"/>
          <w:szCs w:val="32"/>
        </w:rPr>
        <w:t>0</w:t>
      </w:r>
      <w:r>
        <w:rPr>
          <w:rStyle w:val="aa"/>
          <w:rFonts w:ascii="仿宋" w:eastAsia="仿宋" w:hAnsi="仿宋"/>
          <w:bCs/>
          <w:color w:val="000000"/>
          <w:sz w:val="32"/>
          <w:szCs w:val="32"/>
        </w:rPr>
        <w:t>%</w:t>
      </w:r>
      <w:r>
        <w:rPr>
          <w:rStyle w:val="aa"/>
          <w:rFonts w:ascii="仿宋" w:eastAsia="仿宋" w:hAnsi="仿宋" w:hint="eastAsia"/>
          <w:bCs/>
          <w:color w:val="000000"/>
          <w:sz w:val="32"/>
          <w:szCs w:val="32"/>
        </w:rPr>
        <w:t>。</w:t>
      </w:r>
      <w:r>
        <w:rPr>
          <w:rFonts w:ascii="仿宋_GB2312" w:eastAsia="仿宋_GB2312" w:hint="eastAsia"/>
          <w:color w:val="000000"/>
          <w:sz w:val="32"/>
          <w:szCs w:val="32"/>
        </w:rPr>
        <w:t>全年安排因公出国（境）团组</w:t>
      </w:r>
      <w:r>
        <w:rPr>
          <w:rFonts w:ascii="仿宋_GB2312" w:eastAsia="仿宋_GB2312" w:hint="eastAsia"/>
          <w:color w:val="000000"/>
          <w:sz w:val="32"/>
          <w:szCs w:val="32"/>
        </w:rPr>
        <w:t>0</w:t>
      </w:r>
      <w:r>
        <w:rPr>
          <w:rFonts w:ascii="仿宋_GB2312" w:eastAsia="仿宋_GB2312" w:hint="eastAsia"/>
          <w:color w:val="000000"/>
          <w:sz w:val="32"/>
          <w:szCs w:val="32"/>
        </w:rPr>
        <w:t>次，出国（境）</w:t>
      </w:r>
      <w:r>
        <w:rPr>
          <w:rFonts w:ascii="仿宋_GB2312" w:eastAsia="仿宋_GB2312" w:hint="eastAsia"/>
          <w:color w:val="000000"/>
          <w:sz w:val="32"/>
          <w:szCs w:val="32"/>
        </w:rPr>
        <w:t>0</w:t>
      </w:r>
      <w:r>
        <w:rPr>
          <w:rFonts w:ascii="仿宋_GB2312" w:eastAsia="仿宋_GB2312" w:hint="eastAsia"/>
          <w:color w:val="000000"/>
          <w:sz w:val="32"/>
          <w:szCs w:val="32"/>
        </w:rPr>
        <w:t>人。因公出国（境）支出决算比</w:t>
      </w:r>
      <w:r>
        <w:rPr>
          <w:rFonts w:ascii="仿宋_GB2312" w:eastAsia="仿宋_GB2312"/>
          <w:color w:val="000000"/>
          <w:sz w:val="32"/>
          <w:szCs w:val="32"/>
        </w:rPr>
        <w:t>2018</w:t>
      </w:r>
      <w:r>
        <w:rPr>
          <w:rFonts w:ascii="仿宋_GB2312" w:eastAsia="仿宋_GB2312" w:hint="eastAsia"/>
          <w:color w:val="000000"/>
          <w:sz w:val="32"/>
          <w:szCs w:val="32"/>
        </w:rPr>
        <w:t>年增加</w:t>
      </w:r>
      <w:r>
        <w:rPr>
          <w:rFonts w:ascii="仿宋_GB2312" w:eastAsia="仿宋_GB2312" w:hint="eastAsia"/>
          <w:color w:val="000000"/>
          <w:sz w:val="32"/>
          <w:szCs w:val="32"/>
        </w:rPr>
        <w:t>0</w:t>
      </w:r>
      <w:r>
        <w:rPr>
          <w:rFonts w:ascii="仿宋_GB2312" w:eastAsia="仿宋_GB2312" w:hint="eastAsia"/>
          <w:color w:val="000000"/>
          <w:sz w:val="32"/>
          <w:szCs w:val="32"/>
        </w:rPr>
        <w:t>万元，增长</w:t>
      </w:r>
      <w:r>
        <w:rPr>
          <w:rFonts w:ascii="仿宋_GB2312" w:eastAsia="仿宋_GB2312" w:hint="eastAsia"/>
          <w:color w:val="000000"/>
          <w:sz w:val="32"/>
          <w:szCs w:val="32"/>
        </w:rPr>
        <w:t>0</w:t>
      </w:r>
      <w:r>
        <w:rPr>
          <w:rFonts w:ascii="仿宋_GB2312" w:eastAsia="仿宋_GB2312"/>
          <w:color w:val="000000"/>
          <w:sz w:val="32"/>
          <w:szCs w:val="32"/>
        </w:rPr>
        <w:t>%</w:t>
      </w:r>
      <w:r>
        <w:rPr>
          <w:rFonts w:ascii="仿宋_GB2312" w:eastAsia="仿宋_GB2312" w:hint="eastAsia"/>
          <w:color w:val="000000"/>
          <w:sz w:val="32"/>
          <w:szCs w:val="32"/>
        </w:rPr>
        <w:t>。主要原因是由于疫情原因未安排人员出国出境。</w:t>
      </w:r>
    </w:p>
    <w:p w:rsidR="0068449C" w:rsidRDefault="00A3283D">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2.</w:t>
      </w:r>
      <w:r>
        <w:rPr>
          <w:rFonts w:ascii="仿宋_GB2312" w:eastAsia="仿宋_GB2312" w:hint="eastAsia"/>
          <w:b/>
          <w:color w:val="000000"/>
          <w:sz w:val="32"/>
          <w:szCs w:val="32"/>
        </w:rPr>
        <w:t>公务用车购置及运行维护费支出</w:t>
      </w:r>
      <w:r>
        <w:rPr>
          <w:rFonts w:ascii="仿宋_GB2312" w:eastAsia="仿宋_GB2312" w:hint="eastAsia"/>
          <w:color w:val="000000"/>
          <w:sz w:val="32"/>
          <w:szCs w:val="32"/>
        </w:rPr>
        <w:t>5.65</w:t>
      </w:r>
      <w:r>
        <w:rPr>
          <w:rFonts w:ascii="仿宋_GB2312" w:eastAsia="仿宋_GB2312" w:hint="eastAsia"/>
          <w:color w:val="000000"/>
          <w:sz w:val="32"/>
          <w:szCs w:val="32"/>
        </w:rPr>
        <w:t>万元</w:t>
      </w:r>
      <w:r>
        <w:rPr>
          <w:rFonts w:ascii="仿宋_GB2312" w:eastAsia="仿宋_GB2312"/>
          <w:color w:val="000000"/>
          <w:sz w:val="32"/>
          <w:szCs w:val="32"/>
        </w:rPr>
        <w:t>,</w:t>
      </w:r>
      <w:r>
        <w:rPr>
          <w:rStyle w:val="aa"/>
          <w:rFonts w:ascii="仿宋" w:eastAsia="仿宋" w:hAnsi="仿宋" w:hint="eastAsia"/>
          <w:bCs/>
          <w:color w:val="000000"/>
          <w:sz w:val="32"/>
          <w:szCs w:val="32"/>
        </w:rPr>
        <w:t>完成预算</w:t>
      </w:r>
      <w:r>
        <w:rPr>
          <w:rStyle w:val="aa"/>
          <w:rFonts w:ascii="仿宋" w:eastAsia="仿宋" w:hAnsi="仿宋" w:hint="eastAsia"/>
          <w:bCs/>
          <w:color w:val="000000"/>
          <w:sz w:val="32"/>
          <w:szCs w:val="32"/>
        </w:rPr>
        <w:t>75.3</w:t>
      </w:r>
      <w:r>
        <w:rPr>
          <w:rStyle w:val="aa"/>
          <w:rFonts w:ascii="仿宋" w:eastAsia="仿宋" w:hAnsi="仿宋"/>
          <w:bCs/>
          <w:color w:val="000000"/>
          <w:sz w:val="32"/>
          <w:szCs w:val="32"/>
        </w:rPr>
        <w:t>%</w:t>
      </w:r>
      <w:r>
        <w:rPr>
          <w:rStyle w:val="aa"/>
          <w:rFonts w:ascii="仿宋" w:eastAsia="仿宋" w:hAnsi="仿宋" w:hint="eastAsia"/>
          <w:bCs/>
          <w:color w:val="000000"/>
          <w:sz w:val="32"/>
          <w:szCs w:val="32"/>
        </w:rPr>
        <w:t>。</w:t>
      </w:r>
      <w:r>
        <w:rPr>
          <w:rFonts w:ascii="仿宋_GB2312" w:eastAsia="仿宋_GB2312" w:hint="eastAsia"/>
          <w:color w:val="000000"/>
          <w:sz w:val="32"/>
          <w:szCs w:val="32"/>
        </w:rPr>
        <w:t>公务用车购置及运行维护费支出决算比</w:t>
      </w:r>
      <w:r>
        <w:rPr>
          <w:rFonts w:ascii="仿宋_GB2312" w:eastAsia="仿宋_GB2312"/>
          <w:color w:val="000000"/>
          <w:sz w:val="32"/>
          <w:szCs w:val="32"/>
        </w:rPr>
        <w:t>2018</w:t>
      </w:r>
      <w:r>
        <w:rPr>
          <w:rFonts w:ascii="仿宋_GB2312" w:eastAsia="仿宋_GB2312" w:hint="eastAsia"/>
          <w:color w:val="000000"/>
          <w:sz w:val="32"/>
          <w:szCs w:val="32"/>
        </w:rPr>
        <w:t>年减少</w:t>
      </w:r>
      <w:r>
        <w:rPr>
          <w:rFonts w:ascii="仿宋_GB2312" w:eastAsia="仿宋_GB2312" w:hint="eastAsia"/>
          <w:color w:val="000000"/>
          <w:sz w:val="32"/>
          <w:szCs w:val="32"/>
        </w:rPr>
        <w:t>1.85</w:t>
      </w:r>
      <w:r>
        <w:rPr>
          <w:rFonts w:ascii="仿宋_GB2312" w:eastAsia="仿宋_GB2312" w:hint="eastAsia"/>
          <w:color w:val="000000"/>
          <w:sz w:val="32"/>
          <w:szCs w:val="32"/>
        </w:rPr>
        <w:t>万元，下降</w:t>
      </w:r>
      <w:r>
        <w:rPr>
          <w:rFonts w:ascii="仿宋_GB2312" w:eastAsia="仿宋_GB2312" w:hint="eastAsia"/>
          <w:color w:val="000000"/>
          <w:sz w:val="32"/>
          <w:szCs w:val="32"/>
        </w:rPr>
        <w:t>24.7</w:t>
      </w:r>
      <w:r>
        <w:rPr>
          <w:rFonts w:ascii="仿宋_GB2312" w:eastAsia="仿宋_GB2312"/>
          <w:color w:val="000000"/>
          <w:sz w:val="32"/>
          <w:szCs w:val="32"/>
        </w:rPr>
        <w:t>%</w:t>
      </w:r>
      <w:r>
        <w:rPr>
          <w:rFonts w:ascii="仿宋_GB2312" w:eastAsia="仿宋_GB2312" w:hint="eastAsia"/>
          <w:color w:val="000000"/>
          <w:sz w:val="32"/>
          <w:szCs w:val="32"/>
        </w:rPr>
        <w:t>。主要原因是由于疫情原因公务车使用次数更少，非必要公务用车没有被允许，燃料费、维修费等运行维护费自然下降。</w:t>
      </w:r>
    </w:p>
    <w:p w:rsidR="0068449C" w:rsidRDefault="00A3283D">
      <w:pPr>
        <w:spacing w:line="600" w:lineRule="exact"/>
        <w:ind w:firstLine="640"/>
        <w:rPr>
          <w:rFonts w:ascii="仿宋_GB2312" w:eastAsia="仿宋_GB2312"/>
          <w:b/>
          <w:color w:val="000000"/>
          <w:sz w:val="32"/>
          <w:szCs w:val="32"/>
        </w:rPr>
      </w:pPr>
      <w:r>
        <w:rPr>
          <w:rFonts w:ascii="仿宋_GB2312" w:eastAsia="仿宋_GB2312" w:hint="eastAsia"/>
          <w:color w:val="000000"/>
          <w:sz w:val="32"/>
          <w:szCs w:val="32"/>
        </w:rPr>
        <w:t>其中：</w:t>
      </w:r>
      <w:r>
        <w:rPr>
          <w:rFonts w:ascii="仿宋_GB2312" w:eastAsia="仿宋_GB2312" w:hint="eastAsia"/>
          <w:b/>
          <w:color w:val="000000"/>
          <w:sz w:val="32"/>
          <w:szCs w:val="32"/>
        </w:rPr>
        <w:t>公务用车购置支出</w:t>
      </w:r>
      <w:r>
        <w:rPr>
          <w:rFonts w:ascii="仿宋_GB2312" w:eastAsia="仿宋_GB2312" w:hint="eastAsia"/>
          <w:color w:val="000000"/>
          <w:sz w:val="32"/>
          <w:szCs w:val="32"/>
        </w:rPr>
        <w:t>0</w:t>
      </w:r>
      <w:r>
        <w:rPr>
          <w:rFonts w:ascii="仿宋_GB2312" w:eastAsia="仿宋_GB2312" w:hint="eastAsia"/>
          <w:color w:val="000000"/>
          <w:sz w:val="32"/>
          <w:szCs w:val="32"/>
        </w:rPr>
        <w:t>万元。全年按规定更新购置公务用车</w:t>
      </w:r>
      <w:r>
        <w:rPr>
          <w:rFonts w:ascii="仿宋_GB2312" w:eastAsia="仿宋_GB2312" w:hint="eastAsia"/>
          <w:color w:val="000000"/>
          <w:sz w:val="32"/>
          <w:szCs w:val="32"/>
        </w:rPr>
        <w:t>0</w:t>
      </w:r>
      <w:r>
        <w:rPr>
          <w:rFonts w:ascii="仿宋_GB2312" w:eastAsia="仿宋_GB2312" w:hint="eastAsia"/>
          <w:color w:val="000000"/>
          <w:sz w:val="32"/>
          <w:szCs w:val="32"/>
        </w:rPr>
        <w:t>辆，其中：轿车</w:t>
      </w:r>
      <w:r>
        <w:rPr>
          <w:rFonts w:ascii="仿宋_GB2312" w:eastAsia="仿宋_GB2312" w:hint="eastAsia"/>
          <w:color w:val="000000"/>
          <w:sz w:val="32"/>
          <w:szCs w:val="32"/>
        </w:rPr>
        <w:t>0</w:t>
      </w:r>
      <w:r>
        <w:rPr>
          <w:rFonts w:ascii="仿宋_GB2312" w:eastAsia="仿宋_GB2312" w:hint="eastAsia"/>
          <w:color w:val="000000"/>
          <w:sz w:val="32"/>
          <w:szCs w:val="32"/>
        </w:rPr>
        <w:t>辆、金额</w:t>
      </w:r>
      <w:r>
        <w:rPr>
          <w:rFonts w:ascii="仿宋_GB2312" w:eastAsia="仿宋_GB2312" w:hint="eastAsia"/>
          <w:color w:val="000000"/>
          <w:sz w:val="32"/>
          <w:szCs w:val="32"/>
        </w:rPr>
        <w:t>0</w:t>
      </w:r>
      <w:r>
        <w:rPr>
          <w:rFonts w:ascii="仿宋_GB2312" w:eastAsia="仿宋_GB2312" w:hint="eastAsia"/>
          <w:color w:val="000000"/>
          <w:sz w:val="32"/>
          <w:szCs w:val="32"/>
        </w:rPr>
        <w:t>万元，越野车</w:t>
      </w:r>
      <w:r>
        <w:rPr>
          <w:rFonts w:ascii="仿宋_GB2312" w:eastAsia="仿宋_GB2312" w:hint="eastAsia"/>
          <w:color w:val="000000"/>
          <w:sz w:val="32"/>
          <w:szCs w:val="32"/>
        </w:rPr>
        <w:t>0</w:t>
      </w:r>
      <w:r>
        <w:rPr>
          <w:rFonts w:ascii="仿宋_GB2312" w:eastAsia="仿宋_GB2312" w:hint="eastAsia"/>
          <w:color w:val="000000"/>
          <w:sz w:val="32"/>
          <w:szCs w:val="32"/>
        </w:rPr>
        <w:t>辆、金额</w:t>
      </w:r>
      <w:r>
        <w:rPr>
          <w:rFonts w:ascii="仿宋_GB2312" w:eastAsia="仿宋_GB2312" w:hint="eastAsia"/>
          <w:color w:val="000000"/>
          <w:sz w:val="32"/>
          <w:szCs w:val="32"/>
        </w:rPr>
        <w:t>0</w:t>
      </w:r>
      <w:r>
        <w:rPr>
          <w:rFonts w:ascii="仿宋_GB2312" w:eastAsia="仿宋_GB2312" w:hint="eastAsia"/>
          <w:color w:val="000000"/>
          <w:sz w:val="32"/>
          <w:szCs w:val="32"/>
        </w:rPr>
        <w:t>万元，载客汽车</w:t>
      </w:r>
      <w:r>
        <w:rPr>
          <w:rFonts w:ascii="仿宋_GB2312" w:eastAsia="仿宋_GB2312" w:hint="eastAsia"/>
          <w:color w:val="000000"/>
          <w:sz w:val="32"/>
          <w:szCs w:val="32"/>
        </w:rPr>
        <w:t>0</w:t>
      </w:r>
      <w:r>
        <w:rPr>
          <w:rFonts w:ascii="仿宋_GB2312" w:eastAsia="仿宋_GB2312" w:hint="eastAsia"/>
          <w:color w:val="000000"/>
          <w:sz w:val="32"/>
          <w:szCs w:val="32"/>
        </w:rPr>
        <w:t>辆、金额</w:t>
      </w:r>
      <w:r>
        <w:rPr>
          <w:rFonts w:ascii="仿宋_GB2312" w:eastAsia="仿宋_GB2312" w:hint="eastAsia"/>
          <w:color w:val="000000"/>
          <w:sz w:val="32"/>
          <w:szCs w:val="32"/>
        </w:rPr>
        <w:t>0</w:t>
      </w:r>
      <w:r>
        <w:rPr>
          <w:rFonts w:ascii="仿宋_GB2312" w:eastAsia="仿宋_GB2312" w:hint="eastAsia"/>
          <w:color w:val="000000"/>
          <w:sz w:val="32"/>
          <w:szCs w:val="32"/>
        </w:rPr>
        <w:t>万元。截至</w:t>
      </w:r>
      <w:r>
        <w:rPr>
          <w:rFonts w:ascii="仿宋_GB2312" w:eastAsia="仿宋_GB2312"/>
          <w:color w:val="000000"/>
          <w:sz w:val="32"/>
          <w:szCs w:val="32"/>
        </w:rPr>
        <w:t>2020</w:t>
      </w:r>
      <w:r>
        <w:rPr>
          <w:rFonts w:ascii="仿宋_GB2312" w:eastAsia="仿宋_GB2312" w:hint="eastAsia"/>
          <w:color w:val="000000"/>
          <w:sz w:val="32"/>
          <w:szCs w:val="32"/>
        </w:rPr>
        <w:t>年</w:t>
      </w:r>
      <w:r>
        <w:rPr>
          <w:rFonts w:ascii="仿宋_GB2312" w:eastAsia="仿宋_GB2312"/>
          <w:color w:val="000000"/>
          <w:sz w:val="32"/>
          <w:szCs w:val="32"/>
        </w:rPr>
        <w:t>12</w:t>
      </w:r>
      <w:r>
        <w:rPr>
          <w:rFonts w:ascii="仿宋_GB2312" w:eastAsia="仿宋_GB2312" w:hint="eastAsia"/>
          <w:color w:val="000000"/>
          <w:sz w:val="32"/>
          <w:szCs w:val="32"/>
        </w:rPr>
        <w:t>月底，单位共有公务用车</w:t>
      </w:r>
      <w:r>
        <w:rPr>
          <w:rFonts w:ascii="仿宋_GB2312" w:eastAsia="仿宋_GB2312" w:hint="eastAsia"/>
          <w:color w:val="000000"/>
          <w:sz w:val="32"/>
          <w:szCs w:val="32"/>
        </w:rPr>
        <w:t>1</w:t>
      </w:r>
      <w:r>
        <w:rPr>
          <w:rFonts w:ascii="仿宋_GB2312" w:eastAsia="仿宋_GB2312" w:hint="eastAsia"/>
          <w:color w:val="000000"/>
          <w:sz w:val="32"/>
          <w:szCs w:val="32"/>
        </w:rPr>
        <w:t>辆，其中：轿车</w:t>
      </w:r>
      <w:r>
        <w:rPr>
          <w:rFonts w:ascii="仿宋_GB2312" w:eastAsia="仿宋_GB2312" w:hint="eastAsia"/>
          <w:color w:val="000000"/>
          <w:sz w:val="32"/>
          <w:szCs w:val="32"/>
        </w:rPr>
        <w:t>1</w:t>
      </w:r>
      <w:r>
        <w:rPr>
          <w:rFonts w:ascii="仿宋_GB2312" w:eastAsia="仿宋_GB2312" w:hint="eastAsia"/>
          <w:color w:val="000000"/>
          <w:sz w:val="32"/>
          <w:szCs w:val="32"/>
        </w:rPr>
        <w:t>辆、越野车</w:t>
      </w:r>
      <w:r>
        <w:rPr>
          <w:rFonts w:ascii="仿宋_GB2312" w:eastAsia="仿宋_GB2312" w:hint="eastAsia"/>
          <w:color w:val="000000"/>
          <w:sz w:val="32"/>
          <w:szCs w:val="32"/>
        </w:rPr>
        <w:t>0</w:t>
      </w:r>
      <w:r>
        <w:rPr>
          <w:rFonts w:ascii="仿宋_GB2312" w:eastAsia="仿宋_GB2312" w:hint="eastAsia"/>
          <w:color w:val="000000"/>
          <w:sz w:val="32"/>
          <w:szCs w:val="32"/>
        </w:rPr>
        <w:t>辆、载客汽车</w:t>
      </w:r>
      <w:r>
        <w:rPr>
          <w:rFonts w:ascii="仿宋_GB2312" w:eastAsia="仿宋_GB2312" w:hint="eastAsia"/>
          <w:color w:val="000000"/>
          <w:sz w:val="32"/>
          <w:szCs w:val="32"/>
        </w:rPr>
        <w:t>0</w:t>
      </w:r>
      <w:r>
        <w:rPr>
          <w:rFonts w:ascii="仿宋_GB2312" w:eastAsia="仿宋_GB2312" w:hint="eastAsia"/>
          <w:color w:val="000000"/>
          <w:sz w:val="32"/>
          <w:szCs w:val="32"/>
        </w:rPr>
        <w:t>辆。</w:t>
      </w:r>
    </w:p>
    <w:p w:rsidR="0068449C" w:rsidRDefault="00A3283D">
      <w:pPr>
        <w:spacing w:line="600" w:lineRule="exact"/>
        <w:ind w:firstLine="640"/>
        <w:rPr>
          <w:rFonts w:ascii="仿宋" w:eastAsia="仿宋"/>
          <w:color w:val="000000"/>
          <w:sz w:val="32"/>
          <w:szCs w:val="32"/>
        </w:rPr>
      </w:pPr>
      <w:r>
        <w:rPr>
          <w:rFonts w:ascii="仿宋_GB2312" w:eastAsia="仿宋_GB2312" w:hint="eastAsia"/>
          <w:b/>
          <w:color w:val="000000"/>
          <w:sz w:val="32"/>
          <w:szCs w:val="32"/>
        </w:rPr>
        <w:t>公务用车运行维护费支出</w:t>
      </w:r>
      <w:r>
        <w:rPr>
          <w:rFonts w:ascii="仿宋_GB2312" w:eastAsia="仿宋_GB2312" w:hint="eastAsia"/>
          <w:color w:val="000000"/>
          <w:sz w:val="32"/>
          <w:szCs w:val="32"/>
        </w:rPr>
        <w:t>5.65</w:t>
      </w:r>
      <w:r>
        <w:rPr>
          <w:rFonts w:ascii="仿宋_GB2312" w:eastAsia="仿宋_GB2312" w:hint="eastAsia"/>
          <w:color w:val="000000"/>
          <w:sz w:val="32"/>
          <w:szCs w:val="32"/>
        </w:rPr>
        <w:t>万元。主要用于公务出行等所需的公务用车燃料费、维修费、过路过桥费、保险费等支出。</w:t>
      </w:r>
      <w:r>
        <w:rPr>
          <w:rFonts w:ascii="仿宋" w:eastAsia="仿宋" w:hint="eastAsia"/>
          <w:color w:val="000000"/>
          <w:sz w:val="32"/>
          <w:szCs w:val="32"/>
        </w:rPr>
        <w:t>（图</w:t>
      </w:r>
      <w:r>
        <w:rPr>
          <w:rFonts w:ascii="仿宋" w:eastAsia="仿宋" w:hint="eastAsia"/>
          <w:color w:val="000000"/>
          <w:sz w:val="32"/>
          <w:szCs w:val="32"/>
        </w:rPr>
        <w:t>7</w:t>
      </w:r>
      <w:r>
        <w:rPr>
          <w:rFonts w:ascii="仿宋" w:eastAsia="仿宋" w:hint="eastAsia"/>
          <w:color w:val="000000"/>
          <w:sz w:val="32"/>
          <w:szCs w:val="32"/>
        </w:rPr>
        <w:t>：“三公”经费财政拨款支出结构）（饼状图）</w:t>
      </w:r>
    </w:p>
    <w:p w:rsidR="0068449C" w:rsidRDefault="0068449C">
      <w:pPr>
        <w:spacing w:line="600" w:lineRule="exact"/>
        <w:ind w:firstLine="640"/>
        <w:rPr>
          <w:rFonts w:ascii="仿宋_GB2312" w:eastAsia="仿宋_GB2312"/>
          <w:color w:val="000000"/>
          <w:sz w:val="32"/>
          <w:szCs w:val="32"/>
        </w:rPr>
      </w:pPr>
    </w:p>
    <w:p w:rsidR="0068449C" w:rsidRDefault="00A3283D">
      <w:pPr>
        <w:spacing w:line="600" w:lineRule="exact"/>
        <w:ind w:firstLine="640"/>
        <w:rPr>
          <w:rFonts w:ascii="仿宋_GB2312" w:eastAsia="仿宋_GB2312"/>
          <w:b/>
          <w:color w:val="000000"/>
          <w:sz w:val="32"/>
          <w:szCs w:val="32"/>
        </w:rPr>
      </w:pPr>
      <w:r>
        <w:rPr>
          <w:noProof/>
        </w:rPr>
        <w:drawing>
          <wp:anchor distT="0" distB="0" distL="114300" distR="114300" simplePos="0" relativeHeight="251665408" behindDoc="0" locked="0" layoutInCell="1" allowOverlap="1">
            <wp:simplePos x="0" y="0"/>
            <wp:positionH relativeFrom="column">
              <wp:posOffset>361950</wp:posOffset>
            </wp:positionH>
            <wp:positionV relativeFrom="paragraph">
              <wp:posOffset>19050</wp:posOffset>
            </wp:positionV>
            <wp:extent cx="4714875" cy="2809875"/>
            <wp:effectExtent l="0" t="0" r="0" b="0"/>
            <wp:wrapSquare wrapText="bothSides"/>
            <wp:docPr id="1" name="对象 2" descr="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68449C" w:rsidRDefault="0068449C">
      <w:pPr>
        <w:spacing w:line="600" w:lineRule="exact"/>
        <w:ind w:firstLine="640"/>
        <w:rPr>
          <w:rFonts w:ascii="仿宋_GB2312" w:eastAsia="仿宋_GB2312"/>
          <w:b/>
          <w:color w:val="000000"/>
          <w:sz w:val="32"/>
          <w:szCs w:val="32"/>
        </w:rPr>
      </w:pPr>
    </w:p>
    <w:p w:rsidR="0068449C" w:rsidRDefault="0068449C">
      <w:pPr>
        <w:spacing w:line="600" w:lineRule="exact"/>
        <w:ind w:firstLine="640"/>
        <w:rPr>
          <w:rFonts w:ascii="仿宋_GB2312" w:eastAsia="仿宋_GB2312"/>
          <w:b/>
          <w:color w:val="000000"/>
          <w:sz w:val="32"/>
          <w:szCs w:val="32"/>
        </w:rPr>
      </w:pPr>
    </w:p>
    <w:p w:rsidR="0068449C" w:rsidRDefault="0068449C">
      <w:pPr>
        <w:spacing w:line="600" w:lineRule="exact"/>
        <w:ind w:firstLine="640"/>
        <w:rPr>
          <w:rFonts w:ascii="仿宋_GB2312" w:eastAsia="仿宋_GB2312"/>
          <w:b/>
          <w:color w:val="000000"/>
          <w:sz w:val="32"/>
          <w:szCs w:val="32"/>
        </w:rPr>
      </w:pPr>
    </w:p>
    <w:p w:rsidR="0068449C" w:rsidRDefault="0068449C">
      <w:pPr>
        <w:spacing w:line="600" w:lineRule="exact"/>
        <w:ind w:firstLine="640"/>
        <w:rPr>
          <w:rFonts w:ascii="仿宋_GB2312" w:eastAsia="仿宋_GB2312"/>
          <w:b/>
          <w:color w:val="000000"/>
          <w:sz w:val="32"/>
          <w:szCs w:val="32"/>
        </w:rPr>
      </w:pPr>
    </w:p>
    <w:p w:rsidR="0068449C" w:rsidRDefault="0068449C">
      <w:pPr>
        <w:spacing w:line="600" w:lineRule="exact"/>
        <w:ind w:firstLine="640"/>
        <w:rPr>
          <w:rFonts w:ascii="仿宋_GB2312" w:eastAsia="仿宋_GB2312"/>
          <w:b/>
          <w:color w:val="000000"/>
          <w:sz w:val="32"/>
          <w:szCs w:val="32"/>
        </w:rPr>
      </w:pPr>
    </w:p>
    <w:p w:rsidR="0068449C" w:rsidRDefault="00A3283D">
      <w:pPr>
        <w:spacing w:line="600" w:lineRule="exact"/>
        <w:ind w:firstLine="640"/>
        <w:rPr>
          <w:rFonts w:ascii="仿宋_GB2312" w:eastAsia="仿宋_GB2312"/>
          <w:color w:val="000000"/>
          <w:sz w:val="32"/>
          <w:szCs w:val="32"/>
        </w:rPr>
      </w:pPr>
      <w:r>
        <w:rPr>
          <w:rFonts w:ascii="仿宋_GB2312" w:eastAsia="仿宋_GB2312"/>
          <w:b/>
          <w:color w:val="000000"/>
          <w:sz w:val="32"/>
          <w:szCs w:val="32"/>
        </w:rPr>
        <w:t>3.</w:t>
      </w:r>
      <w:r>
        <w:rPr>
          <w:rFonts w:ascii="仿宋_GB2312" w:eastAsia="仿宋_GB2312" w:hint="eastAsia"/>
          <w:b/>
          <w:color w:val="000000"/>
          <w:sz w:val="32"/>
          <w:szCs w:val="32"/>
        </w:rPr>
        <w:t>公务接待费支出</w:t>
      </w:r>
      <w:r>
        <w:rPr>
          <w:rFonts w:ascii="仿宋_GB2312" w:eastAsia="仿宋_GB2312" w:hint="eastAsia"/>
          <w:color w:val="000000"/>
          <w:sz w:val="32"/>
          <w:szCs w:val="32"/>
        </w:rPr>
        <w:t>7.2</w:t>
      </w:r>
      <w:r>
        <w:rPr>
          <w:rFonts w:ascii="仿宋_GB2312" w:eastAsia="仿宋_GB2312" w:hint="eastAsia"/>
          <w:color w:val="000000"/>
          <w:sz w:val="32"/>
          <w:szCs w:val="32"/>
        </w:rPr>
        <w:t>万元，</w:t>
      </w:r>
      <w:r>
        <w:rPr>
          <w:rStyle w:val="aa"/>
          <w:rFonts w:ascii="仿宋" w:eastAsia="仿宋" w:hAnsi="仿宋" w:hint="eastAsia"/>
          <w:bCs/>
          <w:color w:val="000000"/>
          <w:sz w:val="32"/>
          <w:szCs w:val="32"/>
        </w:rPr>
        <w:t>完成预算</w:t>
      </w:r>
      <w:r>
        <w:rPr>
          <w:rStyle w:val="aa"/>
          <w:rFonts w:ascii="仿宋" w:eastAsia="仿宋" w:hAnsi="仿宋" w:hint="eastAsia"/>
          <w:bCs/>
          <w:color w:val="000000"/>
          <w:sz w:val="32"/>
          <w:szCs w:val="32"/>
        </w:rPr>
        <w:t>90</w:t>
      </w:r>
      <w:r>
        <w:rPr>
          <w:rStyle w:val="aa"/>
          <w:rFonts w:ascii="仿宋" w:eastAsia="仿宋" w:hAnsi="仿宋"/>
          <w:bCs/>
          <w:color w:val="000000"/>
          <w:sz w:val="32"/>
          <w:szCs w:val="32"/>
        </w:rPr>
        <w:t>%</w:t>
      </w:r>
      <w:r>
        <w:rPr>
          <w:rStyle w:val="aa"/>
          <w:rFonts w:ascii="仿宋" w:eastAsia="仿宋" w:hAnsi="仿宋" w:hint="eastAsia"/>
          <w:bCs/>
          <w:color w:val="000000"/>
          <w:sz w:val="32"/>
          <w:szCs w:val="32"/>
        </w:rPr>
        <w:t>。</w:t>
      </w:r>
      <w:r>
        <w:rPr>
          <w:rFonts w:ascii="仿宋_GB2312" w:eastAsia="仿宋_GB2312" w:hint="eastAsia"/>
          <w:color w:val="000000"/>
          <w:sz w:val="32"/>
          <w:szCs w:val="32"/>
        </w:rPr>
        <w:t>公务接待费支出决算比</w:t>
      </w:r>
      <w:r>
        <w:rPr>
          <w:rFonts w:ascii="仿宋_GB2312" w:eastAsia="仿宋_GB2312"/>
          <w:color w:val="000000"/>
          <w:sz w:val="32"/>
          <w:szCs w:val="32"/>
        </w:rPr>
        <w:t>2019</w:t>
      </w:r>
      <w:r>
        <w:rPr>
          <w:rFonts w:ascii="仿宋_GB2312" w:eastAsia="仿宋_GB2312" w:hint="eastAsia"/>
          <w:color w:val="000000"/>
          <w:sz w:val="32"/>
          <w:szCs w:val="32"/>
        </w:rPr>
        <w:t>年减少</w:t>
      </w:r>
      <w:r>
        <w:rPr>
          <w:rFonts w:ascii="仿宋_GB2312" w:eastAsia="仿宋_GB2312" w:hint="eastAsia"/>
          <w:color w:val="000000"/>
          <w:sz w:val="32"/>
          <w:szCs w:val="32"/>
        </w:rPr>
        <w:t>0.8</w:t>
      </w:r>
      <w:r>
        <w:rPr>
          <w:rFonts w:ascii="仿宋_GB2312" w:eastAsia="仿宋_GB2312" w:hint="eastAsia"/>
          <w:color w:val="000000"/>
          <w:sz w:val="32"/>
          <w:szCs w:val="32"/>
        </w:rPr>
        <w:t>万元，下降</w:t>
      </w:r>
      <w:r>
        <w:rPr>
          <w:rFonts w:ascii="仿宋_GB2312" w:eastAsia="仿宋_GB2312" w:hint="eastAsia"/>
          <w:color w:val="000000"/>
          <w:sz w:val="32"/>
          <w:szCs w:val="32"/>
        </w:rPr>
        <w:t>10</w:t>
      </w:r>
      <w:r>
        <w:rPr>
          <w:rFonts w:ascii="仿宋_GB2312" w:eastAsia="仿宋_GB2312"/>
          <w:color w:val="000000"/>
          <w:sz w:val="32"/>
          <w:szCs w:val="32"/>
        </w:rPr>
        <w:t>%</w:t>
      </w:r>
      <w:r>
        <w:rPr>
          <w:rFonts w:ascii="仿宋_GB2312" w:eastAsia="仿宋_GB2312" w:hint="eastAsia"/>
          <w:color w:val="000000"/>
          <w:sz w:val="32"/>
          <w:szCs w:val="32"/>
        </w:rPr>
        <w:t>。主要原因是由于疫情原因，公务接待次数人数比</w:t>
      </w:r>
      <w:r>
        <w:rPr>
          <w:rFonts w:ascii="仿宋_GB2312" w:eastAsia="仿宋_GB2312" w:hint="eastAsia"/>
          <w:color w:val="000000"/>
          <w:sz w:val="32"/>
          <w:szCs w:val="32"/>
        </w:rPr>
        <w:t>2019</w:t>
      </w:r>
      <w:r>
        <w:rPr>
          <w:rFonts w:ascii="仿宋_GB2312" w:eastAsia="仿宋_GB2312" w:hint="eastAsia"/>
          <w:color w:val="000000"/>
          <w:sz w:val="32"/>
          <w:szCs w:val="32"/>
        </w:rPr>
        <w:t>年更少。其中：</w:t>
      </w:r>
    </w:p>
    <w:p w:rsidR="0068449C" w:rsidRDefault="00A3283D">
      <w:pPr>
        <w:spacing w:line="600" w:lineRule="exact"/>
        <w:ind w:firstLine="640"/>
        <w:rPr>
          <w:rFonts w:ascii="仿宋_GB2312" w:eastAsia="仿宋_GB2312"/>
          <w:color w:val="000000"/>
          <w:sz w:val="32"/>
          <w:szCs w:val="32"/>
        </w:rPr>
      </w:pPr>
      <w:r>
        <w:rPr>
          <w:rFonts w:ascii="仿宋" w:eastAsia="仿宋" w:hAnsi="仿宋" w:hint="eastAsia"/>
          <w:b/>
          <w:color w:val="000000"/>
          <w:sz w:val="32"/>
          <w:szCs w:val="32"/>
        </w:rPr>
        <w:t>国内公务接待支出</w:t>
      </w:r>
      <w:r>
        <w:rPr>
          <w:rFonts w:ascii="仿宋" w:eastAsia="仿宋" w:hAnsi="仿宋" w:hint="eastAsia"/>
          <w:color w:val="000000"/>
          <w:sz w:val="32"/>
          <w:szCs w:val="32"/>
        </w:rPr>
        <w:t>3.2</w:t>
      </w:r>
      <w:r>
        <w:rPr>
          <w:rFonts w:ascii="仿宋_GB2312" w:eastAsia="仿宋_GB2312" w:hint="eastAsia"/>
          <w:color w:val="000000"/>
          <w:sz w:val="32"/>
          <w:szCs w:val="32"/>
        </w:rPr>
        <w:t>万元，主要用于开展业务活动开支的交通费、住宿费、用餐费等。国内公务接待</w:t>
      </w:r>
      <w:r>
        <w:rPr>
          <w:rFonts w:ascii="仿宋_GB2312" w:eastAsia="仿宋_GB2312" w:hint="eastAsia"/>
          <w:color w:val="000000"/>
          <w:sz w:val="32"/>
          <w:szCs w:val="32"/>
        </w:rPr>
        <w:t>4</w:t>
      </w:r>
      <w:r>
        <w:rPr>
          <w:rFonts w:ascii="仿宋_GB2312" w:eastAsia="仿宋_GB2312" w:hint="eastAsia"/>
          <w:color w:val="000000"/>
          <w:sz w:val="32"/>
          <w:szCs w:val="32"/>
        </w:rPr>
        <w:t>批次，</w:t>
      </w:r>
      <w:r>
        <w:rPr>
          <w:rFonts w:ascii="仿宋_GB2312" w:eastAsia="仿宋_GB2312" w:hint="eastAsia"/>
          <w:color w:val="000000"/>
          <w:sz w:val="32"/>
          <w:szCs w:val="32"/>
        </w:rPr>
        <w:t>160</w:t>
      </w:r>
      <w:r>
        <w:rPr>
          <w:rFonts w:ascii="仿宋_GB2312" w:eastAsia="仿宋_GB2312" w:hint="eastAsia"/>
          <w:color w:val="000000"/>
          <w:sz w:val="32"/>
          <w:szCs w:val="32"/>
        </w:rPr>
        <w:t>人次（不包括陪同人员），共计支出</w:t>
      </w:r>
      <w:r>
        <w:rPr>
          <w:rFonts w:ascii="仿宋_GB2312" w:eastAsia="仿宋_GB2312" w:hint="eastAsia"/>
          <w:color w:val="000000"/>
          <w:sz w:val="32"/>
          <w:szCs w:val="32"/>
        </w:rPr>
        <w:t>3.2</w:t>
      </w:r>
      <w:r>
        <w:rPr>
          <w:rFonts w:ascii="仿宋_GB2312" w:eastAsia="仿宋_GB2312" w:hint="eastAsia"/>
          <w:color w:val="000000"/>
          <w:sz w:val="32"/>
          <w:szCs w:val="32"/>
        </w:rPr>
        <w:t>万元，具体内容包括：用餐费</w:t>
      </w:r>
      <w:r>
        <w:rPr>
          <w:rFonts w:ascii="仿宋_GB2312" w:eastAsia="仿宋_GB2312" w:hint="eastAsia"/>
          <w:color w:val="000000"/>
          <w:sz w:val="32"/>
          <w:szCs w:val="32"/>
        </w:rPr>
        <w:t>6400</w:t>
      </w:r>
      <w:r>
        <w:rPr>
          <w:rFonts w:ascii="仿宋_GB2312" w:eastAsia="仿宋_GB2312" w:hint="eastAsia"/>
          <w:color w:val="000000"/>
          <w:sz w:val="32"/>
          <w:szCs w:val="32"/>
        </w:rPr>
        <w:t>，住宿费</w:t>
      </w:r>
      <w:r>
        <w:rPr>
          <w:rFonts w:ascii="仿宋_GB2312" w:eastAsia="仿宋_GB2312" w:hint="eastAsia"/>
          <w:color w:val="000000"/>
          <w:sz w:val="32"/>
          <w:szCs w:val="32"/>
        </w:rPr>
        <w:t>24000</w:t>
      </w:r>
      <w:r>
        <w:rPr>
          <w:rFonts w:ascii="仿宋_GB2312" w:eastAsia="仿宋_GB2312" w:hint="eastAsia"/>
          <w:color w:val="000000"/>
          <w:sz w:val="32"/>
          <w:szCs w:val="32"/>
        </w:rPr>
        <w:t>，交通费</w:t>
      </w:r>
      <w:r>
        <w:rPr>
          <w:rFonts w:ascii="仿宋_GB2312" w:eastAsia="仿宋_GB2312" w:hint="eastAsia"/>
          <w:color w:val="000000"/>
          <w:sz w:val="32"/>
          <w:szCs w:val="32"/>
        </w:rPr>
        <w:t>1600</w:t>
      </w:r>
      <w:r>
        <w:rPr>
          <w:rFonts w:ascii="仿宋_GB2312" w:eastAsia="仿宋_GB2312" w:hint="eastAsia"/>
          <w:color w:val="000000"/>
          <w:sz w:val="32"/>
          <w:szCs w:val="32"/>
        </w:rPr>
        <w:t>。</w:t>
      </w:r>
    </w:p>
    <w:p w:rsidR="0068449C" w:rsidRDefault="00A3283D">
      <w:pPr>
        <w:spacing w:line="600" w:lineRule="exact"/>
        <w:ind w:firstLine="643"/>
        <w:rPr>
          <w:rFonts w:ascii="仿宋_GB2312" w:eastAsia="仿宋_GB2312"/>
          <w:color w:val="000000"/>
          <w:sz w:val="32"/>
          <w:szCs w:val="32"/>
        </w:rPr>
      </w:pPr>
      <w:r>
        <w:rPr>
          <w:rFonts w:ascii="仿宋" w:eastAsia="仿宋" w:hAnsi="仿宋" w:hint="eastAsia"/>
          <w:b/>
          <w:color w:val="000000"/>
          <w:sz w:val="32"/>
          <w:szCs w:val="32"/>
        </w:rPr>
        <w:t>外事接待支出</w:t>
      </w:r>
      <w:r>
        <w:rPr>
          <w:rFonts w:ascii="仿宋" w:eastAsia="仿宋" w:hAnsi="仿宋" w:hint="eastAsia"/>
          <w:color w:val="000000"/>
          <w:sz w:val="32"/>
          <w:szCs w:val="32"/>
        </w:rPr>
        <w:t>0</w:t>
      </w:r>
      <w:r>
        <w:rPr>
          <w:rFonts w:ascii="仿宋_GB2312" w:eastAsia="仿宋_GB2312" w:hint="eastAsia"/>
          <w:color w:val="000000"/>
          <w:sz w:val="32"/>
          <w:szCs w:val="32"/>
        </w:rPr>
        <w:t>万元，外事接待</w:t>
      </w:r>
      <w:r>
        <w:rPr>
          <w:rFonts w:ascii="仿宋_GB2312" w:eastAsia="仿宋_GB2312" w:hint="eastAsia"/>
          <w:color w:val="000000"/>
          <w:sz w:val="32"/>
          <w:szCs w:val="32"/>
        </w:rPr>
        <w:t>0</w:t>
      </w:r>
      <w:r>
        <w:rPr>
          <w:rFonts w:ascii="仿宋_GB2312" w:eastAsia="仿宋_GB2312" w:hint="eastAsia"/>
          <w:color w:val="000000"/>
          <w:sz w:val="32"/>
          <w:szCs w:val="32"/>
        </w:rPr>
        <w:t>批次，</w:t>
      </w:r>
      <w:r>
        <w:rPr>
          <w:rFonts w:ascii="仿宋_GB2312" w:eastAsia="仿宋_GB2312" w:hint="eastAsia"/>
          <w:color w:val="000000"/>
          <w:sz w:val="32"/>
          <w:szCs w:val="32"/>
        </w:rPr>
        <w:t>0</w:t>
      </w:r>
      <w:r>
        <w:rPr>
          <w:rFonts w:ascii="仿宋_GB2312" w:eastAsia="仿宋_GB2312" w:hint="eastAsia"/>
          <w:color w:val="000000"/>
          <w:sz w:val="32"/>
          <w:szCs w:val="32"/>
        </w:rPr>
        <w:t>人，共计支出</w:t>
      </w:r>
      <w:r>
        <w:rPr>
          <w:rFonts w:ascii="仿宋_GB2312" w:eastAsia="仿宋_GB2312" w:hint="eastAsia"/>
          <w:color w:val="000000"/>
          <w:sz w:val="32"/>
          <w:szCs w:val="32"/>
        </w:rPr>
        <w:t>0</w:t>
      </w:r>
      <w:r>
        <w:rPr>
          <w:rFonts w:ascii="仿宋_GB2312" w:eastAsia="仿宋_GB2312" w:hint="eastAsia"/>
          <w:color w:val="000000"/>
          <w:sz w:val="32"/>
          <w:szCs w:val="32"/>
        </w:rPr>
        <w:t>万元。主要用于</w:t>
      </w:r>
    </w:p>
    <w:p w:rsidR="0068449C" w:rsidRDefault="0068449C">
      <w:pPr>
        <w:spacing w:line="600" w:lineRule="exact"/>
        <w:ind w:firstLine="640"/>
        <w:rPr>
          <w:rFonts w:ascii="仿宋" w:eastAsia="仿宋" w:hAnsi="仿宋"/>
          <w:b/>
          <w:color w:val="FF0000"/>
          <w:sz w:val="32"/>
          <w:szCs w:val="32"/>
        </w:rPr>
      </w:pPr>
    </w:p>
    <w:p w:rsidR="0068449C" w:rsidRDefault="00A3283D">
      <w:pPr>
        <w:spacing w:line="600" w:lineRule="exact"/>
        <w:ind w:firstLine="640"/>
        <w:outlineLvl w:val="1"/>
        <w:rPr>
          <w:rStyle w:val="2Char"/>
          <w:rFonts w:ascii="黑体" w:eastAsia="黑体" w:hAnsi="黑体"/>
          <w:b w:val="0"/>
          <w:bCs w:val="0"/>
        </w:rPr>
      </w:pPr>
      <w:bookmarkStart w:id="46" w:name="_Toc15377218"/>
      <w:bookmarkStart w:id="47" w:name="_Toc15396610"/>
      <w:r>
        <w:rPr>
          <w:rFonts w:ascii="黑体" w:eastAsia="黑体" w:hint="eastAsia"/>
          <w:color w:val="000000"/>
          <w:sz w:val="32"/>
          <w:szCs w:val="32"/>
        </w:rPr>
        <w:t>八、</w:t>
      </w:r>
      <w:r>
        <w:rPr>
          <w:rStyle w:val="2Char"/>
          <w:rFonts w:ascii="黑体" w:eastAsia="黑体" w:hAnsi="黑体" w:hint="eastAsia"/>
          <w:b w:val="0"/>
        </w:rPr>
        <w:t>政府性基金预算支出决算情况说明</w:t>
      </w:r>
      <w:bookmarkEnd w:id="46"/>
      <w:bookmarkEnd w:id="47"/>
    </w:p>
    <w:p w:rsidR="0068449C" w:rsidRDefault="00A3283D">
      <w:pPr>
        <w:spacing w:line="600" w:lineRule="exact"/>
        <w:ind w:firstLine="640"/>
        <w:rPr>
          <w:rFonts w:ascii="仿宋_GB2312" w:eastAsia="仿宋_GB2312"/>
          <w:color w:val="000000"/>
          <w:sz w:val="32"/>
          <w:szCs w:val="32"/>
        </w:rPr>
      </w:pPr>
      <w:r>
        <w:rPr>
          <w:rFonts w:ascii="仿宋_GB2312" w:eastAsia="仿宋_GB2312"/>
          <w:color w:val="000000"/>
          <w:sz w:val="32"/>
          <w:szCs w:val="32"/>
        </w:rPr>
        <w:t>2020</w:t>
      </w:r>
      <w:r>
        <w:rPr>
          <w:rFonts w:ascii="仿宋_GB2312" w:eastAsia="仿宋_GB2312" w:hint="eastAsia"/>
          <w:color w:val="000000"/>
          <w:sz w:val="32"/>
          <w:szCs w:val="32"/>
        </w:rPr>
        <w:t>年政府性基金预算拨款支出</w:t>
      </w:r>
      <w:r>
        <w:rPr>
          <w:rFonts w:ascii="仿宋_GB2312" w:eastAsia="仿宋_GB2312" w:hint="eastAsia"/>
          <w:color w:val="000000"/>
          <w:sz w:val="32"/>
          <w:szCs w:val="32"/>
        </w:rPr>
        <w:t>20.27</w:t>
      </w:r>
      <w:r>
        <w:rPr>
          <w:rFonts w:ascii="仿宋_GB2312" w:eastAsia="仿宋_GB2312" w:hint="eastAsia"/>
          <w:color w:val="000000"/>
          <w:sz w:val="32"/>
          <w:szCs w:val="32"/>
        </w:rPr>
        <w:t>万元。</w:t>
      </w:r>
    </w:p>
    <w:p w:rsidR="0068449C" w:rsidRDefault="0068449C">
      <w:pPr>
        <w:spacing w:line="600" w:lineRule="exact"/>
        <w:ind w:firstLine="640"/>
        <w:rPr>
          <w:rFonts w:ascii="仿宋_GB2312" w:eastAsia="仿宋_GB2312"/>
          <w:color w:val="000000"/>
          <w:sz w:val="32"/>
          <w:szCs w:val="32"/>
        </w:rPr>
      </w:pPr>
    </w:p>
    <w:p w:rsidR="0068449C" w:rsidRDefault="00A3283D">
      <w:pPr>
        <w:numPr>
          <w:ilvl w:val="0"/>
          <w:numId w:val="2"/>
        </w:numPr>
        <w:spacing w:line="600" w:lineRule="exact"/>
        <w:ind w:firstLine="640"/>
        <w:outlineLvl w:val="1"/>
        <w:rPr>
          <w:rStyle w:val="2Char"/>
          <w:rFonts w:ascii="黑体" w:eastAsia="黑体" w:hAnsi="黑体"/>
          <w:b w:val="0"/>
          <w:bCs w:val="0"/>
        </w:rPr>
      </w:pPr>
      <w:bookmarkStart w:id="48" w:name="_Toc15377219"/>
      <w:bookmarkStart w:id="49" w:name="_Toc15396611"/>
      <w:r>
        <w:rPr>
          <w:rStyle w:val="2Char"/>
          <w:rFonts w:ascii="黑体" w:eastAsia="黑体" w:hAnsi="黑体" w:hint="eastAsia"/>
          <w:b w:val="0"/>
        </w:rPr>
        <w:t>国有资本经营预算支出决算情况说明</w:t>
      </w:r>
      <w:bookmarkEnd w:id="48"/>
      <w:bookmarkEnd w:id="49"/>
    </w:p>
    <w:p w:rsidR="0068449C" w:rsidRDefault="00A3283D">
      <w:pPr>
        <w:spacing w:line="600" w:lineRule="exact"/>
        <w:ind w:firstLine="640"/>
        <w:rPr>
          <w:rFonts w:ascii="仿宋_GB2312" w:eastAsia="仿宋_GB2312"/>
          <w:color w:val="000000"/>
          <w:sz w:val="32"/>
          <w:szCs w:val="32"/>
        </w:rPr>
      </w:pPr>
      <w:r>
        <w:rPr>
          <w:rFonts w:ascii="仿宋_GB2312" w:eastAsia="仿宋_GB2312"/>
          <w:color w:val="000000"/>
          <w:sz w:val="32"/>
          <w:szCs w:val="32"/>
        </w:rPr>
        <w:lastRenderedPageBreak/>
        <w:t>2020</w:t>
      </w:r>
      <w:r>
        <w:rPr>
          <w:rFonts w:ascii="仿宋_GB2312" w:eastAsia="仿宋_GB2312" w:hint="eastAsia"/>
          <w:color w:val="000000"/>
          <w:sz w:val="32"/>
          <w:szCs w:val="32"/>
        </w:rPr>
        <w:t>年国有资本经营预算拨款支出</w:t>
      </w:r>
      <w:r>
        <w:rPr>
          <w:rFonts w:ascii="仿宋_GB2312" w:eastAsia="仿宋_GB2312" w:hint="eastAsia"/>
          <w:color w:val="000000"/>
          <w:sz w:val="32"/>
          <w:szCs w:val="32"/>
        </w:rPr>
        <w:t>0</w:t>
      </w:r>
      <w:r>
        <w:rPr>
          <w:rFonts w:ascii="仿宋_GB2312" w:eastAsia="仿宋_GB2312" w:hint="eastAsia"/>
          <w:color w:val="000000"/>
          <w:sz w:val="32"/>
          <w:szCs w:val="32"/>
        </w:rPr>
        <w:t>万元。</w:t>
      </w:r>
    </w:p>
    <w:p w:rsidR="0068449C" w:rsidRDefault="0068449C">
      <w:pPr>
        <w:spacing w:line="580" w:lineRule="exact"/>
        <w:jc w:val="center"/>
        <w:rPr>
          <w:rFonts w:ascii="方正小标宋简体" w:eastAsia="方正小标宋简体" w:hAnsi="方正小标宋简体" w:cs="方正小标宋简体"/>
          <w:sz w:val="44"/>
          <w:szCs w:val="44"/>
        </w:rPr>
      </w:pPr>
    </w:p>
    <w:p w:rsidR="0068449C" w:rsidRDefault="00A3283D">
      <w:pPr>
        <w:spacing w:line="600" w:lineRule="exact"/>
        <w:ind w:firstLine="800"/>
        <w:outlineLvl w:val="1"/>
        <w:rPr>
          <w:rStyle w:val="2Char"/>
          <w:rFonts w:ascii="黑体" w:eastAsia="黑体" w:hAnsi="黑体"/>
          <w:b w:val="0"/>
          <w:bCs w:val="0"/>
        </w:rPr>
      </w:pPr>
      <w:bookmarkStart w:id="50" w:name="_Toc15396612"/>
      <w:bookmarkStart w:id="51" w:name="_Toc15377221"/>
      <w:r>
        <w:rPr>
          <w:rFonts w:ascii="黑体" w:eastAsia="黑体" w:hAnsi="黑体" w:hint="eastAsia"/>
          <w:color w:val="000000"/>
          <w:sz w:val="32"/>
          <w:szCs w:val="32"/>
        </w:rPr>
        <w:t>十</w:t>
      </w:r>
      <w:r>
        <w:rPr>
          <w:rStyle w:val="2Char"/>
          <w:rFonts w:ascii="黑体" w:eastAsia="黑体" w:hAnsi="黑体" w:hint="eastAsia"/>
        </w:rPr>
        <w:t>、</w:t>
      </w:r>
      <w:r>
        <w:rPr>
          <w:rStyle w:val="2Char"/>
          <w:rFonts w:ascii="黑体" w:eastAsia="黑体" w:hAnsi="黑体" w:hint="eastAsia"/>
          <w:b w:val="0"/>
        </w:rPr>
        <w:t>其他重要事项的情况说明</w:t>
      </w:r>
      <w:bookmarkEnd w:id="50"/>
      <w:bookmarkEnd w:id="51"/>
    </w:p>
    <w:p w:rsidR="0068449C" w:rsidRDefault="00A3283D">
      <w:pPr>
        <w:autoSpaceDE w:val="0"/>
        <w:autoSpaceDN w:val="0"/>
        <w:adjustRightInd w:val="0"/>
        <w:spacing w:line="600" w:lineRule="exact"/>
        <w:ind w:firstLine="643"/>
        <w:outlineLvl w:val="2"/>
        <w:rPr>
          <w:rFonts w:ascii="仿宋" w:eastAsia="仿宋" w:hAnsi="仿宋"/>
          <w:b/>
          <w:color w:val="000000"/>
          <w:sz w:val="32"/>
          <w:szCs w:val="32"/>
        </w:rPr>
      </w:pPr>
      <w:bookmarkStart w:id="52" w:name="_Toc15377224"/>
      <w:r>
        <w:rPr>
          <w:rFonts w:ascii="仿宋" w:eastAsia="仿宋" w:hAnsi="仿宋" w:hint="eastAsia"/>
          <w:b/>
          <w:color w:val="000000"/>
          <w:sz w:val="32"/>
          <w:szCs w:val="32"/>
        </w:rPr>
        <w:t>（三）国有资产占有使用情况</w:t>
      </w:r>
      <w:bookmarkEnd w:id="52"/>
    </w:p>
    <w:p w:rsidR="0068449C" w:rsidRDefault="00A3283D">
      <w:pPr>
        <w:autoSpaceDE w:val="0"/>
        <w:autoSpaceDN w:val="0"/>
        <w:adjustRightInd w:val="0"/>
        <w:spacing w:line="600" w:lineRule="exact"/>
        <w:ind w:firstLine="640"/>
        <w:rPr>
          <w:rFonts w:ascii="仿宋" w:eastAsia="仿宋" w:hAnsi="仿宋"/>
          <w:b/>
          <w:color w:val="FF0000"/>
          <w:sz w:val="32"/>
          <w:szCs w:val="32"/>
        </w:rPr>
      </w:pPr>
      <w:r>
        <w:rPr>
          <w:rFonts w:ascii="仿宋_GB2312" w:eastAsia="仿宋_GB2312" w:hint="eastAsia"/>
          <w:color w:val="000000"/>
          <w:sz w:val="32"/>
          <w:szCs w:val="32"/>
        </w:rPr>
        <w:t>截至</w:t>
      </w:r>
      <w:r>
        <w:rPr>
          <w:rFonts w:ascii="仿宋_GB2312" w:eastAsia="仿宋_GB2312"/>
          <w:color w:val="000000"/>
          <w:sz w:val="32"/>
          <w:szCs w:val="32"/>
        </w:rPr>
        <w:t>2020</w:t>
      </w:r>
      <w:r>
        <w:rPr>
          <w:rFonts w:ascii="仿宋_GB2312" w:eastAsia="仿宋_GB2312" w:hint="eastAsia"/>
          <w:color w:val="000000"/>
          <w:sz w:val="32"/>
          <w:szCs w:val="32"/>
        </w:rPr>
        <w:t>年</w:t>
      </w:r>
      <w:r>
        <w:rPr>
          <w:rFonts w:ascii="仿宋_GB2312" w:eastAsia="仿宋_GB2312"/>
          <w:color w:val="000000"/>
          <w:sz w:val="32"/>
          <w:szCs w:val="32"/>
        </w:rPr>
        <w:t>12</w:t>
      </w:r>
      <w:r>
        <w:rPr>
          <w:rFonts w:ascii="仿宋_GB2312" w:eastAsia="仿宋_GB2312" w:hint="eastAsia"/>
          <w:color w:val="000000"/>
          <w:sz w:val="32"/>
          <w:szCs w:val="32"/>
        </w:rPr>
        <w:t>月</w:t>
      </w:r>
      <w:r>
        <w:rPr>
          <w:rFonts w:ascii="仿宋_GB2312" w:eastAsia="仿宋_GB2312"/>
          <w:color w:val="000000"/>
          <w:sz w:val="32"/>
          <w:szCs w:val="32"/>
        </w:rPr>
        <w:t>31</w:t>
      </w:r>
      <w:r>
        <w:rPr>
          <w:rFonts w:ascii="仿宋_GB2312" w:eastAsia="仿宋_GB2312" w:hint="eastAsia"/>
          <w:color w:val="000000"/>
          <w:sz w:val="32"/>
          <w:szCs w:val="32"/>
        </w:rPr>
        <w:t>日，攀枝花市外国语学校共有车辆</w:t>
      </w:r>
      <w:r>
        <w:rPr>
          <w:rFonts w:ascii="仿宋_GB2312" w:eastAsia="仿宋_GB2312" w:hint="eastAsia"/>
          <w:color w:val="000000"/>
          <w:sz w:val="32"/>
          <w:szCs w:val="32"/>
        </w:rPr>
        <w:t>1</w:t>
      </w:r>
      <w:r>
        <w:rPr>
          <w:rFonts w:ascii="仿宋_GB2312" w:eastAsia="仿宋_GB2312" w:hint="eastAsia"/>
          <w:color w:val="000000"/>
          <w:sz w:val="32"/>
          <w:szCs w:val="32"/>
        </w:rPr>
        <w:t>辆，其中：主要领导干部用车</w:t>
      </w:r>
      <w:r>
        <w:rPr>
          <w:rFonts w:ascii="仿宋_GB2312" w:eastAsia="仿宋_GB2312" w:hint="eastAsia"/>
          <w:color w:val="000000"/>
          <w:sz w:val="32"/>
          <w:szCs w:val="32"/>
        </w:rPr>
        <w:t>0</w:t>
      </w:r>
      <w:r>
        <w:rPr>
          <w:rFonts w:ascii="仿宋_GB2312" w:eastAsia="仿宋_GB2312" w:hint="eastAsia"/>
          <w:color w:val="000000"/>
          <w:sz w:val="32"/>
          <w:szCs w:val="32"/>
        </w:rPr>
        <w:t>辆、机要通信用车</w:t>
      </w:r>
      <w:r>
        <w:rPr>
          <w:rFonts w:ascii="仿宋_GB2312" w:eastAsia="仿宋_GB2312" w:hint="eastAsia"/>
          <w:color w:val="000000"/>
          <w:sz w:val="32"/>
          <w:szCs w:val="32"/>
        </w:rPr>
        <w:t>1</w:t>
      </w:r>
      <w:r>
        <w:rPr>
          <w:rFonts w:ascii="仿宋_GB2312" w:eastAsia="仿宋_GB2312" w:hint="eastAsia"/>
          <w:color w:val="000000"/>
          <w:sz w:val="32"/>
          <w:szCs w:val="32"/>
        </w:rPr>
        <w:t>辆、应急保障用车</w:t>
      </w:r>
      <w:r>
        <w:rPr>
          <w:rFonts w:ascii="仿宋_GB2312" w:eastAsia="仿宋_GB2312" w:hint="eastAsia"/>
          <w:color w:val="000000"/>
          <w:sz w:val="32"/>
          <w:szCs w:val="32"/>
        </w:rPr>
        <w:t>0</w:t>
      </w:r>
      <w:r>
        <w:rPr>
          <w:rFonts w:ascii="仿宋_GB2312" w:eastAsia="仿宋_GB2312" w:hint="eastAsia"/>
          <w:color w:val="000000"/>
          <w:sz w:val="32"/>
          <w:szCs w:val="32"/>
        </w:rPr>
        <w:t>辆、其他用车</w:t>
      </w:r>
      <w:r>
        <w:rPr>
          <w:rFonts w:ascii="仿宋_GB2312" w:eastAsia="仿宋_GB2312" w:hint="eastAsia"/>
          <w:color w:val="000000"/>
          <w:sz w:val="32"/>
          <w:szCs w:val="32"/>
        </w:rPr>
        <w:t>0</w:t>
      </w:r>
      <w:r>
        <w:rPr>
          <w:rFonts w:ascii="仿宋_GB2312" w:eastAsia="仿宋_GB2312" w:hint="eastAsia"/>
          <w:color w:val="000000"/>
          <w:sz w:val="32"/>
          <w:szCs w:val="32"/>
        </w:rPr>
        <w:t>辆单价</w:t>
      </w:r>
      <w:r>
        <w:rPr>
          <w:rFonts w:ascii="仿宋_GB2312" w:eastAsia="仿宋_GB2312"/>
          <w:color w:val="000000"/>
          <w:sz w:val="32"/>
          <w:szCs w:val="32"/>
        </w:rPr>
        <w:t>50</w:t>
      </w:r>
      <w:r>
        <w:rPr>
          <w:rFonts w:ascii="仿宋_GB2312" w:eastAsia="仿宋_GB2312" w:hint="eastAsia"/>
          <w:color w:val="000000"/>
          <w:sz w:val="32"/>
          <w:szCs w:val="32"/>
        </w:rPr>
        <w:t>万元以上通用设备</w:t>
      </w:r>
      <w:r>
        <w:rPr>
          <w:rFonts w:ascii="仿宋_GB2312" w:eastAsia="仿宋_GB2312" w:hint="eastAsia"/>
          <w:color w:val="000000"/>
          <w:sz w:val="32"/>
          <w:szCs w:val="32"/>
        </w:rPr>
        <w:t>0</w:t>
      </w:r>
      <w:r>
        <w:rPr>
          <w:rFonts w:ascii="仿宋_GB2312" w:eastAsia="仿宋_GB2312" w:hint="eastAsia"/>
          <w:color w:val="000000"/>
          <w:sz w:val="32"/>
          <w:szCs w:val="32"/>
        </w:rPr>
        <w:t>台（套），单价</w:t>
      </w:r>
      <w:r>
        <w:rPr>
          <w:rFonts w:ascii="仿宋_GB2312" w:eastAsia="仿宋_GB2312"/>
          <w:color w:val="000000"/>
          <w:sz w:val="32"/>
          <w:szCs w:val="32"/>
        </w:rPr>
        <w:t>100</w:t>
      </w:r>
      <w:r>
        <w:rPr>
          <w:rFonts w:ascii="仿宋_GB2312" w:eastAsia="仿宋_GB2312" w:hint="eastAsia"/>
          <w:color w:val="000000"/>
          <w:sz w:val="32"/>
          <w:szCs w:val="32"/>
        </w:rPr>
        <w:t>万元以上专用设备</w:t>
      </w:r>
      <w:r>
        <w:rPr>
          <w:rFonts w:ascii="仿宋_GB2312" w:eastAsia="仿宋_GB2312" w:hint="eastAsia"/>
          <w:color w:val="000000"/>
          <w:sz w:val="32"/>
          <w:szCs w:val="32"/>
        </w:rPr>
        <w:t>0</w:t>
      </w:r>
      <w:r>
        <w:rPr>
          <w:rFonts w:ascii="仿宋_GB2312" w:eastAsia="仿宋_GB2312" w:hint="eastAsia"/>
          <w:color w:val="000000"/>
          <w:sz w:val="32"/>
          <w:szCs w:val="32"/>
        </w:rPr>
        <w:t>台（套）。</w:t>
      </w:r>
    </w:p>
    <w:p w:rsidR="0068449C" w:rsidRDefault="00A3283D">
      <w:pPr>
        <w:autoSpaceDE w:val="0"/>
        <w:autoSpaceDN w:val="0"/>
        <w:adjustRightInd w:val="0"/>
        <w:spacing w:line="600" w:lineRule="exact"/>
        <w:ind w:firstLine="643"/>
        <w:outlineLvl w:val="2"/>
        <w:rPr>
          <w:rFonts w:ascii="仿宋" w:eastAsia="仿宋" w:hAnsi="仿宋"/>
          <w:b/>
          <w:color w:val="000000"/>
          <w:sz w:val="32"/>
          <w:szCs w:val="32"/>
        </w:rPr>
      </w:pPr>
      <w:r>
        <w:rPr>
          <w:rFonts w:ascii="仿宋" w:eastAsia="仿宋" w:hAnsi="仿宋" w:hint="eastAsia"/>
          <w:b/>
          <w:color w:val="000000"/>
          <w:sz w:val="32"/>
          <w:szCs w:val="32"/>
        </w:rPr>
        <w:t>（四）预算绩效管理情况。</w:t>
      </w:r>
    </w:p>
    <w:p w:rsidR="0068449C" w:rsidRDefault="00A3283D">
      <w:pPr>
        <w:spacing w:line="58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根据预算绩效管理要求，本部门（单位）在年初预算编制阶段，组织对</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年城乡义务教育补助经费项目（项目名称）开展了预算事前绩效评估，对</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个项目编制了绩效目标，预算执行过程中，选取</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个项目开展绩效监控，年终执行完毕后，对</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个项目开展了绩效目标完成情况自评。</w:t>
      </w:r>
    </w:p>
    <w:p w:rsidR="0068449C" w:rsidRDefault="00A3283D">
      <w:pPr>
        <w:spacing w:line="58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本部门按要求对</w:t>
      </w:r>
      <w:r>
        <w:rPr>
          <w:rFonts w:ascii="仿宋_GB2312" w:eastAsia="仿宋_GB2312" w:hAnsi="仿宋_GB2312" w:cs="仿宋_GB2312"/>
          <w:sz w:val="32"/>
          <w:szCs w:val="32"/>
        </w:rPr>
        <w:t>2020</w:t>
      </w:r>
      <w:r>
        <w:rPr>
          <w:rFonts w:ascii="仿宋_GB2312" w:eastAsia="仿宋_GB2312" w:hAnsi="仿宋_GB2312" w:cs="仿宋_GB2312" w:hint="eastAsia"/>
          <w:sz w:val="32"/>
          <w:szCs w:val="32"/>
        </w:rPr>
        <w:t>年部门整体支出</w:t>
      </w:r>
      <w:r>
        <w:rPr>
          <w:rFonts w:ascii="仿宋_GB2312" w:eastAsia="仿宋_GB2312" w:hAnsi="仿宋_GB2312" w:cs="仿宋_GB2312" w:hint="eastAsia"/>
          <w:sz w:val="32"/>
          <w:szCs w:val="32"/>
        </w:rPr>
        <w:t>开展绩效自评，从评价情况来看基本符合前期目标，项目工程已完成验收（简要说明整体绩效情况）。本部门还自行组织了</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个项目支出绩效评价，从评价情况来看已完成该项目总体要求，已达到项目验收质量指标，已达到项目满意度指标。</w:t>
      </w:r>
    </w:p>
    <w:p w:rsidR="0068449C" w:rsidRDefault="00A3283D">
      <w:pPr>
        <w:spacing w:line="580" w:lineRule="exact"/>
        <w:ind w:firstLine="640"/>
        <w:rPr>
          <w:rFonts w:ascii="仿宋_GB2312" w:eastAsia="仿宋_GB2312" w:hAnsi="仿宋_GB2312" w:cs="仿宋_GB2312"/>
          <w:sz w:val="32"/>
          <w:szCs w:val="32"/>
        </w:rPr>
      </w:pPr>
      <w:r>
        <w:rPr>
          <w:rFonts w:ascii="楷体_GB2312" w:eastAsia="楷体_GB2312" w:hAnsi="楷体_GB2312" w:cs="楷体_GB2312"/>
          <w:sz w:val="32"/>
          <w:szCs w:val="32"/>
        </w:rPr>
        <w:t>1.</w:t>
      </w:r>
      <w:r>
        <w:rPr>
          <w:rFonts w:ascii="楷体_GB2312" w:eastAsia="楷体_GB2312" w:hAnsi="楷体_GB2312" w:cs="楷体_GB2312" w:hint="eastAsia"/>
          <w:sz w:val="32"/>
          <w:szCs w:val="32"/>
        </w:rPr>
        <w:t>项目绩效目标完成情况。</w:t>
      </w:r>
      <w:r>
        <w:rPr>
          <w:rFonts w:ascii="楷体_GB2312" w:eastAsia="楷体_GB2312" w:hAnsi="楷体_GB2312" w:cs="楷体_GB2312"/>
          <w:sz w:val="32"/>
          <w:szCs w:val="32"/>
        </w:rPr>
        <w:br/>
      </w:r>
      <w:r>
        <w:rPr>
          <w:rFonts w:ascii="仿宋_GB2312" w:eastAsia="仿宋_GB2312" w:hAnsi="仿宋_GB2312" w:cs="仿宋_GB2312" w:hint="eastAsia"/>
          <w:sz w:val="32"/>
          <w:szCs w:val="32"/>
        </w:rPr>
        <w:t>本部门在</w:t>
      </w:r>
      <w:r>
        <w:rPr>
          <w:rFonts w:ascii="仿宋_GB2312" w:eastAsia="仿宋_GB2312" w:hAnsi="仿宋_GB2312" w:cs="仿宋_GB2312"/>
          <w:sz w:val="32"/>
          <w:szCs w:val="32"/>
        </w:rPr>
        <w:t>2020</w:t>
      </w:r>
      <w:r>
        <w:rPr>
          <w:rFonts w:ascii="仿宋_GB2312" w:eastAsia="仿宋_GB2312" w:hAnsi="仿宋_GB2312" w:cs="仿宋_GB2312" w:hint="eastAsia"/>
          <w:sz w:val="32"/>
          <w:szCs w:val="32"/>
        </w:rPr>
        <w:t>年度部门决算中反映教育经费、死亡抚恤、退休中人一次性补贴、高层次人才待遇兑现、财资教育资金</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个项目绩效目标实际完成情况。</w:t>
      </w:r>
    </w:p>
    <w:p w:rsidR="0068449C" w:rsidRDefault="00A3283D">
      <w:pPr>
        <w:spacing w:line="58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w:t>
      </w:r>
      <w:r>
        <w:rPr>
          <w:rFonts w:ascii="仿宋_GB2312" w:eastAsia="仿宋_GB2312" w:hAnsi="仿宋_GB2312" w:cs="仿宋_GB2312"/>
          <w:sz w:val="32"/>
          <w:szCs w:val="32"/>
        </w:rPr>
        <w:t>1</w:t>
      </w:r>
      <w:r>
        <w:rPr>
          <w:rFonts w:ascii="仿宋_GB2312" w:eastAsia="仿宋_GB2312" w:hAnsi="仿宋_GB2312" w:cs="仿宋_GB2312" w:hint="eastAsia"/>
          <w:sz w:val="32"/>
          <w:szCs w:val="32"/>
        </w:rPr>
        <w:t>）教育经费项目绩效目标完成情况综述。项目全年预算数</w:t>
      </w:r>
      <w:r>
        <w:rPr>
          <w:rFonts w:ascii="仿宋_GB2312" w:eastAsia="仿宋_GB2312" w:hAnsi="仿宋_GB2312" w:cs="仿宋_GB2312" w:hint="eastAsia"/>
          <w:sz w:val="32"/>
          <w:szCs w:val="32"/>
        </w:rPr>
        <w:t>249.11</w:t>
      </w:r>
      <w:r>
        <w:rPr>
          <w:rFonts w:ascii="仿宋_GB2312" w:eastAsia="仿宋_GB2312" w:hAnsi="仿宋_GB2312" w:cs="仿宋_GB2312" w:hint="eastAsia"/>
          <w:sz w:val="32"/>
          <w:szCs w:val="32"/>
        </w:rPr>
        <w:t>万元，执行数为</w:t>
      </w:r>
      <w:r>
        <w:rPr>
          <w:rFonts w:ascii="仿宋_GB2312" w:eastAsia="仿宋_GB2312" w:hAnsi="仿宋_GB2312" w:cs="仿宋_GB2312" w:hint="eastAsia"/>
          <w:sz w:val="32"/>
          <w:szCs w:val="32"/>
        </w:rPr>
        <w:t>247.65</w:t>
      </w:r>
      <w:r>
        <w:rPr>
          <w:rFonts w:ascii="仿宋_GB2312" w:eastAsia="仿宋_GB2312" w:hAnsi="仿宋_GB2312" w:cs="仿宋_GB2312" w:hint="eastAsia"/>
          <w:sz w:val="32"/>
          <w:szCs w:val="32"/>
        </w:rPr>
        <w:t>万元，完成预算的</w:t>
      </w:r>
      <w:r>
        <w:rPr>
          <w:rFonts w:ascii="仿宋_GB2312" w:eastAsia="仿宋_GB2312" w:hAnsi="仿宋_GB2312" w:cs="仿宋_GB2312" w:hint="eastAsia"/>
          <w:sz w:val="32"/>
          <w:szCs w:val="32"/>
        </w:rPr>
        <w:t>99.41</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通过项目实施，按标准建成了学校新校舍，完成了人行天桥的翻修，提高了校园安全水平和学校的舒适度，发现的主要问题：学校还有很多突发情况需要处理，比如维修下水道，学校电梯损坏等工程，需要实时处理。下一步改进措施：提前做好突发预案，规划好经费预算。</w:t>
      </w:r>
    </w:p>
    <w:p w:rsidR="0068449C" w:rsidRDefault="00A3283D">
      <w:pPr>
        <w:spacing w:line="58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sz w:val="32"/>
          <w:szCs w:val="32"/>
        </w:rPr>
        <w:t>2</w:t>
      </w:r>
      <w:r>
        <w:rPr>
          <w:rFonts w:ascii="仿宋_GB2312" w:eastAsia="仿宋_GB2312" w:hAnsi="仿宋_GB2312" w:cs="仿宋_GB2312" w:hint="eastAsia"/>
          <w:sz w:val="32"/>
          <w:szCs w:val="32"/>
        </w:rPr>
        <w:t>）高层次人才待遇兑现项目绩效目标完成情况综述。项目全年预算数</w:t>
      </w:r>
      <w:r>
        <w:rPr>
          <w:rFonts w:ascii="仿宋_GB2312" w:eastAsia="仿宋_GB2312" w:hAnsi="仿宋_GB2312" w:cs="仿宋_GB2312" w:hint="eastAsia"/>
          <w:sz w:val="32"/>
          <w:szCs w:val="32"/>
        </w:rPr>
        <w:t>22.4</w:t>
      </w:r>
      <w:r>
        <w:rPr>
          <w:rFonts w:ascii="仿宋_GB2312" w:eastAsia="仿宋_GB2312" w:hAnsi="仿宋_GB2312" w:cs="仿宋_GB2312" w:hint="eastAsia"/>
          <w:sz w:val="32"/>
          <w:szCs w:val="32"/>
        </w:rPr>
        <w:t>万元，执行数为</w:t>
      </w:r>
      <w:r>
        <w:rPr>
          <w:rFonts w:ascii="仿宋_GB2312" w:eastAsia="仿宋_GB2312" w:hAnsi="仿宋_GB2312" w:cs="仿宋_GB2312" w:hint="eastAsia"/>
          <w:sz w:val="32"/>
          <w:szCs w:val="32"/>
        </w:rPr>
        <w:t>22.4</w:t>
      </w:r>
      <w:r>
        <w:rPr>
          <w:rFonts w:ascii="仿宋_GB2312" w:eastAsia="仿宋_GB2312" w:hAnsi="仿宋_GB2312" w:cs="仿宋_GB2312" w:hint="eastAsia"/>
          <w:sz w:val="32"/>
          <w:szCs w:val="32"/>
        </w:rPr>
        <w:t>万元，完成预算的</w:t>
      </w:r>
      <w:r>
        <w:rPr>
          <w:rFonts w:ascii="仿宋_GB2312" w:eastAsia="仿宋_GB2312" w:hAnsi="仿宋_GB2312" w:cs="仿宋_GB2312" w:hint="eastAsia"/>
          <w:sz w:val="32"/>
          <w:szCs w:val="32"/>
        </w:rPr>
        <w:t>100</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通过项目实施，提高了教师工作积极性，激励更多教师为成为高层次人才不懈努力，发现的主要问题：以精神为主，物质为辅的奖励形式不一定能激励所有老师奋发向上。下一步改进措施：加大对高层次人才待遇兑现的宣传，将这一项目变成荣誉，引发更多教师努力奋斗。</w:t>
      </w:r>
    </w:p>
    <w:p w:rsidR="0068449C" w:rsidRDefault="00A3283D">
      <w:pPr>
        <w:spacing w:line="58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sz w:val="32"/>
          <w:szCs w:val="32"/>
        </w:rPr>
        <w:t>3</w:t>
      </w:r>
      <w:r>
        <w:rPr>
          <w:rFonts w:ascii="仿宋_GB2312" w:eastAsia="仿宋_GB2312" w:hAnsi="仿宋_GB2312" w:cs="仿宋_GB2312" w:hint="eastAsia"/>
          <w:sz w:val="32"/>
          <w:szCs w:val="32"/>
        </w:rPr>
        <w:t>）财资教育资金项目绩效目标完成情况综述。项目全年预算数</w:t>
      </w:r>
      <w:r>
        <w:rPr>
          <w:rFonts w:ascii="仿宋_GB2312" w:eastAsia="仿宋_GB2312" w:hAnsi="仿宋_GB2312" w:cs="仿宋_GB2312" w:hint="eastAsia"/>
          <w:sz w:val="32"/>
          <w:szCs w:val="32"/>
        </w:rPr>
        <w:t>134.59</w:t>
      </w:r>
      <w:r>
        <w:rPr>
          <w:rFonts w:ascii="仿宋_GB2312" w:eastAsia="仿宋_GB2312" w:hAnsi="仿宋_GB2312" w:cs="仿宋_GB2312" w:hint="eastAsia"/>
          <w:sz w:val="32"/>
          <w:szCs w:val="32"/>
        </w:rPr>
        <w:t>万元，执行数为</w:t>
      </w:r>
      <w:r>
        <w:rPr>
          <w:rFonts w:ascii="仿宋_GB2312" w:eastAsia="仿宋_GB2312" w:hAnsi="仿宋_GB2312" w:cs="仿宋_GB2312" w:hint="eastAsia"/>
          <w:sz w:val="32"/>
          <w:szCs w:val="32"/>
        </w:rPr>
        <w:t>133.67</w:t>
      </w:r>
      <w:r>
        <w:rPr>
          <w:rFonts w:ascii="仿宋_GB2312" w:eastAsia="仿宋_GB2312" w:hAnsi="仿宋_GB2312" w:cs="仿宋_GB2312" w:hint="eastAsia"/>
          <w:sz w:val="32"/>
          <w:szCs w:val="32"/>
        </w:rPr>
        <w:t>万元，完成预算的</w:t>
      </w:r>
      <w:r>
        <w:rPr>
          <w:rFonts w:ascii="仿宋_GB2312" w:eastAsia="仿宋_GB2312" w:hAnsi="仿宋_GB2312" w:cs="仿宋_GB2312" w:hint="eastAsia"/>
          <w:sz w:val="32"/>
          <w:szCs w:val="32"/>
        </w:rPr>
        <w:t>99</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。通过项目实施，保障提高了学校办学质量，改进学生受教育的方式，通过更有效的教育让学生有更大的进步。发现的主要问题：这批资金仅能支持教学设施的更新。下一</w:t>
      </w:r>
      <w:r>
        <w:rPr>
          <w:rFonts w:ascii="仿宋_GB2312" w:eastAsia="仿宋_GB2312" w:hAnsi="仿宋_GB2312" w:cs="仿宋_GB2312" w:hint="eastAsia"/>
          <w:sz w:val="32"/>
          <w:szCs w:val="32"/>
        </w:rPr>
        <w:t>步改进措施：更多的考虑体育设施的建设，让学生没有短板。</w:t>
      </w:r>
    </w:p>
    <w:tbl>
      <w:tblPr>
        <w:tblpPr w:leftFromText="180" w:rightFromText="180" w:vertAnchor="text" w:horzAnchor="page" w:tblpXSpec="center" w:tblpY="423"/>
        <w:tblOverlap w:val="never"/>
        <w:tblW w:w="9960" w:type="dxa"/>
        <w:jc w:val="center"/>
        <w:tblLayout w:type="fixed"/>
        <w:tblCellMar>
          <w:left w:w="0" w:type="dxa"/>
          <w:right w:w="0" w:type="dxa"/>
        </w:tblCellMar>
        <w:tblLook w:val="04A0" w:firstRow="1" w:lastRow="0" w:firstColumn="1" w:lastColumn="0" w:noHBand="0" w:noVBand="1"/>
      </w:tblPr>
      <w:tblGrid>
        <w:gridCol w:w="390"/>
        <w:gridCol w:w="1367"/>
        <w:gridCol w:w="1025"/>
        <w:gridCol w:w="2392"/>
        <w:gridCol w:w="2394"/>
        <w:gridCol w:w="2392"/>
      </w:tblGrid>
      <w:tr w:rsidR="0068449C">
        <w:trPr>
          <w:trHeight w:val="1034"/>
          <w:jc w:val="center"/>
        </w:trPr>
        <w:tc>
          <w:tcPr>
            <w:tcW w:w="9960" w:type="dxa"/>
            <w:gridSpan w:val="6"/>
            <w:tcBorders>
              <w:top w:val="nil"/>
              <w:left w:val="nil"/>
              <w:bottom w:val="nil"/>
              <w:right w:val="nil"/>
            </w:tcBorders>
            <w:tcMar>
              <w:top w:w="15" w:type="dxa"/>
              <w:left w:w="15" w:type="dxa"/>
              <w:right w:w="15" w:type="dxa"/>
            </w:tcMar>
            <w:vAlign w:val="center"/>
          </w:tcPr>
          <w:p w:rsidR="0068449C" w:rsidRDefault="00A3283D">
            <w:pPr>
              <w:jc w:val="center"/>
              <w:textAlignment w:val="center"/>
              <w:rPr>
                <w:rFonts w:ascii="宋体" w:cs="宋体"/>
                <w:color w:val="000000"/>
                <w:sz w:val="36"/>
                <w:szCs w:val="36"/>
              </w:rPr>
            </w:pPr>
            <w:r>
              <w:rPr>
                <w:rFonts w:ascii="宋体" w:hAnsi="宋体" w:cs="宋体" w:hint="eastAsia"/>
                <w:b/>
                <w:bCs/>
                <w:color w:val="000000"/>
                <w:sz w:val="36"/>
                <w:szCs w:val="36"/>
              </w:rPr>
              <w:t>项目绩效目标完成情况表</w:t>
            </w:r>
            <w:r>
              <w:rPr>
                <w:rFonts w:ascii="宋体" w:cs="宋体"/>
                <w:b/>
                <w:color w:val="000000"/>
                <w:sz w:val="36"/>
                <w:szCs w:val="36"/>
              </w:rPr>
              <w:br/>
            </w:r>
            <w:r>
              <w:rPr>
                <w:rFonts w:ascii="宋体" w:hAnsi="宋体" w:cs="宋体"/>
                <w:color w:val="000000"/>
                <w:sz w:val="36"/>
                <w:szCs w:val="36"/>
              </w:rPr>
              <w:t>(2020</w:t>
            </w:r>
            <w:r>
              <w:rPr>
                <w:rFonts w:ascii="宋体" w:hAnsi="宋体" w:cs="宋体" w:hint="eastAsia"/>
                <w:color w:val="000000"/>
                <w:sz w:val="36"/>
                <w:szCs w:val="36"/>
              </w:rPr>
              <w:t>年度</w:t>
            </w:r>
            <w:r>
              <w:rPr>
                <w:rFonts w:ascii="宋体" w:hAnsi="宋体" w:cs="宋体"/>
                <w:color w:val="000000"/>
                <w:sz w:val="36"/>
                <w:szCs w:val="36"/>
              </w:rPr>
              <w:t>)</w:t>
            </w:r>
          </w:p>
        </w:tc>
      </w:tr>
      <w:tr w:rsidR="0068449C">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项目名称</w:t>
            </w:r>
          </w:p>
        </w:tc>
        <w:tc>
          <w:tcPr>
            <w:tcW w:w="7178"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财资教育资金</w:t>
            </w:r>
          </w:p>
        </w:tc>
      </w:tr>
      <w:tr w:rsidR="0068449C">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lastRenderedPageBreak/>
              <w:t>预算单位</w:t>
            </w:r>
          </w:p>
        </w:tc>
        <w:tc>
          <w:tcPr>
            <w:tcW w:w="7178"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攀枝花市外国语学校</w:t>
            </w:r>
          </w:p>
        </w:tc>
      </w:tr>
      <w:tr w:rsidR="0068449C">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预算执行情况</w:t>
            </w:r>
            <w:r>
              <w:rPr>
                <w:rFonts w:ascii="宋体" w:hAnsi="宋体" w:cs="宋体"/>
                <w:color w:val="000000"/>
                <w:sz w:val="24"/>
              </w:rPr>
              <w:t>(</w:t>
            </w:r>
            <w:r>
              <w:rPr>
                <w:rFonts w:ascii="宋体" w:hAnsi="宋体" w:cs="宋体" w:hint="eastAsia"/>
                <w:color w:val="000000"/>
                <w:sz w:val="24"/>
              </w:rPr>
              <w:t>万元</w:t>
            </w:r>
            <w:r>
              <w:rPr>
                <w:rFonts w:ascii="宋体" w:hAnsi="宋体" w:cs="宋体"/>
                <w:color w:val="00000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预算数</w:t>
            </w:r>
            <w:r>
              <w:rPr>
                <w:rFonts w:ascii="宋体" w:hAnsi="宋体" w:cs="宋体"/>
                <w:color w:val="00000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134.59</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执行数</w:t>
            </w:r>
            <w:r>
              <w:rPr>
                <w:rFonts w:ascii="宋体" w:hAnsi="宋体" w:cs="宋体"/>
                <w:color w:val="00000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133.67</w:t>
            </w:r>
          </w:p>
        </w:tc>
      </w:tr>
      <w:tr w:rsidR="0068449C">
        <w:trPr>
          <w:trHeight w:val="276"/>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8449C" w:rsidRDefault="0068449C"/>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其中</w:t>
            </w:r>
            <w:r>
              <w:rPr>
                <w:rFonts w:ascii="宋体" w:cs="宋体"/>
                <w:color w:val="000000"/>
                <w:sz w:val="24"/>
              </w:rPr>
              <w:t>-</w:t>
            </w:r>
            <w:r>
              <w:rPr>
                <w:rFonts w:ascii="宋体" w:hAnsi="宋体" w:cs="宋体" w:hint="eastAsia"/>
                <w:color w:val="000000"/>
                <w:sz w:val="24"/>
              </w:rPr>
              <w:t>财政拨款</w:t>
            </w:r>
            <w:r>
              <w:rPr>
                <w:rFonts w:ascii="宋体" w:hAnsi="宋体" w:cs="宋体"/>
                <w:color w:val="00000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134.59</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其中</w:t>
            </w:r>
            <w:r>
              <w:rPr>
                <w:rFonts w:ascii="宋体" w:cs="宋体"/>
                <w:color w:val="000000"/>
                <w:sz w:val="24"/>
              </w:rPr>
              <w:t>-</w:t>
            </w:r>
            <w:r>
              <w:rPr>
                <w:rFonts w:ascii="宋体" w:hAnsi="宋体" w:cs="宋体" w:hint="eastAsia"/>
                <w:color w:val="000000"/>
                <w:sz w:val="24"/>
              </w:rPr>
              <w:t>财政拨款</w:t>
            </w:r>
            <w:r>
              <w:rPr>
                <w:rFonts w:ascii="宋体" w:hAnsi="宋体" w:cs="宋体"/>
                <w:color w:val="00000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133.67</w:t>
            </w:r>
          </w:p>
        </w:tc>
      </w:tr>
      <w:tr w:rsidR="0068449C">
        <w:trPr>
          <w:trHeight w:val="1511"/>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8449C" w:rsidRDefault="0068449C"/>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其它资金</w:t>
            </w:r>
            <w:r>
              <w:rPr>
                <w:rFonts w:ascii="宋体" w:hAnsi="宋体" w:cs="宋体"/>
                <w:color w:val="00000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0</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其它资金</w:t>
            </w:r>
            <w:r>
              <w:rPr>
                <w:rFonts w:ascii="宋体" w:hAnsi="宋体" w:cs="宋体"/>
                <w:color w:val="00000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rPr>
                <w:rFonts w:ascii="宋体" w:cs="宋体"/>
                <w:color w:val="000000"/>
                <w:sz w:val="24"/>
              </w:rPr>
            </w:pPr>
            <w:r>
              <w:rPr>
                <w:rFonts w:ascii="宋体" w:cs="宋体" w:hint="eastAsia"/>
                <w:color w:val="000000"/>
                <w:sz w:val="24"/>
              </w:rPr>
              <w:t>0</w:t>
            </w:r>
          </w:p>
        </w:tc>
      </w:tr>
      <w:tr w:rsidR="0068449C">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年度目标完成情况</w:t>
            </w:r>
          </w:p>
        </w:tc>
        <w:tc>
          <w:tcPr>
            <w:tcW w:w="4784"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预期目标</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实际完成目标</w:t>
            </w:r>
          </w:p>
        </w:tc>
      </w:tr>
      <w:tr w:rsidR="0068449C">
        <w:trPr>
          <w:trHeight w:val="1159"/>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cPr>
          <w:p w:rsidR="0068449C" w:rsidRDefault="0068449C"/>
        </w:tc>
        <w:tc>
          <w:tcPr>
            <w:tcW w:w="4784"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教学一体机更换、校门改造、黑板更新、购置教学设施等</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已全部完成</w:t>
            </w:r>
          </w:p>
        </w:tc>
      </w:tr>
      <w:tr w:rsidR="0068449C">
        <w:trPr>
          <w:trHeight w:val="1042"/>
          <w:jc w:val="center"/>
        </w:trPr>
        <w:tc>
          <w:tcPr>
            <w:tcW w:w="390"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绩效指标完成情况</w:t>
            </w: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一级指标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二级指标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三级指标</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预期指标值</w:t>
            </w:r>
            <w:r>
              <w:rPr>
                <w:rFonts w:ascii="宋体" w:hAnsi="宋体" w:cs="宋体"/>
                <w:color w:val="000000"/>
                <w:sz w:val="24"/>
              </w:rPr>
              <w:t>(</w:t>
            </w:r>
            <w:r>
              <w:rPr>
                <w:rFonts w:ascii="宋体" w:hAnsi="宋体" w:cs="宋体" w:hint="eastAsia"/>
                <w:color w:val="000000"/>
                <w:sz w:val="24"/>
              </w:rPr>
              <w:t>包含数字及文字描述</w:t>
            </w:r>
            <w:r>
              <w:rPr>
                <w:rFonts w:ascii="宋体" w:hAnsi="宋体" w:cs="宋体"/>
                <w:color w:val="00000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实际完成指标值</w:t>
            </w:r>
            <w:r>
              <w:rPr>
                <w:rFonts w:ascii="宋体" w:hAnsi="宋体" w:cs="宋体"/>
                <w:color w:val="000000"/>
                <w:sz w:val="24"/>
              </w:rPr>
              <w:t>(</w:t>
            </w:r>
            <w:r>
              <w:rPr>
                <w:rFonts w:ascii="宋体" w:hAnsi="宋体" w:cs="宋体" w:hint="eastAsia"/>
                <w:color w:val="000000"/>
                <w:sz w:val="24"/>
              </w:rPr>
              <w:t>包含数字及文字描述</w:t>
            </w:r>
            <w:r>
              <w:rPr>
                <w:rFonts w:ascii="宋体" w:hAnsi="宋体" w:cs="宋体"/>
                <w:color w:val="000000"/>
                <w:sz w:val="24"/>
              </w:rPr>
              <w:t>)</w:t>
            </w:r>
          </w:p>
        </w:tc>
      </w:tr>
      <w:tr w:rsidR="0068449C">
        <w:trPr>
          <w:trHeight w:val="953"/>
          <w:jc w:val="center"/>
        </w:trPr>
        <w:tc>
          <w:tcPr>
            <w:tcW w:w="390" w:type="dxa"/>
            <w:vMerge/>
            <w:tcBorders>
              <w:top w:val="single" w:sz="4" w:space="0" w:color="000000"/>
              <w:left w:val="single" w:sz="4" w:space="0" w:color="000000"/>
              <w:right w:val="single" w:sz="4" w:space="0" w:color="000000"/>
            </w:tcBorders>
            <w:tcMar>
              <w:top w:w="15" w:type="dxa"/>
              <w:left w:w="15" w:type="dxa"/>
              <w:right w:w="15" w:type="dxa"/>
            </w:tcMar>
          </w:tcPr>
          <w:p w:rsidR="0068449C" w:rsidRDefault="0068449C"/>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数量指标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一体机更换数量</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36</w:t>
            </w:r>
            <w:r>
              <w:rPr>
                <w:rFonts w:ascii="宋体" w:cs="宋体" w:hint="eastAsia"/>
                <w:color w:val="000000"/>
                <w:sz w:val="24"/>
              </w:rPr>
              <w:t>台一体机</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已全部完成</w:t>
            </w:r>
          </w:p>
        </w:tc>
      </w:tr>
      <w:tr w:rsidR="0068449C">
        <w:trPr>
          <w:trHeight w:val="1297"/>
          <w:jc w:val="center"/>
        </w:trPr>
        <w:tc>
          <w:tcPr>
            <w:tcW w:w="390" w:type="dxa"/>
            <w:vMerge/>
            <w:tcBorders>
              <w:top w:val="single" w:sz="4" w:space="0" w:color="000000"/>
              <w:left w:val="single" w:sz="4" w:space="0" w:color="000000"/>
              <w:right w:val="single" w:sz="4" w:space="0" w:color="000000"/>
            </w:tcBorders>
            <w:tcMar>
              <w:top w:w="15" w:type="dxa"/>
              <w:left w:w="15" w:type="dxa"/>
              <w:right w:w="15" w:type="dxa"/>
            </w:tcMar>
          </w:tcPr>
          <w:p w:rsidR="0068449C" w:rsidRDefault="0068449C"/>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数量指标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校门改造数量</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2</w:t>
            </w:r>
            <w:r>
              <w:rPr>
                <w:rFonts w:ascii="宋体" w:cs="宋体" w:hint="eastAsia"/>
                <w:color w:val="000000"/>
                <w:sz w:val="24"/>
              </w:rPr>
              <w:t>扇校门</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已全部完成</w:t>
            </w:r>
          </w:p>
        </w:tc>
      </w:tr>
      <w:tr w:rsidR="0068449C">
        <w:trPr>
          <w:trHeight w:val="1042"/>
          <w:jc w:val="center"/>
        </w:trPr>
        <w:tc>
          <w:tcPr>
            <w:tcW w:w="390" w:type="dxa"/>
            <w:vMerge/>
            <w:tcBorders>
              <w:top w:val="single" w:sz="4" w:space="0" w:color="000000"/>
              <w:left w:val="single" w:sz="4" w:space="0" w:color="000000"/>
              <w:right w:val="single" w:sz="4" w:space="0" w:color="000000"/>
            </w:tcBorders>
            <w:tcMar>
              <w:top w:w="15" w:type="dxa"/>
              <w:left w:w="15" w:type="dxa"/>
              <w:right w:w="15" w:type="dxa"/>
            </w:tcMar>
          </w:tcPr>
          <w:p w:rsidR="0068449C" w:rsidRDefault="0068449C"/>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数量指标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黑板更新数量</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52</w:t>
            </w:r>
            <w:r>
              <w:rPr>
                <w:rFonts w:ascii="宋体" w:cs="宋体" w:hint="eastAsia"/>
                <w:color w:val="000000"/>
                <w:sz w:val="24"/>
              </w:rPr>
              <w:t>块黑板</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已全部完成</w:t>
            </w:r>
          </w:p>
        </w:tc>
      </w:tr>
      <w:tr w:rsidR="0068449C">
        <w:trPr>
          <w:trHeight w:val="1042"/>
          <w:jc w:val="center"/>
        </w:trPr>
        <w:tc>
          <w:tcPr>
            <w:tcW w:w="390" w:type="dxa"/>
            <w:vMerge/>
            <w:tcBorders>
              <w:top w:val="single" w:sz="4" w:space="0" w:color="000000"/>
              <w:left w:val="single" w:sz="4" w:space="0" w:color="000000"/>
              <w:right w:val="single" w:sz="4" w:space="0" w:color="000000"/>
            </w:tcBorders>
            <w:tcMar>
              <w:top w:w="15" w:type="dxa"/>
              <w:left w:w="15" w:type="dxa"/>
              <w:right w:w="15" w:type="dxa"/>
            </w:tcMar>
          </w:tcPr>
          <w:p w:rsidR="0068449C" w:rsidRDefault="0068449C"/>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质量指标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一体机、校门、黑板等教学设施质量</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高质量</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已验收通过</w:t>
            </w:r>
          </w:p>
        </w:tc>
      </w:tr>
      <w:tr w:rsidR="0068449C">
        <w:trPr>
          <w:trHeight w:val="1042"/>
          <w:jc w:val="center"/>
        </w:trPr>
        <w:tc>
          <w:tcPr>
            <w:tcW w:w="390" w:type="dxa"/>
            <w:vMerge/>
            <w:tcBorders>
              <w:top w:val="single" w:sz="4" w:space="0" w:color="000000"/>
              <w:left w:val="single" w:sz="4" w:space="0" w:color="000000"/>
              <w:right w:val="single" w:sz="4" w:space="0" w:color="000000"/>
            </w:tcBorders>
            <w:tcMar>
              <w:top w:w="15" w:type="dxa"/>
              <w:left w:w="15" w:type="dxa"/>
              <w:right w:w="15" w:type="dxa"/>
            </w:tcMar>
          </w:tcPr>
          <w:p w:rsidR="0068449C" w:rsidRDefault="0068449C"/>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时效指标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在秋季学期开始前完成该项目</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2021-9-1</w:t>
            </w:r>
            <w:r>
              <w:rPr>
                <w:rFonts w:ascii="宋体" w:cs="宋体" w:hint="eastAsia"/>
                <w:color w:val="000000"/>
                <w:sz w:val="24"/>
              </w:rPr>
              <w:t>日之前完成</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基本按时完成验收</w:t>
            </w:r>
          </w:p>
        </w:tc>
      </w:tr>
      <w:tr w:rsidR="0068449C">
        <w:trPr>
          <w:trHeight w:val="1042"/>
          <w:jc w:val="center"/>
        </w:trPr>
        <w:tc>
          <w:tcPr>
            <w:tcW w:w="390" w:type="dxa"/>
            <w:vMerge/>
            <w:tcBorders>
              <w:top w:val="single" w:sz="4" w:space="0" w:color="000000"/>
              <w:left w:val="single" w:sz="4" w:space="0" w:color="000000"/>
              <w:right w:val="single" w:sz="4" w:space="0" w:color="000000"/>
            </w:tcBorders>
            <w:tcMar>
              <w:top w:w="15" w:type="dxa"/>
              <w:left w:w="15" w:type="dxa"/>
              <w:right w:w="15" w:type="dxa"/>
            </w:tcMar>
          </w:tcPr>
          <w:p w:rsidR="0068449C" w:rsidRDefault="0068449C"/>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成本指标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项目预算控制数</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1345900</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1336700</w:t>
            </w:r>
          </w:p>
        </w:tc>
      </w:tr>
      <w:tr w:rsidR="0068449C">
        <w:trPr>
          <w:trHeight w:val="1042"/>
          <w:jc w:val="center"/>
        </w:trPr>
        <w:tc>
          <w:tcPr>
            <w:tcW w:w="390" w:type="dxa"/>
            <w:vMerge/>
            <w:tcBorders>
              <w:top w:val="single" w:sz="4" w:space="0" w:color="000000"/>
              <w:left w:val="single" w:sz="4" w:space="0" w:color="000000"/>
              <w:right w:val="single" w:sz="4" w:space="0" w:color="000000"/>
            </w:tcBorders>
            <w:tcMar>
              <w:top w:w="15" w:type="dxa"/>
              <w:left w:w="15" w:type="dxa"/>
              <w:right w:w="15" w:type="dxa"/>
            </w:tcMar>
          </w:tcPr>
          <w:p w:rsidR="0068449C" w:rsidRDefault="0068449C"/>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效益指标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经济效益指标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rPr>
                <w:rFonts w:ascii="宋体" w:hAnsi="宋体" w:cs="宋体"/>
                <w:color w:val="000000"/>
                <w:sz w:val="24"/>
              </w:rPr>
            </w:pPr>
            <w:r>
              <w:rPr>
                <w:rFonts w:hint="eastAsia"/>
                <w:color w:val="000000"/>
              </w:rPr>
              <w:t>促进校园教育的发展</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rPr>
                <w:rFonts w:ascii="宋体" w:hAnsi="宋体" w:cs="宋体"/>
                <w:color w:val="000000"/>
                <w:sz w:val="24"/>
              </w:rPr>
            </w:pPr>
            <w:r>
              <w:rPr>
                <w:rFonts w:hint="eastAsia"/>
                <w:color w:val="000000"/>
              </w:rPr>
              <w:t>学校教学能力质量上新台阶</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达到预期效果</w:t>
            </w:r>
          </w:p>
        </w:tc>
      </w:tr>
      <w:tr w:rsidR="0068449C">
        <w:trPr>
          <w:trHeight w:val="1297"/>
          <w:jc w:val="center"/>
        </w:trPr>
        <w:tc>
          <w:tcPr>
            <w:tcW w:w="390" w:type="dxa"/>
            <w:vMerge/>
            <w:tcBorders>
              <w:top w:val="single" w:sz="4" w:space="0" w:color="000000"/>
              <w:left w:val="single" w:sz="4" w:space="0" w:color="000000"/>
              <w:right w:val="single" w:sz="4" w:space="0" w:color="000000"/>
            </w:tcBorders>
            <w:tcMar>
              <w:top w:w="15" w:type="dxa"/>
              <w:left w:w="15" w:type="dxa"/>
              <w:right w:w="15" w:type="dxa"/>
            </w:tcMar>
          </w:tcPr>
          <w:p w:rsidR="0068449C" w:rsidRDefault="0068449C"/>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效益指标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社会效益指标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rPr>
                <w:rFonts w:ascii="宋体" w:hAnsi="宋体" w:cs="宋体"/>
                <w:sz w:val="24"/>
              </w:rPr>
            </w:pPr>
            <w:r>
              <w:rPr>
                <w:rFonts w:hint="eastAsia"/>
              </w:rPr>
              <w:t>满足学校教育需要</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rPr>
                <w:rFonts w:ascii="宋体" w:hAnsi="宋体" w:cs="宋体"/>
                <w:sz w:val="24"/>
              </w:rPr>
            </w:pPr>
            <w:r>
              <w:rPr>
                <w:rFonts w:hint="eastAsia"/>
              </w:rPr>
              <w:t>发挥学校社会作用，效益明显</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达到预期效果</w:t>
            </w:r>
          </w:p>
        </w:tc>
      </w:tr>
      <w:tr w:rsidR="0068449C">
        <w:trPr>
          <w:trHeight w:val="1297"/>
          <w:jc w:val="center"/>
        </w:trPr>
        <w:tc>
          <w:tcPr>
            <w:tcW w:w="390" w:type="dxa"/>
            <w:vMerge/>
            <w:tcBorders>
              <w:top w:val="single" w:sz="4" w:space="0" w:color="000000"/>
              <w:left w:val="single" w:sz="4" w:space="0" w:color="000000"/>
              <w:right w:val="single" w:sz="4" w:space="0" w:color="000000"/>
            </w:tcBorders>
            <w:tcMar>
              <w:top w:w="15" w:type="dxa"/>
              <w:left w:w="15" w:type="dxa"/>
              <w:right w:w="15" w:type="dxa"/>
            </w:tcMar>
          </w:tcPr>
          <w:p w:rsidR="0068449C" w:rsidRDefault="0068449C"/>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效益指标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可持续影响指标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rPr>
                <w:rFonts w:ascii="宋体" w:hAnsi="宋体" w:cs="宋体"/>
                <w:color w:val="000000"/>
                <w:sz w:val="24"/>
              </w:rPr>
            </w:pPr>
            <w:r>
              <w:rPr>
                <w:rFonts w:hint="eastAsia"/>
                <w:color w:val="000000"/>
              </w:rPr>
              <w:t>推动学校教育可持续发展</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rPr>
                <w:rFonts w:ascii="宋体" w:hAnsi="宋体" w:cs="宋体"/>
                <w:color w:val="000000"/>
                <w:sz w:val="24"/>
              </w:rPr>
            </w:pPr>
            <w:r>
              <w:rPr>
                <w:rFonts w:hint="eastAsia"/>
                <w:color w:val="000000"/>
              </w:rPr>
              <w:t>学校教育质量得到进一步提升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达到预期效果</w:t>
            </w:r>
          </w:p>
        </w:tc>
      </w:tr>
      <w:tr w:rsidR="0068449C">
        <w:trPr>
          <w:trHeight w:val="1050"/>
          <w:jc w:val="center"/>
        </w:trPr>
        <w:tc>
          <w:tcPr>
            <w:tcW w:w="390" w:type="dxa"/>
            <w:vMerge/>
            <w:tcBorders>
              <w:top w:val="single" w:sz="4" w:space="0" w:color="000000"/>
              <w:left w:val="single" w:sz="4" w:space="0" w:color="000000"/>
              <w:right w:val="single" w:sz="4" w:space="0" w:color="000000"/>
            </w:tcBorders>
            <w:tcMar>
              <w:top w:w="15" w:type="dxa"/>
              <w:left w:w="15" w:type="dxa"/>
              <w:right w:w="15" w:type="dxa"/>
            </w:tcMar>
          </w:tcPr>
          <w:p w:rsidR="0068449C" w:rsidRDefault="0068449C"/>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hAnsi="宋体" w:cs="宋体" w:hint="eastAsia"/>
                <w:color w:val="000000"/>
                <w:sz w:val="24"/>
              </w:rPr>
              <w:t>满意度指标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服务对象满意度指标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rPr>
                <w:rFonts w:ascii="宋体" w:hAnsi="宋体" w:cs="宋体"/>
                <w:color w:val="000000"/>
                <w:sz w:val="24"/>
              </w:rPr>
            </w:pPr>
            <w:r>
              <w:rPr>
                <w:rFonts w:hint="eastAsia"/>
                <w:color w:val="000000"/>
              </w:rPr>
              <w:t>学生满意度</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rPr>
                <w:rFonts w:ascii="宋体" w:hAnsi="宋体" w:cs="宋体"/>
                <w:color w:val="000000"/>
                <w:sz w:val="24"/>
              </w:rPr>
            </w:pPr>
            <w:r>
              <w:rPr>
                <w:rFonts w:hint="eastAsia"/>
                <w:color w:val="000000"/>
              </w:rPr>
              <w:t>大于</w:t>
            </w:r>
            <w:r>
              <w:rPr>
                <w:rFonts w:hint="eastAsia"/>
                <w:color w:val="000000"/>
              </w:rPr>
              <w:t>95%</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8449C" w:rsidRDefault="00A3283D">
            <w:pPr>
              <w:jc w:val="center"/>
              <w:textAlignment w:val="center"/>
              <w:rPr>
                <w:rFonts w:ascii="宋体" w:cs="宋体"/>
                <w:color w:val="000000"/>
                <w:sz w:val="24"/>
              </w:rPr>
            </w:pPr>
            <w:r>
              <w:rPr>
                <w:rFonts w:ascii="宋体" w:cs="宋体" w:hint="eastAsia"/>
                <w:color w:val="000000"/>
                <w:sz w:val="24"/>
              </w:rPr>
              <w:t>达到预期效果</w:t>
            </w:r>
          </w:p>
        </w:tc>
      </w:tr>
    </w:tbl>
    <w:p w:rsidR="0068449C" w:rsidRDefault="0068449C">
      <w:pPr>
        <w:spacing w:line="580" w:lineRule="exact"/>
        <w:ind w:left="630"/>
        <w:rPr>
          <w:rFonts w:ascii="仿宋_GB2312" w:eastAsia="仿宋_GB2312" w:hAnsi="仿宋_GB2312" w:cs="仿宋_GB2312"/>
          <w:sz w:val="32"/>
          <w:szCs w:val="32"/>
        </w:rPr>
      </w:pPr>
    </w:p>
    <w:p w:rsidR="0068449C" w:rsidRDefault="0068449C">
      <w:pPr>
        <w:spacing w:line="580" w:lineRule="exact"/>
        <w:ind w:left="630"/>
        <w:rPr>
          <w:rFonts w:ascii="仿宋_GB2312" w:eastAsia="仿宋_GB2312" w:hAnsi="仿宋_GB2312" w:cs="仿宋_GB2312"/>
          <w:sz w:val="32"/>
          <w:szCs w:val="32"/>
        </w:rPr>
      </w:pPr>
    </w:p>
    <w:p w:rsidR="0068449C" w:rsidRDefault="00A3283D">
      <w:pPr>
        <w:spacing w:line="580" w:lineRule="exact"/>
        <w:ind w:left="630"/>
        <w:rPr>
          <w:rFonts w:ascii="仿宋_GB2312" w:eastAsia="仿宋_GB2312" w:hAnsi="仿宋_GB2312" w:cs="仿宋_GB2312"/>
          <w:sz w:val="32"/>
          <w:szCs w:val="32"/>
        </w:rPr>
      </w:pPr>
      <w:r>
        <w:rPr>
          <w:rFonts w:ascii="楷体_GB2312" w:eastAsia="楷体_GB2312" w:hAnsi="楷体_GB2312" w:cs="楷体_GB2312"/>
          <w:sz w:val="32"/>
          <w:szCs w:val="32"/>
        </w:rPr>
        <w:t>2.</w:t>
      </w:r>
      <w:r>
        <w:rPr>
          <w:rFonts w:ascii="楷体_GB2312" w:eastAsia="楷体_GB2312" w:hAnsi="楷体_GB2312" w:cs="楷体_GB2312" w:hint="eastAsia"/>
          <w:sz w:val="32"/>
          <w:szCs w:val="32"/>
        </w:rPr>
        <w:t>部门绩效评价结果。</w:t>
      </w:r>
    </w:p>
    <w:p w:rsidR="0068449C" w:rsidRDefault="00A3283D">
      <w:pPr>
        <w:spacing w:line="58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本部门按要求对</w:t>
      </w:r>
      <w:r>
        <w:rPr>
          <w:rFonts w:ascii="仿宋_GB2312" w:eastAsia="仿宋_GB2312" w:hAnsi="仿宋_GB2312" w:cs="仿宋_GB2312"/>
          <w:sz w:val="32"/>
          <w:szCs w:val="32"/>
        </w:rPr>
        <w:t>2020</w:t>
      </w:r>
      <w:r>
        <w:rPr>
          <w:rFonts w:ascii="仿宋_GB2312" w:eastAsia="仿宋_GB2312" w:hAnsi="仿宋_GB2312" w:cs="仿宋_GB2312" w:hint="eastAsia"/>
          <w:sz w:val="32"/>
          <w:szCs w:val="32"/>
        </w:rPr>
        <w:t>年部门整体支出绩效评价情况开展自评，《外国语学校</w:t>
      </w:r>
      <w:r>
        <w:rPr>
          <w:rFonts w:ascii="仿宋_GB2312" w:eastAsia="仿宋_GB2312" w:hAnsi="仿宋_GB2312" w:cs="仿宋_GB2312"/>
          <w:sz w:val="32"/>
          <w:szCs w:val="32"/>
        </w:rPr>
        <w:t>2020</w:t>
      </w:r>
      <w:r>
        <w:rPr>
          <w:rFonts w:ascii="仿宋_GB2312" w:eastAsia="仿宋_GB2312" w:hAnsi="仿宋_GB2312" w:cs="仿宋_GB2312" w:hint="eastAsia"/>
          <w:sz w:val="32"/>
          <w:szCs w:val="32"/>
        </w:rPr>
        <w:t>年部门整体支出绩效评价报告》见附件（附件</w:t>
      </w:r>
      <w:r>
        <w:rPr>
          <w:rFonts w:ascii="仿宋_GB2312" w:eastAsia="仿宋_GB2312" w:hAnsi="仿宋_GB2312" w:cs="仿宋_GB2312"/>
          <w:sz w:val="32"/>
          <w:szCs w:val="32"/>
        </w:rPr>
        <w:t>1</w:t>
      </w:r>
      <w:r>
        <w:rPr>
          <w:rFonts w:ascii="仿宋_GB2312" w:eastAsia="仿宋_GB2312" w:hAnsi="仿宋_GB2312" w:cs="仿宋_GB2312" w:hint="eastAsia"/>
          <w:sz w:val="32"/>
          <w:szCs w:val="32"/>
        </w:rPr>
        <w:t>）。</w:t>
      </w:r>
    </w:p>
    <w:p w:rsidR="0068449C" w:rsidRDefault="00A3283D">
      <w:pPr>
        <w:spacing w:line="580" w:lineRule="exact"/>
        <w:ind w:firstLine="640"/>
        <w:rPr>
          <w:rFonts w:ascii="仿宋_GB2312" w:eastAsia="仿宋_GB2312"/>
          <w:b/>
          <w:color w:val="000000"/>
          <w:sz w:val="32"/>
          <w:szCs w:val="32"/>
        </w:rPr>
      </w:pPr>
      <w:r>
        <w:rPr>
          <w:rFonts w:ascii="仿宋_GB2312" w:eastAsia="仿宋_GB2312" w:hAnsi="仿宋_GB2312" w:cs="仿宋_GB2312" w:hint="eastAsia"/>
          <w:sz w:val="32"/>
          <w:szCs w:val="32"/>
        </w:rPr>
        <w:t>本部门自行组织对财资教育资金项目、教育经费等项目开展了绩效评价，《外国语学校项目</w:t>
      </w:r>
      <w:r>
        <w:rPr>
          <w:rFonts w:ascii="仿宋_GB2312" w:eastAsia="仿宋_GB2312" w:hAnsi="仿宋_GB2312" w:cs="仿宋_GB2312"/>
          <w:sz w:val="32"/>
          <w:szCs w:val="32"/>
        </w:rPr>
        <w:t>2020</w:t>
      </w:r>
      <w:r>
        <w:rPr>
          <w:rFonts w:ascii="仿宋_GB2312" w:eastAsia="仿宋_GB2312" w:hAnsi="仿宋_GB2312" w:cs="仿宋_GB2312" w:hint="eastAsia"/>
          <w:sz w:val="32"/>
          <w:szCs w:val="32"/>
        </w:rPr>
        <w:t>年绩效评价报告》见附件（附件</w:t>
      </w:r>
      <w:r>
        <w:rPr>
          <w:rFonts w:ascii="仿宋_GB2312" w:eastAsia="仿宋_GB2312" w:hAnsi="仿宋_GB2312" w:cs="仿宋_GB2312"/>
          <w:sz w:val="32"/>
          <w:szCs w:val="32"/>
        </w:rPr>
        <w:t>2</w:t>
      </w:r>
      <w:r>
        <w:rPr>
          <w:rFonts w:ascii="仿宋_GB2312" w:eastAsia="仿宋_GB2312" w:hAnsi="仿宋_GB2312" w:cs="仿宋_GB2312" w:hint="eastAsia"/>
          <w:sz w:val="32"/>
          <w:szCs w:val="32"/>
        </w:rPr>
        <w:t>）。（非涉密部门均需公开部门整体支出评价报告，部门自行组织的绩效评价情况根据部门实际公开，若未组织项目绩效评价，则只需说明部门整体支出绩效评价情况）</w:t>
      </w:r>
    </w:p>
    <w:p w:rsidR="0068449C" w:rsidRDefault="00A3283D">
      <w:pPr>
        <w:rPr>
          <w:rFonts w:ascii="仿宋_GB2312" w:eastAsia="仿宋_GB2312"/>
          <w:b/>
          <w:color w:val="000000"/>
          <w:sz w:val="32"/>
          <w:szCs w:val="32"/>
        </w:rPr>
      </w:pPr>
      <w:r>
        <w:rPr>
          <w:rFonts w:ascii="仿宋_GB2312" w:eastAsia="仿宋_GB2312"/>
          <w:b/>
          <w:color w:val="000000"/>
          <w:sz w:val="32"/>
          <w:szCs w:val="32"/>
        </w:rPr>
        <w:br w:type="page"/>
      </w:r>
    </w:p>
    <w:p w:rsidR="0068449C" w:rsidRDefault="00A3283D">
      <w:pPr>
        <w:numPr>
          <w:ilvl w:val="0"/>
          <w:numId w:val="3"/>
        </w:numPr>
        <w:spacing w:line="600" w:lineRule="exact"/>
        <w:ind w:firstLine="660"/>
        <w:jc w:val="center"/>
        <w:outlineLvl w:val="0"/>
        <w:rPr>
          <w:rStyle w:val="1Char"/>
          <w:rFonts w:ascii="黑体" w:eastAsia="黑体" w:hAnsi="黑体"/>
          <w:b w:val="0"/>
          <w:bCs w:val="0"/>
        </w:rPr>
      </w:pPr>
      <w:bookmarkStart w:id="53" w:name="_Toc15396613"/>
      <w:bookmarkStart w:id="54" w:name="_Toc15377225"/>
      <w:r>
        <w:rPr>
          <w:rFonts w:ascii="黑体" w:eastAsia="黑体" w:hAnsi="黑体" w:hint="eastAsia"/>
          <w:color w:val="000000"/>
          <w:sz w:val="44"/>
          <w:szCs w:val="44"/>
        </w:rPr>
        <w:lastRenderedPageBreak/>
        <w:t>名</w:t>
      </w:r>
      <w:r>
        <w:rPr>
          <w:rStyle w:val="1Char"/>
          <w:rFonts w:ascii="黑体" w:eastAsia="黑体" w:hAnsi="黑体" w:hint="eastAsia"/>
          <w:b w:val="0"/>
        </w:rPr>
        <w:t>词解释</w:t>
      </w:r>
      <w:bookmarkEnd w:id="53"/>
      <w:bookmarkEnd w:id="54"/>
    </w:p>
    <w:p w:rsidR="0068449C" w:rsidRDefault="0068449C">
      <w:pPr>
        <w:spacing w:line="600" w:lineRule="exact"/>
        <w:rPr>
          <w:rFonts w:ascii="宋体"/>
          <w:b/>
          <w:color w:val="000000"/>
          <w:sz w:val="44"/>
          <w:szCs w:val="44"/>
        </w:rPr>
      </w:pPr>
    </w:p>
    <w:p w:rsidR="0068449C" w:rsidRDefault="00A3283D">
      <w:pPr>
        <w:spacing w:line="560" w:lineRule="exact"/>
        <w:ind w:firstLine="660"/>
        <w:rPr>
          <w:rFonts w:ascii="仿宋" w:eastAsia="仿宋" w:hAnsi="仿宋"/>
          <w:sz w:val="32"/>
          <w:szCs w:val="32"/>
        </w:rPr>
      </w:pPr>
      <w:r>
        <w:rPr>
          <w:rFonts w:ascii="仿宋" w:eastAsia="仿宋" w:hAnsi="仿宋" w:cs="仿宋_GB2312"/>
          <w:sz w:val="32"/>
          <w:szCs w:val="32"/>
        </w:rPr>
        <w:t>1.</w:t>
      </w:r>
      <w:r>
        <w:rPr>
          <w:rFonts w:ascii="仿宋" w:eastAsia="仿宋" w:hAnsi="仿宋" w:cs="仿宋_GB2312" w:hint="eastAsia"/>
          <w:sz w:val="32"/>
          <w:szCs w:val="32"/>
        </w:rPr>
        <w:t>财政拨款收入：指单位从同级财政部门取得的财政预算资金。</w:t>
      </w:r>
    </w:p>
    <w:p w:rsidR="0068449C" w:rsidRDefault="00A3283D">
      <w:pPr>
        <w:spacing w:line="560" w:lineRule="exact"/>
        <w:ind w:firstLine="660"/>
        <w:rPr>
          <w:rFonts w:ascii="仿宋" w:eastAsia="仿宋" w:hAnsi="仿宋" w:cs="仿宋_GB2312"/>
          <w:sz w:val="32"/>
          <w:szCs w:val="32"/>
        </w:rPr>
      </w:pPr>
      <w:r>
        <w:rPr>
          <w:rFonts w:ascii="仿宋" w:eastAsia="仿宋" w:hAnsi="仿宋" w:cs="仿宋_GB2312"/>
          <w:sz w:val="32"/>
          <w:szCs w:val="32"/>
        </w:rPr>
        <w:t>2.</w:t>
      </w:r>
      <w:r>
        <w:rPr>
          <w:rFonts w:ascii="仿宋" w:eastAsia="仿宋" w:hAnsi="仿宋" w:cs="仿宋_GB2312" w:hint="eastAsia"/>
          <w:sz w:val="32"/>
          <w:szCs w:val="32"/>
        </w:rPr>
        <w:t>其他收入：指单位取得的除上述收入以外的各项收入。主要是利息收入、除财政外其他相关单位拨款等。</w:t>
      </w:r>
    </w:p>
    <w:p w:rsidR="0068449C" w:rsidRDefault="00A3283D">
      <w:pPr>
        <w:spacing w:line="560" w:lineRule="exact"/>
        <w:ind w:firstLine="660"/>
        <w:rPr>
          <w:rFonts w:ascii="仿宋" w:eastAsia="仿宋" w:hAnsi="仿宋"/>
          <w:sz w:val="32"/>
          <w:szCs w:val="32"/>
        </w:rPr>
      </w:pPr>
      <w:r>
        <w:rPr>
          <w:rFonts w:ascii="仿宋" w:eastAsia="仿宋" w:hAnsi="仿宋" w:cs="仿宋_GB2312"/>
          <w:sz w:val="32"/>
          <w:szCs w:val="32"/>
        </w:rPr>
        <w:t>3.</w:t>
      </w:r>
      <w:r>
        <w:rPr>
          <w:rFonts w:ascii="仿宋" w:eastAsia="仿宋" w:hAnsi="仿宋" w:cs="仿宋_GB2312" w:hint="eastAsia"/>
          <w:sz w:val="32"/>
          <w:szCs w:val="32"/>
        </w:rPr>
        <w:t>年初结转和结余：指以前年度尚未完成、结转到本年按有关规定继续使用的资金。</w:t>
      </w:r>
    </w:p>
    <w:p w:rsidR="0068449C" w:rsidRDefault="00A3283D">
      <w:pPr>
        <w:spacing w:line="560" w:lineRule="exact"/>
        <w:ind w:firstLine="660"/>
        <w:rPr>
          <w:rFonts w:ascii="仿宋" w:eastAsia="仿宋" w:hAnsi="仿宋"/>
          <w:sz w:val="32"/>
          <w:szCs w:val="32"/>
        </w:rPr>
      </w:pPr>
      <w:r>
        <w:rPr>
          <w:rFonts w:ascii="仿宋" w:eastAsia="仿宋" w:hAnsi="仿宋" w:cs="仿宋_GB2312"/>
          <w:sz w:val="32"/>
          <w:szCs w:val="32"/>
        </w:rPr>
        <w:t>4.</w:t>
      </w:r>
      <w:r>
        <w:rPr>
          <w:rFonts w:ascii="仿宋" w:eastAsia="仿宋" w:hAnsi="仿宋" w:cs="仿宋_GB2312" w:hint="eastAsia"/>
          <w:sz w:val="32"/>
          <w:szCs w:val="32"/>
        </w:rPr>
        <w:t>年末结转和结余：指单位按有关规定结转到下年或以后年度继续使用的资金。</w:t>
      </w:r>
    </w:p>
    <w:p w:rsidR="0068449C" w:rsidRDefault="00A3283D">
      <w:pPr>
        <w:spacing w:line="560" w:lineRule="exact"/>
        <w:ind w:firstLine="660"/>
        <w:rPr>
          <w:rFonts w:ascii="仿宋" w:eastAsia="仿宋" w:hAnsi="仿宋"/>
          <w:sz w:val="32"/>
          <w:szCs w:val="32"/>
        </w:rPr>
      </w:pPr>
      <w:r>
        <w:rPr>
          <w:rFonts w:ascii="仿宋" w:eastAsia="仿宋" w:hAnsi="仿宋" w:cs="仿宋_GB2312"/>
          <w:sz w:val="32"/>
          <w:szCs w:val="32"/>
        </w:rPr>
        <w:t>5.</w:t>
      </w:r>
      <w:r>
        <w:rPr>
          <w:rFonts w:ascii="仿宋" w:eastAsia="仿宋" w:hAnsi="仿宋" w:cs="仿宋_GB2312" w:hint="eastAsia"/>
          <w:sz w:val="32"/>
          <w:szCs w:val="32"/>
        </w:rPr>
        <w:t>一般公共服务（类）发展与改革事务（款）战略规划与实施（项）：指反应拟定并组织实施国民经济和社会发展战略、中长期规划和年度计划，实施宏观管理与调控等方面的支出。一般公共服务（类）组织事务（款）其他组织事务支出（项）：指其他用于中国共产党组织部门的事业支出。</w:t>
      </w:r>
    </w:p>
    <w:p w:rsidR="0068449C" w:rsidRDefault="00A3283D">
      <w:pPr>
        <w:spacing w:line="560" w:lineRule="exact"/>
        <w:ind w:firstLine="660"/>
        <w:rPr>
          <w:rFonts w:ascii="仿宋" w:eastAsia="仿宋" w:hAnsi="仿宋"/>
          <w:sz w:val="32"/>
          <w:szCs w:val="32"/>
        </w:rPr>
      </w:pPr>
      <w:r>
        <w:rPr>
          <w:rFonts w:ascii="仿宋" w:eastAsia="仿宋" w:hAnsi="仿宋" w:cs="仿宋_GB2312"/>
          <w:sz w:val="32"/>
          <w:szCs w:val="32"/>
        </w:rPr>
        <w:t>6.</w:t>
      </w:r>
      <w:r>
        <w:rPr>
          <w:rFonts w:ascii="仿宋" w:eastAsia="仿宋" w:hAnsi="仿宋" w:cs="仿宋_GB2312" w:hint="eastAsia"/>
          <w:sz w:val="32"/>
          <w:szCs w:val="32"/>
        </w:rPr>
        <w:t>教育（类）教育管理事务（款）行政运行（项）：指反映行政单位（包括实行公务员管理的事业单位）教育方面的基本支出。教育（类）教育管理事务（款）一般行政管理事务（项）：指反映行政单位（包括实行公务员管理的事业单位）未单独设置项级科目的其他项目支出。教育（类）教育管理事务（款）其他教育管理事务支出（项）：指其他用于教育管理事务方面的支出。教育（类）普通教育（款）学前教育（项）：指各部门举办的学前教育支出。教育（类）普通教育（款）初中教育（项）指</w:t>
      </w:r>
      <w:r>
        <w:rPr>
          <w:rFonts w:ascii="仿宋" w:eastAsia="仿宋" w:hAnsi="仿宋" w:cs="仿宋_GB2312"/>
          <w:sz w:val="32"/>
          <w:szCs w:val="32"/>
        </w:rPr>
        <w:t xml:space="preserve">: </w:t>
      </w:r>
      <w:r>
        <w:rPr>
          <w:rFonts w:ascii="仿宋" w:eastAsia="仿宋" w:hAnsi="仿宋" w:cs="仿宋_GB2312" w:hint="eastAsia"/>
          <w:sz w:val="32"/>
          <w:szCs w:val="32"/>
        </w:rPr>
        <w:t>教育类普通教育款初中</w:t>
      </w:r>
      <w:r>
        <w:rPr>
          <w:rFonts w:ascii="仿宋" w:eastAsia="仿宋" w:hAnsi="仿宋" w:cs="仿宋_GB2312" w:hint="eastAsia"/>
          <w:sz w:val="32"/>
          <w:szCs w:val="32"/>
        </w:rPr>
        <w:lastRenderedPageBreak/>
        <w:t>教育支出项。教育（类）普通教育（款）高中教育（项</w:t>
      </w:r>
      <w:r>
        <w:rPr>
          <w:rFonts w:ascii="仿宋" w:eastAsia="仿宋" w:hAnsi="仿宋" w:cs="仿宋_GB2312" w:hint="eastAsia"/>
          <w:sz w:val="32"/>
          <w:szCs w:val="32"/>
        </w:rPr>
        <w:t>）：反映各部门举办的高级中学教育支出。政府各部门对社会中介组织等举办的高级中学的资助，如捐赠、补贴等，也在本科目中反映。教育（类）普通教育（款）其他普通教育支出（项）：其他用于普通教育方面的支出。教育支出（类）职业教育（款）中专教育（项）：反映各部门中等专业学校的支出。教育支出（类）职业教育（款）其他职业教育支出（项）：指其他用于职业教育方面的支出。教育支出（类）广播电视教育（款）广播电视学校（项）：反映各部门举办广播电视学校的支出。教育（类）特殊教育（款）特殊学校教育（项）：反映举办盲童学校、聋哑学校、智</w:t>
      </w:r>
      <w:r>
        <w:rPr>
          <w:rFonts w:ascii="仿宋" w:eastAsia="仿宋" w:hAnsi="仿宋" w:cs="仿宋_GB2312" w:hint="eastAsia"/>
          <w:sz w:val="32"/>
          <w:szCs w:val="32"/>
        </w:rPr>
        <w:t>力落后儿童学校、其他生理缺陷儿童学校的支出。教育（类）特殊教育（款）其他特殊教育支出（项）：反映除举办盲童学校、聋哑学校、智力落后儿童学校、其他生理缺陷儿童学校及工读学校外其他用于特殊教育方面的支出。教育（类）教育附加安排的支出（款）其他教育附加安排的支出（项）</w:t>
      </w:r>
      <w:r>
        <w:rPr>
          <w:rFonts w:ascii="仿宋" w:eastAsia="仿宋" w:hAnsi="仿宋" w:cs="仿宋_GB2312"/>
          <w:sz w:val="32"/>
          <w:szCs w:val="32"/>
        </w:rPr>
        <w:t>:</w:t>
      </w:r>
      <w:r>
        <w:rPr>
          <w:rFonts w:ascii="仿宋" w:eastAsia="仿宋" w:hAnsi="仿宋" w:cs="仿宋_GB2312" w:hint="eastAsia"/>
          <w:sz w:val="32"/>
          <w:szCs w:val="32"/>
        </w:rPr>
        <w:t>反映除农村中小学校舍建设、农村中小学教学设施、城市中小学校舍建设、城市中小学教学设施、中等职业学校教学设施以外的教育费附加支出。教育（类）其他教育支出（款）其他教育支出（项）：其他用于教育方面的支出。</w:t>
      </w:r>
    </w:p>
    <w:p w:rsidR="0068449C" w:rsidRDefault="00A3283D">
      <w:pPr>
        <w:spacing w:line="560" w:lineRule="exact"/>
        <w:ind w:firstLine="660"/>
        <w:rPr>
          <w:rFonts w:ascii="仿宋" w:eastAsia="仿宋" w:hAnsi="仿宋"/>
          <w:sz w:val="32"/>
          <w:szCs w:val="32"/>
        </w:rPr>
      </w:pPr>
      <w:r>
        <w:rPr>
          <w:rFonts w:ascii="仿宋" w:eastAsia="仿宋" w:hAnsi="仿宋" w:cs="仿宋_GB2312"/>
          <w:sz w:val="32"/>
          <w:szCs w:val="32"/>
        </w:rPr>
        <w:t>7.</w:t>
      </w:r>
      <w:r>
        <w:rPr>
          <w:rFonts w:ascii="仿宋" w:eastAsia="仿宋" w:hAnsi="仿宋" w:cs="仿宋_GB2312" w:hint="eastAsia"/>
          <w:sz w:val="32"/>
          <w:szCs w:val="32"/>
        </w:rPr>
        <w:t>文化体育与传媒（类）体育（款）行政运行（项</w:t>
      </w:r>
      <w:r>
        <w:rPr>
          <w:rFonts w:ascii="仿宋" w:eastAsia="仿宋" w:hAnsi="仿宋" w:cs="仿宋_GB2312" w:hint="eastAsia"/>
          <w:sz w:val="32"/>
          <w:szCs w:val="32"/>
        </w:rPr>
        <w:t>）：指反映行政单位（包括实行公务员管理的事业单位）体育方面的基本支出。文化体育与传媒（类）体育（款）一般行政管理事务（项）：指反映行政单位（包括实行公务员管理的</w:t>
      </w:r>
      <w:r>
        <w:rPr>
          <w:rFonts w:ascii="仿宋" w:eastAsia="仿宋" w:hAnsi="仿宋" w:cs="仿宋_GB2312" w:hint="eastAsia"/>
          <w:sz w:val="32"/>
          <w:szCs w:val="32"/>
        </w:rPr>
        <w:lastRenderedPageBreak/>
        <w:t>事业单位）未单独设置项级科目的其他项目支出。文化体育与传媒（类）体育（款）体育竞赛（项）：反映综合性运动会及单项体育比赛支出。文化体育与传媒（类）体育（款）体育训练（项）：反映各级体育运动队训练补助及器材购置等方面的支出。文化体育与传媒（类）体育（款）体育场馆（项）：指反映体育场馆建设及维护等方面的支出。文化体育与传媒（类）体育（款）群众体育（项）：</w:t>
      </w:r>
      <w:r>
        <w:rPr>
          <w:rFonts w:ascii="仿宋" w:eastAsia="仿宋" w:hAnsi="仿宋" w:cs="仿宋_GB2312" w:hint="eastAsia"/>
          <w:sz w:val="32"/>
          <w:szCs w:val="32"/>
        </w:rPr>
        <w:t>反映业余体校和全民健身等群众体育活动方面的支出。文化体育与传媒（类）体育（款）其他体育支出（项）：指反映除上述项目以外的其他体育方面的支出。文化体育与传媒（类）其他文化体育与传媒支出（款）其他文化体育与传媒支出（项）：指反映除上述项目以外的其他文化体育与传媒方面的支出。</w:t>
      </w:r>
    </w:p>
    <w:p w:rsidR="0068449C" w:rsidRDefault="00A3283D">
      <w:pPr>
        <w:spacing w:line="560" w:lineRule="exact"/>
        <w:ind w:firstLine="660"/>
        <w:rPr>
          <w:rFonts w:ascii="仿宋" w:eastAsia="仿宋" w:hAnsi="仿宋"/>
          <w:sz w:val="32"/>
          <w:szCs w:val="32"/>
        </w:rPr>
      </w:pPr>
      <w:r>
        <w:rPr>
          <w:rFonts w:ascii="仿宋" w:eastAsia="仿宋" w:hAnsi="仿宋" w:cs="仿宋_GB2312"/>
          <w:sz w:val="32"/>
          <w:szCs w:val="32"/>
        </w:rPr>
        <w:t>8.</w:t>
      </w:r>
      <w:r>
        <w:rPr>
          <w:rFonts w:ascii="仿宋" w:eastAsia="仿宋" w:hAnsi="仿宋" w:cs="仿宋_GB2312" w:hint="eastAsia"/>
          <w:sz w:val="32"/>
          <w:szCs w:val="32"/>
        </w:rPr>
        <w:t>社会保障和就业（类）人力资源和社会保障管理事务（款）其他人力资源和社会保障管理事务支出（项）</w:t>
      </w:r>
      <w:r>
        <w:rPr>
          <w:rFonts w:ascii="仿宋" w:eastAsia="仿宋" w:hAnsi="仿宋" w:cs="仿宋_GB2312"/>
          <w:sz w:val="32"/>
          <w:szCs w:val="32"/>
        </w:rPr>
        <w:t>:</w:t>
      </w:r>
      <w:r>
        <w:rPr>
          <w:rFonts w:ascii="仿宋" w:eastAsia="仿宋" w:hAnsi="仿宋" w:cs="仿宋_GB2312" w:hint="eastAsia"/>
          <w:sz w:val="32"/>
          <w:szCs w:val="32"/>
        </w:rPr>
        <w:t>其他用于人力资源和社会保障管理事务方面的支出。社会保障和就业（类）行政事业单位离退休（款）未归口管理的行政事业单位离退休（项）</w:t>
      </w:r>
      <w:r>
        <w:rPr>
          <w:rFonts w:ascii="仿宋" w:eastAsia="仿宋" w:hAnsi="仿宋" w:cs="仿宋_GB2312"/>
          <w:sz w:val="32"/>
          <w:szCs w:val="32"/>
        </w:rPr>
        <w:t>:</w:t>
      </w:r>
      <w:r>
        <w:rPr>
          <w:rFonts w:ascii="仿宋" w:eastAsia="仿宋" w:hAnsi="仿宋" w:cs="仿宋_GB2312" w:hint="eastAsia"/>
          <w:sz w:val="32"/>
          <w:szCs w:val="32"/>
        </w:rPr>
        <w:t>反映未实行归口</w:t>
      </w:r>
      <w:r>
        <w:rPr>
          <w:rFonts w:ascii="仿宋" w:eastAsia="仿宋" w:hAnsi="仿宋" w:cs="仿宋_GB2312" w:hint="eastAsia"/>
          <w:sz w:val="32"/>
          <w:szCs w:val="32"/>
        </w:rPr>
        <w:t>管理的行政单位（包括实行公务员管理的事业单位）开支的离退休支出。社会保障和就业（类）行政事业单位离退休（款）机关事业单位基本养老保险缴费支出（项）：反映机关事业单位实施养老保险制度由单位缴纳的基本养老保险费支出。社会保障和就业（类）抚恤（款）死亡抚恤（项）：反映按规定用于烈士和牺牲、病故人员家属的一次性和定期抚恤金以及丧葬补助费。社会保障和就业（类）社会福利（款）儿童福利（项）：反</w:t>
      </w:r>
      <w:r>
        <w:rPr>
          <w:rFonts w:ascii="仿宋" w:eastAsia="仿宋" w:hAnsi="仿宋" w:cs="仿宋_GB2312" w:hint="eastAsia"/>
          <w:sz w:val="32"/>
          <w:szCs w:val="32"/>
        </w:rPr>
        <w:lastRenderedPageBreak/>
        <w:t>映对儿童提供福利服务方面的支出。社会保障和就业（类）残疾人事业（款）残疾人就业和扶贫（项）：反映残疾人联合会用于残疾人就业和扶贫</w:t>
      </w:r>
      <w:r>
        <w:rPr>
          <w:rFonts w:ascii="仿宋" w:eastAsia="仿宋" w:hAnsi="仿宋" w:cs="仿宋_GB2312" w:hint="eastAsia"/>
          <w:sz w:val="32"/>
          <w:szCs w:val="32"/>
        </w:rPr>
        <w:t>等方面的工作。</w:t>
      </w:r>
    </w:p>
    <w:p w:rsidR="0068449C" w:rsidRDefault="00A3283D">
      <w:pPr>
        <w:spacing w:line="560" w:lineRule="exact"/>
        <w:ind w:firstLine="660"/>
        <w:rPr>
          <w:rFonts w:ascii="仿宋" w:eastAsia="仿宋" w:hAnsi="仿宋"/>
          <w:sz w:val="32"/>
          <w:szCs w:val="32"/>
        </w:rPr>
      </w:pPr>
      <w:r>
        <w:rPr>
          <w:rFonts w:ascii="仿宋" w:eastAsia="仿宋" w:hAnsi="仿宋" w:cs="仿宋_GB2312"/>
          <w:sz w:val="32"/>
          <w:szCs w:val="32"/>
        </w:rPr>
        <w:t>9.</w:t>
      </w:r>
      <w:r>
        <w:rPr>
          <w:rFonts w:ascii="仿宋" w:eastAsia="仿宋" w:hAnsi="仿宋" w:cs="仿宋_GB2312" w:hint="eastAsia"/>
          <w:sz w:val="32"/>
          <w:szCs w:val="32"/>
        </w:rPr>
        <w:t>医疗卫生与计划生育支出（类）公共卫生（款）重大公共卫生专项（项）：反映重大疾病预防控制等重大公共卫生服务项目支出。医疗卫生与计划生育支出（类）医疗保障（款）其他医疗保障支出（项）：其他用于医疗保障方面的支出。</w:t>
      </w:r>
    </w:p>
    <w:p w:rsidR="0068449C" w:rsidRDefault="00A3283D">
      <w:pPr>
        <w:spacing w:line="560" w:lineRule="exact"/>
        <w:ind w:firstLine="660"/>
        <w:rPr>
          <w:rFonts w:ascii="仿宋" w:eastAsia="仿宋" w:hAnsi="仿宋"/>
          <w:sz w:val="32"/>
          <w:szCs w:val="32"/>
        </w:rPr>
      </w:pPr>
      <w:r>
        <w:rPr>
          <w:rFonts w:ascii="仿宋" w:eastAsia="仿宋" w:hAnsi="仿宋" w:cs="仿宋_GB2312"/>
          <w:sz w:val="32"/>
          <w:szCs w:val="32"/>
        </w:rPr>
        <w:t>10.</w:t>
      </w:r>
      <w:r>
        <w:rPr>
          <w:rFonts w:ascii="仿宋" w:eastAsia="仿宋" w:hAnsi="仿宋" w:cs="仿宋_GB2312" w:hint="eastAsia"/>
          <w:sz w:val="32"/>
          <w:szCs w:val="32"/>
        </w:rPr>
        <w:t>城乡社区支出（类）国有土地使用权出让收入及对应专项债务收入安排的支出（款）城市建设支出（项）：反映土地出让收入用于完善国有土地使用功能的配套设施建设和城市基础设施建设支出。</w:t>
      </w:r>
    </w:p>
    <w:p w:rsidR="0068449C" w:rsidRDefault="00A3283D">
      <w:pPr>
        <w:spacing w:line="560" w:lineRule="exact"/>
        <w:ind w:firstLine="660"/>
        <w:rPr>
          <w:rFonts w:ascii="仿宋" w:eastAsia="仿宋" w:hAnsi="仿宋"/>
          <w:sz w:val="32"/>
          <w:szCs w:val="32"/>
        </w:rPr>
      </w:pPr>
      <w:r>
        <w:rPr>
          <w:rFonts w:ascii="仿宋" w:eastAsia="仿宋" w:hAnsi="仿宋" w:cs="仿宋_GB2312"/>
          <w:sz w:val="32"/>
          <w:szCs w:val="32"/>
        </w:rPr>
        <w:t>11.</w:t>
      </w:r>
      <w:r>
        <w:rPr>
          <w:rFonts w:ascii="仿宋" w:eastAsia="仿宋" w:hAnsi="仿宋" w:cs="仿宋_GB2312" w:hint="eastAsia"/>
          <w:sz w:val="32"/>
          <w:szCs w:val="32"/>
        </w:rPr>
        <w:t>住房保障（类）保障性安居工程支出（款）公共租赁住房（项）：反映用于新建、改建、购买、租赁公共租赁</w:t>
      </w:r>
      <w:r>
        <w:rPr>
          <w:rFonts w:ascii="仿宋" w:eastAsia="仿宋" w:hAnsi="仿宋" w:cs="仿宋_GB2312" w:hint="eastAsia"/>
          <w:sz w:val="32"/>
          <w:szCs w:val="32"/>
        </w:rPr>
        <w:t>住房支出。住房保障（类）住房改革支出（款）住房公积金（项）：指反映行政事业单位按人力资源和社会保障部、财政部规定的基本工资和津贴补贴以及规定</w:t>
      </w:r>
      <w:r w:rsidR="007B2E68">
        <w:rPr>
          <w:rFonts w:ascii="仿宋" w:eastAsia="仿宋" w:hAnsi="仿宋" w:cs="仿宋_GB2312" w:hint="eastAsia"/>
          <w:sz w:val="32"/>
          <w:szCs w:val="32"/>
        </w:rPr>
        <w:t>比例为</w:t>
      </w:r>
      <w:r>
        <w:rPr>
          <w:rFonts w:ascii="仿宋" w:eastAsia="仿宋" w:hAnsi="仿宋" w:cs="仿宋_GB2312" w:hint="eastAsia"/>
          <w:sz w:val="32"/>
          <w:szCs w:val="32"/>
        </w:rPr>
        <w:t>职工缴纳的住房公积金</w:t>
      </w:r>
    </w:p>
    <w:p w:rsidR="0068449C" w:rsidRDefault="00A3283D">
      <w:pPr>
        <w:spacing w:line="560" w:lineRule="exact"/>
        <w:ind w:firstLine="660"/>
        <w:rPr>
          <w:rFonts w:ascii="仿宋" w:eastAsia="仿宋" w:hAnsi="仿宋"/>
          <w:sz w:val="32"/>
          <w:szCs w:val="32"/>
        </w:rPr>
      </w:pPr>
      <w:r>
        <w:rPr>
          <w:rFonts w:ascii="仿宋" w:eastAsia="仿宋" w:hAnsi="仿宋" w:cs="仿宋_GB2312"/>
          <w:sz w:val="32"/>
          <w:szCs w:val="32"/>
        </w:rPr>
        <w:t>12.</w:t>
      </w:r>
      <w:r>
        <w:rPr>
          <w:rFonts w:ascii="仿宋" w:eastAsia="仿宋" w:hAnsi="仿宋" w:cs="仿宋_GB2312" w:hint="eastAsia"/>
          <w:sz w:val="32"/>
          <w:szCs w:val="32"/>
        </w:rPr>
        <w:t>其他支出（类）彩票公益金及对应专项债务收入安排的支出（款）用于体育事业的彩票公益金支出（项）：反映用于体育事业的彩票公益金支出。</w:t>
      </w:r>
    </w:p>
    <w:p w:rsidR="0068449C" w:rsidRDefault="00A3283D">
      <w:pPr>
        <w:spacing w:line="560" w:lineRule="exact"/>
        <w:ind w:firstLine="660"/>
        <w:rPr>
          <w:rFonts w:ascii="仿宋" w:eastAsia="仿宋" w:hAnsi="仿宋"/>
          <w:sz w:val="32"/>
          <w:szCs w:val="32"/>
        </w:rPr>
      </w:pPr>
      <w:r>
        <w:rPr>
          <w:rFonts w:ascii="仿宋" w:eastAsia="仿宋" w:hAnsi="仿宋" w:cs="仿宋_GB2312"/>
          <w:sz w:val="32"/>
          <w:szCs w:val="32"/>
        </w:rPr>
        <w:t>13.</w:t>
      </w:r>
      <w:r>
        <w:rPr>
          <w:rFonts w:ascii="仿宋" w:eastAsia="仿宋" w:hAnsi="仿宋" w:cs="仿宋_GB2312" w:hint="eastAsia"/>
          <w:sz w:val="32"/>
          <w:szCs w:val="32"/>
        </w:rPr>
        <w:t>年末结转和结余指单位按有关规定结转到下年或以后年度继续使用的资金。</w:t>
      </w:r>
    </w:p>
    <w:p w:rsidR="0068449C" w:rsidRDefault="00A3283D">
      <w:pPr>
        <w:spacing w:line="560" w:lineRule="exact"/>
        <w:ind w:firstLine="660"/>
        <w:rPr>
          <w:rFonts w:ascii="仿宋" w:eastAsia="仿宋" w:hAnsi="仿宋"/>
          <w:sz w:val="32"/>
          <w:szCs w:val="32"/>
        </w:rPr>
      </w:pPr>
      <w:r>
        <w:rPr>
          <w:rFonts w:ascii="仿宋" w:eastAsia="仿宋" w:hAnsi="仿宋" w:cs="仿宋_GB2312"/>
          <w:sz w:val="32"/>
          <w:szCs w:val="32"/>
        </w:rPr>
        <w:lastRenderedPageBreak/>
        <w:t>14.</w:t>
      </w:r>
      <w:r>
        <w:rPr>
          <w:rFonts w:ascii="仿宋" w:eastAsia="仿宋" w:hAnsi="仿宋" w:cs="仿宋_GB2312" w:hint="eastAsia"/>
          <w:sz w:val="32"/>
          <w:szCs w:val="32"/>
        </w:rPr>
        <w:t>基本支出：指为保障机构正常运转、完成日常工作任务而发生的人员支出和公用支出。</w:t>
      </w:r>
    </w:p>
    <w:p w:rsidR="0068449C" w:rsidRDefault="00A3283D">
      <w:pPr>
        <w:spacing w:line="560" w:lineRule="exact"/>
        <w:ind w:firstLine="660"/>
        <w:rPr>
          <w:rFonts w:ascii="仿宋" w:eastAsia="仿宋" w:hAnsi="仿宋" w:cs="仿宋_GB2312"/>
          <w:sz w:val="32"/>
          <w:szCs w:val="32"/>
        </w:rPr>
      </w:pPr>
      <w:r>
        <w:rPr>
          <w:rFonts w:ascii="仿宋" w:eastAsia="仿宋" w:hAnsi="仿宋" w:cs="仿宋_GB2312"/>
          <w:sz w:val="32"/>
          <w:szCs w:val="32"/>
        </w:rPr>
        <w:t>15.</w:t>
      </w:r>
      <w:r>
        <w:rPr>
          <w:rFonts w:ascii="仿宋" w:eastAsia="仿宋" w:hAnsi="仿宋" w:cs="仿宋_GB2312" w:hint="eastAsia"/>
          <w:sz w:val="32"/>
          <w:szCs w:val="32"/>
        </w:rPr>
        <w:t>项目支出：指在基本支出之外为完成特定行政任务</w:t>
      </w:r>
      <w:r>
        <w:rPr>
          <w:rFonts w:ascii="仿宋" w:eastAsia="仿宋" w:hAnsi="仿宋" w:cs="仿宋_GB2312" w:hint="eastAsia"/>
          <w:sz w:val="32"/>
          <w:szCs w:val="32"/>
        </w:rPr>
        <w:t>和事业发展目标所发生的支出。</w:t>
      </w:r>
    </w:p>
    <w:p w:rsidR="0068449C" w:rsidRDefault="00A3283D">
      <w:pPr>
        <w:spacing w:line="560" w:lineRule="exact"/>
        <w:ind w:firstLine="660"/>
        <w:rPr>
          <w:rFonts w:ascii="仿宋" w:eastAsia="仿宋" w:hAnsi="仿宋"/>
          <w:sz w:val="32"/>
          <w:szCs w:val="32"/>
        </w:rPr>
      </w:pPr>
      <w:r>
        <w:rPr>
          <w:rFonts w:ascii="仿宋" w:eastAsia="仿宋" w:hAnsi="仿宋" w:cs="仿宋_GB2312"/>
          <w:sz w:val="32"/>
          <w:szCs w:val="32"/>
        </w:rPr>
        <w:t>16.</w:t>
      </w:r>
      <w:r>
        <w:rPr>
          <w:rFonts w:ascii="仿宋" w:eastAsia="仿宋" w:hAnsi="仿宋"/>
          <w:sz w:val="32"/>
          <w:szCs w:val="32"/>
        </w:rPr>
        <w:t>“</w:t>
      </w:r>
      <w:r>
        <w:rPr>
          <w:rFonts w:ascii="仿宋" w:eastAsia="仿宋" w:hAnsi="仿宋" w:cs="仿宋_GB2312" w:hint="eastAsia"/>
          <w:sz w:val="32"/>
          <w:szCs w:val="32"/>
        </w:rPr>
        <w:t>三公</w:t>
      </w:r>
      <w:r>
        <w:rPr>
          <w:rFonts w:ascii="仿宋" w:eastAsia="仿宋" w:hAnsi="仿宋"/>
          <w:sz w:val="32"/>
          <w:szCs w:val="32"/>
        </w:rPr>
        <w:t>”</w:t>
      </w:r>
      <w:r>
        <w:rPr>
          <w:rFonts w:ascii="仿宋" w:eastAsia="仿宋" w:hAnsi="仿宋" w:cs="仿宋_GB2312" w:hint="eastAsia"/>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68449C" w:rsidRDefault="00A3283D">
      <w:pPr>
        <w:spacing w:line="560" w:lineRule="exact"/>
        <w:ind w:firstLine="660"/>
        <w:rPr>
          <w:rFonts w:ascii="仿宋" w:eastAsia="仿宋" w:hAnsi="仿宋" w:cs="仿宋_GB2312"/>
          <w:sz w:val="32"/>
          <w:szCs w:val="32"/>
        </w:rPr>
      </w:pPr>
      <w:r>
        <w:rPr>
          <w:rFonts w:ascii="仿宋" w:eastAsia="仿宋" w:hAnsi="仿宋" w:cs="仿宋_GB2312"/>
          <w:sz w:val="32"/>
          <w:szCs w:val="32"/>
        </w:rPr>
        <w:t>17.</w:t>
      </w:r>
      <w:r>
        <w:rPr>
          <w:rFonts w:ascii="仿宋" w:eastAsia="仿宋" w:hAnsi="仿宋" w:cs="仿宋_GB2312" w:hint="eastAsia"/>
          <w:sz w:val="32"/>
          <w:szCs w:val="32"/>
        </w:rPr>
        <w:t>机关运行经费：为保障行政单位（含参照公务员法管理的事业单位）运行用于购买货物和服务的各项资</w:t>
      </w:r>
      <w:r>
        <w:rPr>
          <w:rFonts w:ascii="仿宋" w:eastAsia="仿宋" w:hAnsi="仿宋" w:cs="仿宋_GB2312" w:hint="eastAsia"/>
          <w:sz w:val="32"/>
          <w:szCs w:val="32"/>
        </w:rPr>
        <w:t>金，包括办公及印刷费、邮电费、差旅费、会议费、福利费、日常维修费、专用材料及一般设备购置费、办公用房水电费、办公用房取暖费、办公用房物业管理费、公务用车运行维护费以及其他费用。</w:t>
      </w:r>
    </w:p>
    <w:p w:rsidR="0068449C" w:rsidRDefault="00A3283D">
      <w:pPr>
        <w:spacing w:line="600" w:lineRule="exact"/>
        <w:ind w:firstLine="640"/>
        <w:rPr>
          <w:rFonts w:ascii="仿宋" w:eastAsia="仿宋" w:hAnsi="仿宋"/>
          <w:b/>
          <w:color w:val="000000"/>
          <w:sz w:val="32"/>
          <w:szCs w:val="32"/>
        </w:rPr>
      </w:pPr>
      <w:r>
        <w:rPr>
          <w:rFonts w:ascii="仿宋" w:eastAsia="仿宋" w:hAnsi="仿宋" w:hint="eastAsia"/>
          <w:b/>
          <w:color w:val="000000"/>
          <w:sz w:val="32"/>
          <w:szCs w:val="32"/>
        </w:rPr>
        <w:t>（解释本部门决算报表中全部功能分类科目至项级，请参照《</w:t>
      </w:r>
      <w:r>
        <w:rPr>
          <w:rFonts w:ascii="仿宋" w:eastAsia="仿宋" w:hAnsi="仿宋"/>
          <w:b/>
          <w:color w:val="000000"/>
          <w:sz w:val="32"/>
          <w:szCs w:val="32"/>
        </w:rPr>
        <w:t>2020</w:t>
      </w:r>
      <w:r>
        <w:rPr>
          <w:rFonts w:ascii="仿宋" w:eastAsia="仿宋" w:hAnsi="仿宋" w:hint="eastAsia"/>
          <w:b/>
          <w:color w:val="000000"/>
          <w:sz w:val="32"/>
          <w:szCs w:val="32"/>
        </w:rPr>
        <w:t>年政府收支分类科目》增减内容。）</w:t>
      </w:r>
    </w:p>
    <w:p w:rsidR="0068449C" w:rsidRDefault="00A3283D">
      <w:pPr>
        <w:ind w:firstLine="640"/>
        <w:rPr>
          <w:rFonts w:ascii="仿宋_GB2312" w:eastAsia="仿宋_GB2312"/>
          <w:color w:val="000000"/>
          <w:sz w:val="32"/>
          <w:szCs w:val="32"/>
        </w:rPr>
      </w:pPr>
      <w:r>
        <w:rPr>
          <w:rFonts w:ascii="仿宋_GB2312" w:eastAsia="仿宋_GB2312"/>
          <w:color w:val="000000"/>
          <w:sz w:val="32"/>
          <w:szCs w:val="32"/>
        </w:rPr>
        <w:t>27.</w:t>
      </w:r>
      <w:r>
        <w:rPr>
          <w:rFonts w:ascii="仿宋_GB2312" w:eastAsia="仿宋_GB2312" w:hint="eastAsia"/>
          <w:color w:val="000000"/>
          <w:sz w:val="32"/>
          <w:szCs w:val="32"/>
        </w:rPr>
        <w:t>基本支出：指为保障机构正常运转、完成日常工作任务而发生的人员支出和公用支出。</w:t>
      </w:r>
    </w:p>
    <w:p w:rsidR="0068449C" w:rsidRDefault="00A3283D">
      <w:pPr>
        <w:ind w:firstLine="640"/>
        <w:rPr>
          <w:rFonts w:ascii="仿宋_GB2312" w:eastAsia="仿宋_GB2312"/>
          <w:color w:val="000000"/>
          <w:sz w:val="32"/>
          <w:szCs w:val="32"/>
        </w:rPr>
      </w:pPr>
      <w:r>
        <w:rPr>
          <w:rFonts w:ascii="仿宋_GB2312" w:eastAsia="仿宋_GB2312"/>
          <w:color w:val="000000"/>
          <w:sz w:val="32"/>
          <w:szCs w:val="32"/>
        </w:rPr>
        <w:t>28.</w:t>
      </w:r>
      <w:r>
        <w:rPr>
          <w:rFonts w:ascii="仿宋_GB2312" w:eastAsia="仿宋_GB2312" w:hint="eastAsia"/>
          <w:color w:val="000000"/>
          <w:sz w:val="32"/>
          <w:szCs w:val="32"/>
        </w:rPr>
        <w:t>项目支出：指在基本支出之外为完成特定行政任务和事业发展目标所发生的支出。</w:t>
      </w:r>
    </w:p>
    <w:p w:rsidR="0068449C" w:rsidRDefault="00A3283D">
      <w:pPr>
        <w:ind w:firstLine="640"/>
        <w:rPr>
          <w:rFonts w:ascii="仿宋_GB2312" w:eastAsia="仿宋_GB2312"/>
          <w:color w:val="000000"/>
          <w:sz w:val="32"/>
          <w:szCs w:val="32"/>
        </w:rPr>
      </w:pPr>
      <w:r>
        <w:rPr>
          <w:rFonts w:ascii="仿宋_GB2312" w:eastAsia="仿宋_GB2312"/>
          <w:color w:val="000000"/>
          <w:sz w:val="32"/>
          <w:szCs w:val="32"/>
        </w:rPr>
        <w:lastRenderedPageBreak/>
        <w:t>29.</w:t>
      </w:r>
      <w:r>
        <w:rPr>
          <w:rFonts w:ascii="仿宋_GB2312" w:eastAsia="仿宋_GB2312" w:hint="eastAsia"/>
          <w:color w:val="000000"/>
          <w:sz w:val="32"/>
          <w:szCs w:val="32"/>
        </w:rPr>
        <w:t>经营支出：指事业单位在专业业务活动及其辅助活动之外开展非独立核算经营活动发生的支出。</w:t>
      </w:r>
    </w:p>
    <w:p w:rsidR="0068449C" w:rsidRDefault="00A3283D">
      <w:pPr>
        <w:pStyle w:val="Default"/>
        <w:spacing w:line="560" w:lineRule="exact"/>
        <w:ind w:firstLine="640"/>
        <w:rPr>
          <w:rFonts w:ascii="仿宋_GB2312" w:eastAsia="仿宋_GB2312"/>
          <w:sz w:val="32"/>
          <w:szCs w:val="32"/>
        </w:rPr>
      </w:pPr>
      <w:r>
        <w:rPr>
          <w:rFonts w:ascii="仿宋_GB2312" w:eastAsia="仿宋_GB2312"/>
          <w:sz w:val="32"/>
          <w:szCs w:val="32"/>
        </w:rPr>
        <w:t>30.</w:t>
      </w:r>
      <w:r>
        <w:rPr>
          <w:rFonts w:ascii="仿宋_GB2312" w:eastAsia="仿宋_GB2312" w:hint="eastAsia"/>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68449C" w:rsidRDefault="00A3283D">
      <w:pPr>
        <w:pStyle w:val="Default"/>
        <w:spacing w:line="560" w:lineRule="exact"/>
        <w:ind w:firstLine="640"/>
        <w:rPr>
          <w:rFonts w:ascii="仿宋_GB2312" w:eastAsia="仿宋_GB2312"/>
          <w:sz w:val="32"/>
          <w:szCs w:val="32"/>
        </w:rPr>
      </w:pPr>
      <w:r>
        <w:rPr>
          <w:rFonts w:ascii="仿宋_GB2312" w:eastAsia="仿宋_GB2312"/>
          <w:sz w:val="32"/>
          <w:szCs w:val="32"/>
        </w:rPr>
        <w:t>31.</w:t>
      </w:r>
      <w:r>
        <w:rPr>
          <w:rFonts w:ascii="仿宋_GB2312" w:eastAsia="仿宋_GB2312" w:hint="eastAsia"/>
          <w:sz w:val="32"/>
          <w:szCs w:val="32"/>
        </w:rPr>
        <w:t>机关运行经费：为保障行政单位（含参</w:t>
      </w:r>
      <w:r>
        <w:rPr>
          <w:rFonts w:ascii="仿宋_GB2312" w:eastAsia="仿宋_GB2312" w:hint="eastAsia"/>
          <w:sz w:val="32"/>
          <w:szCs w:val="32"/>
        </w:rPr>
        <w:t>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68449C" w:rsidRDefault="0068449C">
      <w:pPr>
        <w:spacing w:line="600" w:lineRule="exact"/>
        <w:jc w:val="center"/>
        <w:outlineLvl w:val="0"/>
        <w:rPr>
          <w:rFonts w:ascii="黑体" w:eastAsia="黑体" w:hAnsi="黑体"/>
          <w:color w:val="000000"/>
          <w:sz w:val="44"/>
          <w:szCs w:val="44"/>
        </w:rPr>
      </w:pPr>
      <w:bookmarkStart w:id="55" w:name="_Toc15396614"/>
      <w:bookmarkStart w:id="56" w:name="_Toc15377226"/>
    </w:p>
    <w:p w:rsidR="0068449C" w:rsidRDefault="0068449C">
      <w:pPr>
        <w:spacing w:line="600" w:lineRule="exact"/>
        <w:jc w:val="center"/>
        <w:outlineLvl w:val="0"/>
        <w:rPr>
          <w:rFonts w:ascii="黑体" w:eastAsia="黑体" w:hAnsi="黑体"/>
          <w:color w:val="000000"/>
          <w:sz w:val="44"/>
          <w:szCs w:val="44"/>
        </w:rPr>
      </w:pPr>
    </w:p>
    <w:p w:rsidR="0068449C" w:rsidRDefault="0068449C">
      <w:pPr>
        <w:spacing w:line="600" w:lineRule="exact"/>
        <w:jc w:val="center"/>
        <w:outlineLvl w:val="0"/>
        <w:rPr>
          <w:rFonts w:ascii="黑体" w:eastAsia="黑体" w:hAnsi="黑体"/>
          <w:color w:val="000000"/>
          <w:sz w:val="44"/>
          <w:szCs w:val="44"/>
        </w:rPr>
      </w:pPr>
    </w:p>
    <w:p w:rsidR="0068449C" w:rsidRDefault="0068449C">
      <w:pPr>
        <w:spacing w:line="600" w:lineRule="exact"/>
        <w:jc w:val="center"/>
        <w:outlineLvl w:val="0"/>
        <w:rPr>
          <w:rFonts w:ascii="黑体" w:eastAsia="黑体" w:hAnsi="黑体"/>
          <w:color w:val="000000"/>
          <w:sz w:val="44"/>
          <w:szCs w:val="44"/>
        </w:rPr>
      </w:pPr>
    </w:p>
    <w:p w:rsidR="0068449C" w:rsidRDefault="0068449C">
      <w:pPr>
        <w:spacing w:line="600" w:lineRule="exact"/>
        <w:jc w:val="center"/>
        <w:outlineLvl w:val="0"/>
        <w:rPr>
          <w:rFonts w:ascii="黑体" w:eastAsia="黑体" w:hAnsi="黑体"/>
          <w:color w:val="000000"/>
          <w:sz w:val="44"/>
          <w:szCs w:val="44"/>
        </w:rPr>
      </w:pPr>
    </w:p>
    <w:p w:rsidR="0068449C" w:rsidRDefault="0068449C">
      <w:pPr>
        <w:spacing w:line="600" w:lineRule="exact"/>
        <w:jc w:val="center"/>
        <w:outlineLvl w:val="0"/>
        <w:rPr>
          <w:rFonts w:ascii="黑体" w:eastAsia="黑体" w:hAnsi="黑体"/>
          <w:color w:val="000000"/>
          <w:sz w:val="44"/>
          <w:szCs w:val="44"/>
        </w:rPr>
      </w:pPr>
    </w:p>
    <w:p w:rsidR="0068449C" w:rsidRDefault="0068449C">
      <w:pPr>
        <w:spacing w:line="600" w:lineRule="exact"/>
        <w:jc w:val="center"/>
        <w:outlineLvl w:val="0"/>
        <w:rPr>
          <w:rFonts w:ascii="黑体" w:eastAsia="黑体" w:hAnsi="黑体"/>
          <w:color w:val="000000"/>
          <w:sz w:val="44"/>
          <w:szCs w:val="44"/>
        </w:rPr>
      </w:pPr>
    </w:p>
    <w:p w:rsidR="0068449C" w:rsidRDefault="0068449C">
      <w:pPr>
        <w:spacing w:line="600" w:lineRule="exact"/>
        <w:jc w:val="center"/>
        <w:outlineLvl w:val="0"/>
        <w:rPr>
          <w:rFonts w:ascii="黑体" w:eastAsia="黑体" w:hAnsi="黑体"/>
          <w:color w:val="000000"/>
          <w:sz w:val="44"/>
          <w:szCs w:val="44"/>
        </w:rPr>
      </w:pPr>
    </w:p>
    <w:p w:rsidR="0068449C" w:rsidRDefault="00A3283D">
      <w:pPr>
        <w:spacing w:line="600" w:lineRule="exact"/>
        <w:jc w:val="center"/>
        <w:outlineLvl w:val="0"/>
        <w:rPr>
          <w:rStyle w:val="1Char"/>
          <w:rFonts w:ascii="黑体" w:eastAsia="黑体" w:hAnsi="黑体"/>
          <w:b w:val="0"/>
          <w:bCs w:val="0"/>
        </w:rPr>
      </w:pPr>
      <w:r>
        <w:rPr>
          <w:rFonts w:ascii="黑体" w:eastAsia="黑体" w:hAnsi="黑体" w:hint="eastAsia"/>
          <w:color w:val="000000"/>
          <w:sz w:val="44"/>
          <w:szCs w:val="44"/>
        </w:rPr>
        <w:lastRenderedPageBreak/>
        <w:t>第</w:t>
      </w:r>
      <w:r>
        <w:rPr>
          <w:rStyle w:val="1Char"/>
          <w:rFonts w:ascii="黑体" w:eastAsia="黑体" w:hAnsi="黑体" w:hint="eastAsia"/>
          <w:b w:val="0"/>
        </w:rPr>
        <w:t>四部分附件</w:t>
      </w:r>
      <w:bookmarkEnd w:id="55"/>
    </w:p>
    <w:p w:rsidR="0068449C" w:rsidRDefault="00A3283D">
      <w:pPr>
        <w:spacing w:line="600" w:lineRule="exact"/>
        <w:outlineLvl w:val="0"/>
        <w:rPr>
          <w:rFonts w:ascii="方正小标宋简体" w:eastAsia="方正小标宋简体" w:hAnsi="方正小标宋简体" w:cs="方正小标宋简体"/>
          <w:sz w:val="32"/>
          <w:szCs w:val="32"/>
        </w:rPr>
      </w:pPr>
      <w:r>
        <w:rPr>
          <w:rFonts w:ascii="黑体" w:eastAsia="黑体" w:hAnsi="黑体" w:cs="黑体" w:hint="eastAsia"/>
          <w:sz w:val="32"/>
          <w:szCs w:val="32"/>
        </w:rPr>
        <w:t>附件</w:t>
      </w:r>
      <w:r>
        <w:rPr>
          <w:rFonts w:ascii="黑体" w:eastAsia="黑体" w:hAnsi="黑体" w:cs="黑体"/>
          <w:sz w:val="32"/>
          <w:szCs w:val="32"/>
        </w:rPr>
        <w:t>1</w:t>
      </w:r>
    </w:p>
    <w:p w:rsidR="0068449C" w:rsidRDefault="0068449C">
      <w:pPr>
        <w:spacing w:line="580" w:lineRule="exact"/>
        <w:jc w:val="center"/>
        <w:rPr>
          <w:rFonts w:ascii="方正小标宋简体" w:eastAsia="方正小标宋简体" w:hAnsi="方正小标宋简体" w:cs="方正小标宋简体"/>
          <w:sz w:val="44"/>
          <w:szCs w:val="44"/>
        </w:rPr>
      </w:pPr>
    </w:p>
    <w:p w:rsidR="0068449C" w:rsidRDefault="0068449C">
      <w:pPr>
        <w:adjustRightInd w:val="0"/>
        <w:snapToGrid w:val="0"/>
        <w:spacing w:line="580" w:lineRule="exact"/>
        <w:contextualSpacing/>
        <w:rPr>
          <w:rFonts w:ascii="黑体" w:eastAsia="黑体" w:hAnsi="宋体" w:cs="宋体"/>
          <w:color w:val="000000"/>
          <w:sz w:val="24"/>
          <w:szCs w:val="32"/>
          <w:shd w:val="clear" w:color="auto" w:fill="FFFFFF"/>
        </w:rPr>
      </w:pPr>
    </w:p>
    <w:p w:rsidR="0068449C" w:rsidRDefault="00A3283D">
      <w:pPr>
        <w:ind w:firstLine="640"/>
        <w:jc w:val="center"/>
        <w:rPr>
          <w:rFonts w:ascii="方正小标宋_GBK" w:eastAsia="方正小标宋_GBK" w:hAnsi="黑体"/>
          <w:sz w:val="32"/>
          <w:szCs w:val="32"/>
        </w:rPr>
      </w:pPr>
      <w:r>
        <w:rPr>
          <w:rFonts w:ascii="方正小标宋_GBK" w:eastAsia="方正小标宋_GBK" w:hAnsi="黑体" w:hint="eastAsia"/>
          <w:sz w:val="32"/>
          <w:szCs w:val="32"/>
        </w:rPr>
        <w:t>部门预算整体绩效评价自评报告</w:t>
      </w:r>
    </w:p>
    <w:p w:rsidR="0068449C" w:rsidRDefault="0068449C">
      <w:pPr>
        <w:ind w:firstLine="640"/>
        <w:rPr>
          <w:rFonts w:ascii="仿宋_GB2312" w:eastAsia="仿宋_GB2312"/>
          <w:sz w:val="32"/>
          <w:szCs w:val="32"/>
        </w:rPr>
      </w:pPr>
    </w:p>
    <w:p w:rsidR="0068449C" w:rsidRDefault="00A3283D">
      <w:pPr>
        <w:pStyle w:val="ac"/>
        <w:numPr>
          <w:ilvl w:val="0"/>
          <w:numId w:val="4"/>
        </w:numPr>
        <w:rPr>
          <w:rFonts w:ascii="黑体" w:eastAsia="黑体"/>
          <w:sz w:val="32"/>
          <w:szCs w:val="32"/>
        </w:rPr>
      </w:pPr>
      <w:r>
        <w:rPr>
          <w:rFonts w:ascii="黑体" w:eastAsia="黑体" w:hint="eastAsia"/>
          <w:sz w:val="32"/>
          <w:szCs w:val="32"/>
        </w:rPr>
        <w:t>部门概况</w:t>
      </w:r>
    </w:p>
    <w:p w:rsidR="0068449C" w:rsidRDefault="00A3283D">
      <w:pPr>
        <w:pStyle w:val="ac"/>
        <w:numPr>
          <w:ilvl w:val="0"/>
          <w:numId w:val="5"/>
        </w:numPr>
        <w:rPr>
          <w:rFonts w:ascii="仿宋" w:eastAsia="仿宋" w:hAnsi="仿宋"/>
          <w:sz w:val="32"/>
          <w:szCs w:val="32"/>
        </w:rPr>
      </w:pPr>
      <w:r>
        <w:rPr>
          <w:rFonts w:ascii="仿宋" w:eastAsia="仿宋" w:hAnsi="仿宋" w:hint="eastAsia"/>
          <w:sz w:val="32"/>
          <w:szCs w:val="32"/>
        </w:rPr>
        <w:t>基本职能</w:t>
      </w:r>
    </w:p>
    <w:p w:rsidR="0068449C" w:rsidRDefault="00A3283D">
      <w:pPr>
        <w:ind w:firstLine="800"/>
        <w:rPr>
          <w:rFonts w:ascii="仿宋" w:eastAsia="仿宋" w:hAnsi="仿宋" w:cs="宋体"/>
          <w:sz w:val="32"/>
          <w:szCs w:val="32"/>
        </w:rPr>
      </w:pPr>
      <w:r>
        <w:rPr>
          <w:rFonts w:ascii="仿宋" w:eastAsia="仿宋" w:hAnsi="仿宋" w:cs="宋体" w:hint="eastAsia"/>
          <w:sz w:val="32"/>
          <w:szCs w:val="32"/>
        </w:rPr>
        <w:t>攀枝花市外国语学校按照《义务教育法》的规定确定义务教育阶段的教学内容和课程设置开展教育教学活动，保证教育教学达到国家规定的基本质量要求；按照《少年儿童体育学校管理办法》开展青少年业余体育的选材和培训工作；制定业余体育训练参赛及管理制度，组队参加省青少年体育竞赛；向国家、省级运动队输送优秀青少年体育后备人才。</w:t>
      </w:r>
    </w:p>
    <w:p w:rsidR="0068449C" w:rsidRDefault="00A3283D">
      <w:pPr>
        <w:pStyle w:val="ac"/>
        <w:numPr>
          <w:ilvl w:val="0"/>
          <w:numId w:val="5"/>
        </w:numPr>
        <w:rPr>
          <w:rFonts w:ascii="仿宋" w:eastAsia="仿宋" w:hAnsi="仿宋"/>
          <w:sz w:val="32"/>
          <w:szCs w:val="32"/>
        </w:rPr>
      </w:pPr>
      <w:r>
        <w:rPr>
          <w:rFonts w:ascii="仿宋" w:eastAsia="仿宋" w:hAnsi="仿宋" w:hint="eastAsia"/>
          <w:sz w:val="32"/>
          <w:szCs w:val="32"/>
        </w:rPr>
        <w:t>人员构成</w:t>
      </w:r>
    </w:p>
    <w:p w:rsidR="0068449C" w:rsidRDefault="00A3283D">
      <w:pPr>
        <w:pStyle w:val="a3"/>
        <w:adjustRightInd w:val="0"/>
        <w:snapToGrid w:val="0"/>
        <w:spacing w:before="93" w:line="580" w:lineRule="exact"/>
        <w:ind w:firstLine="640"/>
        <w:rPr>
          <w:rFonts w:ascii="仿宋" w:eastAsia="仿宋" w:hAnsi="仿宋" w:cs="宋体"/>
          <w:sz w:val="32"/>
          <w:szCs w:val="32"/>
        </w:rPr>
      </w:pPr>
      <w:r>
        <w:rPr>
          <w:rFonts w:ascii="仿宋" w:eastAsia="仿宋" w:hAnsi="仿宋" w:cs="宋体" w:hint="eastAsia"/>
          <w:sz w:val="32"/>
          <w:szCs w:val="32"/>
        </w:rPr>
        <w:t>攀枝花市外国语学校隶属于攀枝花市教育和体育局，属市直属学校，单位编制人数</w:t>
      </w:r>
      <w:r>
        <w:rPr>
          <w:rFonts w:ascii="仿宋" w:eastAsia="仿宋" w:hAnsi="仿宋" w:cs="宋体" w:hint="eastAsia"/>
          <w:sz w:val="32"/>
          <w:szCs w:val="32"/>
        </w:rPr>
        <w:t>193</w:t>
      </w:r>
      <w:r>
        <w:rPr>
          <w:rFonts w:ascii="仿宋" w:eastAsia="仿宋" w:hAnsi="仿宋" w:cs="宋体" w:hint="eastAsia"/>
          <w:sz w:val="32"/>
          <w:szCs w:val="32"/>
        </w:rPr>
        <w:t>人，单位在职职工</w:t>
      </w:r>
      <w:r>
        <w:rPr>
          <w:rFonts w:ascii="仿宋" w:eastAsia="仿宋" w:hAnsi="仿宋" w:cs="宋体" w:hint="eastAsia"/>
          <w:sz w:val="32"/>
          <w:szCs w:val="32"/>
        </w:rPr>
        <w:t>262</w:t>
      </w:r>
      <w:r>
        <w:rPr>
          <w:rFonts w:ascii="仿宋" w:eastAsia="仿宋" w:hAnsi="仿宋" w:cs="宋体" w:hint="eastAsia"/>
          <w:sz w:val="32"/>
          <w:szCs w:val="32"/>
        </w:rPr>
        <w:t>人，离退休人员</w:t>
      </w:r>
      <w:r>
        <w:rPr>
          <w:rFonts w:ascii="仿宋" w:eastAsia="仿宋" w:hAnsi="仿宋" w:cs="宋体" w:hint="eastAsia"/>
          <w:sz w:val="32"/>
          <w:szCs w:val="32"/>
        </w:rPr>
        <w:t>194</w:t>
      </w:r>
      <w:r>
        <w:rPr>
          <w:rFonts w:ascii="仿宋" w:eastAsia="仿宋" w:hAnsi="仿宋" w:cs="宋体" w:hint="eastAsia"/>
          <w:sz w:val="32"/>
          <w:szCs w:val="32"/>
        </w:rPr>
        <w:t>人，在校学生</w:t>
      </w:r>
      <w:r>
        <w:rPr>
          <w:rFonts w:ascii="仿宋" w:eastAsia="仿宋" w:hAnsi="仿宋" w:cs="宋体" w:hint="eastAsia"/>
          <w:sz w:val="32"/>
          <w:szCs w:val="32"/>
        </w:rPr>
        <w:t>2000</w:t>
      </w:r>
      <w:r>
        <w:rPr>
          <w:rFonts w:ascii="仿宋" w:eastAsia="仿宋" w:hAnsi="仿宋" w:cs="宋体" w:hint="eastAsia"/>
          <w:sz w:val="32"/>
          <w:szCs w:val="32"/>
        </w:rPr>
        <w:t>余人。学校集体育训练、教育教学和食宿生活为一体，体育训练开设棒球、垒球、田径、射击等多个运动项目，承担了攀枝花市近</w:t>
      </w:r>
      <w:r>
        <w:rPr>
          <w:rFonts w:ascii="仿宋" w:eastAsia="仿宋" w:hAnsi="仿宋" w:cs="宋体" w:hint="eastAsia"/>
          <w:sz w:val="32"/>
          <w:szCs w:val="32"/>
        </w:rPr>
        <w:t>50%</w:t>
      </w:r>
      <w:r>
        <w:rPr>
          <w:rFonts w:ascii="仿宋" w:eastAsia="仿宋" w:hAnsi="仿宋" w:cs="宋体" w:hint="eastAsia"/>
          <w:sz w:val="32"/>
          <w:szCs w:val="32"/>
        </w:rPr>
        <w:t>的省运会参赛任务。</w:t>
      </w:r>
    </w:p>
    <w:p w:rsidR="0068449C" w:rsidRDefault="00A3283D">
      <w:pPr>
        <w:pStyle w:val="ac"/>
        <w:numPr>
          <w:ilvl w:val="0"/>
          <w:numId w:val="5"/>
        </w:numPr>
        <w:rPr>
          <w:rFonts w:ascii="仿宋" w:eastAsia="仿宋" w:hAnsi="仿宋"/>
          <w:sz w:val="32"/>
          <w:szCs w:val="32"/>
        </w:rPr>
      </w:pPr>
      <w:r>
        <w:rPr>
          <w:rFonts w:ascii="仿宋" w:eastAsia="仿宋" w:hAnsi="仿宋" w:hint="eastAsia"/>
          <w:sz w:val="32"/>
          <w:szCs w:val="32"/>
        </w:rPr>
        <w:t>固定资产情况</w:t>
      </w:r>
    </w:p>
    <w:p w:rsidR="0068449C" w:rsidRDefault="00A3283D">
      <w:pPr>
        <w:ind w:firstLine="640"/>
        <w:rPr>
          <w:rFonts w:ascii="仿宋" w:eastAsia="仿宋" w:hAnsi="仿宋" w:cs="宋体"/>
          <w:sz w:val="32"/>
          <w:szCs w:val="32"/>
        </w:rPr>
      </w:pPr>
      <w:r>
        <w:rPr>
          <w:rFonts w:ascii="仿宋" w:eastAsia="仿宋" w:hAnsi="仿宋" w:cs="宋体" w:hint="eastAsia"/>
          <w:sz w:val="32"/>
          <w:szCs w:val="32"/>
        </w:rPr>
        <w:lastRenderedPageBreak/>
        <w:t>2020</w:t>
      </w:r>
      <w:r>
        <w:rPr>
          <w:rFonts w:ascii="仿宋" w:eastAsia="仿宋" w:hAnsi="仿宋" w:cs="宋体" w:hint="eastAsia"/>
          <w:sz w:val="32"/>
          <w:szCs w:val="32"/>
        </w:rPr>
        <w:t>年</w:t>
      </w:r>
      <w:r>
        <w:rPr>
          <w:rFonts w:ascii="仿宋" w:eastAsia="仿宋" w:hAnsi="仿宋" w:cs="宋体" w:hint="eastAsia"/>
          <w:sz w:val="32"/>
          <w:szCs w:val="32"/>
        </w:rPr>
        <w:t>12</w:t>
      </w:r>
      <w:r>
        <w:rPr>
          <w:rFonts w:ascii="仿宋" w:eastAsia="仿宋" w:hAnsi="仿宋" w:cs="宋体" w:hint="eastAsia"/>
          <w:sz w:val="32"/>
          <w:szCs w:val="32"/>
        </w:rPr>
        <w:t>月</w:t>
      </w:r>
      <w:r>
        <w:rPr>
          <w:rFonts w:ascii="仿宋" w:eastAsia="仿宋" w:hAnsi="仿宋" w:cs="宋体" w:hint="eastAsia"/>
          <w:sz w:val="32"/>
          <w:szCs w:val="32"/>
        </w:rPr>
        <w:t>31</w:t>
      </w:r>
      <w:r>
        <w:rPr>
          <w:rFonts w:ascii="仿宋" w:eastAsia="仿宋" w:hAnsi="仿宋" w:cs="宋体" w:hint="eastAsia"/>
          <w:sz w:val="32"/>
          <w:szCs w:val="32"/>
        </w:rPr>
        <w:t>日单位固定资产原值：</w:t>
      </w:r>
      <w:r>
        <w:rPr>
          <w:rFonts w:ascii="仿宋" w:eastAsia="仿宋" w:hAnsi="仿宋" w:cs="宋体" w:hint="eastAsia"/>
          <w:sz w:val="32"/>
          <w:szCs w:val="32"/>
        </w:rPr>
        <w:t>40293344.97</w:t>
      </w:r>
      <w:r>
        <w:rPr>
          <w:rFonts w:ascii="仿宋" w:eastAsia="仿宋" w:hAnsi="仿宋" w:cs="宋体" w:hint="eastAsia"/>
          <w:sz w:val="32"/>
          <w:szCs w:val="32"/>
        </w:rPr>
        <w:t>元；无形资产：</w:t>
      </w:r>
      <w:r>
        <w:rPr>
          <w:rFonts w:ascii="仿宋" w:eastAsia="仿宋" w:hAnsi="仿宋" w:cs="宋体" w:hint="eastAsia"/>
          <w:sz w:val="32"/>
          <w:szCs w:val="32"/>
        </w:rPr>
        <w:t>82700.50</w:t>
      </w:r>
      <w:r>
        <w:rPr>
          <w:rFonts w:ascii="仿宋" w:eastAsia="仿宋" w:hAnsi="仿宋" w:cs="宋体" w:hint="eastAsia"/>
          <w:sz w:val="32"/>
          <w:szCs w:val="32"/>
        </w:rPr>
        <w:t>元。</w:t>
      </w:r>
    </w:p>
    <w:p w:rsidR="0068449C" w:rsidRDefault="00A3283D">
      <w:pPr>
        <w:ind w:firstLine="640"/>
        <w:rPr>
          <w:rFonts w:ascii="黑体" w:eastAsia="黑体"/>
          <w:sz w:val="32"/>
          <w:szCs w:val="32"/>
        </w:rPr>
      </w:pPr>
      <w:r>
        <w:rPr>
          <w:rFonts w:ascii="黑体" w:eastAsia="黑体" w:hint="eastAsia"/>
          <w:sz w:val="32"/>
          <w:szCs w:val="32"/>
        </w:rPr>
        <w:t>二、部门资金基本情况</w:t>
      </w:r>
    </w:p>
    <w:p w:rsidR="0068449C" w:rsidRDefault="00A3283D">
      <w:pPr>
        <w:ind w:firstLine="640"/>
        <w:rPr>
          <w:rFonts w:ascii="仿宋" w:eastAsia="仿宋" w:hAnsi="仿宋"/>
          <w:sz w:val="32"/>
          <w:szCs w:val="32"/>
        </w:rPr>
      </w:pPr>
      <w:r>
        <w:rPr>
          <w:rFonts w:ascii="仿宋" w:eastAsia="仿宋" w:hAnsi="仿宋" w:hint="eastAsia"/>
          <w:sz w:val="32"/>
          <w:szCs w:val="32"/>
        </w:rPr>
        <w:t>（一）年初部门预算安排及支出情况</w:t>
      </w:r>
    </w:p>
    <w:p w:rsidR="0068449C" w:rsidRDefault="00A3283D">
      <w:pPr>
        <w:ind w:firstLine="640"/>
        <w:rPr>
          <w:rFonts w:ascii="仿宋" w:eastAsia="仿宋" w:hAnsi="仿宋"/>
          <w:sz w:val="32"/>
          <w:szCs w:val="32"/>
        </w:rPr>
      </w:pPr>
      <w:r>
        <w:rPr>
          <w:rFonts w:ascii="仿宋" w:eastAsia="仿宋" w:hAnsi="仿宋"/>
          <w:sz w:val="32"/>
          <w:szCs w:val="32"/>
        </w:rPr>
        <w:t>1.</w:t>
      </w:r>
      <w:r>
        <w:rPr>
          <w:rFonts w:ascii="仿宋" w:eastAsia="仿宋" w:hAnsi="仿宋"/>
          <w:sz w:val="32"/>
          <w:szCs w:val="32"/>
        </w:rPr>
        <w:t>基本支出安排及使用情况</w:t>
      </w:r>
    </w:p>
    <w:p w:rsidR="0068449C" w:rsidRDefault="00A3283D">
      <w:pPr>
        <w:spacing w:line="600" w:lineRule="exact"/>
        <w:ind w:firstLine="640"/>
        <w:rPr>
          <w:rFonts w:ascii="仿宋" w:eastAsia="仿宋" w:hAnsi="仿宋" w:cs="宋体"/>
          <w:sz w:val="32"/>
          <w:szCs w:val="32"/>
        </w:rPr>
      </w:pPr>
      <w:r>
        <w:rPr>
          <w:rFonts w:ascii="仿宋" w:eastAsia="仿宋" w:hAnsi="仿宋" w:cs="宋体" w:hint="eastAsia"/>
          <w:sz w:val="32"/>
          <w:szCs w:val="32"/>
        </w:rPr>
        <w:t>攀枝花市外国语学校</w:t>
      </w:r>
      <w:r>
        <w:rPr>
          <w:rFonts w:ascii="仿宋" w:eastAsia="仿宋" w:hAnsi="仿宋" w:cs="宋体" w:hint="eastAsia"/>
          <w:sz w:val="32"/>
          <w:szCs w:val="32"/>
        </w:rPr>
        <w:t>2020</w:t>
      </w:r>
      <w:r>
        <w:rPr>
          <w:rFonts w:ascii="仿宋" w:eastAsia="仿宋" w:hAnsi="仿宋" w:cs="宋体" w:hint="eastAsia"/>
          <w:sz w:val="32"/>
          <w:szCs w:val="32"/>
        </w:rPr>
        <w:t>年年初部门预算批复</w:t>
      </w:r>
      <w:r>
        <w:rPr>
          <w:rFonts w:ascii="仿宋" w:eastAsia="仿宋" w:hAnsi="仿宋" w:cs="宋体" w:hint="eastAsia"/>
          <w:sz w:val="32"/>
          <w:szCs w:val="32"/>
        </w:rPr>
        <w:t>4169.56</w:t>
      </w:r>
      <w:r>
        <w:rPr>
          <w:rFonts w:ascii="仿宋" w:eastAsia="仿宋" w:hAnsi="仿宋" w:cs="宋体" w:hint="eastAsia"/>
          <w:sz w:val="32"/>
          <w:szCs w:val="32"/>
        </w:rPr>
        <w:t>万元，安排基本支出</w:t>
      </w:r>
      <w:r>
        <w:rPr>
          <w:rFonts w:ascii="仿宋" w:eastAsia="仿宋" w:hAnsi="仿宋" w:cs="宋体" w:hint="eastAsia"/>
          <w:sz w:val="32"/>
          <w:szCs w:val="32"/>
        </w:rPr>
        <w:t>4162.56</w:t>
      </w:r>
      <w:r>
        <w:rPr>
          <w:rFonts w:ascii="仿宋" w:eastAsia="仿宋" w:hAnsi="仿宋" w:cs="宋体" w:hint="eastAsia"/>
          <w:sz w:val="32"/>
          <w:szCs w:val="32"/>
        </w:rPr>
        <w:t>万元，占总预算</w:t>
      </w:r>
      <w:r>
        <w:rPr>
          <w:rFonts w:ascii="仿宋" w:eastAsia="仿宋" w:hAnsi="仿宋" w:cs="宋体" w:hint="eastAsia"/>
          <w:sz w:val="32"/>
          <w:szCs w:val="32"/>
        </w:rPr>
        <w:t>99.8%</w:t>
      </w:r>
      <w:r>
        <w:rPr>
          <w:rFonts w:ascii="仿宋" w:eastAsia="仿宋" w:hAnsi="仿宋" w:cs="宋体" w:hint="eastAsia"/>
          <w:sz w:val="32"/>
          <w:szCs w:val="32"/>
        </w:rPr>
        <w:t>；主要是（</w:t>
      </w:r>
      <w:r>
        <w:rPr>
          <w:rFonts w:ascii="仿宋" w:eastAsia="仿宋" w:hAnsi="仿宋" w:cs="宋体" w:hint="eastAsia"/>
          <w:sz w:val="32"/>
          <w:szCs w:val="32"/>
        </w:rPr>
        <w:t>1</w:t>
      </w:r>
      <w:r>
        <w:rPr>
          <w:rFonts w:ascii="仿宋" w:eastAsia="仿宋" w:hAnsi="仿宋" w:cs="宋体" w:hint="eastAsia"/>
          <w:sz w:val="32"/>
          <w:szCs w:val="32"/>
        </w:rPr>
        <w:t>）人员经费</w:t>
      </w:r>
      <w:r>
        <w:rPr>
          <w:rFonts w:ascii="仿宋" w:eastAsia="仿宋" w:hAnsi="仿宋" w:cs="宋体" w:hint="eastAsia"/>
          <w:sz w:val="32"/>
          <w:szCs w:val="32"/>
        </w:rPr>
        <w:t>3181.17</w:t>
      </w:r>
      <w:r>
        <w:rPr>
          <w:rFonts w:ascii="仿宋" w:eastAsia="仿宋" w:hAnsi="仿宋" w:cs="宋体" w:hint="eastAsia"/>
          <w:sz w:val="32"/>
          <w:szCs w:val="32"/>
        </w:rPr>
        <w:t>万元，主要包括：基本工资、津贴补贴、奖金、绩效工资、社会保险缴费、机关事业单位基本养老保险缴费、其他工资福利支出、住房公积金；（</w:t>
      </w:r>
      <w:r>
        <w:rPr>
          <w:rFonts w:ascii="仿宋" w:eastAsia="仿宋" w:hAnsi="仿宋" w:cs="宋体" w:hint="eastAsia"/>
          <w:sz w:val="32"/>
          <w:szCs w:val="32"/>
        </w:rPr>
        <w:t>2</w:t>
      </w:r>
      <w:r>
        <w:rPr>
          <w:rFonts w:ascii="仿宋" w:eastAsia="仿宋" w:hAnsi="仿宋" w:cs="宋体" w:hint="eastAsia"/>
          <w:sz w:val="32"/>
          <w:szCs w:val="32"/>
        </w:rPr>
        <w:t>）公用经费</w:t>
      </w:r>
      <w:r>
        <w:rPr>
          <w:rFonts w:ascii="仿宋" w:eastAsia="仿宋" w:hAnsi="仿宋" w:cs="宋体" w:hint="eastAsia"/>
          <w:sz w:val="32"/>
          <w:szCs w:val="32"/>
        </w:rPr>
        <w:t>255.59</w:t>
      </w:r>
      <w:r>
        <w:rPr>
          <w:rFonts w:ascii="仿宋" w:eastAsia="仿宋" w:hAnsi="仿宋" w:cs="宋体" w:hint="eastAsia"/>
          <w:sz w:val="32"/>
          <w:szCs w:val="32"/>
        </w:rPr>
        <w:t>万元，主要包括：办公费、水费、电费、邮电费、差旅费、公务接待费、工会经费、福利费、公务用车运行维护费、党建经费、离退休公用经费。</w:t>
      </w:r>
    </w:p>
    <w:p w:rsidR="0068449C" w:rsidRDefault="00A3283D">
      <w:pPr>
        <w:pStyle w:val="a4"/>
        <w:spacing w:line="600" w:lineRule="exact"/>
        <w:ind w:firstLine="640"/>
        <w:rPr>
          <w:rFonts w:ascii="仿宋" w:eastAsia="仿宋" w:hAnsi="仿宋"/>
          <w:sz w:val="32"/>
          <w:szCs w:val="32"/>
        </w:rPr>
      </w:pPr>
      <w:r>
        <w:rPr>
          <w:rFonts w:ascii="仿宋" w:eastAsia="仿宋" w:hAnsi="仿宋"/>
          <w:sz w:val="32"/>
          <w:szCs w:val="32"/>
        </w:rPr>
        <w:t>2.</w:t>
      </w:r>
      <w:r>
        <w:rPr>
          <w:rFonts w:ascii="仿宋" w:eastAsia="仿宋" w:hAnsi="仿宋"/>
          <w:sz w:val="32"/>
          <w:szCs w:val="32"/>
        </w:rPr>
        <w:t>部门预算项目安排及支出情况</w:t>
      </w:r>
    </w:p>
    <w:p w:rsidR="0068449C" w:rsidRDefault="00A3283D">
      <w:pPr>
        <w:spacing w:line="600" w:lineRule="exact"/>
        <w:ind w:firstLine="640"/>
        <w:rPr>
          <w:rFonts w:ascii="仿宋" w:eastAsia="仿宋" w:hAnsi="仿宋" w:cs="宋体"/>
          <w:sz w:val="32"/>
          <w:szCs w:val="32"/>
        </w:rPr>
      </w:pPr>
      <w:r>
        <w:rPr>
          <w:rFonts w:ascii="仿宋" w:eastAsia="仿宋" w:hAnsi="仿宋" w:cs="宋体" w:hint="eastAsia"/>
          <w:sz w:val="32"/>
          <w:szCs w:val="32"/>
        </w:rPr>
        <w:t>部门预算项目安排支出</w:t>
      </w:r>
      <w:r>
        <w:rPr>
          <w:rFonts w:ascii="仿宋" w:eastAsia="仿宋" w:hAnsi="仿宋" w:cs="宋体" w:hint="eastAsia"/>
          <w:sz w:val="32"/>
          <w:szCs w:val="32"/>
        </w:rPr>
        <w:t>1182</w:t>
      </w:r>
      <w:r>
        <w:rPr>
          <w:rFonts w:ascii="仿宋" w:eastAsia="仿宋" w:hAnsi="仿宋" w:cs="宋体" w:hint="eastAsia"/>
          <w:sz w:val="32"/>
          <w:szCs w:val="32"/>
        </w:rPr>
        <w:t>万元，占总预算的</w:t>
      </w:r>
      <w:r>
        <w:rPr>
          <w:rFonts w:ascii="仿宋" w:eastAsia="仿宋" w:hAnsi="仿宋" w:cs="宋体" w:hint="eastAsia"/>
          <w:sz w:val="32"/>
          <w:szCs w:val="32"/>
        </w:rPr>
        <w:t>28</w:t>
      </w:r>
      <w:r>
        <w:rPr>
          <w:rFonts w:ascii="仿宋" w:eastAsia="仿宋" w:hAnsi="仿宋" w:cs="宋体" w:hint="eastAsia"/>
          <w:sz w:val="32"/>
          <w:szCs w:val="32"/>
        </w:rPr>
        <w:t>.35%</w:t>
      </w:r>
      <w:r>
        <w:rPr>
          <w:rFonts w:ascii="仿宋" w:eastAsia="仿宋" w:hAnsi="仿宋" w:cs="宋体" w:hint="eastAsia"/>
          <w:sz w:val="32"/>
          <w:szCs w:val="32"/>
        </w:rPr>
        <w:t>。主要是学校改造经费</w:t>
      </w:r>
      <w:r>
        <w:rPr>
          <w:rFonts w:ascii="仿宋" w:eastAsia="仿宋" w:hAnsi="仿宋" w:cs="宋体" w:hint="eastAsia"/>
          <w:sz w:val="32"/>
          <w:szCs w:val="32"/>
        </w:rPr>
        <w:t>279</w:t>
      </w:r>
      <w:r>
        <w:rPr>
          <w:rFonts w:ascii="仿宋" w:eastAsia="仿宋" w:hAnsi="仿宋" w:cs="宋体" w:hint="eastAsia"/>
          <w:sz w:val="32"/>
          <w:szCs w:val="32"/>
        </w:rPr>
        <w:t>万元，学校为完成学校安全等目标任务，对老化的运动设施更新换代。</w:t>
      </w:r>
    </w:p>
    <w:p w:rsidR="0068449C" w:rsidRDefault="00A3283D">
      <w:pPr>
        <w:pStyle w:val="a4"/>
        <w:spacing w:line="600" w:lineRule="exact"/>
        <w:ind w:firstLine="640"/>
        <w:rPr>
          <w:rFonts w:ascii="仿宋" w:eastAsia="仿宋" w:hAnsi="仿宋"/>
          <w:sz w:val="32"/>
          <w:szCs w:val="32"/>
        </w:rPr>
      </w:pPr>
      <w:r>
        <w:rPr>
          <w:rFonts w:ascii="仿宋" w:eastAsia="仿宋" w:hAnsi="仿宋"/>
          <w:sz w:val="32"/>
          <w:szCs w:val="32"/>
        </w:rPr>
        <w:t>（二）追加预算安排及支出情况</w:t>
      </w:r>
    </w:p>
    <w:p w:rsidR="0068449C" w:rsidRDefault="00A3283D">
      <w:pPr>
        <w:spacing w:line="600" w:lineRule="exact"/>
        <w:ind w:firstLine="640"/>
        <w:rPr>
          <w:rFonts w:ascii="仿宋" w:eastAsia="仿宋" w:hAnsi="仿宋" w:cs="宋体"/>
          <w:sz w:val="32"/>
          <w:szCs w:val="32"/>
        </w:rPr>
      </w:pPr>
      <w:r>
        <w:rPr>
          <w:rFonts w:ascii="仿宋" w:eastAsia="仿宋" w:hAnsi="仿宋" w:cs="宋体" w:hint="eastAsia"/>
          <w:sz w:val="32"/>
          <w:szCs w:val="32"/>
        </w:rPr>
        <w:t>2020</w:t>
      </w:r>
      <w:r>
        <w:rPr>
          <w:rFonts w:ascii="仿宋" w:eastAsia="仿宋" w:hAnsi="仿宋" w:cs="宋体" w:hint="eastAsia"/>
          <w:sz w:val="32"/>
          <w:szCs w:val="32"/>
        </w:rPr>
        <w:t>年追加预算</w:t>
      </w:r>
      <w:r>
        <w:rPr>
          <w:rFonts w:ascii="仿宋" w:eastAsia="仿宋" w:hAnsi="仿宋" w:cs="宋体" w:hint="eastAsia"/>
          <w:sz w:val="32"/>
          <w:szCs w:val="32"/>
        </w:rPr>
        <w:t>677.8</w:t>
      </w:r>
      <w:r>
        <w:rPr>
          <w:rFonts w:ascii="仿宋" w:eastAsia="仿宋" w:hAnsi="仿宋" w:cs="宋体" w:hint="eastAsia"/>
          <w:sz w:val="32"/>
          <w:szCs w:val="32"/>
        </w:rPr>
        <w:t>万元，其中主要用于外国语学校新建项目尾款，业余训练补助，改善办学条件，学生助学金，校园安全服务，增人增资等。</w:t>
      </w:r>
    </w:p>
    <w:p w:rsidR="0068449C" w:rsidRDefault="00A3283D">
      <w:pPr>
        <w:pStyle w:val="a4"/>
        <w:spacing w:line="600" w:lineRule="exact"/>
        <w:ind w:firstLine="640"/>
        <w:rPr>
          <w:rFonts w:ascii="仿宋" w:eastAsia="仿宋" w:hAnsi="仿宋"/>
          <w:sz w:val="32"/>
          <w:szCs w:val="32"/>
        </w:rPr>
      </w:pPr>
      <w:r>
        <w:rPr>
          <w:rFonts w:ascii="仿宋" w:eastAsia="仿宋" w:hAnsi="仿宋"/>
          <w:sz w:val="32"/>
          <w:szCs w:val="32"/>
        </w:rPr>
        <w:t>（三）</w:t>
      </w:r>
      <w:r>
        <w:rPr>
          <w:rFonts w:ascii="仿宋" w:eastAsia="仿宋" w:hAnsi="仿宋" w:hint="eastAsia"/>
          <w:sz w:val="32"/>
          <w:szCs w:val="32"/>
        </w:rPr>
        <w:t>财政</w:t>
      </w:r>
      <w:r>
        <w:rPr>
          <w:rFonts w:ascii="仿宋" w:eastAsia="仿宋" w:hAnsi="仿宋"/>
          <w:sz w:val="32"/>
          <w:szCs w:val="32"/>
        </w:rPr>
        <w:t>专项资金安排及支出情况</w:t>
      </w:r>
    </w:p>
    <w:p w:rsidR="0068449C" w:rsidRDefault="00A3283D">
      <w:pPr>
        <w:spacing w:line="600" w:lineRule="exact"/>
        <w:ind w:firstLine="640"/>
        <w:rPr>
          <w:rFonts w:ascii="仿宋" w:eastAsia="仿宋" w:hAnsi="仿宋" w:cs="宋体"/>
          <w:sz w:val="32"/>
          <w:szCs w:val="32"/>
        </w:rPr>
      </w:pPr>
      <w:r>
        <w:rPr>
          <w:rFonts w:ascii="仿宋" w:eastAsia="仿宋" w:hAnsi="仿宋" w:cs="宋体" w:hint="eastAsia"/>
          <w:sz w:val="32"/>
          <w:szCs w:val="32"/>
        </w:rPr>
        <w:lastRenderedPageBreak/>
        <w:t>2020</w:t>
      </w:r>
      <w:r>
        <w:rPr>
          <w:rFonts w:ascii="仿宋" w:eastAsia="仿宋" w:hAnsi="仿宋" w:cs="宋体" w:hint="eastAsia"/>
          <w:sz w:val="32"/>
          <w:szCs w:val="32"/>
        </w:rPr>
        <w:t>财政专项资金安排</w:t>
      </w:r>
      <w:r>
        <w:rPr>
          <w:rFonts w:ascii="仿宋" w:eastAsia="仿宋" w:hAnsi="仿宋" w:cs="宋体" w:hint="eastAsia"/>
          <w:sz w:val="32"/>
          <w:szCs w:val="32"/>
        </w:rPr>
        <w:t>4169.56</w:t>
      </w:r>
      <w:r>
        <w:rPr>
          <w:rFonts w:ascii="仿宋" w:eastAsia="仿宋" w:hAnsi="仿宋" w:cs="宋体" w:hint="eastAsia"/>
          <w:sz w:val="32"/>
          <w:szCs w:val="32"/>
        </w:rPr>
        <w:t>万元，实际支出</w:t>
      </w:r>
      <w:r>
        <w:rPr>
          <w:rFonts w:ascii="仿宋" w:eastAsia="仿宋" w:hAnsi="仿宋" w:cs="宋体" w:hint="eastAsia"/>
          <w:sz w:val="32"/>
          <w:szCs w:val="32"/>
        </w:rPr>
        <w:t>4162.56</w:t>
      </w:r>
      <w:r>
        <w:rPr>
          <w:rFonts w:ascii="仿宋" w:eastAsia="仿宋" w:hAnsi="仿宋" w:cs="宋体" w:hint="eastAsia"/>
          <w:sz w:val="32"/>
          <w:szCs w:val="32"/>
        </w:rPr>
        <w:t>万元，本年尚未结转。</w:t>
      </w:r>
    </w:p>
    <w:p w:rsidR="0068449C" w:rsidRDefault="00A3283D">
      <w:pPr>
        <w:pStyle w:val="a4"/>
        <w:numPr>
          <w:ilvl w:val="0"/>
          <w:numId w:val="5"/>
        </w:numPr>
        <w:spacing w:line="600" w:lineRule="exact"/>
        <w:rPr>
          <w:rFonts w:ascii="仿宋" w:eastAsia="仿宋" w:hAnsi="仿宋"/>
          <w:sz w:val="32"/>
          <w:szCs w:val="32"/>
        </w:rPr>
      </w:pPr>
      <w:r>
        <w:rPr>
          <w:rFonts w:ascii="仿宋" w:eastAsia="仿宋" w:hAnsi="仿宋"/>
          <w:sz w:val="32"/>
          <w:szCs w:val="32"/>
        </w:rPr>
        <w:t>其他资金收支及结转结余使用情况</w:t>
      </w:r>
    </w:p>
    <w:p w:rsidR="0068449C" w:rsidRDefault="00A3283D">
      <w:pPr>
        <w:spacing w:line="600" w:lineRule="exact"/>
        <w:ind w:firstLine="640"/>
        <w:rPr>
          <w:rFonts w:ascii="仿宋" w:eastAsia="仿宋" w:hAnsi="仿宋" w:cs="宋体"/>
          <w:sz w:val="32"/>
          <w:szCs w:val="32"/>
        </w:rPr>
      </w:pPr>
      <w:r>
        <w:rPr>
          <w:rFonts w:ascii="仿宋" w:eastAsia="仿宋" w:hAnsi="仿宋" w:cs="宋体" w:hint="eastAsia"/>
          <w:sz w:val="32"/>
          <w:szCs w:val="32"/>
        </w:rPr>
        <w:t>2020</w:t>
      </w:r>
      <w:r>
        <w:rPr>
          <w:rFonts w:ascii="仿宋" w:eastAsia="仿宋" w:hAnsi="仿宋" w:cs="宋体" w:hint="eastAsia"/>
          <w:sz w:val="32"/>
          <w:szCs w:val="32"/>
        </w:rPr>
        <w:t>其他资金安排</w:t>
      </w:r>
      <w:r>
        <w:rPr>
          <w:rFonts w:ascii="仿宋" w:eastAsia="仿宋" w:hAnsi="仿宋" w:cs="宋体" w:hint="eastAsia"/>
          <w:sz w:val="32"/>
          <w:szCs w:val="32"/>
        </w:rPr>
        <w:t>80.32</w:t>
      </w:r>
      <w:r>
        <w:rPr>
          <w:rFonts w:ascii="仿宋" w:eastAsia="仿宋" w:hAnsi="仿宋" w:cs="宋体" w:hint="eastAsia"/>
          <w:sz w:val="32"/>
          <w:szCs w:val="32"/>
        </w:rPr>
        <w:t>万元，实际支出</w:t>
      </w:r>
      <w:r>
        <w:rPr>
          <w:rFonts w:ascii="仿宋" w:eastAsia="仿宋" w:hAnsi="仿宋" w:cs="宋体" w:hint="eastAsia"/>
          <w:sz w:val="32"/>
          <w:szCs w:val="32"/>
        </w:rPr>
        <w:t>69.38</w:t>
      </w:r>
      <w:r>
        <w:rPr>
          <w:rFonts w:ascii="仿宋" w:eastAsia="仿宋" w:hAnsi="仿宋" w:cs="宋体" w:hint="eastAsia"/>
          <w:sz w:val="32"/>
          <w:szCs w:val="32"/>
        </w:rPr>
        <w:t>万元，本年尚未结转。</w:t>
      </w:r>
    </w:p>
    <w:p w:rsidR="0068449C" w:rsidRDefault="00A3283D">
      <w:pPr>
        <w:spacing w:line="600" w:lineRule="exact"/>
        <w:ind w:firstLine="640"/>
        <w:rPr>
          <w:rFonts w:ascii="仿宋" w:eastAsia="仿宋" w:hAnsi="仿宋" w:cs="宋体"/>
          <w:sz w:val="32"/>
          <w:szCs w:val="32"/>
        </w:rPr>
      </w:pPr>
      <w:r>
        <w:rPr>
          <w:rFonts w:ascii="仿宋" w:eastAsia="仿宋" w:hAnsi="仿宋"/>
          <w:sz w:val="32"/>
          <w:szCs w:val="32"/>
        </w:rPr>
        <w:t>（五）</w:t>
      </w:r>
      <w:r>
        <w:rPr>
          <w:rFonts w:ascii="仿宋" w:eastAsia="仿宋" w:hAnsi="仿宋" w:hint="eastAsia"/>
          <w:sz w:val="32"/>
          <w:szCs w:val="32"/>
        </w:rPr>
        <w:t>无</w:t>
      </w:r>
      <w:r>
        <w:rPr>
          <w:rFonts w:ascii="仿宋" w:eastAsia="仿宋" w:hAnsi="仿宋"/>
          <w:sz w:val="32"/>
          <w:szCs w:val="32"/>
        </w:rPr>
        <w:t>其他需要</w:t>
      </w:r>
      <w:r>
        <w:rPr>
          <w:rFonts w:ascii="仿宋" w:eastAsia="仿宋" w:hAnsi="仿宋"/>
          <w:sz w:val="32"/>
          <w:szCs w:val="32"/>
        </w:rPr>
        <w:t>说明的情况</w:t>
      </w:r>
    </w:p>
    <w:p w:rsidR="0068449C" w:rsidRDefault="00A3283D">
      <w:pPr>
        <w:pStyle w:val="a4"/>
        <w:spacing w:line="600" w:lineRule="exact"/>
        <w:ind w:firstLine="640"/>
        <w:rPr>
          <w:rFonts w:ascii="Times New Roman" w:eastAsia="黑体" w:hAnsi="Times New Roman"/>
          <w:sz w:val="32"/>
          <w:szCs w:val="32"/>
        </w:rPr>
      </w:pPr>
      <w:r>
        <w:rPr>
          <w:rFonts w:ascii="Times New Roman" w:eastAsia="黑体" w:hAnsi="Times New Roman"/>
          <w:sz w:val="32"/>
          <w:szCs w:val="32"/>
        </w:rPr>
        <w:t>三、绩效目标完成情况分析</w:t>
      </w:r>
    </w:p>
    <w:p w:rsidR="0068449C" w:rsidRDefault="00A3283D">
      <w:pPr>
        <w:pStyle w:val="a4"/>
        <w:spacing w:line="600" w:lineRule="exact"/>
        <w:ind w:firstLine="640"/>
        <w:rPr>
          <w:rFonts w:ascii="仿宋" w:eastAsia="仿宋" w:hAnsi="仿宋"/>
          <w:sz w:val="32"/>
          <w:szCs w:val="32"/>
        </w:rPr>
      </w:pPr>
      <w:r>
        <w:rPr>
          <w:rFonts w:ascii="仿宋" w:eastAsia="仿宋" w:hAnsi="仿宋"/>
          <w:sz w:val="32"/>
          <w:szCs w:val="32"/>
        </w:rPr>
        <w:t>（一）市级财政资金绩效目标完成情况</w:t>
      </w:r>
    </w:p>
    <w:p w:rsidR="0068449C" w:rsidRDefault="00A3283D">
      <w:pPr>
        <w:pStyle w:val="a4"/>
        <w:spacing w:line="600" w:lineRule="exact"/>
        <w:ind w:firstLine="640"/>
        <w:rPr>
          <w:rFonts w:ascii="仿宋" w:eastAsia="仿宋" w:hAnsi="仿宋"/>
          <w:sz w:val="32"/>
          <w:szCs w:val="32"/>
        </w:rPr>
      </w:pPr>
      <w:r>
        <w:rPr>
          <w:rFonts w:ascii="仿宋" w:eastAsia="仿宋" w:hAnsi="仿宋"/>
          <w:sz w:val="32"/>
          <w:szCs w:val="32"/>
        </w:rPr>
        <w:t>1.</w:t>
      </w:r>
      <w:r>
        <w:rPr>
          <w:rFonts w:ascii="仿宋" w:eastAsia="仿宋" w:hAnsi="仿宋"/>
          <w:sz w:val="32"/>
          <w:szCs w:val="32"/>
        </w:rPr>
        <w:t>年初部门预算</w:t>
      </w:r>
      <w:r>
        <w:rPr>
          <w:rFonts w:ascii="仿宋" w:eastAsia="仿宋" w:hAnsi="仿宋" w:hint="eastAsia"/>
          <w:sz w:val="32"/>
          <w:szCs w:val="32"/>
        </w:rPr>
        <w:t>资金</w:t>
      </w:r>
      <w:r>
        <w:rPr>
          <w:rFonts w:ascii="仿宋" w:eastAsia="仿宋" w:hAnsi="仿宋"/>
          <w:sz w:val="32"/>
          <w:szCs w:val="32"/>
        </w:rPr>
        <w:t>完成情况</w:t>
      </w:r>
    </w:p>
    <w:p w:rsidR="0068449C" w:rsidRDefault="00A3283D">
      <w:pPr>
        <w:autoSpaceDE w:val="0"/>
        <w:autoSpaceDN w:val="0"/>
        <w:adjustRightInd w:val="0"/>
        <w:rPr>
          <w:rFonts w:ascii="仿宋" w:eastAsia="仿宋" w:hAnsi="仿宋"/>
          <w:sz w:val="32"/>
          <w:szCs w:val="32"/>
        </w:rPr>
      </w:pPr>
      <w:r>
        <w:rPr>
          <w:rFonts w:ascii="仿宋" w:eastAsia="仿宋" w:hAnsi="仿宋" w:cs="宋体"/>
          <w:sz w:val="32"/>
          <w:szCs w:val="32"/>
        </w:rPr>
        <w:t xml:space="preserve">2020 </w:t>
      </w:r>
      <w:r>
        <w:rPr>
          <w:rFonts w:ascii="仿宋" w:eastAsia="仿宋" w:hAnsi="仿宋" w:cs="宋体" w:hint="eastAsia"/>
          <w:sz w:val="32"/>
          <w:szCs w:val="32"/>
        </w:rPr>
        <w:t>年年初下达部门预算</w:t>
      </w:r>
      <w:r>
        <w:rPr>
          <w:rFonts w:ascii="仿宋" w:eastAsia="仿宋" w:hAnsi="仿宋" w:cs="宋体" w:hint="eastAsia"/>
          <w:sz w:val="32"/>
          <w:szCs w:val="32"/>
        </w:rPr>
        <w:t>4169.56</w:t>
      </w:r>
      <w:r>
        <w:rPr>
          <w:rFonts w:ascii="仿宋" w:eastAsia="仿宋" w:hAnsi="仿宋" w:cs="宋体" w:hint="eastAsia"/>
          <w:sz w:val="32"/>
          <w:szCs w:val="32"/>
        </w:rPr>
        <w:t>万元，实际完成预算支出</w:t>
      </w:r>
      <w:r>
        <w:rPr>
          <w:rFonts w:ascii="仿宋" w:eastAsia="仿宋" w:hAnsi="仿宋" w:cs="宋体" w:hint="eastAsia"/>
          <w:sz w:val="32"/>
          <w:szCs w:val="32"/>
        </w:rPr>
        <w:t>4162.56</w:t>
      </w:r>
      <w:r>
        <w:rPr>
          <w:rFonts w:ascii="仿宋" w:eastAsia="仿宋" w:hAnsi="仿宋" w:cs="宋体" w:hint="eastAsia"/>
          <w:sz w:val="32"/>
          <w:szCs w:val="32"/>
        </w:rPr>
        <w:t>万元，预算完成率</w:t>
      </w:r>
      <w:r>
        <w:rPr>
          <w:rFonts w:ascii="仿宋" w:eastAsia="仿宋" w:hAnsi="仿宋" w:cs="宋体" w:hint="eastAsia"/>
          <w:sz w:val="32"/>
          <w:szCs w:val="32"/>
        </w:rPr>
        <w:t>99.8</w:t>
      </w:r>
      <w:r>
        <w:rPr>
          <w:rFonts w:ascii="仿宋" w:eastAsia="仿宋" w:hAnsi="仿宋" w:cs="宋体"/>
          <w:sz w:val="32"/>
          <w:szCs w:val="32"/>
        </w:rPr>
        <w:t>%</w:t>
      </w:r>
      <w:r>
        <w:rPr>
          <w:rFonts w:ascii="仿宋" w:eastAsia="仿宋" w:hAnsi="仿宋" w:cs="宋体" w:hint="eastAsia"/>
          <w:sz w:val="32"/>
          <w:szCs w:val="32"/>
        </w:rPr>
        <w:t>。其中：基本支出完成</w:t>
      </w:r>
      <w:r>
        <w:rPr>
          <w:rFonts w:ascii="仿宋" w:eastAsia="仿宋" w:hAnsi="仿宋" w:cs="宋体" w:hint="eastAsia"/>
          <w:sz w:val="32"/>
          <w:szCs w:val="32"/>
        </w:rPr>
        <w:t>3482.07</w:t>
      </w:r>
      <w:r>
        <w:rPr>
          <w:rFonts w:ascii="仿宋" w:eastAsia="仿宋" w:hAnsi="仿宋" w:cs="宋体" w:hint="eastAsia"/>
          <w:sz w:val="32"/>
          <w:szCs w:val="32"/>
        </w:rPr>
        <w:t>万元，主要用于职工工资、养老保险、医疗保险、住房公积金和日常公用支出。项目支出完成</w:t>
      </w:r>
      <w:r>
        <w:rPr>
          <w:rFonts w:ascii="仿宋" w:eastAsia="仿宋" w:hAnsi="仿宋" w:cs="宋体" w:hint="eastAsia"/>
          <w:sz w:val="32"/>
          <w:szCs w:val="32"/>
        </w:rPr>
        <w:t>247.65</w:t>
      </w:r>
      <w:r>
        <w:rPr>
          <w:rFonts w:ascii="仿宋" w:eastAsia="仿宋" w:hAnsi="仿宋" w:cs="宋体" w:hint="eastAsia"/>
          <w:sz w:val="32"/>
          <w:szCs w:val="32"/>
        </w:rPr>
        <w:t>万元，主要用于培养、输送优秀的体育后备人才等而安排的年度项目支出。</w:t>
      </w:r>
      <w:r>
        <w:rPr>
          <w:rFonts w:ascii="仿宋" w:eastAsia="仿宋" w:hAnsi="仿宋" w:cs="宋体" w:hint="eastAsia"/>
          <w:sz w:val="32"/>
          <w:szCs w:val="32"/>
        </w:rPr>
        <w:t xml:space="preserve">    </w:t>
      </w:r>
    </w:p>
    <w:p w:rsidR="0068449C" w:rsidRDefault="00A3283D">
      <w:pPr>
        <w:spacing w:line="600" w:lineRule="exact"/>
        <w:ind w:firstLine="640"/>
        <w:rPr>
          <w:rFonts w:ascii="仿宋" w:eastAsia="仿宋" w:hAnsi="仿宋"/>
          <w:sz w:val="32"/>
          <w:szCs w:val="32"/>
        </w:rPr>
      </w:pPr>
      <w:r>
        <w:rPr>
          <w:rFonts w:ascii="仿宋" w:eastAsia="仿宋" w:hAnsi="仿宋" w:hint="eastAsia"/>
          <w:sz w:val="32"/>
          <w:szCs w:val="32"/>
        </w:rPr>
        <w:t>3.</w:t>
      </w:r>
      <w:r>
        <w:rPr>
          <w:rFonts w:ascii="仿宋" w:eastAsia="仿宋" w:hAnsi="仿宋" w:hint="eastAsia"/>
          <w:sz w:val="32"/>
          <w:szCs w:val="32"/>
        </w:rPr>
        <w:t>绩效目标完成情况</w:t>
      </w:r>
    </w:p>
    <w:p w:rsidR="0068449C" w:rsidRDefault="00A3283D">
      <w:pPr>
        <w:spacing w:line="600" w:lineRule="exact"/>
        <w:ind w:firstLine="800"/>
        <w:rPr>
          <w:rFonts w:ascii="仿宋" w:eastAsia="仿宋" w:hAnsi="仿宋" w:cs="宋体"/>
          <w:sz w:val="32"/>
          <w:szCs w:val="32"/>
        </w:rPr>
      </w:pPr>
      <w:r>
        <w:rPr>
          <w:rFonts w:ascii="仿宋" w:eastAsia="仿宋" w:hAnsi="仿宋" w:cs="宋体" w:hint="eastAsia"/>
          <w:sz w:val="32"/>
          <w:szCs w:val="32"/>
        </w:rPr>
        <w:t>（</w:t>
      </w:r>
      <w:r>
        <w:rPr>
          <w:rFonts w:ascii="仿宋" w:eastAsia="仿宋" w:hAnsi="仿宋" w:cs="宋体" w:hint="eastAsia"/>
          <w:sz w:val="32"/>
          <w:szCs w:val="32"/>
        </w:rPr>
        <w:t>1</w:t>
      </w:r>
      <w:r>
        <w:rPr>
          <w:rFonts w:ascii="仿宋" w:eastAsia="仿宋" w:hAnsi="仿宋" w:cs="宋体" w:hint="eastAsia"/>
          <w:sz w:val="32"/>
          <w:szCs w:val="32"/>
        </w:rPr>
        <w:t>）</w:t>
      </w:r>
      <w:r>
        <w:rPr>
          <w:rFonts w:ascii="仿宋" w:eastAsia="仿宋" w:hAnsi="仿宋" w:cs="宋体" w:hint="eastAsia"/>
          <w:sz w:val="32"/>
          <w:szCs w:val="32"/>
        </w:rPr>
        <w:t>2020</w:t>
      </w:r>
      <w:r>
        <w:rPr>
          <w:rFonts w:ascii="仿宋" w:eastAsia="仿宋" w:hAnsi="仿宋" w:cs="宋体" w:hint="eastAsia"/>
          <w:sz w:val="32"/>
          <w:szCs w:val="32"/>
        </w:rPr>
        <w:t>年，在市委教育工委、市教育和体育局的领导下，市体育中学贯彻落实党的十九大和十九届二中、三中、四中、五中全会精神，坚持党的全面领导，聚焦党中央决策部署，全面贯彻党中央、省委、市委工作要求，围绕建设区域教育高地和体育强市工作目标，不忘初心，牢记使命，凝心聚力，突破重点工作，坚持“德育为先、学训并重、全面发展”的学校办学理念，创新发展学校日常工作，发挥党建</w:t>
      </w:r>
      <w:r>
        <w:rPr>
          <w:rFonts w:ascii="仿宋" w:eastAsia="仿宋" w:hAnsi="仿宋" w:cs="宋体" w:hint="eastAsia"/>
          <w:sz w:val="32"/>
          <w:szCs w:val="32"/>
        </w:rPr>
        <w:lastRenderedPageBreak/>
        <w:t>工作红色引领作用，支部工作再上新台阶</w:t>
      </w:r>
      <w:r>
        <w:rPr>
          <w:rFonts w:ascii="仿宋" w:eastAsia="仿宋" w:hAnsi="仿宋" w:cs="宋体" w:hint="eastAsia"/>
          <w:sz w:val="32"/>
          <w:szCs w:val="32"/>
        </w:rPr>
        <w:t>,</w:t>
      </w:r>
      <w:r>
        <w:rPr>
          <w:rFonts w:ascii="仿宋" w:eastAsia="仿宋" w:hAnsi="仿宋" w:cs="宋体" w:hint="eastAsia"/>
          <w:sz w:val="32"/>
          <w:szCs w:val="32"/>
        </w:rPr>
        <w:t>打造体育中学特色德育，德育工作全面融入渗透学校工作</w:t>
      </w:r>
      <w:r>
        <w:rPr>
          <w:rFonts w:ascii="仿宋" w:eastAsia="仿宋" w:hAnsi="仿宋" w:cs="宋体" w:hint="eastAsia"/>
          <w:sz w:val="32"/>
          <w:szCs w:val="32"/>
        </w:rPr>
        <w:t>,</w:t>
      </w:r>
      <w:r>
        <w:rPr>
          <w:rFonts w:ascii="仿宋" w:eastAsia="仿宋" w:hAnsi="仿宋" w:cs="宋体" w:hint="eastAsia"/>
          <w:sz w:val="32"/>
          <w:szCs w:val="32"/>
        </w:rPr>
        <w:t>多措并举，积极提升教学质量</w:t>
      </w:r>
      <w:r>
        <w:rPr>
          <w:rFonts w:ascii="仿宋" w:eastAsia="仿宋" w:hAnsi="仿宋" w:cs="宋体" w:hint="eastAsia"/>
          <w:sz w:val="32"/>
          <w:szCs w:val="32"/>
        </w:rPr>
        <w:t>,</w:t>
      </w:r>
      <w:r>
        <w:rPr>
          <w:rFonts w:ascii="仿宋" w:eastAsia="仿宋" w:hAnsi="仿宋" w:cs="宋体" w:hint="eastAsia"/>
          <w:sz w:val="32"/>
          <w:szCs w:val="32"/>
        </w:rPr>
        <w:t>训练参赛工作稳中求进</w:t>
      </w:r>
      <w:r>
        <w:rPr>
          <w:rFonts w:ascii="仿宋" w:eastAsia="仿宋" w:hAnsi="仿宋" w:cs="宋体" w:hint="eastAsia"/>
          <w:sz w:val="32"/>
          <w:szCs w:val="32"/>
        </w:rPr>
        <w:t>,</w:t>
      </w:r>
      <w:r>
        <w:rPr>
          <w:rFonts w:ascii="仿宋" w:eastAsia="仿宋" w:hAnsi="仿宋" w:cs="宋体" w:hint="eastAsia"/>
          <w:sz w:val="32"/>
          <w:szCs w:val="32"/>
        </w:rPr>
        <w:t>积极增</w:t>
      </w:r>
      <w:r>
        <w:rPr>
          <w:rFonts w:ascii="仿宋" w:eastAsia="仿宋" w:hAnsi="仿宋" w:cs="宋体" w:hint="eastAsia"/>
          <w:sz w:val="32"/>
          <w:szCs w:val="32"/>
        </w:rPr>
        <w:t>设训练网点，招生选材工作推进有力</w:t>
      </w:r>
      <w:r>
        <w:rPr>
          <w:rFonts w:ascii="仿宋" w:eastAsia="仿宋" w:hAnsi="仿宋" w:cs="宋体" w:hint="eastAsia"/>
          <w:sz w:val="32"/>
          <w:szCs w:val="32"/>
        </w:rPr>
        <w:t>,</w:t>
      </w:r>
      <w:r>
        <w:rPr>
          <w:rFonts w:ascii="仿宋" w:eastAsia="仿宋" w:hAnsi="仿宋" w:cs="宋体" w:hint="eastAsia"/>
          <w:sz w:val="32"/>
          <w:szCs w:val="32"/>
        </w:rPr>
        <w:t>人才输送远超同期水平</w:t>
      </w:r>
      <w:r>
        <w:rPr>
          <w:rFonts w:ascii="仿宋" w:eastAsia="仿宋" w:hAnsi="仿宋" w:cs="宋体" w:hint="eastAsia"/>
          <w:sz w:val="32"/>
          <w:szCs w:val="32"/>
        </w:rPr>
        <w:t>,</w:t>
      </w:r>
      <w:r>
        <w:rPr>
          <w:rFonts w:ascii="仿宋" w:eastAsia="仿宋" w:hAnsi="仿宋" w:cs="宋体" w:hint="eastAsia"/>
          <w:sz w:val="32"/>
          <w:szCs w:val="32"/>
        </w:rPr>
        <w:t>大赛成绩有新突破</w:t>
      </w:r>
      <w:r>
        <w:rPr>
          <w:rFonts w:ascii="仿宋" w:eastAsia="仿宋" w:hAnsi="仿宋" w:cs="宋体" w:hint="eastAsia"/>
          <w:sz w:val="32"/>
          <w:szCs w:val="32"/>
        </w:rPr>
        <w:t>,</w:t>
      </w:r>
      <w:r>
        <w:rPr>
          <w:rFonts w:ascii="仿宋" w:eastAsia="仿宋" w:hAnsi="仿宋" w:cs="宋体" w:hint="eastAsia"/>
          <w:sz w:val="32"/>
          <w:szCs w:val="32"/>
        </w:rPr>
        <w:t>共建高水平运动队实现“零”的突破。</w:t>
      </w:r>
    </w:p>
    <w:p w:rsidR="0068449C" w:rsidRDefault="00A3283D">
      <w:pPr>
        <w:pStyle w:val="a4"/>
        <w:spacing w:line="600" w:lineRule="exact"/>
        <w:ind w:firstLine="640"/>
        <w:rPr>
          <w:rFonts w:ascii="仿宋" w:eastAsia="仿宋" w:hAnsi="仿宋" w:cs="宋体"/>
          <w:sz w:val="32"/>
          <w:szCs w:val="32"/>
        </w:rPr>
      </w:pPr>
      <w:r>
        <w:rPr>
          <w:rFonts w:ascii="仿宋" w:eastAsia="仿宋" w:hAnsi="仿宋" w:cs="宋体" w:hint="eastAsia"/>
          <w:sz w:val="32"/>
          <w:szCs w:val="32"/>
        </w:rPr>
        <w:t>（</w:t>
      </w:r>
      <w:r>
        <w:rPr>
          <w:rFonts w:ascii="仿宋" w:eastAsia="仿宋" w:hAnsi="仿宋" w:cs="宋体" w:hint="eastAsia"/>
          <w:sz w:val="32"/>
          <w:szCs w:val="32"/>
        </w:rPr>
        <w:t>2</w:t>
      </w:r>
      <w:r>
        <w:rPr>
          <w:rFonts w:ascii="仿宋" w:eastAsia="仿宋" w:hAnsi="仿宋" w:cs="宋体" w:hint="eastAsia"/>
          <w:sz w:val="32"/>
          <w:szCs w:val="32"/>
        </w:rPr>
        <w:t>）</w:t>
      </w:r>
      <w:r>
        <w:rPr>
          <w:rFonts w:ascii="仿宋" w:eastAsia="仿宋" w:hAnsi="仿宋" w:cs="宋体" w:hint="eastAsia"/>
          <w:sz w:val="32"/>
          <w:szCs w:val="32"/>
        </w:rPr>
        <w:t>2020</w:t>
      </w:r>
      <w:r>
        <w:rPr>
          <w:rFonts w:ascii="仿宋" w:eastAsia="仿宋" w:hAnsi="仿宋" w:cs="宋体" w:hint="eastAsia"/>
          <w:sz w:val="32"/>
          <w:szCs w:val="32"/>
        </w:rPr>
        <w:t>年</w:t>
      </w:r>
      <w:r>
        <w:rPr>
          <w:rFonts w:ascii="仿宋" w:eastAsia="仿宋" w:hAnsi="仿宋" w:cs="宋体"/>
          <w:sz w:val="32"/>
          <w:szCs w:val="32"/>
        </w:rPr>
        <w:t>产出指标</w:t>
      </w:r>
      <w:r>
        <w:rPr>
          <w:rFonts w:ascii="仿宋" w:eastAsia="仿宋" w:hAnsi="仿宋" w:cs="宋体" w:hint="eastAsia"/>
          <w:sz w:val="32"/>
          <w:szCs w:val="32"/>
        </w:rPr>
        <w:t>（</w:t>
      </w:r>
      <w:r>
        <w:rPr>
          <w:rFonts w:ascii="仿宋" w:eastAsia="仿宋" w:hAnsi="仿宋" w:cs="宋体"/>
          <w:sz w:val="32"/>
          <w:szCs w:val="32"/>
        </w:rPr>
        <w:t>包括数量指标、质量指标、时效指标和成本指标</w:t>
      </w:r>
      <w:r>
        <w:rPr>
          <w:rFonts w:ascii="仿宋" w:eastAsia="仿宋" w:hAnsi="仿宋" w:cs="宋体" w:hint="eastAsia"/>
          <w:sz w:val="32"/>
          <w:szCs w:val="32"/>
        </w:rPr>
        <w:t>），</w:t>
      </w:r>
      <w:r>
        <w:rPr>
          <w:rFonts w:ascii="仿宋" w:eastAsia="仿宋" w:hAnsi="仿宋" w:cs="宋体"/>
          <w:sz w:val="32"/>
          <w:szCs w:val="32"/>
        </w:rPr>
        <w:t>效益指标</w:t>
      </w:r>
      <w:r>
        <w:rPr>
          <w:rFonts w:ascii="仿宋" w:eastAsia="仿宋" w:hAnsi="仿宋" w:cs="宋体" w:hint="eastAsia"/>
          <w:sz w:val="32"/>
          <w:szCs w:val="32"/>
        </w:rPr>
        <w:t>（</w:t>
      </w:r>
      <w:r>
        <w:rPr>
          <w:rFonts w:ascii="仿宋" w:eastAsia="仿宋" w:hAnsi="仿宋" w:cs="宋体"/>
          <w:sz w:val="32"/>
          <w:szCs w:val="32"/>
        </w:rPr>
        <w:t>包括经济效益、社会效益、生态效益和可持续影响</w:t>
      </w:r>
      <w:r>
        <w:rPr>
          <w:rFonts w:ascii="仿宋" w:eastAsia="仿宋" w:hAnsi="仿宋" w:cs="宋体" w:hint="eastAsia"/>
          <w:sz w:val="32"/>
          <w:szCs w:val="32"/>
        </w:rPr>
        <w:t>），</w:t>
      </w:r>
      <w:r>
        <w:rPr>
          <w:rFonts w:ascii="仿宋" w:eastAsia="仿宋" w:hAnsi="仿宋" w:cs="宋体"/>
          <w:sz w:val="32"/>
          <w:szCs w:val="32"/>
        </w:rPr>
        <w:t>满意度指标</w:t>
      </w:r>
      <w:r>
        <w:rPr>
          <w:rFonts w:ascii="仿宋" w:eastAsia="仿宋" w:hAnsi="仿宋" w:cs="宋体" w:hint="eastAsia"/>
          <w:sz w:val="32"/>
          <w:szCs w:val="32"/>
        </w:rPr>
        <w:t>均达到年度目标任务，部分指标超额完成。</w:t>
      </w:r>
    </w:p>
    <w:p w:rsidR="0068449C" w:rsidRDefault="00A3283D">
      <w:pPr>
        <w:pStyle w:val="a4"/>
        <w:spacing w:line="600" w:lineRule="exact"/>
        <w:ind w:firstLine="640"/>
        <w:rPr>
          <w:rFonts w:ascii="仿宋" w:eastAsia="仿宋" w:hAnsi="仿宋" w:cs="宋体"/>
          <w:sz w:val="32"/>
          <w:szCs w:val="32"/>
        </w:rPr>
      </w:pPr>
      <w:r>
        <w:rPr>
          <w:rFonts w:ascii="仿宋" w:eastAsia="仿宋" w:hAnsi="仿宋"/>
          <w:sz w:val="32"/>
          <w:szCs w:val="32"/>
        </w:rPr>
        <w:t>（二）</w:t>
      </w:r>
      <w:r>
        <w:rPr>
          <w:rFonts w:ascii="仿宋" w:eastAsia="仿宋" w:hAnsi="仿宋" w:hint="eastAsia"/>
          <w:sz w:val="32"/>
          <w:szCs w:val="32"/>
        </w:rPr>
        <w:t>无</w:t>
      </w:r>
      <w:r>
        <w:rPr>
          <w:rFonts w:ascii="仿宋" w:eastAsia="仿宋" w:hAnsi="仿宋"/>
          <w:sz w:val="32"/>
          <w:szCs w:val="32"/>
        </w:rPr>
        <w:t>上级专项（项目）资金</w:t>
      </w:r>
      <w:r>
        <w:rPr>
          <w:rFonts w:ascii="仿宋" w:eastAsia="仿宋" w:hAnsi="仿宋" w:hint="eastAsia"/>
          <w:sz w:val="32"/>
          <w:szCs w:val="32"/>
        </w:rPr>
        <w:t>情况</w:t>
      </w:r>
    </w:p>
    <w:p w:rsidR="0068449C" w:rsidRDefault="00A3283D">
      <w:pPr>
        <w:spacing w:line="600" w:lineRule="exact"/>
        <w:ind w:firstLine="640"/>
        <w:rPr>
          <w:rFonts w:ascii="仿宋" w:eastAsia="仿宋" w:hAnsi="仿宋" w:cs="宋体"/>
          <w:sz w:val="32"/>
          <w:szCs w:val="32"/>
        </w:rPr>
      </w:pPr>
      <w:r>
        <w:rPr>
          <w:rFonts w:ascii="仿宋" w:eastAsia="仿宋" w:hAnsi="仿宋"/>
          <w:sz w:val="32"/>
          <w:szCs w:val="32"/>
        </w:rPr>
        <w:t>（</w:t>
      </w:r>
      <w:r>
        <w:rPr>
          <w:rFonts w:ascii="仿宋" w:eastAsia="仿宋" w:hAnsi="仿宋" w:hint="eastAsia"/>
          <w:sz w:val="32"/>
          <w:szCs w:val="32"/>
        </w:rPr>
        <w:t>三</w:t>
      </w:r>
      <w:r>
        <w:rPr>
          <w:rFonts w:ascii="仿宋" w:eastAsia="仿宋" w:hAnsi="仿宋"/>
          <w:sz w:val="32"/>
          <w:szCs w:val="32"/>
        </w:rPr>
        <w:t>）</w:t>
      </w:r>
      <w:r>
        <w:rPr>
          <w:rFonts w:ascii="仿宋" w:eastAsia="仿宋" w:hAnsi="仿宋" w:hint="eastAsia"/>
          <w:sz w:val="32"/>
          <w:szCs w:val="32"/>
        </w:rPr>
        <w:t>无</w:t>
      </w:r>
      <w:r>
        <w:rPr>
          <w:rFonts w:ascii="仿宋" w:eastAsia="仿宋" w:hAnsi="仿宋"/>
          <w:sz w:val="32"/>
          <w:szCs w:val="32"/>
        </w:rPr>
        <w:t>其他需要说明的情况</w:t>
      </w:r>
    </w:p>
    <w:p w:rsidR="0068449C" w:rsidRDefault="00A3283D">
      <w:pPr>
        <w:pStyle w:val="a4"/>
        <w:spacing w:line="600" w:lineRule="exact"/>
        <w:ind w:firstLine="640"/>
        <w:rPr>
          <w:rFonts w:ascii="仿宋" w:eastAsia="仿宋" w:hAnsi="仿宋"/>
          <w:sz w:val="32"/>
          <w:szCs w:val="32"/>
        </w:rPr>
      </w:pPr>
      <w:r>
        <w:rPr>
          <w:rFonts w:ascii="仿宋" w:eastAsia="仿宋" w:hAnsi="仿宋"/>
          <w:sz w:val="32"/>
          <w:szCs w:val="32"/>
        </w:rPr>
        <w:t>（四）自评结论</w:t>
      </w:r>
    </w:p>
    <w:p w:rsidR="0068449C" w:rsidRDefault="00A3283D">
      <w:pPr>
        <w:adjustRightInd w:val="0"/>
        <w:snapToGrid w:val="0"/>
        <w:spacing w:line="560" w:lineRule="exact"/>
        <w:ind w:firstLine="720"/>
        <w:rPr>
          <w:rFonts w:ascii="仿宋" w:eastAsia="仿宋" w:hAnsi="仿宋" w:cs="宋体"/>
          <w:sz w:val="32"/>
          <w:szCs w:val="32"/>
        </w:rPr>
      </w:pPr>
      <w:r>
        <w:rPr>
          <w:rFonts w:ascii="仿宋" w:eastAsia="仿宋" w:hAnsi="仿宋" w:cs="宋体" w:hint="eastAsia"/>
          <w:sz w:val="32"/>
          <w:szCs w:val="32"/>
        </w:rPr>
        <w:t xml:space="preserve">1. </w:t>
      </w:r>
      <w:r>
        <w:rPr>
          <w:rFonts w:ascii="仿宋" w:eastAsia="仿宋" w:hAnsi="仿宋" w:cs="宋体" w:hint="eastAsia"/>
          <w:sz w:val="32"/>
          <w:szCs w:val="32"/>
        </w:rPr>
        <w:t>预算配置控制较好。财政供养人员控制在预算编制以内，编制内在职人员控制率≦</w:t>
      </w:r>
      <w:r>
        <w:rPr>
          <w:rFonts w:ascii="仿宋" w:eastAsia="仿宋" w:hAnsi="仿宋" w:cs="宋体" w:hint="eastAsia"/>
          <w:sz w:val="32"/>
          <w:szCs w:val="32"/>
        </w:rPr>
        <w:t>100%</w:t>
      </w:r>
      <w:r>
        <w:rPr>
          <w:rFonts w:ascii="仿宋" w:eastAsia="仿宋" w:hAnsi="仿宋" w:cs="宋体" w:hint="eastAsia"/>
          <w:sz w:val="32"/>
          <w:szCs w:val="32"/>
        </w:rPr>
        <w:t>；“三公”经费支出未超预算数。</w:t>
      </w:r>
    </w:p>
    <w:p w:rsidR="0068449C" w:rsidRDefault="00A3283D">
      <w:pPr>
        <w:adjustRightInd w:val="0"/>
        <w:snapToGrid w:val="0"/>
        <w:spacing w:line="560" w:lineRule="exact"/>
        <w:ind w:firstLine="720"/>
        <w:rPr>
          <w:rFonts w:ascii="仿宋" w:eastAsia="仿宋" w:hAnsi="仿宋" w:cs="宋体"/>
          <w:sz w:val="32"/>
          <w:szCs w:val="32"/>
        </w:rPr>
      </w:pPr>
      <w:r>
        <w:rPr>
          <w:rFonts w:ascii="仿宋" w:eastAsia="仿宋" w:hAnsi="仿宋" w:cs="宋体" w:hint="eastAsia"/>
          <w:sz w:val="32"/>
          <w:szCs w:val="32"/>
        </w:rPr>
        <w:t xml:space="preserve">2. </w:t>
      </w:r>
      <w:r>
        <w:rPr>
          <w:rFonts w:ascii="仿宋" w:eastAsia="仿宋" w:hAnsi="仿宋" w:cs="宋体" w:hint="eastAsia"/>
          <w:sz w:val="32"/>
          <w:szCs w:val="32"/>
        </w:rPr>
        <w:t>预算执行比较到位。支出总额控制在预算总额以内，预算完成率达到</w:t>
      </w:r>
      <w:r>
        <w:rPr>
          <w:rFonts w:ascii="仿宋" w:eastAsia="仿宋" w:hAnsi="仿宋" w:cs="宋体" w:hint="eastAsia"/>
          <w:sz w:val="32"/>
          <w:szCs w:val="32"/>
        </w:rPr>
        <w:t>90%</w:t>
      </w:r>
      <w:r>
        <w:rPr>
          <w:rFonts w:ascii="仿宋" w:eastAsia="仿宋" w:hAnsi="仿宋" w:cs="宋体" w:hint="eastAsia"/>
          <w:sz w:val="32"/>
          <w:szCs w:val="32"/>
        </w:rPr>
        <w:t>以上，全年无截留或滞留专项资金情况。</w:t>
      </w:r>
    </w:p>
    <w:p w:rsidR="0068449C" w:rsidRDefault="00A3283D">
      <w:pPr>
        <w:adjustRightInd w:val="0"/>
        <w:snapToGrid w:val="0"/>
        <w:spacing w:line="560" w:lineRule="exact"/>
        <w:ind w:firstLine="720"/>
        <w:rPr>
          <w:rFonts w:ascii="仿宋" w:eastAsia="仿宋" w:hAnsi="仿宋" w:cs="宋体"/>
          <w:sz w:val="32"/>
          <w:szCs w:val="32"/>
        </w:rPr>
      </w:pPr>
      <w:r>
        <w:rPr>
          <w:rFonts w:ascii="仿宋" w:eastAsia="仿宋" w:hAnsi="仿宋" w:cs="宋体" w:hint="eastAsia"/>
          <w:sz w:val="32"/>
          <w:szCs w:val="32"/>
        </w:rPr>
        <w:t xml:space="preserve">3. </w:t>
      </w:r>
      <w:r>
        <w:rPr>
          <w:rFonts w:ascii="仿宋" w:eastAsia="仿宋" w:hAnsi="仿宋" w:cs="宋体" w:hint="eastAsia"/>
          <w:sz w:val="32"/>
          <w:szCs w:val="32"/>
        </w:rPr>
        <w:t>学校各项制度执行总体较为有效，仍需进一步强化。全年各项经费总体控制较好，未超本年预算。</w:t>
      </w:r>
    </w:p>
    <w:p w:rsidR="0068449C" w:rsidRDefault="00A3283D">
      <w:pPr>
        <w:adjustRightInd w:val="0"/>
        <w:snapToGrid w:val="0"/>
        <w:spacing w:line="560" w:lineRule="exact"/>
        <w:ind w:left="210" w:firstLine="720"/>
        <w:rPr>
          <w:rFonts w:ascii="仿宋" w:eastAsia="仿宋" w:hAnsi="仿宋" w:cs="宋体"/>
          <w:sz w:val="32"/>
          <w:szCs w:val="32"/>
        </w:rPr>
      </w:pPr>
      <w:r>
        <w:rPr>
          <w:rFonts w:ascii="仿宋" w:eastAsia="仿宋" w:hAnsi="仿宋" w:cs="宋体" w:hint="eastAsia"/>
          <w:sz w:val="32"/>
          <w:szCs w:val="32"/>
        </w:rPr>
        <w:t>首先，对于单位的政府采购项目，我校严格按照《政府采购目录》及《政府采购管理制度》办理政府采购相关手续，报政府采购相关部门统一采购。</w:t>
      </w:r>
    </w:p>
    <w:p w:rsidR="0068449C" w:rsidRDefault="00A3283D">
      <w:pPr>
        <w:adjustRightInd w:val="0"/>
        <w:snapToGrid w:val="0"/>
        <w:spacing w:line="560" w:lineRule="exact"/>
        <w:ind w:firstLine="720"/>
        <w:rPr>
          <w:rFonts w:ascii="仿宋" w:eastAsia="仿宋" w:hAnsi="仿宋" w:cs="宋体"/>
          <w:sz w:val="32"/>
          <w:szCs w:val="32"/>
        </w:rPr>
      </w:pPr>
      <w:r>
        <w:rPr>
          <w:rFonts w:ascii="仿宋" w:eastAsia="仿宋" w:hAnsi="仿宋" w:cs="宋体" w:hint="eastAsia"/>
          <w:sz w:val="32"/>
          <w:szCs w:val="32"/>
        </w:rPr>
        <w:t>其次，管理制度健全。我校严格预算管理，坚持执行财经和财务制度，完善了本校《财务报销规定》、《公务卡结</w:t>
      </w:r>
      <w:r>
        <w:rPr>
          <w:rFonts w:ascii="仿宋" w:eastAsia="仿宋" w:hAnsi="仿宋" w:cs="宋体" w:hint="eastAsia"/>
          <w:sz w:val="32"/>
          <w:szCs w:val="32"/>
        </w:rPr>
        <w:lastRenderedPageBreak/>
        <w:t>算管理制度》、《差旅费管理规定》、《加班用餐制度》、《公务用车内部控制制度》、《公</w:t>
      </w:r>
      <w:r>
        <w:rPr>
          <w:rFonts w:ascii="仿宋" w:eastAsia="仿宋" w:hAnsi="仿宋" w:cs="宋体" w:hint="eastAsia"/>
          <w:sz w:val="32"/>
          <w:szCs w:val="32"/>
        </w:rPr>
        <w:t>务接待管理制度》、《合同管理制度》、《物资采购、工程建设（修缮）及维修管理制度》等等财务制度，进一步明确了经费审批手续和报销程序，加强了财务管理，规范了收支行为，保证了财务管理工作规范有序进行。</w:t>
      </w:r>
    </w:p>
    <w:p w:rsidR="0068449C" w:rsidRDefault="00A3283D">
      <w:pPr>
        <w:adjustRightInd w:val="0"/>
        <w:snapToGrid w:val="0"/>
        <w:spacing w:line="560" w:lineRule="exact"/>
        <w:ind w:firstLine="720"/>
        <w:rPr>
          <w:rFonts w:ascii="仿宋" w:eastAsia="仿宋" w:hAnsi="仿宋" w:cs="宋体"/>
          <w:sz w:val="32"/>
          <w:szCs w:val="32"/>
        </w:rPr>
      </w:pPr>
      <w:r>
        <w:rPr>
          <w:rFonts w:ascii="仿宋" w:eastAsia="仿宋" w:hAnsi="仿宋" w:cs="宋体" w:hint="eastAsia"/>
          <w:sz w:val="32"/>
          <w:szCs w:val="32"/>
        </w:rPr>
        <w:t>再有，资金使用管理逐步加强。单位支出严格按照国家财经法规和财务管理制度规定执行，正确组织资金的筹集、调度和使用，往来业务及时结算、结清。费用开支有标准、有预算，所有支出均是通过我校财政直接或授权支付方式办理，资金使用无截留、挤占、挪用、虚列支出等情况。</w:t>
      </w:r>
    </w:p>
    <w:p w:rsidR="0068449C" w:rsidRDefault="00A3283D">
      <w:pPr>
        <w:adjustRightInd w:val="0"/>
        <w:snapToGrid w:val="0"/>
        <w:spacing w:line="560" w:lineRule="exact"/>
        <w:ind w:firstLine="720"/>
        <w:rPr>
          <w:rFonts w:ascii="仿宋" w:eastAsia="仿宋" w:hAnsi="仿宋" w:cs="宋体"/>
          <w:sz w:val="32"/>
          <w:szCs w:val="32"/>
        </w:rPr>
      </w:pPr>
      <w:r>
        <w:rPr>
          <w:rFonts w:ascii="仿宋" w:eastAsia="仿宋" w:hAnsi="仿宋" w:cs="宋体" w:hint="eastAsia"/>
          <w:sz w:val="32"/>
          <w:szCs w:val="32"/>
        </w:rPr>
        <w:t>（二）存在问题。</w:t>
      </w:r>
    </w:p>
    <w:p w:rsidR="0068449C" w:rsidRDefault="00A3283D">
      <w:pPr>
        <w:adjustRightInd w:val="0"/>
        <w:snapToGrid w:val="0"/>
        <w:spacing w:line="560" w:lineRule="exact"/>
        <w:ind w:firstLine="720"/>
        <w:rPr>
          <w:rFonts w:ascii="仿宋" w:eastAsia="仿宋" w:hAnsi="仿宋" w:cs="宋体"/>
          <w:sz w:val="32"/>
          <w:szCs w:val="32"/>
        </w:rPr>
      </w:pPr>
      <w:r>
        <w:rPr>
          <w:rFonts w:ascii="仿宋" w:eastAsia="仿宋" w:hAnsi="仿宋" w:cs="宋体" w:hint="eastAsia"/>
          <w:sz w:val="32"/>
          <w:szCs w:val="32"/>
        </w:rPr>
        <w:t>1</w:t>
      </w:r>
      <w:r>
        <w:rPr>
          <w:rFonts w:ascii="仿宋" w:eastAsia="仿宋" w:hAnsi="仿宋" w:cs="宋体" w:hint="eastAsia"/>
          <w:sz w:val="32"/>
          <w:szCs w:val="32"/>
        </w:rPr>
        <w:t>、预算编制工作有待细化；</w:t>
      </w:r>
    </w:p>
    <w:p w:rsidR="0068449C" w:rsidRDefault="00A3283D">
      <w:pPr>
        <w:adjustRightInd w:val="0"/>
        <w:snapToGrid w:val="0"/>
        <w:spacing w:line="560" w:lineRule="exact"/>
        <w:ind w:firstLine="720"/>
        <w:rPr>
          <w:rFonts w:ascii="仿宋" w:eastAsia="仿宋" w:hAnsi="仿宋" w:cs="宋体"/>
          <w:sz w:val="32"/>
          <w:szCs w:val="32"/>
        </w:rPr>
      </w:pPr>
      <w:r>
        <w:rPr>
          <w:rFonts w:ascii="仿宋" w:eastAsia="仿宋" w:hAnsi="仿宋" w:cs="宋体" w:hint="eastAsia"/>
          <w:sz w:val="32"/>
          <w:szCs w:val="32"/>
        </w:rPr>
        <w:t>2</w:t>
      </w:r>
      <w:r>
        <w:rPr>
          <w:rFonts w:ascii="仿宋" w:eastAsia="仿宋" w:hAnsi="仿宋" w:cs="宋体" w:hint="eastAsia"/>
          <w:sz w:val="32"/>
          <w:szCs w:val="32"/>
        </w:rPr>
        <w:t>、预算编制不够</w:t>
      </w:r>
      <w:r>
        <w:rPr>
          <w:rFonts w:ascii="仿宋" w:eastAsia="仿宋" w:hAnsi="仿宋" w:cs="宋体" w:hint="eastAsia"/>
          <w:sz w:val="32"/>
          <w:szCs w:val="32"/>
        </w:rPr>
        <w:t>明确和细化，预算编制的合理性需要提高；</w:t>
      </w:r>
    </w:p>
    <w:p w:rsidR="0068449C" w:rsidRDefault="00A3283D">
      <w:pPr>
        <w:adjustRightInd w:val="0"/>
        <w:snapToGrid w:val="0"/>
        <w:spacing w:line="560" w:lineRule="exact"/>
        <w:ind w:firstLine="720"/>
        <w:rPr>
          <w:rFonts w:ascii="仿宋" w:eastAsia="仿宋" w:hAnsi="仿宋" w:cs="宋体"/>
          <w:sz w:val="32"/>
          <w:szCs w:val="32"/>
        </w:rPr>
      </w:pPr>
      <w:r>
        <w:rPr>
          <w:rFonts w:ascii="仿宋" w:eastAsia="仿宋" w:hAnsi="仿宋" w:cs="宋体" w:hint="eastAsia"/>
          <w:sz w:val="32"/>
          <w:szCs w:val="32"/>
        </w:rPr>
        <w:t>3</w:t>
      </w:r>
      <w:r>
        <w:rPr>
          <w:rFonts w:ascii="仿宋" w:eastAsia="仿宋" w:hAnsi="仿宋" w:cs="宋体" w:hint="eastAsia"/>
          <w:sz w:val="32"/>
          <w:szCs w:val="32"/>
        </w:rPr>
        <w:t>、预算执行力度还要进一步加强。</w:t>
      </w:r>
    </w:p>
    <w:p w:rsidR="0068449C" w:rsidRDefault="00A3283D">
      <w:pPr>
        <w:adjustRightInd w:val="0"/>
        <w:snapToGrid w:val="0"/>
        <w:spacing w:line="560" w:lineRule="exact"/>
        <w:ind w:firstLine="720"/>
        <w:rPr>
          <w:rFonts w:ascii="仿宋" w:eastAsia="仿宋" w:hAnsi="仿宋" w:cs="宋体"/>
          <w:sz w:val="32"/>
          <w:szCs w:val="32"/>
        </w:rPr>
      </w:pPr>
      <w:r>
        <w:rPr>
          <w:rFonts w:ascii="仿宋" w:eastAsia="仿宋" w:hAnsi="仿宋" w:cs="宋体" w:hint="eastAsia"/>
          <w:sz w:val="32"/>
          <w:szCs w:val="32"/>
        </w:rPr>
        <w:t>（三）改进建议（无）。</w:t>
      </w:r>
    </w:p>
    <w:p w:rsidR="0068449C" w:rsidRDefault="00A3283D">
      <w:pPr>
        <w:pStyle w:val="a4"/>
        <w:spacing w:line="600" w:lineRule="exact"/>
        <w:ind w:firstLine="640"/>
        <w:rPr>
          <w:rFonts w:ascii="Times New Roman" w:eastAsia="黑体" w:hAnsi="Times New Roman"/>
          <w:sz w:val="32"/>
          <w:szCs w:val="32"/>
        </w:rPr>
      </w:pPr>
      <w:r>
        <w:rPr>
          <w:rFonts w:ascii="Times New Roman" w:eastAsia="黑体" w:hAnsi="Times New Roman"/>
          <w:sz w:val="32"/>
          <w:szCs w:val="32"/>
        </w:rPr>
        <w:t>四、</w:t>
      </w:r>
      <w:r>
        <w:rPr>
          <w:rFonts w:ascii="Times New Roman" w:eastAsia="黑体" w:hAnsi="Times New Roman" w:hint="eastAsia"/>
          <w:sz w:val="32"/>
          <w:szCs w:val="32"/>
        </w:rPr>
        <w:t>无</w:t>
      </w:r>
      <w:r>
        <w:rPr>
          <w:rFonts w:ascii="Times New Roman" w:eastAsia="黑体" w:hAnsi="Times New Roman"/>
          <w:sz w:val="32"/>
          <w:szCs w:val="32"/>
        </w:rPr>
        <w:t>偏离绩效目标的原因和下一步改进措施</w:t>
      </w:r>
    </w:p>
    <w:p w:rsidR="0068449C" w:rsidRDefault="0068449C">
      <w:pPr>
        <w:pStyle w:val="a4"/>
        <w:spacing w:line="600" w:lineRule="exact"/>
        <w:ind w:firstLine="640"/>
        <w:rPr>
          <w:rFonts w:ascii="Times New Roman" w:eastAsia="黑体" w:hAnsi="Times New Roman"/>
          <w:sz w:val="32"/>
          <w:szCs w:val="32"/>
        </w:rPr>
      </w:pPr>
    </w:p>
    <w:p w:rsidR="0068449C" w:rsidRDefault="0068449C">
      <w:pPr>
        <w:pStyle w:val="a4"/>
        <w:spacing w:line="600" w:lineRule="exact"/>
        <w:ind w:firstLine="640"/>
        <w:rPr>
          <w:rFonts w:ascii="Times New Roman" w:eastAsia="黑体" w:hAnsi="Times New Roman"/>
          <w:sz w:val="32"/>
          <w:szCs w:val="32"/>
        </w:rPr>
      </w:pPr>
    </w:p>
    <w:p w:rsidR="0068449C" w:rsidRDefault="0068449C">
      <w:pPr>
        <w:pStyle w:val="a4"/>
        <w:spacing w:line="600" w:lineRule="exact"/>
        <w:ind w:firstLine="640"/>
        <w:rPr>
          <w:rFonts w:ascii="Times New Roman" w:eastAsia="黑体" w:hAnsi="Times New Roman"/>
          <w:sz w:val="32"/>
          <w:szCs w:val="32"/>
        </w:rPr>
      </w:pPr>
    </w:p>
    <w:p w:rsidR="0068449C" w:rsidRDefault="0068449C">
      <w:pPr>
        <w:pStyle w:val="a4"/>
        <w:spacing w:line="600" w:lineRule="exact"/>
        <w:ind w:firstLine="640"/>
        <w:rPr>
          <w:rFonts w:ascii="Times New Roman" w:eastAsia="黑体" w:hAnsi="Times New Roman"/>
          <w:sz w:val="32"/>
          <w:szCs w:val="32"/>
        </w:rPr>
      </w:pPr>
    </w:p>
    <w:p w:rsidR="0068449C" w:rsidRDefault="0068449C">
      <w:pPr>
        <w:pStyle w:val="a4"/>
        <w:spacing w:line="600" w:lineRule="exact"/>
        <w:ind w:firstLine="640"/>
        <w:rPr>
          <w:rFonts w:ascii="Times New Roman" w:eastAsia="黑体" w:hAnsi="Times New Roman"/>
          <w:sz w:val="32"/>
          <w:szCs w:val="32"/>
        </w:rPr>
      </w:pPr>
    </w:p>
    <w:p w:rsidR="0068449C" w:rsidRDefault="0068449C">
      <w:pPr>
        <w:pStyle w:val="a4"/>
        <w:spacing w:line="600" w:lineRule="exact"/>
        <w:ind w:firstLine="640"/>
        <w:rPr>
          <w:rFonts w:ascii="Times New Roman" w:eastAsia="黑体" w:hAnsi="Times New Roman"/>
          <w:sz w:val="32"/>
          <w:szCs w:val="32"/>
        </w:rPr>
      </w:pPr>
    </w:p>
    <w:p w:rsidR="0068449C" w:rsidRDefault="0068449C">
      <w:pPr>
        <w:pStyle w:val="a4"/>
        <w:spacing w:line="600" w:lineRule="exact"/>
        <w:ind w:firstLine="640"/>
        <w:rPr>
          <w:rFonts w:ascii="Times New Roman" w:eastAsia="黑体" w:hAnsi="Times New Roman"/>
          <w:sz w:val="32"/>
          <w:szCs w:val="32"/>
        </w:rPr>
      </w:pPr>
    </w:p>
    <w:p w:rsidR="0068449C" w:rsidRDefault="0068449C">
      <w:pPr>
        <w:pStyle w:val="a4"/>
        <w:spacing w:line="600" w:lineRule="exact"/>
        <w:ind w:firstLine="640"/>
        <w:rPr>
          <w:rFonts w:ascii="Times New Roman" w:eastAsia="黑体" w:hAnsi="Times New Roman"/>
          <w:sz w:val="32"/>
          <w:szCs w:val="32"/>
        </w:rPr>
      </w:pPr>
    </w:p>
    <w:p w:rsidR="0068449C" w:rsidRDefault="0068449C">
      <w:pPr>
        <w:pStyle w:val="a4"/>
        <w:spacing w:line="600" w:lineRule="exact"/>
        <w:ind w:firstLine="640"/>
        <w:rPr>
          <w:rFonts w:ascii="Times New Roman" w:eastAsia="黑体" w:hAnsi="Times New Roman"/>
          <w:sz w:val="32"/>
          <w:szCs w:val="32"/>
        </w:rPr>
      </w:pPr>
    </w:p>
    <w:p w:rsidR="0068449C" w:rsidRDefault="00A3283D">
      <w:pPr>
        <w:spacing w:line="580" w:lineRule="exact"/>
        <w:rPr>
          <w:rFonts w:ascii="仿宋_GB2312" w:eastAsia="仿宋_GB2312" w:hAnsi="仿宋_GB2312" w:cs="仿宋_GB2312"/>
          <w:sz w:val="32"/>
          <w:szCs w:val="32"/>
        </w:rPr>
      </w:pPr>
      <w:r>
        <w:rPr>
          <w:rFonts w:ascii="黑体" w:eastAsia="黑体" w:hAnsi="黑体" w:cs="黑体" w:hint="eastAsia"/>
          <w:sz w:val="32"/>
          <w:szCs w:val="32"/>
        </w:rPr>
        <w:t>附件</w:t>
      </w:r>
      <w:r>
        <w:rPr>
          <w:rFonts w:ascii="黑体" w:eastAsia="黑体" w:hAnsi="黑体" w:cs="黑体"/>
          <w:sz w:val="32"/>
          <w:szCs w:val="32"/>
        </w:rPr>
        <w:t>2</w:t>
      </w:r>
    </w:p>
    <w:p w:rsidR="0068449C" w:rsidRDefault="0068449C">
      <w:pPr>
        <w:spacing w:line="580" w:lineRule="exact"/>
        <w:ind w:firstLine="640"/>
        <w:rPr>
          <w:rFonts w:ascii="仿宋_GB2312" w:eastAsia="仿宋_GB2312" w:hAnsi="仿宋_GB2312" w:cs="仿宋_GB2312"/>
          <w:sz w:val="32"/>
          <w:szCs w:val="32"/>
        </w:rPr>
      </w:pPr>
    </w:p>
    <w:p w:rsidR="0068449C" w:rsidRDefault="00A3283D">
      <w:pPr>
        <w:pStyle w:val="a4"/>
        <w:spacing w:line="600" w:lineRule="exact"/>
        <w:ind w:firstLine="720"/>
        <w:jc w:val="center"/>
        <w:rPr>
          <w:rFonts w:ascii="方正小标宋_GBK" w:eastAsia="方正小标宋_GBK" w:hAnsi="黑体" w:cs="黑体"/>
          <w:sz w:val="36"/>
          <w:szCs w:val="36"/>
        </w:rPr>
      </w:pPr>
      <w:r>
        <w:rPr>
          <w:rFonts w:ascii="方正小标宋_GBK" w:eastAsia="方正小标宋_GBK" w:hAnsi="黑体" w:cs="黑体" w:hint="eastAsia"/>
          <w:sz w:val="36"/>
          <w:szCs w:val="36"/>
        </w:rPr>
        <w:t>攀枝花市外国语学校</w:t>
      </w:r>
    </w:p>
    <w:p w:rsidR="0068449C" w:rsidRDefault="00A3283D">
      <w:pPr>
        <w:pStyle w:val="a4"/>
        <w:spacing w:line="600" w:lineRule="exact"/>
        <w:ind w:firstLine="720"/>
        <w:jc w:val="center"/>
        <w:rPr>
          <w:rFonts w:ascii="方正小标宋_GBK" w:eastAsia="方正小标宋_GBK" w:hAnsi="黑体" w:cs="黑体"/>
          <w:sz w:val="36"/>
          <w:szCs w:val="36"/>
        </w:rPr>
      </w:pPr>
      <w:r>
        <w:rPr>
          <w:rFonts w:ascii="方正小标宋_GBK" w:eastAsia="方正小标宋_GBK" w:hAnsi="黑体" w:cs="黑体" w:hint="eastAsia"/>
          <w:sz w:val="36"/>
          <w:szCs w:val="36"/>
        </w:rPr>
        <w:t>2020</w:t>
      </w:r>
      <w:r>
        <w:rPr>
          <w:rFonts w:ascii="方正小标宋_GBK" w:eastAsia="方正小标宋_GBK" w:hAnsi="黑体" w:cs="黑体" w:hint="eastAsia"/>
          <w:sz w:val="36"/>
          <w:szCs w:val="36"/>
        </w:rPr>
        <w:t>年度部门预算项目支出绩效自评报告</w:t>
      </w:r>
    </w:p>
    <w:p w:rsidR="0068449C" w:rsidRDefault="00A3283D">
      <w:pPr>
        <w:pStyle w:val="a4"/>
        <w:spacing w:line="600" w:lineRule="exact"/>
        <w:ind w:firstLine="720"/>
        <w:jc w:val="center"/>
        <w:rPr>
          <w:rFonts w:ascii="方正小标宋_GBK" w:eastAsia="方正小标宋_GBK" w:hAnsi="黑体" w:cs="黑体"/>
          <w:sz w:val="36"/>
          <w:szCs w:val="36"/>
        </w:rPr>
      </w:pPr>
      <w:r>
        <w:rPr>
          <w:rFonts w:ascii="方正小标宋_GBK" w:eastAsia="方正小标宋_GBK" w:hAnsi="黑体" w:cs="黑体" w:hint="eastAsia"/>
          <w:sz w:val="36"/>
          <w:szCs w:val="36"/>
        </w:rPr>
        <w:t>（财资教育资金经费）</w:t>
      </w:r>
    </w:p>
    <w:p w:rsidR="0068449C" w:rsidRDefault="0068449C">
      <w:pPr>
        <w:pStyle w:val="a4"/>
        <w:spacing w:line="600" w:lineRule="exact"/>
        <w:ind w:firstLine="720"/>
        <w:jc w:val="center"/>
        <w:rPr>
          <w:rFonts w:ascii="方正小标宋_GBK" w:eastAsia="方正小标宋_GBK" w:hAnsi="黑体" w:cs="黑体"/>
          <w:sz w:val="36"/>
          <w:szCs w:val="36"/>
        </w:rPr>
      </w:pPr>
    </w:p>
    <w:p w:rsidR="0068449C" w:rsidRDefault="00A3283D">
      <w:pPr>
        <w:autoSpaceDE w:val="0"/>
        <w:autoSpaceDN w:val="0"/>
        <w:adjustRightInd w:val="0"/>
        <w:spacing w:line="600" w:lineRule="exact"/>
        <w:ind w:firstLine="640"/>
        <w:rPr>
          <w:rFonts w:eastAsia="黑体"/>
          <w:sz w:val="32"/>
          <w:szCs w:val="32"/>
        </w:rPr>
      </w:pPr>
      <w:r>
        <w:rPr>
          <w:rFonts w:eastAsia="黑体"/>
          <w:sz w:val="32"/>
          <w:szCs w:val="32"/>
        </w:rPr>
        <w:t>一、项目概况</w:t>
      </w:r>
    </w:p>
    <w:p w:rsidR="0068449C" w:rsidRDefault="00A3283D">
      <w:pPr>
        <w:autoSpaceDE w:val="0"/>
        <w:autoSpaceDN w:val="0"/>
        <w:adjustRightInd w:val="0"/>
        <w:spacing w:line="600" w:lineRule="exact"/>
        <w:ind w:firstLine="640"/>
        <w:rPr>
          <w:rFonts w:ascii="仿宋" w:eastAsia="仿宋" w:hAnsi="仿宋"/>
          <w:sz w:val="32"/>
          <w:szCs w:val="32"/>
        </w:rPr>
      </w:pPr>
      <w:r>
        <w:rPr>
          <w:rFonts w:ascii="仿宋" w:eastAsia="仿宋" w:hAnsi="仿宋"/>
          <w:sz w:val="32"/>
          <w:szCs w:val="32"/>
        </w:rPr>
        <w:t>（一）项目基本情况。</w:t>
      </w:r>
    </w:p>
    <w:p w:rsidR="0068449C" w:rsidRDefault="00A3283D">
      <w:pPr>
        <w:wordWrap w:val="0"/>
        <w:spacing w:line="600" w:lineRule="exact"/>
        <w:ind w:firstLine="640"/>
        <w:rPr>
          <w:rFonts w:ascii="仿宋" w:eastAsia="仿宋" w:hAnsi="仿宋" w:cs="仿宋"/>
          <w:sz w:val="32"/>
          <w:szCs w:val="32"/>
        </w:rPr>
      </w:pPr>
      <w:r>
        <w:rPr>
          <w:rFonts w:ascii="仿宋" w:eastAsia="仿宋" w:hAnsi="仿宋" w:cs="仿宋" w:hint="eastAsia"/>
          <w:sz w:val="32"/>
          <w:szCs w:val="32"/>
          <w:shd w:val="clear" w:color="auto" w:fill="FFFFFF"/>
        </w:rPr>
        <w:t>攀枝花市外国语学校行政隶属于攀枝花市教育和体育局。单位主要职责包括：贯彻执行攀枝花市人民政府、市教育和体育局下达的各项工作和备战任务，培养人才，承担体育训练竞赛工作。</w:t>
      </w:r>
    </w:p>
    <w:p w:rsidR="0068449C" w:rsidRDefault="00A3283D">
      <w:pPr>
        <w:wordWrap w:val="0"/>
        <w:spacing w:line="600" w:lineRule="exact"/>
        <w:ind w:firstLine="472"/>
        <w:rPr>
          <w:rFonts w:ascii="仿宋" w:eastAsia="仿宋" w:hAnsi="仿宋" w:cs="黑体"/>
          <w:b/>
          <w:bCs/>
          <w:color w:val="222222"/>
          <w:sz w:val="32"/>
          <w:szCs w:val="32"/>
        </w:rPr>
      </w:pPr>
      <w:r>
        <w:rPr>
          <w:rFonts w:ascii="仿宋" w:eastAsia="仿宋" w:hAnsi="仿宋" w:cs="黑体" w:hint="eastAsia"/>
          <w:b/>
          <w:bCs/>
          <w:color w:val="222222"/>
          <w:sz w:val="32"/>
          <w:szCs w:val="32"/>
        </w:rPr>
        <w:t>（二）项目实施的相关性</w:t>
      </w:r>
    </w:p>
    <w:p w:rsidR="0068449C" w:rsidRDefault="00A3283D">
      <w:pPr>
        <w:wordWrap w:val="0"/>
        <w:spacing w:line="600" w:lineRule="exact"/>
        <w:ind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经攀枝花市财政局同意，攀枝花市外国语学校专项资金由财政部门预算安排，用于支持外国语学校日常项目开展工作。其中：</w:t>
      </w:r>
      <w:r>
        <w:rPr>
          <w:rFonts w:ascii="仿宋" w:eastAsia="仿宋" w:hAnsi="仿宋" w:cs="仿宋" w:hint="eastAsia"/>
          <w:sz w:val="32"/>
          <w:szCs w:val="32"/>
          <w:shd w:val="clear" w:color="auto" w:fill="FFFFFF"/>
        </w:rPr>
        <w:t>2018</w:t>
      </w:r>
      <w:r>
        <w:rPr>
          <w:rFonts w:ascii="仿宋" w:eastAsia="仿宋" w:hAnsi="仿宋" w:cs="仿宋" w:hint="eastAsia"/>
          <w:sz w:val="32"/>
          <w:szCs w:val="32"/>
          <w:shd w:val="clear" w:color="auto" w:fill="FFFFFF"/>
        </w:rPr>
        <w:t>年</w:t>
      </w:r>
      <w:r>
        <w:rPr>
          <w:rFonts w:ascii="仿宋" w:eastAsia="仿宋" w:hAnsi="仿宋" w:cs="仿宋" w:hint="eastAsia"/>
          <w:sz w:val="32"/>
          <w:szCs w:val="32"/>
          <w:u w:val="single"/>
          <w:shd w:val="clear" w:color="auto" w:fill="FFFFFF"/>
        </w:rPr>
        <w:t>136.58</w:t>
      </w:r>
      <w:r>
        <w:rPr>
          <w:rFonts w:ascii="仿宋" w:eastAsia="仿宋" w:hAnsi="仿宋" w:cs="仿宋" w:hint="eastAsia"/>
          <w:sz w:val="32"/>
          <w:szCs w:val="32"/>
          <w:shd w:val="clear" w:color="auto" w:fill="FFFFFF"/>
        </w:rPr>
        <w:t>万元、</w:t>
      </w:r>
      <w:r>
        <w:rPr>
          <w:rFonts w:ascii="仿宋" w:eastAsia="仿宋" w:hAnsi="仿宋" w:cs="仿宋" w:hint="eastAsia"/>
          <w:sz w:val="32"/>
          <w:szCs w:val="32"/>
          <w:shd w:val="clear" w:color="auto" w:fill="FFFFFF"/>
        </w:rPr>
        <w:t>2019</w:t>
      </w:r>
      <w:r>
        <w:rPr>
          <w:rFonts w:ascii="仿宋" w:eastAsia="仿宋" w:hAnsi="仿宋" w:cs="仿宋" w:hint="eastAsia"/>
          <w:sz w:val="32"/>
          <w:szCs w:val="32"/>
          <w:shd w:val="clear" w:color="auto" w:fill="FFFFFF"/>
        </w:rPr>
        <w:t>年</w:t>
      </w:r>
      <w:r>
        <w:rPr>
          <w:rFonts w:ascii="仿宋" w:eastAsia="仿宋" w:hAnsi="仿宋" w:cs="仿宋" w:hint="eastAsia"/>
          <w:sz w:val="32"/>
          <w:szCs w:val="32"/>
          <w:u w:val="single"/>
          <w:shd w:val="clear" w:color="auto" w:fill="FFFFFF"/>
        </w:rPr>
        <w:t>135.84</w:t>
      </w:r>
      <w:r>
        <w:rPr>
          <w:rFonts w:ascii="仿宋" w:eastAsia="仿宋" w:hAnsi="仿宋" w:cs="仿宋" w:hint="eastAsia"/>
          <w:sz w:val="32"/>
          <w:szCs w:val="32"/>
          <w:shd w:val="clear" w:color="auto" w:fill="FFFFFF"/>
        </w:rPr>
        <w:t>万元、</w:t>
      </w:r>
      <w:r>
        <w:rPr>
          <w:rFonts w:ascii="仿宋" w:eastAsia="仿宋" w:hAnsi="仿宋" w:cs="仿宋" w:hint="eastAsia"/>
          <w:sz w:val="32"/>
          <w:szCs w:val="32"/>
          <w:shd w:val="clear" w:color="auto" w:fill="FFFFFF"/>
        </w:rPr>
        <w:t>2020</w:t>
      </w:r>
      <w:r>
        <w:rPr>
          <w:rFonts w:ascii="仿宋" w:eastAsia="仿宋" w:hAnsi="仿宋" w:cs="仿宋" w:hint="eastAsia"/>
          <w:sz w:val="32"/>
          <w:szCs w:val="32"/>
          <w:shd w:val="clear" w:color="auto" w:fill="FFFFFF"/>
        </w:rPr>
        <w:t>年</w:t>
      </w:r>
      <w:r>
        <w:rPr>
          <w:rFonts w:ascii="仿宋" w:eastAsia="仿宋" w:hAnsi="仿宋" w:cs="仿宋" w:hint="eastAsia"/>
          <w:sz w:val="32"/>
          <w:szCs w:val="32"/>
          <w:u w:val="single"/>
          <w:shd w:val="clear" w:color="auto" w:fill="FFFFFF"/>
        </w:rPr>
        <w:t>134.59</w:t>
      </w:r>
      <w:r>
        <w:rPr>
          <w:rFonts w:ascii="仿宋" w:eastAsia="仿宋" w:hAnsi="仿宋" w:cs="仿宋" w:hint="eastAsia"/>
          <w:sz w:val="32"/>
          <w:szCs w:val="32"/>
          <w:shd w:val="clear" w:color="auto" w:fill="FFFFFF"/>
        </w:rPr>
        <w:t>万元。</w:t>
      </w:r>
    </w:p>
    <w:p w:rsidR="0068449C" w:rsidRDefault="00A3283D">
      <w:pPr>
        <w:autoSpaceDE w:val="0"/>
        <w:autoSpaceDN w:val="0"/>
        <w:adjustRightInd w:val="0"/>
        <w:spacing w:line="600" w:lineRule="exact"/>
        <w:ind w:firstLine="640"/>
        <w:rPr>
          <w:rFonts w:eastAsia="楷体_GB2312"/>
          <w:sz w:val="32"/>
          <w:szCs w:val="32"/>
        </w:rPr>
      </w:pPr>
      <w:r>
        <w:rPr>
          <w:rFonts w:eastAsia="黑体"/>
          <w:sz w:val="32"/>
          <w:szCs w:val="32"/>
        </w:rPr>
        <w:t>二、项目资金申报及使用情况</w:t>
      </w:r>
    </w:p>
    <w:p w:rsidR="0068449C" w:rsidRDefault="00A3283D">
      <w:pPr>
        <w:autoSpaceDE w:val="0"/>
        <w:autoSpaceDN w:val="0"/>
        <w:adjustRightInd w:val="0"/>
        <w:spacing w:line="600" w:lineRule="exact"/>
        <w:ind w:firstLine="640"/>
        <w:rPr>
          <w:rFonts w:ascii="仿宋" w:eastAsia="仿宋" w:hAnsi="仿宋"/>
          <w:sz w:val="32"/>
          <w:szCs w:val="32"/>
        </w:rPr>
      </w:pPr>
      <w:r>
        <w:rPr>
          <w:rFonts w:ascii="仿宋" w:eastAsia="仿宋" w:hAnsi="仿宋"/>
          <w:sz w:val="32"/>
          <w:szCs w:val="32"/>
        </w:rPr>
        <w:t>（一）项目资金申报及批复情况。</w:t>
      </w:r>
    </w:p>
    <w:p w:rsidR="0068449C" w:rsidRDefault="00A3283D">
      <w:pPr>
        <w:autoSpaceDE w:val="0"/>
        <w:autoSpaceDN w:val="0"/>
        <w:adjustRightInd w:val="0"/>
        <w:spacing w:line="600" w:lineRule="exact"/>
        <w:ind w:firstLine="640"/>
        <w:rPr>
          <w:rFonts w:ascii="仿宋" w:eastAsia="仿宋" w:hAnsi="仿宋"/>
          <w:sz w:val="32"/>
          <w:szCs w:val="32"/>
        </w:rPr>
      </w:pPr>
      <w:r>
        <w:rPr>
          <w:rFonts w:ascii="仿宋" w:eastAsia="仿宋" w:hAnsi="仿宋" w:cs="仿宋" w:hint="eastAsia"/>
          <w:sz w:val="32"/>
          <w:szCs w:val="32"/>
          <w:shd w:val="clear" w:color="auto" w:fill="FFFFFF"/>
        </w:rPr>
        <w:lastRenderedPageBreak/>
        <w:t>经攀枝花市财政局同意，攀枝花市外国语学校专项资金由财政部门预算安排，申报财资教育经费经费</w:t>
      </w:r>
      <w:r>
        <w:rPr>
          <w:rFonts w:ascii="仿宋" w:eastAsia="仿宋" w:hAnsi="仿宋" w:cs="仿宋" w:hint="eastAsia"/>
          <w:sz w:val="32"/>
          <w:szCs w:val="32"/>
          <w:shd w:val="clear" w:color="auto" w:fill="FFFFFF"/>
        </w:rPr>
        <w:t>134.59</w:t>
      </w:r>
      <w:r>
        <w:rPr>
          <w:rFonts w:ascii="仿宋" w:eastAsia="仿宋" w:hAnsi="仿宋" w:cs="仿宋" w:hint="eastAsia"/>
          <w:sz w:val="32"/>
          <w:szCs w:val="32"/>
          <w:shd w:val="clear" w:color="auto" w:fill="FFFFFF"/>
        </w:rPr>
        <w:t>万元用于支持备战四川省教育发展工作，</w:t>
      </w:r>
      <w:r>
        <w:rPr>
          <w:rFonts w:ascii="仿宋" w:eastAsia="仿宋" w:hAnsi="仿宋" w:cs="仿宋" w:hint="eastAsia"/>
          <w:sz w:val="32"/>
          <w:szCs w:val="32"/>
          <w:shd w:val="clear" w:color="auto" w:fill="FFFFFF"/>
        </w:rPr>
        <w:t>2020</w:t>
      </w:r>
      <w:r>
        <w:rPr>
          <w:rFonts w:ascii="仿宋" w:eastAsia="仿宋" w:hAnsi="仿宋" w:cs="仿宋" w:hint="eastAsia"/>
          <w:sz w:val="32"/>
          <w:szCs w:val="32"/>
          <w:shd w:val="clear" w:color="auto" w:fill="FFFFFF"/>
        </w:rPr>
        <w:t>年</w:t>
      </w:r>
      <w:r>
        <w:rPr>
          <w:rFonts w:ascii="仿宋" w:eastAsia="仿宋" w:hAnsi="仿宋" w:cs="仿宋" w:hint="eastAsia"/>
          <w:sz w:val="32"/>
          <w:szCs w:val="32"/>
          <w:shd w:val="clear" w:color="auto" w:fill="FFFFFF"/>
        </w:rPr>
        <w:t>3</w:t>
      </w:r>
      <w:r>
        <w:rPr>
          <w:rFonts w:ascii="仿宋" w:eastAsia="仿宋" w:hAnsi="仿宋" w:cs="仿宋" w:hint="eastAsia"/>
          <w:sz w:val="32"/>
          <w:szCs w:val="32"/>
          <w:shd w:val="clear" w:color="auto" w:fill="FFFFFF"/>
        </w:rPr>
        <w:t>月收到市财政批复</w:t>
      </w:r>
      <w:r>
        <w:rPr>
          <w:rFonts w:ascii="仿宋" w:eastAsia="仿宋" w:hAnsi="仿宋" w:cs="仿宋" w:hint="eastAsia"/>
          <w:sz w:val="32"/>
          <w:szCs w:val="32"/>
          <w:shd w:val="clear" w:color="auto" w:fill="FFFFFF"/>
        </w:rPr>
        <w:t>134.59</w:t>
      </w:r>
      <w:r>
        <w:rPr>
          <w:rFonts w:ascii="仿宋" w:eastAsia="仿宋" w:hAnsi="仿宋" w:cs="仿宋" w:hint="eastAsia"/>
          <w:sz w:val="32"/>
          <w:szCs w:val="32"/>
          <w:shd w:val="clear" w:color="auto" w:fill="FFFFFF"/>
        </w:rPr>
        <w:t>万元。</w:t>
      </w:r>
    </w:p>
    <w:p w:rsidR="0068449C" w:rsidRDefault="00A3283D">
      <w:pPr>
        <w:autoSpaceDE w:val="0"/>
        <w:autoSpaceDN w:val="0"/>
        <w:adjustRightInd w:val="0"/>
        <w:spacing w:line="600" w:lineRule="exact"/>
        <w:ind w:firstLine="640"/>
        <w:rPr>
          <w:rFonts w:ascii="仿宋" w:eastAsia="仿宋" w:hAnsi="仿宋"/>
          <w:sz w:val="32"/>
          <w:szCs w:val="32"/>
        </w:rPr>
      </w:pPr>
      <w:r>
        <w:rPr>
          <w:rFonts w:ascii="仿宋" w:eastAsia="仿宋" w:hAnsi="仿宋"/>
          <w:sz w:val="32"/>
          <w:szCs w:val="32"/>
        </w:rPr>
        <w:t>（二）资金计划、到位及使用情况</w:t>
      </w:r>
    </w:p>
    <w:p w:rsidR="0068449C" w:rsidRDefault="00A3283D">
      <w:pPr>
        <w:autoSpaceDE w:val="0"/>
        <w:autoSpaceDN w:val="0"/>
        <w:adjustRightInd w:val="0"/>
        <w:spacing w:line="600" w:lineRule="exact"/>
        <w:ind w:firstLine="640"/>
        <w:rPr>
          <w:rFonts w:ascii="仿宋" w:eastAsia="仿宋" w:hAnsi="仿宋"/>
          <w:sz w:val="32"/>
          <w:szCs w:val="32"/>
        </w:rPr>
      </w:pPr>
      <w:r>
        <w:rPr>
          <w:rFonts w:ascii="仿宋" w:eastAsia="仿宋" w:hAnsi="仿宋"/>
          <w:sz w:val="32"/>
          <w:szCs w:val="32"/>
        </w:rPr>
        <w:t>1</w:t>
      </w:r>
      <w:r>
        <w:rPr>
          <w:rFonts w:ascii="仿宋" w:eastAsia="仿宋" w:hAnsi="仿宋"/>
          <w:sz w:val="32"/>
          <w:szCs w:val="32"/>
        </w:rPr>
        <w:t>．资金计划。</w:t>
      </w:r>
    </w:p>
    <w:p w:rsidR="0068449C" w:rsidRDefault="00A3283D">
      <w:pPr>
        <w:autoSpaceDE w:val="0"/>
        <w:autoSpaceDN w:val="0"/>
        <w:adjustRightInd w:val="0"/>
        <w:spacing w:line="600" w:lineRule="exact"/>
        <w:ind w:firstLine="640"/>
        <w:rPr>
          <w:rFonts w:ascii="仿宋" w:eastAsia="仿宋" w:hAnsi="仿宋" w:cs="仿宋"/>
          <w:color w:val="222222"/>
          <w:sz w:val="32"/>
          <w:szCs w:val="32"/>
        </w:rPr>
      </w:pPr>
      <w:r>
        <w:rPr>
          <w:rFonts w:ascii="仿宋" w:eastAsia="仿宋" w:hAnsi="仿宋" w:cs="仿宋" w:hint="eastAsia"/>
          <w:color w:val="222222"/>
          <w:sz w:val="32"/>
          <w:szCs w:val="32"/>
        </w:rPr>
        <w:t>2020</w:t>
      </w:r>
      <w:r>
        <w:rPr>
          <w:rFonts w:ascii="仿宋" w:eastAsia="仿宋" w:hAnsi="仿宋" w:cs="仿宋" w:hint="eastAsia"/>
          <w:color w:val="222222"/>
          <w:sz w:val="32"/>
          <w:szCs w:val="32"/>
        </w:rPr>
        <w:t>年财资教育经费计划</w:t>
      </w:r>
      <w:r>
        <w:rPr>
          <w:rFonts w:ascii="仿宋" w:eastAsia="仿宋" w:hAnsi="仿宋" w:cs="仿宋" w:hint="eastAsia"/>
          <w:color w:val="222222"/>
          <w:sz w:val="32"/>
          <w:szCs w:val="32"/>
        </w:rPr>
        <w:t>134.59</w:t>
      </w:r>
      <w:r>
        <w:rPr>
          <w:rFonts w:ascii="仿宋" w:eastAsia="仿宋" w:hAnsi="仿宋" w:cs="仿宋" w:hint="eastAsia"/>
          <w:color w:val="222222"/>
          <w:sz w:val="32"/>
          <w:szCs w:val="32"/>
        </w:rPr>
        <w:t>万元，经费来源为财政拨款（部门年初预算安排）</w:t>
      </w:r>
      <w:r>
        <w:rPr>
          <w:rFonts w:ascii="仿宋" w:eastAsia="仿宋" w:hAnsi="仿宋" w:cs="仿宋"/>
          <w:color w:val="222222"/>
          <w:sz w:val="32"/>
          <w:szCs w:val="32"/>
        </w:rPr>
        <w:t>。</w:t>
      </w:r>
    </w:p>
    <w:p w:rsidR="0068449C" w:rsidRDefault="00A3283D">
      <w:pPr>
        <w:autoSpaceDE w:val="0"/>
        <w:autoSpaceDN w:val="0"/>
        <w:adjustRightInd w:val="0"/>
        <w:spacing w:line="600" w:lineRule="exact"/>
        <w:ind w:firstLine="640"/>
        <w:rPr>
          <w:rFonts w:ascii="仿宋" w:eastAsia="仿宋" w:hAnsi="仿宋"/>
          <w:sz w:val="32"/>
          <w:szCs w:val="32"/>
        </w:rPr>
      </w:pPr>
      <w:r>
        <w:rPr>
          <w:rFonts w:ascii="仿宋" w:eastAsia="仿宋" w:hAnsi="仿宋"/>
          <w:sz w:val="32"/>
          <w:szCs w:val="32"/>
        </w:rPr>
        <w:t>2</w:t>
      </w:r>
      <w:r>
        <w:rPr>
          <w:rFonts w:ascii="仿宋" w:eastAsia="仿宋" w:hAnsi="仿宋"/>
          <w:sz w:val="32"/>
          <w:szCs w:val="32"/>
        </w:rPr>
        <w:t>．资金到位。</w:t>
      </w:r>
    </w:p>
    <w:p w:rsidR="0068449C" w:rsidRDefault="00A3283D">
      <w:pPr>
        <w:autoSpaceDE w:val="0"/>
        <w:autoSpaceDN w:val="0"/>
        <w:adjustRightInd w:val="0"/>
        <w:spacing w:line="600" w:lineRule="exact"/>
        <w:ind w:firstLine="640"/>
        <w:rPr>
          <w:rFonts w:ascii="仿宋" w:eastAsia="仿宋" w:hAnsi="仿宋" w:cs="仿宋"/>
          <w:sz w:val="32"/>
          <w:szCs w:val="32"/>
          <w:shd w:val="clear" w:color="auto" w:fill="FFFFFF"/>
        </w:rPr>
      </w:pPr>
      <w:r>
        <w:rPr>
          <w:rFonts w:ascii="仿宋" w:eastAsia="仿宋" w:hAnsi="仿宋" w:cs="仿宋" w:hint="eastAsia"/>
          <w:color w:val="222222"/>
          <w:sz w:val="32"/>
          <w:szCs w:val="32"/>
        </w:rPr>
        <w:t>2020</w:t>
      </w:r>
      <w:r>
        <w:rPr>
          <w:rFonts w:ascii="仿宋" w:eastAsia="仿宋" w:hAnsi="仿宋" w:cs="仿宋" w:hint="eastAsia"/>
          <w:color w:val="222222"/>
          <w:sz w:val="32"/>
          <w:szCs w:val="32"/>
        </w:rPr>
        <w:t>年</w:t>
      </w:r>
      <w:r>
        <w:rPr>
          <w:rFonts w:ascii="仿宋" w:eastAsia="仿宋" w:hAnsi="仿宋" w:cs="仿宋" w:hint="eastAsia"/>
          <w:color w:val="222222"/>
          <w:sz w:val="32"/>
          <w:szCs w:val="32"/>
        </w:rPr>
        <w:t>3</w:t>
      </w:r>
      <w:r>
        <w:rPr>
          <w:rFonts w:ascii="仿宋" w:eastAsia="仿宋" w:hAnsi="仿宋" w:cs="仿宋" w:hint="eastAsia"/>
          <w:color w:val="222222"/>
          <w:sz w:val="32"/>
          <w:szCs w:val="32"/>
        </w:rPr>
        <w:t>月收到市财政局部门预算项目（财资教育经费）批复</w:t>
      </w:r>
      <w:r>
        <w:rPr>
          <w:rFonts w:ascii="仿宋" w:eastAsia="仿宋" w:hAnsi="仿宋" w:cs="仿宋" w:hint="eastAsia"/>
          <w:color w:val="222222"/>
          <w:sz w:val="32"/>
          <w:szCs w:val="32"/>
        </w:rPr>
        <w:t>134.59</w:t>
      </w:r>
      <w:r>
        <w:rPr>
          <w:rFonts w:ascii="仿宋" w:eastAsia="仿宋" w:hAnsi="仿宋" w:cs="仿宋" w:hint="eastAsia"/>
          <w:color w:val="222222"/>
          <w:sz w:val="32"/>
          <w:szCs w:val="32"/>
        </w:rPr>
        <w:t>万元，到位率</w:t>
      </w:r>
      <w:r>
        <w:rPr>
          <w:rFonts w:ascii="仿宋" w:eastAsia="仿宋" w:hAnsi="仿宋" w:cs="仿宋" w:hint="eastAsia"/>
          <w:color w:val="222222"/>
          <w:sz w:val="32"/>
          <w:szCs w:val="32"/>
        </w:rPr>
        <w:t>100%</w:t>
      </w:r>
      <w:r>
        <w:rPr>
          <w:rFonts w:ascii="仿宋" w:eastAsia="仿宋" w:hAnsi="仿宋" w:cs="仿宋" w:hint="eastAsia"/>
          <w:color w:val="222222"/>
          <w:sz w:val="32"/>
          <w:szCs w:val="32"/>
        </w:rPr>
        <w:t>，我单位收到此</w:t>
      </w:r>
      <w:r>
        <w:rPr>
          <w:rFonts w:ascii="仿宋" w:eastAsia="仿宋" w:hAnsi="仿宋" w:cs="仿宋" w:hint="eastAsia"/>
          <w:sz w:val="32"/>
          <w:szCs w:val="32"/>
          <w:shd w:val="clear" w:color="auto" w:fill="FFFFFF"/>
        </w:rPr>
        <w:t>经费，在规定时间进行了公开公示</w:t>
      </w:r>
      <w:r>
        <w:rPr>
          <w:rFonts w:ascii="仿宋" w:eastAsia="仿宋" w:hAnsi="仿宋" w:cs="仿宋"/>
          <w:sz w:val="32"/>
          <w:szCs w:val="32"/>
          <w:shd w:val="clear" w:color="auto" w:fill="FFFFFF"/>
        </w:rPr>
        <w:t>。</w:t>
      </w:r>
    </w:p>
    <w:p w:rsidR="0068449C" w:rsidRDefault="00A3283D">
      <w:pPr>
        <w:autoSpaceDE w:val="0"/>
        <w:autoSpaceDN w:val="0"/>
        <w:adjustRightInd w:val="0"/>
        <w:spacing w:line="600" w:lineRule="exact"/>
        <w:ind w:firstLine="640"/>
        <w:rPr>
          <w:rFonts w:ascii="仿宋" w:eastAsia="仿宋" w:hAnsi="仿宋"/>
          <w:sz w:val="32"/>
          <w:szCs w:val="32"/>
        </w:rPr>
      </w:pPr>
      <w:r>
        <w:rPr>
          <w:rFonts w:ascii="仿宋" w:eastAsia="仿宋" w:hAnsi="仿宋"/>
          <w:sz w:val="32"/>
          <w:szCs w:val="32"/>
        </w:rPr>
        <w:t>3</w:t>
      </w:r>
      <w:r>
        <w:rPr>
          <w:rFonts w:ascii="仿宋" w:eastAsia="仿宋" w:hAnsi="仿宋"/>
          <w:sz w:val="32"/>
          <w:szCs w:val="32"/>
        </w:rPr>
        <w:t>．资金使用。</w:t>
      </w:r>
    </w:p>
    <w:p w:rsidR="0068449C" w:rsidRDefault="00A3283D">
      <w:pPr>
        <w:wordWrap w:val="0"/>
        <w:spacing w:line="600" w:lineRule="exact"/>
        <w:ind w:firstLine="640"/>
        <w:rPr>
          <w:rFonts w:ascii="仿宋" w:eastAsia="仿宋" w:hAnsi="仿宋" w:cs="仿宋"/>
          <w:color w:val="222222"/>
          <w:sz w:val="32"/>
          <w:szCs w:val="32"/>
        </w:rPr>
      </w:pPr>
      <w:r>
        <w:rPr>
          <w:rFonts w:ascii="仿宋" w:eastAsia="仿宋" w:hAnsi="仿宋" w:cs="仿宋" w:hint="eastAsia"/>
          <w:color w:val="222222"/>
          <w:sz w:val="32"/>
          <w:szCs w:val="32"/>
        </w:rPr>
        <w:t>财资教育经费</w:t>
      </w:r>
      <w:r>
        <w:rPr>
          <w:rFonts w:ascii="仿宋" w:eastAsia="仿宋" w:hAnsi="仿宋" w:cs="仿宋" w:hint="eastAsia"/>
          <w:color w:val="222222"/>
          <w:sz w:val="32"/>
          <w:szCs w:val="32"/>
        </w:rPr>
        <w:t>134.59</w:t>
      </w:r>
      <w:r>
        <w:rPr>
          <w:rFonts w:ascii="仿宋" w:eastAsia="仿宋" w:hAnsi="仿宋" w:cs="仿宋" w:hint="eastAsia"/>
          <w:color w:val="222222"/>
          <w:sz w:val="32"/>
          <w:szCs w:val="32"/>
        </w:rPr>
        <w:t>万元，单位严格按照中央</w:t>
      </w:r>
      <w:r>
        <w:rPr>
          <w:rFonts w:ascii="仿宋" w:eastAsia="仿宋" w:hAnsi="仿宋" w:cs="仿宋" w:hint="eastAsia"/>
          <w:color w:val="222222"/>
          <w:sz w:val="32"/>
          <w:szCs w:val="32"/>
        </w:rPr>
        <w:t>八项规定和省、市“十项规定”以及《党政机关厉行节约反对浪费条例》等相关规定开支，同时按照项目的开支范围、标准、依据及项目进度专款专用，其中：一体机更换</w:t>
      </w:r>
      <w:r>
        <w:rPr>
          <w:rFonts w:ascii="仿宋" w:eastAsia="仿宋" w:hAnsi="仿宋" w:cs="仿宋" w:hint="eastAsia"/>
          <w:color w:val="222222"/>
          <w:sz w:val="32"/>
          <w:szCs w:val="32"/>
        </w:rPr>
        <w:t>84</w:t>
      </w:r>
      <w:r>
        <w:rPr>
          <w:rFonts w:ascii="仿宋" w:eastAsia="仿宋" w:hAnsi="仿宋" w:cs="仿宋" w:hint="eastAsia"/>
          <w:color w:val="222222"/>
          <w:sz w:val="32"/>
          <w:szCs w:val="32"/>
        </w:rPr>
        <w:t>万元，黑板更换：</w:t>
      </w:r>
      <w:r>
        <w:rPr>
          <w:rFonts w:ascii="仿宋" w:eastAsia="仿宋" w:hAnsi="仿宋" w:cs="仿宋" w:hint="eastAsia"/>
          <w:color w:val="222222"/>
          <w:sz w:val="32"/>
          <w:szCs w:val="32"/>
        </w:rPr>
        <w:t>15</w:t>
      </w:r>
      <w:r>
        <w:rPr>
          <w:rFonts w:ascii="仿宋" w:eastAsia="仿宋" w:hAnsi="仿宋" w:cs="仿宋" w:hint="eastAsia"/>
          <w:color w:val="222222"/>
          <w:sz w:val="32"/>
          <w:szCs w:val="32"/>
        </w:rPr>
        <w:t>万元，校园改造</w:t>
      </w:r>
      <w:r>
        <w:rPr>
          <w:rFonts w:ascii="仿宋" w:eastAsia="仿宋" w:hAnsi="仿宋" w:cs="仿宋" w:hint="eastAsia"/>
          <w:color w:val="222222"/>
          <w:sz w:val="32"/>
          <w:szCs w:val="32"/>
        </w:rPr>
        <w:t>26.45</w:t>
      </w:r>
      <w:r>
        <w:rPr>
          <w:rFonts w:ascii="仿宋" w:eastAsia="仿宋" w:hAnsi="仿宋" w:cs="仿宋" w:hint="eastAsia"/>
          <w:color w:val="222222"/>
          <w:sz w:val="32"/>
          <w:szCs w:val="32"/>
        </w:rPr>
        <w:t>万元，运动队器材更换</w:t>
      </w:r>
      <w:r>
        <w:rPr>
          <w:rFonts w:ascii="仿宋" w:eastAsia="仿宋" w:hAnsi="仿宋" w:cs="仿宋" w:hint="eastAsia"/>
          <w:color w:val="222222"/>
          <w:sz w:val="32"/>
          <w:szCs w:val="32"/>
        </w:rPr>
        <w:t>9.11</w:t>
      </w:r>
      <w:r>
        <w:rPr>
          <w:rFonts w:ascii="仿宋" w:eastAsia="仿宋" w:hAnsi="仿宋" w:cs="仿宋" w:hint="eastAsia"/>
          <w:color w:val="222222"/>
          <w:sz w:val="32"/>
          <w:szCs w:val="32"/>
        </w:rPr>
        <w:t>万元；</w:t>
      </w:r>
    </w:p>
    <w:p w:rsidR="0068449C" w:rsidRDefault="00A3283D">
      <w:pPr>
        <w:autoSpaceDE w:val="0"/>
        <w:autoSpaceDN w:val="0"/>
        <w:adjustRightInd w:val="0"/>
        <w:spacing w:line="600" w:lineRule="exact"/>
        <w:ind w:firstLine="640"/>
        <w:rPr>
          <w:rFonts w:ascii="仿宋" w:eastAsia="仿宋" w:hAnsi="仿宋"/>
          <w:sz w:val="32"/>
          <w:szCs w:val="32"/>
        </w:rPr>
      </w:pPr>
      <w:r>
        <w:rPr>
          <w:rFonts w:ascii="仿宋" w:eastAsia="仿宋" w:hAnsi="仿宋"/>
          <w:sz w:val="32"/>
          <w:szCs w:val="32"/>
        </w:rPr>
        <w:t>（三）项目财务管理情况。</w:t>
      </w:r>
    </w:p>
    <w:p w:rsidR="0068449C" w:rsidRDefault="00A3283D">
      <w:pPr>
        <w:autoSpaceDE w:val="0"/>
        <w:autoSpaceDN w:val="0"/>
        <w:adjustRightInd w:val="0"/>
        <w:spacing w:line="600" w:lineRule="exact"/>
        <w:ind w:firstLine="640"/>
        <w:rPr>
          <w:rFonts w:ascii="仿宋" w:eastAsia="仿宋" w:hAnsi="仿宋" w:cs="仿宋"/>
          <w:color w:val="222222"/>
          <w:sz w:val="32"/>
          <w:szCs w:val="32"/>
        </w:rPr>
      </w:pPr>
      <w:r>
        <w:rPr>
          <w:rFonts w:ascii="仿宋" w:eastAsia="仿宋" w:hAnsi="仿宋" w:cs="仿宋" w:hint="eastAsia"/>
          <w:color w:val="222222"/>
          <w:sz w:val="32"/>
          <w:szCs w:val="32"/>
        </w:rPr>
        <w:t>为保证项目经费专款专用，单位制定了政府采购方案、开会讨论，强化了专项经费的规范使用，同时</w:t>
      </w:r>
      <w:r>
        <w:rPr>
          <w:rFonts w:ascii="仿宋" w:eastAsia="仿宋" w:hAnsi="仿宋" w:cs="仿宋"/>
          <w:color w:val="222222"/>
          <w:sz w:val="32"/>
          <w:szCs w:val="32"/>
        </w:rPr>
        <w:t>单位财务管理</w:t>
      </w:r>
      <w:r>
        <w:rPr>
          <w:rFonts w:ascii="仿宋" w:eastAsia="仿宋" w:hAnsi="仿宋" w:cs="仿宋"/>
          <w:color w:val="222222"/>
          <w:sz w:val="32"/>
          <w:szCs w:val="32"/>
        </w:rPr>
        <w:lastRenderedPageBreak/>
        <w:t>制度健全，严格执行财务管理制度，账务处理及时，会计核算规范。</w:t>
      </w:r>
    </w:p>
    <w:p w:rsidR="0068449C" w:rsidRDefault="00A3283D">
      <w:pPr>
        <w:numPr>
          <w:ilvl w:val="0"/>
          <w:numId w:val="6"/>
        </w:numPr>
        <w:autoSpaceDE w:val="0"/>
        <w:autoSpaceDN w:val="0"/>
        <w:adjustRightInd w:val="0"/>
        <w:spacing w:line="600" w:lineRule="exact"/>
        <w:rPr>
          <w:rFonts w:eastAsia="黑体"/>
          <w:sz w:val="32"/>
          <w:szCs w:val="32"/>
        </w:rPr>
      </w:pPr>
      <w:r>
        <w:rPr>
          <w:rFonts w:eastAsia="黑体"/>
          <w:sz w:val="32"/>
          <w:szCs w:val="32"/>
        </w:rPr>
        <w:t>项目实施及管理情况</w:t>
      </w:r>
    </w:p>
    <w:p w:rsidR="0068449C" w:rsidRDefault="00A3283D">
      <w:pPr>
        <w:wordWrap w:val="0"/>
        <w:spacing w:line="600" w:lineRule="exact"/>
        <w:ind w:left="640"/>
        <w:rPr>
          <w:rFonts w:ascii="仿宋" w:eastAsia="仿宋" w:hAnsi="仿宋" w:cs="仿宋"/>
          <w:color w:val="222222"/>
          <w:sz w:val="32"/>
          <w:szCs w:val="32"/>
        </w:rPr>
      </w:pPr>
      <w:r>
        <w:rPr>
          <w:rFonts w:ascii="仿宋" w:eastAsia="仿宋" w:hAnsi="仿宋" w:cs="仿宋" w:hint="eastAsia"/>
          <w:color w:val="222222"/>
          <w:sz w:val="32"/>
          <w:szCs w:val="32"/>
        </w:rPr>
        <w:t>（一）项目决策依据</w:t>
      </w:r>
    </w:p>
    <w:p w:rsidR="0068449C" w:rsidRDefault="00A3283D">
      <w:pPr>
        <w:wordWrap w:val="0"/>
        <w:spacing w:line="600" w:lineRule="exact"/>
        <w:ind w:firstLine="640"/>
        <w:rPr>
          <w:rFonts w:ascii="仿宋" w:eastAsia="仿宋" w:hAnsi="仿宋" w:cs="仿宋"/>
          <w:color w:val="222222"/>
          <w:sz w:val="32"/>
          <w:szCs w:val="32"/>
        </w:rPr>
      </w:pPr>
      <w:r>
        <w:rPr>
          <w:rFonts w:ascii="仿宋" w:eastAsia="仿宋" w:hAnsi="仿宋" w:cs="仿宋" w:hint="eastAsia"/>
          <w:color w:val="222222"/>
          <w:sz w:val="32"/>
          <w:szCs w:val="32"/>
        </w:rPr>
        <w:t>为备战</w:t>
      </w:r>
      <w:r>
        <w:rPr>
          <w:rFonts w:ascii="仿宋" w:eastAsia="仿宋" w:hAnsi="仿宋" w:cs="仿宋" w:hint="eastAsia"/>
          <w:color w:val="222222"/>
          <w:sz w:val="32"/>
          <w:szCs w:val="32"/>
        </w:rPr>
        <w:t>2022</w:t>
      </w:r>
      <w:r>
        <w:rPr>
          <w:rFonts w:ascii="仿宋" w:eastAsia="仿宋" w:hAnsi="仿宋" w:cs="仿宋" w:hint="eastAsia"/>
          <w:color w:val="222222"/>
          <w:sz w:val="32"/>
          <w:szCs w:val="32"/>
        </w:rPr>
        <w:t>年教学工作，完成我市下达的目标任务。</w:t>
      </w:r>
    </w:p>
    <w:p w:rsidR="0068449C" w:rsidRDefault="00A3283D">
      <w:pPr>
        <w:wordWrap w:val="0"/>
        <w:spacing w:line="600" w:lineRule="exact"/>
        <w:ind w:left="640"/>
        <w:rPr>
          <w:rFonts w:ascii="仿宋" w:eastAsia="仿宋" w:hAnsi="仿宋" w:cs="仿宋"/>
          <w:color w:val="222222"/>
          <w:sz w:val="32"/>
          <w:szCs w:val="32"/>
        </w:rPr>
      </w:pPr>
      <w:r>
        <w:rPr>
          <w:rFonts w:ascii="仿宋" w:eastAsia="仿宋" w:hAnsi="仿宋" w:cs="仿宋" w:hint="eastAsia"/>
          <w:color w:val="222222"/>
          <w:sz w:val="32"/>
          <w:szCs w:val="32"/>
        </w:rPr>
        <w:t>（二）项目决策程序</w:t>
      </w:r>
    </w:p>
    <w:p w:rsidR="0068449C" w:rsidRDefault="00A3283D">
      <w:pPr>
        <w:wordWrap w:val="0"/>
        <w:spacing w:line="600" w:lineRule="exact"/>
        <w:ind w:firstLine="640"/>
        <w:rPr>
          <w:rFonts w:ascii="仿宋" w:eastAsia="仿宋" w:hAnsi="仿宋" w:cs="仿宋"/>
          <w:color w:val="222222"/>
          <w:sz w:val="32"/>
          <w:szCs w:val="32"/>
        </w:rPr>
      </w:pPr>
      <w:r>
        <w:rPr>
          <w:rFonts w:ascii="仿宋" w:eastAsia="仿宋" w:hAnsi="仿宋" w:cs="仿宋" w:hint="eastAsia"/>
          <w:color w:val="222222"/>
          <w:sz w:val="32"/>
          <w:szCs w:val="32"/>
        </w:rPr>
        <w:t>由上级主管部门，市教育和体育局下达的目标任务，因此属于我校工作职能范围。</w:t>
      </w:r>
    </w:p>
    <w:p w:rsidR="0068449C" w:rsidRDefault="00A3283D">
      <w:pPr>
        <w:wordWrap w:val="0"/>
        <w:spacing w:line="600" w:lineRule="exact"/>
        <w:ind w:left="640"/>
        <w:rPr>
          <w:rFonts w:ascii="仿宋" w:eastAsia="仿宋" w:hAnsi="仿宋" w:cs="仿宋"/>
          <w:color w:val="222222"/>
          <w:sz w:val="32"/>
          <w:szCs w:val="32"/>
        </w:rPr>
      </w:pPr>
      <w:r>
        <w:rPr>
          <w:rFonts w:ascii="仿宋" w:eastAsia="仿宋" w:hAnsi="仿宋" w:cs="仿宋" w:hint="eastAsia"/>
          <w:color w:val="222222"/>
          <w:sz w:val="32"/>
          <w:szCs w:val="32"/>
        </w:rPr>
        <w:t>（三）组织机构</w:t>
      </w:r>
    </w:p>
    <w:p w:rsidR="0068449C" w:rsidRDefault="00A3283D">
      <w:pPr>
        <w:wordWrap w:val="0"/>
        <w:spacing w:line="600" w:lineRule="exact"/>
        <w:ind w:firstLine="640"/>
        <w:rPr>
          <w:rFonts w:ascii="仿宋" w:eastAsia="仿宋" w:hAnsi="仿宋" w:cs="仿宋"/>
          <w:color w:val="222222"/>
          <w:sz w:val="32"/>
          <w:szCs w:val="32"/>
        </w:rPr>
      </w:pPr>
      <w:r>
        <w:rPr>
          <w:rFonts w:ascii="仿宋" w:eastAsia="仿宋" w:hAnsi="仿宋" w:cs="仿宋" w:hint="eastAsia"/>
          <w:color w:val="222222"/>
          <w:sz w:val="32"/>
          <w:szCs w:val="32"/>
        </w:rPr>
        <w:t>成立项目实施小组，组长为校长陈丁，副组长为副校长沈光全、刘亮。成员为</w:t>
      </w:r>
      <w:r>
        <w:rPr>
          <w:rFonts w:ascii="仿宋" w:eastAsia="仿宋" w:hAnsi="仿宋" w:cs="仿宋" w:hint="eastAsia"/>
          <w:color w:val="222222"/>
          <w:sz w:val="32"/>
          <w:szCs w:val="32"/>
        </w:rPr>
        <w:t>9</w:t>
      </w:r>
      <w:r>
        <w:rPr>
          <w:rFonts w:ascii="仿宋" w:eastAsia="仿宋" w:hAnsi="仿宋" w:cs="仿宋" w:hint="eastAsia"/>
          <w:color w:val="222222"/>
          <w:sz w:val="32"/>
          <w:szCs w:val="32"/>
        </w:rPr>
        <w:t>名学校中层干部。</w:t>
      </w:r>
    </w:p>
    <w:p w:rsidR="0068449C" w:rsidRDefault="00A3283D">
      <w:pPr>
        <w:wordWrap w:val="0"/>
        <w:spacing w:line="600" w:lineRule="exact"/>
        <w:ind w:left="640"/>
        <w:rPr>
          <w:rFonts w:ascii="仿宋" w:eastAsia="仿宋" w:hAnsi="仿宋" w:cs="仿宋"/>
          <w:color w:val="222222"/>
          <w:sz w:val="32"/>
          <w:szCs w:val="32"/>
        </w:rPr>
      </w:pPr>
      <w:r>
        <w:rPr>
          <w:rFonts w:ascii="仿宋" w:eastAsia="仿宋" w:hAnsi="仿宋" w:cs="仿宋" w:hint="eastAsia"/>
          <w:color w:val="222222"/>
          <w:sz w:val="32"/>
          <w:szCs w:val="32"/>
        </w:rPr>
        <w:t>（四）制度建设</w:t>
      </w:r>
    </w:p>
    <w:p w:rsidR="0068449C" w:rsidRDefault="00A3283D">
      <w:pPr>
        <w:wordWrap w:val="0"/>
        <w:spacing w:line="600" w:lineRule="exact"/>
        <w:ind w:firstLine="640"/>
        <w:rPr>
          <w:rFonts w:ascii="仿宋" w:eastAsia="仿宋" w:hAnsi="仿宋" w:cs="仿宋"/>
          <w:color w:val="222222"/>
          <w:sz w:val="32"/>
          <w:szCs w:val="32"/>
        </w:rPr>
      </w:pPr>
      <w:r>
        <w:rPr>
          <w:rFonts w:ascii="仿宋" w:eastAsia="仿宋" w:hAnsi="仿宋" w:cs="仿宋" w:hint="eastAsia"/>
          <w:color w:val="222222"/>
          <w:sz w:val="32"/>
          <w:szCs w:val="32"/>
        </w:rPr>
        <w:t>为规范本单位财务工作，加强会计核算与内部监督，提高财政资金使用效益，我单位依据《会计法》和上级相关部门有关财务制度规定，以上级主管单位财务制度为指导，结合本单位业务工作特点，制定并完善了包括内部财务控制、财务、公开、重点支出管理、会计报销、资产管理，现金及账户管理等财务管理制度。</w:t>
      </w:r>
    </w:p>
    <w:p w:rsidR="0068449C" w:rsidRDefault="00A3283D">
      <w:pPr>
        <w:wordWrap w:val="0"/>
        <w:spacing w:line="600" w:lineRule="exact"/>
        <w:ind w:left="640"/>
        <w:rPr>
          <w:rFonts w:ascii="仿宋" w:eastAsia="仿宋" w:hAnsi="仿宋" w:cs="仿宋"/>
          <w:color w:val="222222"/>
          <w:sz w:val="32"/>
          <w:szCs w:val="32"/>
        </w:rPr>
      </w:pPr>
      <w:r>
        <w:rPr>
          <w:rFonts w:ascii="仿宋" w:eastAsia="仿宋" w:hAnsi="仿宋" w:cs="仿宋" w:hint="eastAsia"/>
          <w:color w:val="222222"/>
          <w:sz w:val="32"/>
          <w:szCs w:val="32"/>
        </w:rPr>
        <w:t>（五）不确定因</w:t>
      </w:r>
      <w:r>
        <w:rPr>
          <w:rFonts w:ascii="仿宋" w:eastAsia="仿宋" w:hAnsi="仿宋" w:cs="仿宋" w:hint="eastAsia"/>
          <w:color w:val="222222"/>
          <w:sz w:val="32"/>
          <w:szCs w:val="32"/>
        </w:rPr>
        <w:t>素和风险控制措施</w:t>
      </w:r>
    </w:p>
    <w:p w:rsidR="0068449C" w:rsidRDefault="00A3283D">
      <w:pPr>
        <w:wordWrap w:val="0"/>
        <w:spacing w:line="600" w:lineRule="exact"/>
        <w:ind w:firstLine="640"/>
        <w:rPr>
          <w:rFonts w:ascii="仿宋" w:eastAsia="仿宋" w:hAnsi="仿宋" w:cs="仿宋"/>
          <w:color w:val="222222"/>
          <w:sz w:val="32"/>
          <w:szCs w:val="32"/>
        </w:rPr>
      </w:pPr>
      <w:r>
        <w:rPr>
          <w:rFonts w:ascii="仿宋" w:eastAsia="仿宋" w:hAnsi="仿宋" w:cs="仿宋" w:hint="eastAsia"/>
          <w:color w:val="222222"/>
          <w:sz w:val="32"/>
          <w:szCs w:val="32"/>
        </w:rPr>
        <w:t>使用财资教育经费前，在预算管理上：执行事前预算评审，事后进行结算评审，保证预算支出的有效性；在体育器材购置时，严格遵循招标投标手续；在项目验收上聘请监理；做到有规有矩、有章有程。如遇突发事件或不可抗力因素引</w:t>
      </w:r>
      <w:r>
        <w:rPr>
          <w:rFonts w:ascii="仿宋" w:eastAsia="仿宋" w:hAnsi="仿宋" w:cs="仿宋" w:hint="eastAsia"/>
          <w:color w:val="222222"/>
          <w:sz w:val="32"/>
          <w:szCs w:val="32"/>
        </w:rPr>
        <w:lastRenderedPageBreak/>
        <w:t>起的突发情况，立即启动应急预案，上报上级单位，妥善处理。</w:t>
      </w:r>
    </w:p>
    <w:p w:rsidR="0068449C" w:rsidRDefault="00A3283D">
      <w:pPr>
        <w:autoSpaceDE w:val="0"/>
        <w:autoSpaceDN w:val="0"/>
        <w:adjustRightInd w:val="0"/>
        <w:spacing w:line="600" w:lineRule="exact"/>
        <w:ind w:firstLine="640"/>
        <w:rPr>
          <w:rFonts w:eastAsia="黑体"/>
          <w:sz w:val="32"/>
          <w:szCs w:val="32"/>
        </w:rPr>
      </w:pPr>
      <w:r>
        <w:rPr>
          <w:rFonts w:eastAsia="黑体"/>
          <w:sz w:val="32"/>
          <w:szCs w:val="32"/>
        </w:rPr>
        <w:t>四、项目绩效情况</w:t>
      </w:r>
    </w:p>
    <w:p w:rsidR="0068449C" w:rsidRDefault="00A3283D">
      <w:pPr>
        <w:wordWrap w:val="0"/>
        <w:spacing w:line="600" w:lineRule="exact"/>
        <w:ind w:firstLine="643"/>
        <w:rPr>
          <w:rFonts w:ascii="仿宋" w:eastAsia="仿宋" w:hAnsi="仿宋" w:cs="仿宋"/>
          <w:color w:val="222222"/>
          <w:sz w:val="32"/>
          <w:szCs w:val="32"/>
        </w:rPr>
      </w:pPr>
      <w:r>
        <w:rPr>
          <w:rFonts w:ascii="仿宋" w:eastAsia="仿宋" w:hAnsi="仿宋" w:cs="仿宋" w:hint="eastAsia"/>
          <w:b/>
          <w:bCs/>
          <w:color w:val="222222"/>
          <w:sz w:val="32"/>
          <w:szCs w:val="32"/>
        </w:rPr>
        <w:t>（一）总绩效目标：</w:t>
      </w:r>
      <w:r>
        <w:rPr>
          <w:rFonts w:ascii="仿宋" w:eastAsia="仿宋" w:hAnsi="仿宋" w:cs="仿宋" w:hint="eastAsia"/>
          <w:sz w:val="32"/>
          <w:szCs w:val="32"/>
          <w:shd w:val="clear" w:color="auto" w:fill="FFFFFF"/>
        </w:rPr>
        <w:t>根据攀枝花市教育和体育局计划部署，</w:t>
      </w:r>
      <w:r>
        <w:rPr>
          <w:rFonts w:ascii="仿宋" w:eastAsia="仿宋" w:hAnsi="仿宋" w:cs="仿宋" w:hint="eastAsia"/>
          <w:sz w:val="32"/>
          <w:szCs w:val="32"/>
          <w:shd w:val="clear" w:color="auto" w:fill="FFFFFF"/>
        </w:rPr>
        <w:t>2020</w:t>
      </w:r>
      <w:r>
        <w:rPr>
          <w:rFonts w:ascii="仿宋" w:eastAsia="仿宋" w:hAnsi="仿宋" w:cs="仿宋" w:hint="eastAsia"/>
          <w:sz w:val="32"/>
          <w:szCs w:val="32"/>
          <w:shd w:val="clear" w:color="auto" w:fill="FFFFFF"/>
        </w:rPr>
        <w:t>年单位完成了备战</w:t>
      </w:r>
      <w:r>
        <w:rPr>
          <w:rFonts w:ascii="仿宋" w:eastAsia="仿宋" w:hAnsi="仿宋" w:cs="仿宋" w:hint="eastAsia"/>
          <w:sz w:val="32"/>
          <w:szCs w:val="32"/>
          <w:shd w:val="clear" w:color="auto" w:fill="FFFFFF"/>
        </w:rPr>
        <w:t>2022</w:t>
      </w:r>
      <w:r>
        <w:rPr>
          <w:rFonts w:ascii="仿宋" w:eastAsia="仿宋" w:hAnsi="仿宋" w:cs="仿宋" w:hint="eastAsia"/>
          <w:sz w:val="32"/>
          <w:szCs w:val="32"/>
          <w:shd w:val="clear" w:color="auto" w:fill="FFFFFF"/>
        </w:rPr>
        <w:t>年教育工作的前期准备。</w:t>
      </w:r>
    </w:p>
    <w:p w:rsidR="0068449C" w:rsidRDefault="00A3283D">
      <w:pPr>
        <w:wordWrap w:val="0"/>
        <w:spacing w:line="600" w:lineRule="exact"/>
        <w:ind w:left="321" w:firstLine="157"/>
        <w:rPr>
          <w:rFonts w:ascii="仿宋" w:eastAsia="仿宋" w:hAnsi="仿宋" w:cs="仿宋"/>
          <w:b/>
          <w:bCs/>
          <w:color w:val="222222"/>
          <w:sz w:val="32"/>
          <w:szCs w:val="32"/>
        </w:rPr>
      </w:pPr>
      <w:r>
        <w:rPr>
          <w:rFonts w:ascii="仿宋" w:eastAsia="仿宋" w:hAnsi="仿宋" w:cs="仿宋" w:hint="eastAsia"/>
          <w:b/>
          <w:bCs/>
          <w:color w:val="222222"/>
          <w:sz w:val="32"/>
          <w:szCs w:val="32"/>
        </w:rPr>
        <w:t>（二）效果指标</w:t>
      </w:r>
    </w:p>
    <w:p w:rsidR="0068449C" w:rsidRDefault="00A3283D">
      <w:pPr>
        <w:wordWrap w:val="0"/>
        <w:spacing w:line="600" w:lineRule="exact"/>
        <w:ind w:left="640"/>
        <w:rPr>
          <w:rFonts w:ascii="仿宋" w:eastAsia="仿宋" w:hAnsi="仿宋" w:cs="仿宋"/>
          <w:color w:val="222222"/>
          <w:sz w:val="32"/>
          <w:szCs w:val="32"/>
        </w:rPr>
      </w:pPr>
      <w:r>
        <w:rPr>
          <w:rFonts w:ascii="仿宋" w:eastAsia="仿宋" w:hAnsi="仿宋" w:cs="仿宋" w:hint="eastAsia"/>
          <w:color w:val="222222"/>
          <w:sz w:val="32"/>
          <w:szCs w:val="32"/>
        </w:rPr>
        <w:t>（</w:t>
      </w:r>
      <w:r>
        <w:rPr>
          <w:rFonts w:ascii="仿宋" w:eastAsia="仿宋" w:hAnsi="仿宋" w:cs="仿宋" w:hint="eastAsia"/>
          <w:color w:val="222222"/>
          <w:sz w:val="32"/>
          <w:szCs w:val="32"/>
        </w:rPr>
        <w:t>1</w:t>
      </w:r>
      <w:r>
        <w:rPr>
          <w:rFonts w:ascii="仿宋" w:eastAsia="仿宋" w:hAnsi="仿宋" w:cs="仿宋" w:hint="eastAsia"/>
          <w:color w:val="222222"/>
          <w:sz w:val="32"/>
          <w:szCs w:val="32"/>
        </w:rPr>
        <w:t>）社会效益指标：促进学校教育的发展，满足学校教育需要。</w:t>
      </w:r>
    </w:p>
    <w:p w:rsidR="0068449C" w:rsidRDefault="00A3283D">
      <w:pPr>
        <w:numPr>
          <w:ilvl w:val="0"/>
          <w:numId w:val="7"/>
        </w:numPr>
        <w:wordWrap w:val="0"/>
        <w:spacing w:line="600" w:lineRule="exact"/>
        <w:rPr>
          <w:rFonts w:ascii="仿宋" w:eastAsia="仿宋" w:hAnsi="仿宋" w:cs="仿宋"/>
          <w:color w:val="222222"/>
          <w:sz w:val="32"/>
          <w:szCs w:val="32"/>
        </w:rPr>
      </w:pPr>
      <w:r>
        <w:rPr>
          <w:rFonts w:ascii="仿宋" w:eastAsia="仿宋" w:hAnsi="仿宋" w:cs="仿宋" w:hint="eastAsia"/>
          <w:color w:val="222222"/>
          <w:sz w:val="32"/>
          <w:szCs w:val="32"/>
        </w:rPr>
        <w:t>生态效益指标：助力攀枝花城市运动、康养。</w:t>
      </w:r>
    </w:p>
    <w:p w:rsidR="0068449C" w:rsidRDefault="00A3283D">
      <w:pPr>
        <w:wordWrap w:val="0"/>
        <w:spacing w:line="600" w:lineRule="exact"/>
        <w:ind w:left="640"/>
        <w:rPr>
          <w:rFonts w:ascii="仿宋" w:eastAsia="仿宋" w:hAnsi="仿宋" w:cs="仿宋"/>
          <w:color w:val="222222"/>
          <w:sz w:val="32"/>
          <w:szCs w:val="32"/>
        </w:rPr>
      </w:pPr>
      <w:r>
        <w:rPr>
          <w:rFonts w:ascii="仿宋" w:eastAsia="仿宋" w:hAnsi="仿宋" w:cs="仿宋" w:hint="eastAsia"/>
          <w:color w:val="222222"/>
          <w:sz w:val="32"/>
          <w:szCs w:val="32"/>
        </w:rPr>
        <w:t>（</w:t>
      </w:r>
      <w:r>
        <w:rPr>
          <w:rFonts w:ascii="仿宋" w:eastAsia="仿宋" w:hAnsi="仿宋" w:cs="仿宋" w:hint="eastAsia"/>
          <w:color w:val="222222"/>
          <w:sz w:val="32"/>
          <w:szCs w:val="32"/>
        </w:rPr>
        <w:t>3</w:t>
      </w:r>
      <w:r>
        <w:rPr>
          <w:rFonts w:ascii="仿宋" w:eastAsia="仿宋" w:hAnsi="仿宋" w:cs="仿宋" w:hint="eastAsia"/>
          <w:color w:val="222222"/>
          <w:sz w:val="32"/>
          <w:szCs w:val="32"/>
        </w:rPr>
        <w:t>）可持续影响指标：促进了梯队建设</w:t>
      </w:r>
      <w:r>
        <w:rPr>
          <w:rFonts w:ascii="仿宋" w:eastAsia="仿宋" w:hAnsi="仿宋" w:cs="仿宋" w:hint="eastAsia"/>
          <w:sz w:val="32"/>
          <w:szCs w:val="32"/>
        </w:rPr>
        <w:t>推动学校教育可持续发展。</w:t>
      </w:r>
    </w:p>
    <w:p w:rsidR="0068449C" w:rsidRDefault="00A3283D">
      <w:pPr>
        <w:wordWrap w:val="0"/>
        <w:spacing w:line="600" w:lineRule="exact"/>
        <w:ind w:firstLine="640"/>
        <w:rPr>
          <w:rFonts w:ascii="仿宋" w:eastAsia="仿宋" w:hAnsi="仿宋" w:cs="仿宋"/>
          <w:color w:val="222222"/>
          <w:sz w:val="32"/>
          <w:szCs w:val="32"/>
        </w:rPr>
      </w:pPr>
      <w:r>
        <w:rPr>
          <w:rFonts w:ascii="仿宋" w:eastAsia="仿宋" w:hAnsi="仿宋" w:cs="仿宋" w:hint="eastAsia"/>
          <w:color w:val="222222"/>
          <w:sz w:val="32"/>
          <w:szCs w:val="32"/>
        </w:rPr>
        <w:t>（</w:t>
      </w:r>
      <w:r>
        <w:rPr>
          <w:rFonts w:ascii="仿宋" w:eastAsia="仿宋" w:hAnsi="仿宋" w:cs="仿宋" w:hint="eastAsia"/>
          <w:color w:val="222222"/>
          <w:sz w:val="32"/>
          <w:szCs w:val="32"/>
        </w:rPr>
        <w:t>4</w:t>
      </w:r>
      <w:r>
        <w:rPr>
          <w:rFonts w:ascii="仿宋" w:eastAsia="仿宋" w:hAnsi="仿宋" w:cs="仿宋" w:hint="eastAsia"/>
          <w:color w:val="222222"/>
          <w:sz w:val="32"/>
          <w:szCs w:val="32"/>
        </w:rPr>
        <w:t>）服务对象满意度指标：</w:t>
      </w:r>
    </w:p>
    <w:p w:rsidR="0068449C" w:rsidRDefault="00A3283D">
      <w:pPr>
        <w:wordWrap w:val="0"/>
        <w:spacing w:line="600" w:lineRule="exact"/>
        <w:ind w:firstLine="640"/>
        <w:rPr>
          <w:rFonts w:ascii="仿宋" w:eastAsia="仿宋" w:hAnsi="仿宋" w:cs="仿宋"/>
          <w:color w:val="222222"/>
          <w:sz w:val="32"/>
          <w:szCs w:val="32"/>
        </w:rPr>
      </w:pPr>
      <w:r>
        <w:rPr>
          <w:rFonts w:ascii="仿宋" w:eastAsia="仿宋" w:hAnsi="仿宋" w:cs="仿宋" w:hint="eastAsia"/>
          <w:color w:val="222222"/>
          <w:sz w:val="32"/>
          <w:szCs w:val="32"/>
        </w:rPr>
        <w:t>通过问卷调查，家长、学生对学校的教育生活的满意度达到</w:t>
      </w:r>
      <w:r>
        <w:rPr>
          <w:rFonts w:ascii="仿宋" w:eastAsia="仿宋" w:hAnsi="仿宋" w:cs="仿宋" w:hint="eastAsia"/>
          <w:color w:val="222222"/>
          <w:sz w:val="32"/>
          <w:szCs w:val="32"/>
        </w:rPr>
        <w:t>95%</w:t>
      </w:r>
      <w:r>
        <w:rPr>
          <w:rFonts w:ascii="仿宋" w:eastAsia="仿宋" w:hAnsi="仿宋" w:cs="仿宋" w:hint="eastAsia"/>
          <w:color w:val="222222"/>
          <w:sz w:val="32"/>
          <w:szCs w:val="32"/>
        </w:rPr>
        <w:t>以上。</w:t>
      </w:r>
    </w:p>
    <w:p w:rsidR="0068449C" w:rsidRDefault="00A3283D">
      <w:pPr>
        <w:autoSpaceDE w:val="0"/>
        <w:autoSpaceDN w:val="0"/>
        <w:adjustRightInd w:val="0"/>
        <w:spacing w:line="600" w:lineRule="exact"/>
        <w:ind w:firstLine="640"/>
        <w:rPr>
          <w:rFonts w:eastAsia="黑体"/>
          <w:sz w:val="32"/>
          <w:szCs w:val="32"/>
        </w:rPr>
      </w:pPr>
      <w:r>
        <w:rPr>
          <w:rFonts w:eastAsia="黑体"/>
          <w:sz w:val="32"/>
          <w:szCs w:val="32"/>
        </w:rPr>
        <w:t>五、评价结论及建议</w:t>
      </w:r>
    </w:p>
    <w:p w:rsidR="0068449C" w:rsidRDefault="00A3283D">
      <w:pPr>
        <w:autoSpaceDE w:val="0"/>
        <w:autoSpaceDN w:val="0"/>
        <w:adjustRightInd w:val="0"/>
        <w:spacing w:line="600" w:lineRule="exact"/>
        <w:ind w:firstLine="640"/>
        <w:rPr>
          <w:rFonts w:ascii="仿宋" w:eastAsia="仿宋" w:hAnsi="仿宋"/>
          <w:sz w:val="32"/>
          <w:szCs w:val="32"/>
        </w:rPr>
      </w:pPr>
      <w:r>
        <w:rPr>
          <w:rFonts w:ascii="仿宋" w:eastAsia="仿宋" w:hAnsi="仿宋"/>
          <w:sz w:val="32"/>
          <w:szCs w:val="32"/>
        </w:rPr>
        <w:t>（一）评价结论。</w:t>
      </w:r>
    </w:p>
    <w:p w:rsidR="0068449C" w:rsidRDefault="00A3283D">
      <w:pPr>
        <w:autoSpaceDE w:val="0"/>
        <w:autoSpaceDN w:val="0"/>
        <w:adjustRightInd w:val="0"/>
        <w:spacing w:line="600" w:lineRule="exact"/>
        <w:ind w:firstLine="640"/>
        <w:rPr>
          <w:rFonts w:ascii="仿宋" w:eastAsia="仿宋" w:hAnsi="仿宋"/>
          <w:sz w:val="32"/>
          <w:szCs w:val="32"/>
        </w:rPr>
      </w:pPr>
      <w:r>
        <w:rPr>
          <w:rFonts w:ascii="仿宋" w:eastAsia="仿宋" w:hAnsi="仿宋" w:hint="eastAsia"/>
          <w:sz w:val="32"/>
          <w:szCs w:val="32"/>
        </w:rPr>
        <w:t>1</w:t>
      </w:r>
      <w:r>
        <w:rPr>
          <w:rFonts w:ascii="仿宋" w:eastAsia="仿宋" w:hAnsi="仿宋" w:hint="eastAsia"/>
          <w:sz w:val="32"/>
          <w:szCs w:val="32"/>
        </w:rPr>
        <w:t>、项目决策</w:t>
      </w:r>
    </w:p>
    <w:p w:rsidR="0068449C" w:rsidRDefault="00A3283D">
      <w:pPr>
        <w:autoSpaceDE w:val="0"/>
        <w:autoSpaceDN w:val="0"/>
        <w:adjustRightInd w:val="0"/>
        <w:spacing w:line="600" w:lineRule="exact"/>
        <w:ind w:firstLine="640"/>
        <w:rPr>
          <w:rFonts w:ascii="仿宋" w:eastAsia="仿宋" w:hAnsi="仿宋" w:cs="仿宋"/>
          <w:color w:val="222222"/>
          <w:sz w:val="32"/>
          <w:szCs w:val="32"/>
        </w:rPr>
      </w:pPr>
      <w:r>
        <w:rPr>
          <w:rFonts w:ascii="仿宋" w:eastAsia="仿宋" w:hAnsi="仿宋" w:cs="仿宋" w:hint="eastAsia"/>
          <w:color w:val="222222"/>
          <w:sz w:val="32"/>
          <w:szCs w:val="32"/>
        </w:rPr>
        <w:t>为备战</w:t>
      </w:r>
      <w:r>
        <w:rPr>
          <w:rFonts w:ascii="仿宋" w:eastAsia="仿宋" w:hAnsi="仿宋" w:cs="仿宋" w:hint="eastAsia"/>
          <w:color w:val="222222"/>
          <w:sz w:val="32"/>
          <w:szCs w:val="32"/>
        </w:rPr>
        <w:t>2022</w:t>
      </w:r>
      <w:r>
        <w:rPr>
          <w:rFonts w:ascii="仿宋" w:eastAsia="仿宋" w:hAnsi="仿宋" w:cs="仿宋" w:hint="eastAsia"/>
          <w:color w:val="222222"/>
          <w:sz w:val="32"/>
          <w:szCs w:val="32"/>
        </w:rPr>
        <w:t>年教学目标，完成是教育和体育局下达的目标任务，为单位承担了大部分目标任务，财资教育经费的保障至关重要。</w:t>
      </w:r>
    </w:p>
    <w:p w:rsidR="0068449C" w:rsidRDefault="00A3283D">
      <w:pPr>
        <w:autoSpaceDE w:val="0"/>
        <w:autoSpaceDN w:val="0"/>
        <w:adjustRightInd w:val="0"/>
        <w:spacing w:line="600" w:lineRule="exact"/>
        <w:ind w:firstLine="640"/>
        <w:rPr>
          <w:rFonts w:ascii="仿宋" w:eastAsia="仿宋" w:hAnsi="仿宋"/>
          <w:sz w:val="32"/>
          <w:szCs w:val="32"/>
        </w:rPr>
      </w:pPr>
      <w:r>
        <w:rPr>
          <w:rFonts w:ascii="仿宋" w:eastAsia="仿宋" w:hAnsi="仿宋" w:cs="仿宋" w:hint="eastAsia"/>
          <w:color w:val="222222"/>
          <w:sz w:val="32"/>
          <w:szCs w:val="32"/>
        </w:rPr>
        <w:t>2</w:t>
      </w:r>
      <w:r>
        <w:rPr>
          <w:rFonts w:ascii="仿宋" w:eastAsia="仿宋" w:hAnsi="仿宋" w:cs="仿宋" w:hint="eastAsia"/>
          <w:color w:val="222222"/>
          <w:sz w:val="32"/>
          <w:szCs w:val="32"/>
        </w:rPr>
        <w:t>、</w:t>
      </w:r>
      <w:r>
        <w:rPr>
          <w:rFonts w:ascii="仿宋" w:eastAsia="仿宋" w:hAnsi="仿宋"/>
          <w:sz w:val="32"/>
          <w:szCs w:val="32"/>
        </w:rPr>
        <w:t>项目管理</w:t>
      </w:r>
    </w:p>
    <w:p w:rsidR="0068449C" w:rsidRDefault="00A3283D">
      <w:pPr>
        <w:autoSpaceDE w:val="0"/>
        <w:autoSpaceDN w:val="0"/>
        <w:adjustRightInd w:val="0"/>
        <w:spacing w:line="600" w:lineRule="exact"/>
        <w:ind w:firstLine="640"/>
        <w:rPr>
          <w:rFonts w:ascii="仿宋" w:eastAsia="仿宋" w:hAnsi="仿宋" w:cs="仿宋"/>
          <w:sz w:val="32"/>
          <w:szCs w:val="32"/>
        </w:rPr>
      </w:pPr>
      <w:r>
        <w:rPr>
          <w:rFonts w:ascii="仿宋" w:eastAsia="仿宋" w:hAnsi="仿宋" w:cs="仿宋" w:hint="eastAsia"/>
          <w:color w:val="222222"/>
          <w:sz w:val="32"/>
          <w:szCs w:val="32"/>
        </w:rPr>
        <w:t>为保证项目经费的专款专用，单位应加强项目自身的管理以及项目的后勤保障，如：队伍管理、制度建设等。</w:t>
      </w:r>
    </w:p>
    <w:p w:rsidR="0068449C" w:rsidRDefault="00A3283D">
      <w:pPr>
        <w:autoSpaceDE w:val="0"/>
        <w:autoSpaceDN w:val="0"/>
        <w:adjustRightInd w:val="0"/>
        <w:spacing w:line="600" w:lineRule="exact"/>
        <w:ind w:firstLine="640"/>
        <w:rPr>
          <w:rFonts w:ascii="仿宋" w:eastAsia="仿宋" w:hAnsi="仿宋"/>
          <w:sz w:val="32"/>
          <w:szCs w:val="32"/>
        </w:rPr>
      </w:pPr>
      <w:r>
        <w:rPr>
          <w:rFonts w:ascii="仿宋" w:eastAsia="仿宋" w:hAnsi="仿宋" w:cs="仿宋" w:hint="eastAsia"/>
          <w:sz w:val="32"/>
          <w:szCs w:val="32"/>
        </w:rPr>
        <w:lastRenderedPageBreak/>
        <w:t>3</w:t>
      </w:r>
      <w:r>
        <w:rPr>
          <w:rFonts w:ascii="仿宋" w:eastAsia="仿宋" w:hAnsi="仿宋" w:cs="仿宋" w:hint="eastAsia"/>
          <w:sz w:val="32"/>
          <w:szCs w:val="32"/>
        </w:rPr>
        <w:t>、</w:t>
      </w:r>
      <w:r>
        <w:rPr>
          <w:rFonts w:ascii="仿宋" w:eastAsia="仿宋" w:hAnsi="仿宋"/>
          <w:sz w:val="32"/>
          <w:szCs w:val="32"/>
        </w:rPr>
        <w:t>项目绩效</w:t>
      </w:r>
    </w:p>
    <w:p w:rsidR="0068449C" w:rsidRDefault="00A3283D">
      <w:pPr>
        <w:autoSpaceDE w:val="0"/>
        <w:autoSpaceDN w:val="0"/>
        <w:adjustRightInd w:val="0"/>
        <w:spacing w:line="600" w:lineRule="exact"/>
        <w:ind w:firstLine="640"/>
        <w:rPr>
          <w:rFonts w:ascii="仿宋" w:eastAsia="仿宋" w:hAnsi="仿宋" w:cs="仿宋"/>
          <w:color w:val="222222"/>
          <w:sz w:val="32"/>
          <w:szCs w:val="32"/>
        </w:rPr>
      </w:pPr>
      <w:r>
        <w:rPr>
          <w:rFonts w:ascii="仿宋" w:eastAsia="仿宋" w:hAnsi="仿宋" w:cs="仿宋" w:hint="eastAsia"/>
          <w:color w:val="222222"/>
          <w:sz w:val="32"/>
          <w:szCs w:val="32"/>
        </w:rPr>
        <w:t>为保证专项经费使用效率，单位应对项目的总体目标、产出指标、效果指标进行有效的设置，充分的论证，同时对指标进行事前、事中的执行进度进行跟踪并及时调整，以达到指标设置的科学性和有效性，保证财政资金的绩效性。</w:t>
      </w:r>
    </w:p>
    <w:p w:rsidR="0068449C" w:rsidRDefault="00A3283D">
      <w:pPr>
        <w:autoSpaceDE w:val="0"/>
        <w:autoSpaceDN w:val="0"/>
        <w:adjustRightInd w:val="0"/>
        <w:spacing w:line="600" w:lineRule="exact"/>
        <w:ind w:firstLine="640"/>
        <w:rPr>
          <w:rFonts w:ascii="仿宋" w:eastAsia="仿宋" w:hAnsi="仿宋"/>
          <w:sz w:val="32"/>
          <w:szCs w:val="32"/>
        </w:rPr>
      </w:pPr>
      <w:r>
        <w:rPr>
          <w:rFonts w:ascii="仿宋" w:eastAsia="仿宋" w:hAnsi="仿宋"/>
          <w:sz w:val="32"/>
          <w:szCs w:val="32"/>
        </w:rPr>
        <w:t>（二）存在的问题。</w:t>
      </w:r>
    </w:p>
    <w:p w:rsidR="0068449C" w:rsidRDefault="00A3283D">
      <w:pPr>
        <w:autoSpaceDE w:val="0"/>
        <w:autoSpaceDN w:val="0"/>
        <w:adjustRightInd w:val="0"/>
        <w:spacing w:line="600" w:lineRule="exact"/>
        <w:ind w:firstLine="640"/>
        <w:rPr>
          <w:rFonts w:ascii="仿宋" w:eastAsia="仿宋" w:hAnsi="仿宋" w:cs="仿宋"/>
          <w:color w:val="222222"/>
          <w:sz w:val="32"/>
          <w:szCs w:val="32"/>
        </w:rPr>
      </w:pPr>
      <w:r>
        <w:rPr>
          <w:rFonts w:ascii="仿宋" w:eastAsia="仿宋" w:hAnsi="仿宋" w:cs="仿宋" w:hint="eastAsia"/>
          <w:color w:val="222222"/>
          <w:sz w:val="32"/>
          <w:szCs w:val="32"/>
        </w:rPr>
        <w:t>项目的事前评估与项目的绩效评估未能事前、事中衔接，指标设置还不够科学，具有片面性。</w:t>
      </w:r>
    </w:p>
    <w:p w:rsidR="0068449C" w:rsidRDefault="00A3283D">
      <w:pPr>
        <w:autoSpaceDE w:val="0"/>
        <w:autoSpaceDN w:val="0"/>
        <w:adjustRightInd w:val="0"/>
        <w:spacing w:line="600" w:lineRule="exact"/>
        <w:ind w:firstLine="640"/>
        <w:rPr>
          <w:rFonts w:ascii="仿宋" w:eastAsia="仿宋" w:hAnsi="仿宋"/>
          <w:sz w:val="32"/>
          <w:szCs w:val="32"/>
        </w:rPr>
      </w:pPr>
      <w:r>
        <w:rPr>
          <w:rFonts w:ascii="仿宋" w:eastAsia="仿宋" w:hAnsi="仿宋"/>
          <w:sz w:val="32"/>
          <w:szCs w:val="32"/>
        </w:rPr>
        <w:t>（三）相关建议。</w:t>
      </w:r>
    </w:p>
    <w:p w:rsidR="0068449C" w:rsidRDefault="00A3283D">
      <w:pPr>
        <w:spacing w:line="580" w:lineRule="exact"/>
        <w:ind w:firstLine="640"/>
        <w:rPr>
          <w:rFonts w:ascii="仿宋_GB2312" w:eastAsia="仿宋_GB2312" w:hAnsi="仿宋_GB2312" w:cs="仿宋_GB2312"/>
          <w:sz w:val="32"/>
          <w:szCs w:val="32"/>
        </w:rPr>
      </w:pPr>
      <w:r>
        <w:rPr>
          <w:rFonts w:ascii="仿宋" w:eastAsia="仿宋" w:hAnsi="仿宋" w:cs="仿宋" w:hint="eastAsia"/>
          <w:color w:val="222222"/>
          <w:sz w:val="32"/>
          <w:szCs w:val="32"/>
        </w:rPr>
        <w:t>为保证财政资金的使用效率，建议财政的绩效事前评估与预算协调推进，加强财政预算的事前绩效评估，同时针对单位的具体情况，保证单位的运转经费（含基本和项目），这样才能保证单位绩效评估的有效性。</w:t>
      </w:r>
    </w:p>
    <w:p w:rsidR="0068449C" w:rsidRDefault="0068449C">
      <w:pPr>
        <w:spacing w:line="580" w:lineRule="exact"/>
        <w:ind w:firstLine="640"/>
        <w:rPr>
          <w:rFonts w:ascii="仿宋_GB2312" w:eastAsia="仿宋_GB2312" w:hAnsi="仿宋_GB2312" w:cs="仿宋_GB2312"/>
          <w:sz w:val="32"/>
          <w:szCs w:val="32"/>
        </w:rPr>
      </w:pPr>
    </w:p>
    <w:p w:rsidR="0068449C" w:rsidRDefault="0068449C">
      <w:pPr>
        <w:rPr>
          <w:rStyle w:val="1Char"/>
          <w:rFonts w:ascii="黑体" w:eastAsia="黑体" w:hAnsi="黑体"/>
          <w:b w:val="0"/>
          <w:bCs w:val="0"/>
        </w:rPr>
      </w:pPr>
    </w:p>
    <w:p w:rsidR="0068449C" w:rsidRDefault="00A3283D">
      <w:pPr>
        <w:rPr>
          <w:rStyle w:val="1Char"/>
          <w:rFonts w:ascii="黑体" w:eastAsia="黑体" w:hAnsi="黑体"/>
          <w:b w:val="0"/>
          <w:bCs w:val="0"/>
        </w:rPr>
      </w:pPr>
      <w:r>
        <w:rPr>
          <w:rStyle w:val="1Char"/>
          <w:rFonts w:ascii="黑体" w:eastAsia="黑体" w:hAnsi="黑体"/>
          <w:b w:val="0"/>
        </w:rPr>
        <w:br w:type="page"/>
      </w:r>
    </w:p>
    <w:p w:rsidR="0068449C" w:rsidRDefault="0068449C">
      <w:pPr>
        <w:spacing w:line="600" w:lineRule="exact"/>
        <w:jc w:val="center"/>
        <w:outlineLvl w:val="0"/>
        <w:rPr>
          <w:rStyle w:val="1Char"/>
          <w:rFonts w:ascii="黑体" w:eastAsia="黑体" w:hAnsi="黑体"/>
          <w:b w:val="0"/>
          <w:bCs w:val="0"/>
        </w:rPr>
      </w:pPr>
    </w:p>
    <w:p w:rsidR="0068449C" w:rsidRDefault="00A3283D">
      <w:pPr>
        <w:spacing w:line="600" w:lineRule="exact"/>
        <w:jc w:val="center"/>
        <w:outlineLvl w:val="0"/>
        <w:rPr>
          <w:rStyle w:val="1Char"/>
          <w:rFonts w:ascii="黑体" w:eastAsia="黑体" w:hAnsi="黑体"/>
          <w:b w:val="0"/>
          <w:bCs w:val="0"/>
        </w:rPr>
      </w:pPr>
      <w:bookmarkStart w:id="57" w:name="_Toc15396618"/>
      <w:r>
        <w:rPr>
          <w:rFonts w:ascii="黑体" w:eastAsia="黑体" w:hAnsi="黑体" w:hint="eastAsia"/>
          <w:color w:val="000000"/>
          <w:sz w:val="44"/>
          <w:szCs w:val="44"/>
        </w:rPr>
        <w:t>第</w:t>
      </w:r>
      <w:r>
        <w:rPr>
          <w:rStyle w:val="1Char"/>
          <w:rFonts w:ascii="黑体" w:eastAsia="黑体" w:hAnsi="黑体" w:hint="eastAsia"/>
          <w:b w:val="0"/>
        </w:rPr>
        <w:t>五部分附表</w:t>
      </w:r>
      <w:bookmarkEnd w:id="56"/>
      <w:bookmarkEnd w:id="57"/>
    </w:p>
    <w:p w:rsidR="0068449C" w:rsidRDefault="0068449C">
      <w:pPr>
        <w:spacing w:line="600" w:lineRule="exact"/>
        <w:jc w:val="center"/>
        <w:outlineLvl w:val="0"/>
        <w:rPr>
          <w:rFonts w:ascii="仿宋" w:eastAsia="仿宋" w:hAnsi="仿宋"/>
          <w:b/>
          <w:color w:val="000000"/>
          <w:sz w:val="44"/>
          <w:szCs w:val="44"/>
        </w:rPr>
      </w:pPr>
    </w:p>
    <w:p w:rsidR="0068449C" w:rsidRDefault="00A3283D">
      <w:pPr>
        <w:pStyle w:val="21"/>
        <w:rPr>
          <w:rFonts w:ascii="仿宋" w:eastAsia="仿宋" w:hAnsi="仿宋"/>
          <w:color w:val="000000"/>
        </w:rPr>
      </w:pPr>
      <w:bookmarkStart w:id="58" w:name="_Toc15396619"/>
      <w:r>
        <w:rPr>
          <w:rFonts w:ascii="仿宋" w:eastAsia="仿宋" w:hAnsi="仿宋" w:hint="eastAsia"/>
          <w:b w:val="0"/>
          <w:color w:val="000000"/>
        </w:rPr>
        <w:lastRenderedPageBreak/>
        <w:t>一、</w:t>
      </w:r>
      <w:r>
        <w:rPr>
          <w:rFonts w:ascii="仿宋"/>
          <w:b w:val="0"/>
          <w:color w:val="000000"/>
        </w:rPr>
        <w:t>收</w:t>
      </w:r>
      <w:r>
        <w:rPr>
          <w:rStyle w:val="2Char"/>
          <w:rFonts w:ascii="仿宋" w:eastAsia="仿宋" w:hAnsi="仿宋" w:hint="eastAsia"/>
        </w:rPr>
        <w:t>入支出决算总表</w:t>
      </w:r>
      <w:bookmarkEnd w:id="58"/>
    </w:p>
    <w:p w:rsidR="0068449C" w:rsidRDefault="00A3283D">
      <w:pPr>
        <w:pStyle w:val="21"/>
        <w:rPr>
          <w:rFonts w:ascii="仿宋" w:eastAsia="仿宋" w:hAnsi="仿宋"/>
          <w:b w:val="0"/>
          <w:color w:val="000000"/>
        </w:rPr>
      </w:pPr>
      <w:bookmarkStart w:id="59" w:name="_Toc15396620"/>
      <w:r>
        <w:rPr>
          <w:rFonts w:ascii="仿宋" w:eastAsia="仿宋" w:hAnsi="仿宋" w:hint="eastAsia"/>
          <w:b w:val="0"/>
          <w:color w:val="000000"/>
        </w:rPr>
        <w:t>二、收</w:t>
      </w:r>
      <w:r>
        <w:rPr>
          <w:rStyle w:val="2Char"/>
          <w:rFonts w:ascii="仿宋" w:eastAsia="仿宋" w:hAnsi="仿宋" w:hint="eastAsia"/>
        </w:rPr>
        <w:t>入决算表</w:t>
      </w:r>
      <w:bookmarkEnd w:id="59"/>
    </w:p>
    <w:p w:rsidR="0068449C" w:rsidRDefault="00A3283D">
      <w:pPr>
        <w:pStyle w:val="21"/>
        <w:rPr>
          <w:rFonts w:ascii="仿宋" w:eastAsia="仿宋" w:hAnsi="仿宋"/>
          <w:b w:val="0"/>
          <w:color w:val="000000"/>
        </w:rPr>
      </w:pPr>
      <w:bookmarkStart w:id="60" w:name="_Toc15396621"/>
      <w:r>
        <w:rPr>
          <w:rStyle w:val="2Char"/>
          <w:rFonts w:ascii="仿宋" w:eastAsia="仿宋" w:hAnsi="仿宋" w:hint="eastAsia"/>
        </w:rPr>
        <w:t>三、</w:t>
      </w:r>
      <w:r>
        <w:rPr>
          <w:rFonts w:ascii="仿宋" w:eastAsia="仿宋" w:hAnsi="仿宋" w:hint="eastAsia"/>
          <w:b w:val="0"/>
          <w:color w:val="000000"/>
        </w:rPr>
        <w:t>支</w:t>
      </w:r>
      <w:r>
        <w:rPr>
          <w:rStyle w:val="2Char"/>
          <w:rFonts w:ascii="仿宋" w:eastAsia="仿宋" w:hAnsi="仿宋" w:hint="eastAsia"/>
        </w:rPr>
        <w:t>出决算表</w:t>
      </w:r>
      <w:bookmarkEnd w:id="60"/>
    </w:p>
    <w:p w:rsidR="0068449C" w:rsidRDefault="00A3283D">
      <w:pPr>
        <w:pStyle w:val="21"/>
        <w:rPr>
          <w:rFonts w:ascii="仿宋" w:eastAsia="仿宋" w:hAnsi="仿宋"/>
          <w:b w:val="0"/>
          <w:color w:val="000000"/>
        </w:rPr>
      </w:pPr>
      <w:bookmarkStart w:id="61" w:name="_Toc15396622"/>
      <w:r>
        <w:rPr>
          <w:rStyle w:val="2Char"/>
          <w:rFonts w:ascii="仿宋" w:eastAsia="仿宋" w:hAnsi="仿宋" w:hint="eastAsia"/>
        </w:rPr>
        <w:t>四、</w:t>
      </w:r>
      <w:r>
        <w:rPr>
          <w:rFonts w:ascii="仿宋" w:eastAsia="仿宋" w:hAnsi="仿宋" w:hint="eastAsia"/>
          <w:b w:val="0"/>
          <w:color w:val="000000"/>
        </w:rPr>
        <w:t>财</w:t>
      </w:r>
      <w:r>
        <w:rPr>
          <w:rStyle w:val="2Char"/>
          <w:rFonts w:ascii="仿宋" w:eastAsia="仿宋" w:hAnsi="仿宋" w:hint="eastAsia"/>
        </w:rPr>
        <w:t>政拨款收入支出决算总表</w:t>
      </w:r>
      <w:bookmarkEnd w:id="61"/>
    </w:p>
    <w:p w:rsidR="0068449C" w:rsidRDefault="00A3283D">
      <w:pPr>
        <w:pStyle w:val="21"/>
        <w:rPr>
          <w:rStyle w:val="2Char"/>
          <w:rFonts w:ascii="仿宋" w:eastAsia="仿宋" w:hAnsi="仿宋"/>
          <w:bCs/>
        </w:rPr>
      </w:pPr>
      <w:bookmarkStart w:id="62" w:name="_Toc15396623"/>
      <w:r>
        <w:rPr>
          <w:rStyle w:val="2Char"/>
          <w:rFonts w:ascii="仿宋" w:eastAsia="仿宋" w:hAnsi="仿宋" w:hint="eastAsia"/>
        </w:rPr>
        <w:t>五、</w:t>
      </w:r>
      <w:r>
        <w:rPr>
          <w:rFonts w:ascii="仿宋" w:eastAsia="仿宋" w:hAnsi="仿宋" w:hint="eastAsia"/>
          <w:b w:val="0"/>
          <w:color w:val="000000"/>
        </w:rPr>
        <w:t>财</w:t>
      </w:r>
      <w:r>
        <w:rPr>
          <w:rStyle w:val="2Char"/>
          <w:rFonts w:ascii="仿宋" w:eastAsia="仿宋" w:hAnsi="仿宋" w:hint="eastAsia"/>
        </w:rPr>
        <w:t>政拨款支出决算明细表</w:t>
      </w:r>
      <w:bookmarkStart w:id="63" w:name="_Toc15396624"/>
      <w:bookmarkEnd w:id="62"/>
    </w:p>
    <w:p w:rsidR="0068449C" w:rsidRDefault="00A3283D">
      <w:pPr>
        <w:pStyle w:val="21"/>
        <w:rPr>
          <w:rFonts w:ascii="仿宋" w:eastAsia="仿宋" w:hAnsi="仿宋"/>
          <w:b w:val="0"/>
          <w:color w:val="000000"/>
        </w:rPr>
      </w:pPr>
      <w:r>
        <w:rPr>
          <w:rStyle w:val="2Char"/>
          <w:rFonts w:ascii="仿宋" w:eastAsia="仿宋" w:hAnsi="仿宋" w:hint="eastAsia"/>
        </w:rPr>
        <w:t>六、</w:t>
      </w:r>
      <w:r>
        <w:rPr>
          <w:rFonts w:ascii="仿宋" w:eastAsia="仿宋" w:hAnsi="仿宋" w:hint="eastAsia"/>
          <w:b w:val="0"/>
          <w:color w:val="000000"/>
        </w:rPr>
        <w:t>一</w:t>
      </w:r>
      <w:r>
        <w:rPr>
          <w:rStyle w:val="2Char"/>
          <w:rFonts w:ascii="仿宋" w:eastAsia="仿宋" w:hAnsi="仿宋" w:hint="eastAsia"/>
        </w:rPr>
        <w:t>般公共预算财政拨款支出决算表</w:t>
      </w:r>
      <w:bookmarkEnd w:id="63"/>
    </w:p>
    <w:p w:rsidR="0068449C" w:rsidRDefault="00A3283D">
      <w:pPr>
        <w:pStyle w:val="21"/>
        <w:rPr>
          <w:rFonts w:ascii="仿宋" w:eastAsia="仿宋" w:hAnsi="仿宋"/>
          <w:b w:val="0"/>
          <w:color w:val="000000"/>
        </w:rPr>
      </w:pPr>
      <w:bookmarkStart w:id="64" w:name="_Toc15396625"/>
      <w:r>
        <w:rPr>
          <w:rStyle w:val="2Char"/>
          <w:rFonts w:ascii="仿宋" w:eastAsia="仿宋" w:hAnsi="仿宋" w:hint="eastAsia"/>
        </w:rPr>
        <w:t>七、</w:t>
      </w:r>
      <w:r>
        <w:rPr>
          <w:rFonts w:ascii="仿宋" w:eastAsia="仿宋" w:hAnsi="仿宋" w:hint="eastAsia"/>
          <w:b w:val="0"/>
          <w:color w:val="000000"/>
        </w:rPr>
        <w:t>一</w:t>
      </w:r>
      <w:r>
        <w:rPr>
          <w:rStyle w:val="2Char"/>
          <w:rFonts w:ascii="仿宋" w:eastAsia="仿宋" w:hAnsi="仿宋" w:hint="eastAsia"/>
        </w:rPr>
        <w:t>般公共预算财政拨款支出决算明细表</w:t>
      </w:r>
      <w:bookmarkEnd w:id="64"/>
    </w:p>
    <w:p w:rsidR="0068449C" w:rsidRDefault="00A3283D">
      <w:pPr>
        <w:pStyle w:val="21"/>
        <w:rPr>
          <w:rFonts w:ascii="仿宋" w:eastAsia="仿宋" w:hAnsi="仿宋"/>
          <w:b w:val="0"/>
          <w:color w:val="000000"/>
        </w:rPr>
      </w:pPr>
      <w:bookmarkStart w:id="65" w:name="_Toc15396626"/>
      <w:r>
        <w:rPr>
          <w:rStyle w:val="2Char"/>
          <w:rFonts w:ascii="仿宋" w:eastAsia="仿宋" w:hAnsi="仿宋" w:hint="eastAsia"/>
        </w:rPr>
        <w:t>八、</w:t>
      </w:r>
      <w:r>
        <w:rPr>
          <w:rFonts w:ascii="仿宋" w:eastAsia="仿宋" w:hAnsi="仿宋" w:hint="eastAsia"/>
          <w:b w:val="0"/>
          <w:color w:val="000000"/>
        </w:rPr>
        <w:t>一</w:t>
      </w:r>
      <w:r>
        <w:rPr>
          <w:rStyle w:val="2Char"/>
          <w:rFonts w:ascii="仿宋" w:eastAsia="仿宋" w:hAnsi="仿宋" w:hint="eastAsia"/>
        </w:rPr>
        <w:t>般公共预算财政拨款基本支出决算表</w:t>
      </w:r>
      <w:bookmarkEnd w:id="65"/>
    </w:p>
    <w:p w:rsidR="0068449C" w:rsidRDefault="00A3283D">
      <w:pPr>
        <w:pStyle w:val="21"/>
        <w:rPr>
          <w:rFonts w:ascii="仿宋" w:eastAsia="仿宋" w:hAnsi="仿宋"/>
          <w:b w:val="0"/>
          <w:color w:val="000000"/>
        </w:rPr>
      </w:pPr>
      <w:bookmarkStart w:id="66" w:name="_Toc15396627"/>
      <w:r>
        <w:rPr>
          <w:rStyle w:val="2Char"/>
          <w:rFonts w:ascii="仿宋" w:eastAsia="仿宋" w:hAnsi="仿宋" w:hint="eastAsia"/>
        </w:rPr>
        <w:t>九、</w:t>
      </w:r>
      <w:r>
        <w:rPr>
          <w:rFonts w:ascii="仿宋" w:eastAsia="仿宋" w:hAnsi="仿宋" w:hint="eastAsia"/>
          <w:b w:val="0"/>
          <w:color w:val="000000"/>
        </w:rPr>
        <w:t>一</w:t>
      </w:r>
      <w:r>
        <w:rPr>
          <w:rStyle w:val="2Char"/>
          <w:rFonts w:ascii="仿宋" w:eastAsia="仿宋" w:hAnsi="仿宋" w:hint="eastAsia"/>
        </w:rPr>
        <w:t>般公共预算财政拨款项目支出决算表</w:t>
      </w:r>
      <w:bookmarkEnd w:id="66"/>
    </w:p>
    <w:p w:rsidR="0068449C" w:rsidRDefault="00A3283D">
      <w:pPr>
        <w:pStyle w:val="21"/>
        <w:rPr>
          <w:rFonts w:ascii="仿宋" w:eastAsia="仿宋" w:hAnsi="仿宋"/>
          <w:b w:val="0"/>
          <w:color w:val="000000"/>
        </w:rPr>
      </w:pPr>
      <w:bookmarkStart w:id="67" w:name="_Toc15396628"/>
      <w:r>
        <w:rPr>
          <w:rStyle w:val="2Char"/>
          <w:rFonts w:ascii="仿宋" w:eastAsia="仿宋" w:hAnsi="仿宋" w:hint="eastAsia"/>
        </w:rPr>
        <w:t>十、</w:t>
      </w:r>
      <w:r>
        <w:rPr>
          <w:rFonts w:ascii="仿宋" w:eastAsia="仿宋" w:hAnsi="仿宋" w:hint="eastAsia"/>
          <w:b w:val="0"/>
          <w:color w:val="000000"/>
        </w:rPr>
        <w:t>一</w:t>
      </w:r>
      <w:r>
        <w:rPr>
          <w:rStyle w:val="2Char"/>
          <w:rFonts w:ascii="仿宋" w:eastAsia="仿宋" w:hAnsi="仿宋" w:hint="eastAsia"/>
        </w:rPr>
        <w:t>般公共预算财政拨款“三公”经费支出决算表</w:t>
      </w:r>
      <w:bookmarkEnd w:id="67"/>
    </w:p>
    <w:p w:rsidR="0068449C" w:rsidRDefault="00A3283D">
      <w:pPr>
        <w:pStyle w:val="21"/>
        <w:rPr>
          <w:rFonts w:ascii="仿宋" w:eastAsia="仿宋" w:hAnsi="仿宋"/>
          <w:color w:val="000000"/>
        </w:rPr>
      </w:pPr>
      <w:bookmarkStart w:id="68" w:name="_Toc15396629"/>
      <w:r>
        <w:rPr>
          <w:rStyle w:val="2Char"/>
          <w:rFonts w:ascii="仿宋" w:eastAsia="仿宋" w:hAnsi="仿宋" w:hint="eastAsia"/>
        </w:rPr>
        <w:t>十一、</w:t>
      </w:r>
      <w:r>
        <w:rPr>
          <w:rFonts w:ascii="仿宋" w:eastAsia="仿宋" w:hAnsi="仿宋" w:hint="eastAsia"/>
          <w:b w:val="0"/>
          <w:color w:val="000000"/>
        </w:rPr>
        <w:t>政</w:t>
      </w:r>
      <w:r>
        <w:rPr>
          <w:rStyle w:val="2Char"/>
          <w:rFonts w:ascii="仿宋" w:eastAsia="仿宋" w:hAnsi="仿宋" w:hint="eastAsia"/>
        </w:rPr>
        <w:t>府性基金预算财政拨款收入支出决算表</w:t>
      </w:r>
      <w:bookmarkEnd w:id="68"/>
    </w:p>
    <w:p w:rsidR="0068449C" w:rsidRDefault="00A3283D">
      <w:pPr>
        <w:pStyle w:val="21"/>
        <w:rPr>
          <w:rFonts w:ascii="仿宋" w:eastAsia="仿宋" w:hAnsi="仿宋"/>
          <w:b w:val="0"/>
          <w:color w:val="000000"/>
        </w:rPr>
      </w:pPr>
      <w:bookmarkStart w:id="69" w:name="_Toc15396630"/>
      <w:r>
        <w:rPr>
          <w:rStyle w:val="2Char"/>
          <w:rFonts w:ascii="仿宋" w:eastAsia="仿宋" w:hAnsi="仿宋" w:hint="eastAsia"/>
        </w:rPr>
        <w:t>十二、</w:t>
      </w:r>
      <w:r>
        <w:rPr>
          <w:rFonts w:ascii="仿宋" w:eastAsia="仿宋" w:hAnsi="仿宋" w:hint="eastAsia"/>
          <w:b w:val="0"/>
          <w:color w:val="000000"/>
        </w:rPr>
        <w:t>政</w:t>
      </w:r>
      <w:r>
        <w:rPr>
          <w:rStyle w:val="2Char"/>
          <w:rFonts w:ascii="仿宋" w:eastAsia="仿宋" w:hAnsi="仿宋" w:hint="eastAsia"/>
        </w:rPr>
        <w:t>府性基金预算财政拨款“三公”经费支出决算表（此表无数据）</w:t>
      </w:r>
      <w:bookmarkEnd w:id="69"/>
    </w:p>
    <w:p w:rsidR="0068449C" w:rsidRDefault="00A3283D">
      <w:pPr>
        <w:pStyle w:val="21"/>
        <w:rPr>
          <w:rFonts w:ascii="仿宋" w:eastAsia="仿宋" w:hAnsi="仿宋"/>
          <w:b w:val="0"/>
          <w:color w:val="000000"/>
        </w:rPr>
      </w:pPr>
      <w:bookmarkStart w:id="70" w:name="_Toc15396631"/>
      <w:r>
        <w:rPr>
          <w:rStyle w:val="2Char"/>
          <w:rFonts w:ascii="仿宋" w:eastAsia="仿宋" w:hAnsi="仿宋" w:hint="eastAsia"/>
        </w:rPr>
        <w:t>十三、</w:t>
      </w:r>
      <w:r>
        <w:rPr>
          <w:rFonts w:ascii="仿宋" w:eastAsia="仿宋" w:hAnsi="仿宋" w:hint="eastAsia"/>
          <w:b w:val="0"/>
          <w:color w:val="000000"/>
        </w:rPr>
        <w:t>国</w:t>
      </w:r>
      <w:r>
        <w:rPr>
          <w:rStyle w:val="2Char"/>
          <w:rFonts w:ascii="仿宋" w:eastAsia="仿宋" w:hAnsi="仿宋" w:hint="eastAsia"/>
        </w:rPr>
        <w:t>有资本经营预算财政拨款收入支出决算表（此表无数据）</w:t>
      </w:r>
      <w:bookmarkEnd w:id="70"/>
    </w:p>
    <w:p w:rsidR="0068449C" w:rsidRDefault="00A3283D">
      <w:pPr>
        <w:pStyle w:val="21"/>
        <w:rPr>
          <w:rStyle w:val="2Char"/>
          <w:rFonts w:ascii="仿宋" w:eastAsia="仿宋" w:hAnsi="仿宋"/>
          <w:b/>
        </w:rPr>
      </w:pPr>
      <w:r>
        <w:rPr>
          <w:rStyle w:val="2Char"/>
          <w:rFonts w:ascii="仿宋" w:eastAsia="仿宋" w:hAnsi="仿宋"/>
        </w:rPr>
        <w:t>十四、国有资本经营预算财政拨款支出决算表（此表无数据）</w:t>
      </w:r>
    </w:p>
    <w:sectPr w:rsidR="0068449C">
      <w:headerReference w:type="default" r:id="rId15"/>
      <w:footerReference w:type="default" r:id="rId16"/>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83D" w:rsidRDefault="00A3283D">
      <w:r>
        <w:separator/>
      </w:r>
    </w:p>
  </w:endnote>
  <w:endnote w:type="continuationSeparator" w:id="0">
    <w:p w:rsidR="00A3283D" w:rsidRDefault="00A32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方正小标宋简体">
    <w:altName w:val="Arial Unicode MS"/>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Arial Unicode MS"/>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49C" w:rsidRDefault="00A3283D">
    <w:pPr>
      <w:pStyle w:val="a6"/>
      <w:jc w:val="center"/>
    </w:pPr>
    <w:r>
      <w:fldChar w:fldCharType="begin"/>
    </w:r>
    <w:r>
      <w:instrText>PAGE   \* MERGEFORMAT</w:instrText>
    </w:r>
    <w:r>
      <w:fldChar w:fldCharType="separate"/>
    </w:r>
    <w:r w:rsidR="007B2E68" w:rsidRPr="007B2E68">
      <w:rPr>
        <w:noProof/>
        <w:lang w:val="zh-CN"/>
      </w:rPr>
      <w:t>34</w:t>
    </w:r>
    <w:r>
      <w:rPr>
        <w:lang w:val="zh-CN"/>
      </w:rPr>
      <w:fldChar w:fldCharType="end"/>
    </w:r>
  </w:p>
  <w:p w:rsidR="0068449C" w:rsidRDefault="0068449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83D" w:rsidRDefault="00A3283D">
      <w:r>
        <w:separator/>
      </w:r>
    </w:p>
  </w:footnote>
  <w:footnote w:type="continuationSeparator" w:id="0">
    <w:p w:rsidR="00A3283D" w:rsidRDefault="00A328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49C" w:rsidRDefault="0068449C">
    <w:pPr>
      <w:pStyle w:val="a7"/>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652CEC"/>
    <w:multiLevelType w:val="singleLevel"/>
    <w:tmpl w:val="CF652CEC"/>
    <w:lvl w:ilvl="0">
      <w:start w:val="9"/>
      <w:numFmt w:val="chineseCounting"/>
      <w:suff w:val="nothing"/>
      <w:lvlText w:val="%1、"/>
      <w:lvlJc w:val="left"/>
      <w:rPr>
        <w:rFonts w:cs="Times New Roman" w:hint="eastAsia"/>
      </w:rPr>
    </w:lvl>
  </w:abstractNum>
  <w:abstractNum w:abstractNumId="1">
    <w:nsid w:val="E2FA047D"/>
    <w:multiLevelType w:val="singleLevel"/>
    <w:tmpl w:val="E2FA047D"/>
    <w:lvl w:ilvl="0">
      <w:start w:val="3"/>
      <w:numFmt w:val="chineseCounting"/>
      <w:suff w:val="space"/>
      <w:lvlText w:val="第%1部分"/>
      <w:lvlJc w:val="left"/>
      <w:rPr>
        <w:rFonts w:cs="Times New Roman" w:hint="eastAsia"/>
      </w:rPr>
    </w:lvl>
  </w:abstractNum>
  <w:abstractNum w:abstractNumId="2">
    <w:nsid w:val="11674E2C"/>
    <w:multiLevelType w:val="multilevel"/>
    <w:tmpl w:val="11674E2C"/>
    <w:lvl w:ilvl="0">
      <w:start w:val="3"/>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3">
    <w:nsid w:val="1272550B"/>
    <w:multiLevelType w:val="multilevel"/>
    <w:tmpl w:val="1272550B"/>
    <w:lvl w:ilvl="0">
      <w:start w:val="1"/>
      <w:numFmt w:val="japaneseCounting"/>
      <w:lvlText w:val="%1、"/>
      <w:lvlJc w:val="left"/>
      <w:pPr>
        <w:ind w:left="1360" w:hanging="720"/>
      </w:pPr>
      <w:rPr>
        <w:rFonts w:cs="Times New Roman" w:hint="default"/>
        <w:b w:val="0"/>
      </w:rPr>
    </w:lvl>
    <w:lvl w:ilvl="1">
      <w:start w:val="1"/>
      <w:numFmt w:val="lowerLetter"/>
      <w:lvlText w:val="%2)"/>
      <w:lvlJc w:val="left"/>
      <w:pPr>
        <w:ind w:left="1480" w:hanging="420"/>
      </w:pPr>
      <w:rPr>
        <w:rFonts w:cs="Times New Roman"/>
      </w:rPr>
    </w:lvl>
    <w:lvl w:ilvl="2">
      <w:start w:val="1"/>
      <w:numFmt w:val="lowerRoman"/>
      <w:lvlText w:val="%3."/>
      <w:lvlJc w:val="right"/>
      <w:pPr>
        <w:ind w:left="1900" w:hanging="420"/>
      </w:pPr>
      <w:rPr>
        <w:rFonts w:cs="Times New Roman"/>
      </w:rPr>
    </w:lvl>
    <w:lvl w:ilvl="3">
      <w:start w:val="1"/>
      <w:numFmt w:val="decimal"/>
      <w:lvlText w:val="%4."/>
      <w:lvlJc w:val="left"/>
      <w:pPr>
        <w:ind w:left="2320" w:hanging="420"/>
      </w:pPr>
      <w:rPr>
        <w:rFonts w:cs="Times New Roman"/>
      </w:rPr>
    </w:lvl>
    <w:lvl w:ilvl="4">
      <w:start w:val="1"/>
      <w:numFmt w:val="lowerLetter"/>
      <w:lvlText w:val="%5)"/>
      <w:lvlJc w:val="left"/>
      <w:pPr>
        <w:ind w:left="2740" w:hanging="420"/>
      </w:pPr>
      <w:rPr>
        <w:rFonts w:cs="Times New Roman"/>
      </w:rPr>
    </w:lvl>
    <w:lvl w:ilvl="5">
      <w:start w:val="1"/>
      <w:numFmt w:val="lowerRoman"/>
      <w:lvlText w:val="%6."/>
      <w:lvlJc w:val="right"/>
      <w:pPr>
        <w:ind w:left="3160" w:hanging="420"/>
      </w:pPr>
      <w:rPr>
        <w:rFonts w:cs="Times New Roman"/>
      </w:rPr>
    </w:lvl>
    <w:lvl w:ilvl="6">
      <w:start w:val="1"/>
      <w:numFmt w:val="decimal"/>
      <w:lvlText w:val="%7."/>
      <w:lvlJc w:val="left"/>
      <w:pPr>
        <w:ind w:left="3580" w:hanging="420"/>
      </w:pPr>
      <w:rPr>
        <w:rFonts w:cs="Times New Roman"/>
      </w:rPr>
    </w:lvl>
    <w:lvl w:ilvl="7">
      <w:start w:val="1"/>
      <w:numFmt w:val="lowerLetter"/>
      <w:lvlText w:val="%8)"/>
      <w:lvlJc w:val="left"/>
      <w:pPr>
        <w:ind w:left="4000" w:hanging="420"/>
      </w:pPr>
      <w:rPr>
        <w:rFonts w:cs="Times New Roman"/>
      </w:rPr>
    </w:lvl>
    <w:lvl w:ilvl="8">
      <w:start w:val="1"/>
      <w:numFmt w:val="lowerRoman"/>
      <w:lvlText w:val="%9."/>
      <w:lvlJc w:val="right"/>
      <w:pPr>
        <w:ind w:left="4420" w:hanging="420"/>
      </w:pPr>
      <w:rPr>
        <w:rFonts w:cs="Times New Roman"/>
      </w:rPr>
    </w:lvl>
  </w:abstractNum>
  <w:abstractNum w:abstractNumId="4">
    <w:nsid w:val="5C8763A0"/>
    <w:multiLevelType w:val="multilevel"/>
    <w:tmpl w:val="5C8763A0"/>
    <w:lvl w:ilvl="0">
      <w:start w:val="1"/>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5">
    <w:nsid w:val="5F1F04F0"/>
    <w:multiLevelType w:val="multilevel"/>
    <w:tmpl w:val="5F1F04F0"/>
    <w:lvl w:ilvl="0">
      <w:start w:val="2"/>
      <w:numFmt w:val="decimal"/>
      <w:lvlText w:val="（%1）"/>
      <w:lvlJc w:val="left"/>
      <w:pPr>
        <w:ind w:left="1720" w:hanging="108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6">
    <w:nsid w:val="628E2CC5"/>
    <w:multiLevelType w:val="multilevel"/>
    <w:tmpl w:val="628E2CC5"/>
    <w:lvl w:ilvl="0">
      <w:start w:val="1"/>
      <w:numFmt w:val="japaneseCounting"/>
      <w:lvlText w:val="（%1）"/>
      <w:lvlJc w:val="left"/>
      <w:pPr>
        <w:ind w:left="1880" w:hanging="1080"/>
      </w:pPr>
      <w:rPr>
        <w:rFonts w:hint="default"/>
      </w:rPr>
    </w:lvl>
    <w:lvl w:ilvl="1">
      <w:start w:val="1"/>
      <w:numFmt w:val="lowerLetter"/>
      <w:lvlText w:val="%2)"/>
      <w:lvlJc w:val="left"/>
      <w:pPr>
        <w:ind w:left="1640" w:hanging="420"/>
      </w:pPr>
    </w:lvl>
    <w:lvl w:ilvl="2">
      <w:start w:val="1"/>
      <w:numFmt w:val="lowerRoman"/>
      <w:lvlText w:val="%3."/>
      <w:lvlJc w:val="right"/>
      <w:pPr>
        <w:ind w:left="2060" w:hanging="420"/>
      </w:pPr>
    </w:lvl>
    <w:lvl w:ilvl="3">
      <w:start w:val="1"/>
      <w:numFmt w:val="decimal"/>
      <w:lvlText w:val="%4."/>
      <w:lvlJc w:val="left"/>
      <w:pPr>
        <w:ind w:left="2480" w:hanging="420"/>
      </w:pPr>
    </w:lvl>
    <w:lvl w:ilvl="4">
      <w:start w:val="1"/>
      <w:numFmt w:val="lowerLetter"/>
      <w:lvlText w:val="%5)"/>
      <w:lvlJc w:val="left"/>
      <w:pPr>
        <w:ind w:left="2900" w:hanging="420"/>
      </w:pPr>
    </w:lvl>
    <w:lvl w:ilvl="5">
      <w:start w:val="1"/>
      <w:numFmt w:val="lowerRoman"/>
      <w:lvlText w:val="%6."/>
      <w:lvlJc w:val="right"/>
      <w:pPr>
        <w:ind w:left="3320" w:hanging="420"/>
      </w:pPr>
    </w:lvl>
    <w:lvl w:ilvl="6">
      <w:start w:val="1"/>
      <w:numFmt w:val="decimal"/>
      <w:lvlText w:val="%7."/>
      <w:lvlJc w:val="left"/>
      <w:pPr>
        <w:ind w:left="3740" w:hanging="420"/>
      </w:pPr>
    </w:lvl>
    <w:lvl w:ilvl="7">
      <w:start w:val="1"/>
      <w:numFmt w:val="lowerLetter"/>
      <w:lvlText w:val="%8)"/>
      <w:lvlJc w:val="left"/>
      <w:pPr>
        <w:ind w:left="4160" w:hanging="420"/>
      </w:pPr>
    </w:lvl>
    <w:lvl w:ilvl="8">
      <w:start w:val="1"/>
      <w:numFmt w:val="lowerRoman"/>
      <w:lvlText w:val="%9."/>
      <w:lvlJc w:val="right"/>
      <w:pPr>
        <w:ind w:left="4580" w:hanging="420"/>
      </w:pPr>
    </w:lvl>
  </w:abstractNum>
  <w:num w:numId="1">
    <w:abstractNumId w:val="3"/>
  </w:num>
  <w:num w:numId="2">
    <w:abstractNumId w:val="0"/>
  </w:num>
  <w:num w:numId="3">
    <w:abstractNumId w:val="1"/>
  </w:num>
  <w:num w:numId="4">
    <w:abstractNumId w:val="4"/>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RiNmY5NzM0MTEwNDEwNWY2ZWY1YWM3NTlhMjYyNWYifQ=="/>
  </w:docVars>
  <w:rsids>
    <w:rsidRoot w:val="005F2ABB"/>
    <w:rsid w:val="005F2ABB"/>
    <w:rsid w:val="0068449C"/>
    <w:rsid w:val="007022D3"/>
    <w:rsid w:val="007B2E68"/>
    <w:rsid w:val="00A3283D"/>
    <w:rsid w:val="36B328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0" w:qFormat="1"/>
    <w:lsdException w:name="footer" w:semiHidden="0" w:unhideWhenUsed="0" w:qFormat="1"/>
    <w:lsdException w:name="caption" w:uiPriority="35" w:qFormat="1"/>
    <w:lsdException w:name="Title" w:semiHidden="0" w:uiPriority="0" w:unhideWhenUsed="0"/>
    <w:lsdException w:name="Default Paragraph Font" w:uiPriority="1"/>
    <w:lsdException w:name="Body Text" w:semiHidden="0" w:unhideWhenUsed="0" w:qFormat="1"/>
    <w:lsdException w:name="Subtitle" w:semiHidden="0" w:uiPriority="0" w:unhideWhenUsed="0"/>
    <w:lsdException w:name="Hyperlink" w:semiHidden="0" w:qFormat="1"/>
    <w:lsdException w:name="Strong" w:semiHidden="0" w:unhideWhenUsed="0" w:qFormat="1"/>
    <w:lsdException w:name="Emphasis" w:semiHidden="0" w:uiPriority="20" w:unhideWhenUsed="0" w:qFormat="1"/>
    <w:lsdException w:name="Plain Text" w:semiHidden="0" w:uiPriority="0" w:unhideWhenUsed="0"/>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1"/>
    <w:uiPriority w:val="99"/>
    <w:qFormat/>
    <w:rPr>
      <w:rFonts w:ascii="仿宋_GB2312" w:eastAsia="仿宋_GB2312"/>
      <w:sz w:val="24"/>
    </w:rPr>
  </w:style>
  <w:style w:type="paragraph" w:styleId="3">
    <w:name w:val="toc 3"/>
    <w:basedOn w:val="a"/>
    <w:next w:val="a"/>
    <w:uiPriority w:val="39"/>
    <w:unhideWhenUsed/>
    <w:qFormat/>
    <w:pPr>
      <w:tabs>
        <w:tab w:val="right" w:leader="dot" w:pos="8296"/>
      </w:tabs>
      <w:ind w:left="840"/>
    </w:pPr>
  </w:style>
  <w:style w:type="paragraph" w:styleId="a4">
    <w:name w:val="Plain Text"/>
    <w:basedOn w:val="a"/>
    <w:link w:val="Char"/>
    <w:rPr>
      <w:rFonts w:ascii="宋体" w:hAnsi="Courier New"/>
    </w:rPr>
  </w:style>
  <w:style w:type="paragraph" w:styleId="a5">
    <w:name w:val="Balloon Text"/>
    <w:basedOn w:val="a"/>
    <w:link w:val="Char0"/>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pPr>
    <w:rPr>
      <w:sz w:val="18"/>
    </w:rPr>
  </w:style>
  <w:style w:type="paragraph" w:styleId="a7">
    <w:name w:val="header"/>
    <w:basedOn w:val="a"/>
    <w:link w:val="Char3"/>
    <w:uiPriority w:val="99"/>
    <w:semiHidden/>
    <w:qFormat/>
    <w:pPr>
      <w:pBdr>
        <w:bottom w:val="single" w:sz="6" w:space="1" w:color="auto"/>
      </w:pBdr>
      <w:tabs>
        <w:tab w:val="center" w:pos="4153"/>
        <w:tab w:val="right" w:pos="8306"/>
      </w:tabs>
      <w:snapToGrid w:val="0"/>
      <w:jc w:val="center"/>
    </w:pPr>
    <w:rPr>
      <w:sz w:val="18"/>
    </w:rPr>
  </w:style>
  <w:style w:type="paragraph" w:styleId="1">
    <w:name w:val="toc 1"/>
    <w:basedOn w:val="a"/>
    <w:next w:val="a"/>
    <w:unhideWhenUsed/>
    <w:qFormat/>
    <w:pPr>
      <w:tabs>
        <w:tab w:val="right" w:leader="dot" w:pos="8296"/>
      </w:tabs>
      <w:spacing w:before="93"/>
      <w:jc w:val="center"/>
    </w:pPr>
    <w:rPr>
      <w:rFonts w:ascii="仿宋" w:eastAsia="仿宋" w:hAnsi="仿宋"/>
      <w:sz w:val="28"/>
      <w:szCs w:val="28"/>
    </w:rPr>
  </w:style>
  <w:style w:type="paragraph" w:styleId="a8">
    <w:name w:val="Subtitle"/>
    <w:basedOn w:val="a"/>
    <w:rPr>
      <w:i/>
      <w:color w:val="4F81BD"/>
      <w:sz w:val="24"/>
    </w:rPr>
  </w:style>
  <w:style w:type="paragraph" w:styleId="2">
    <w:name w:val="toc 2"/>
    <w:basedOn w:val="a"/>
    <w:next w:val="a"/>
    <w:uiPriority w:val="39"/>
    <w:unhideWhenUsed/>
    <w:qFormat/>
    <w:pPr>
      <w:tabs>
        <w:tab w:val="right" w:leader="dot" w:pos="8296"/>
      </w:tabs>
      <w:ind w:left="420"/>
    </w:pPr>
  </w:style>
  <w:style w:type="paragraph" w:styleId="a9">
    <w:name w:val="Title"/>
    <w:basedOn w:val="a"/>
    <w:pPr>
      <w:spacing w:after="300"/>
    </w:pPr>
    <w:rPr>
      <w:color w:val="17365D"/>
      <w:sz w:val="52"/>
    </w:rPr>
  </w:style>
  <w:style w:type="character" w:styleId="aa">
    <w:name w:val="Strong"/>
    <w:uiPriority w:val="99"/>
    <w:qFormat/>
    <w:rPr>
      <w:rFonts w:cs="Times New Roman"/>
      <w:b/>
    </w:rPr>
  </w:style>
  <w:style w:type="character" w:styleId="ab">
    <w:name w:val="Hyperlink"/>
    <w:uiPriority w:val="99"/>
    <w:unhideWhenUsed/>
    <w:qFormat/>
    <w:rPr>
      <w:rFonts w:cs="Times New Roman"/>
      <w:color w:val="0000FF"/>
      <w:u w:val="single"/>
    </w:rPr>
  </w:style>
  <w:style w:type="paragraph" w:customStyle="1" w:styleId="11">
    <w:name w:val="标题 11"/>
    <w:basedOn w:val="a"/>
    <w:next w:val="a"/>
    <w:link w:val="1Char"/>
    <w:uiPriority w:val="9"/>
    <w:qFormat/>
    <w:pPr>
      <w:keepNext/>
      <w:keepLines/>
      <w:spacing w:before="340" w:after="330" w:line="578" w:lineRule="auto"/>
      <w:outlineLvl w:val="0"/>
    </w:pPr>
    <w:rPr>
      <w:b/>
      <w:bCs/>
      <w:kern w:val="44"/>
      <w:sz w:val="44"/>
      <w:szCs w:val="44"/>
    </w:rPr>
  </w:style>
  <w:style w:type="paragraph" w:customStyle="1" w:styleId="21">
    <w:name w:val="标题 21"/>
    <w:basedOn w:val="a"/>
    <w:next w:val="a"/>
    <w:link w:val="2Char"/>
    <w:uiPriority w:val="9"/>
    <w:qFormat/>
    <w:pPr>
      <w:keepNext/>
      <w:keepLines/>
      <w:spacing w:before="260" w:after="260" w:line="416" w:lineRule="auto"/>
      <w:outlineLvl w:val="1"/>
    </w:pPr>
    <w:rPr>
      <w:rFonts w:ascii="Cambria" w:hAnsi="Cambria"/>
      <w:b/>
      <w:bCs/>
      <w:sz w:val="32"/>
      <w:szCs w:val="32"/>
    </w:rPr>
  </w:style>
  <w:style w:type="paragraph" w:customStyle="1" w:styleId="31">
    <w:name w:val="标题 31"/>
    <w:basedOn w:val="a"/>
    <w:next w:val="a"/>
    <w:link w:val="3Char"/>
    <w:uiPriority w:val="9"/>
    <w:qFormat/>
    <w:pPr>
      <w:keepNext/>
      <w:keepLines/>
      <w:spacing w:before="260" w:after="260" w:line="416" w:lineRule="auto"/>
      <w:outlineLvl w:val="2"/>
    </w:pPr>
    <w:rPr>
      <w:b/>
      <w:bCs/>
      <w:sz w:val="32"/>
      <w:szCs w:val="32"/>
    </w:rPr>
  </w:style>
  <w:style w:type="character" w:customStyle="1" w:styleId="1Char">
    <w:name w:val="标题 1 Char"/>
    <w:link w:val="11"/>
    <w:uiPriority w:val="9"/>
    <w:qFormat/>
    <w:locked/>
    <w:rPr>
      <w:rFonts w:ascii="Times New Roman" w:hAnsi="Times New Roman" w:cs="Times New Roman"/>
      <w:b/>
      <w:bCs/>
      <w:kern w:val="44"/>
      <w:sz w:val="44"/>
      <w:szCs w:val="44"/>
    </w:rPr>
  </w:style>
  <w:style w:type="character" w:customStyle="1" w:styleId="2Char">
    <w:name w:val="标题 2 Char"/>
    <w:link w:val="21"/>
    <w:uiPriority w:val="9"/>
    <w:qFormat/>
    <w:locked/>
    <w:rPr>
      <w:rFonts w:ascii="Cambria" w:eastAsia="宋体" w:hAnsi="Cambria" w:cs="Times New Roman"/>
      <w:b/>
      <w:bCs/>
      <w:kern w:val="2"/>
      <w:sz w:val="32"/>
      <w:szCs w:val="32"/>
    </w:rPr>
  </w:style>
  <w:style w:type="character" w:customStyle="1" w:styleId="3Char">
    <w:name w:val="标题 3 Char"/>
    <w:link w:val="31"/>
    <w:uiPriority w:val="9"/>
    <w:qFormat/>
    <w:locked/>
    <w:rPr>
      <w:rFonts w:ascii="Times New Roman" w:hAnsi="Times New Roman" w:cs="Times New Roman"/>
      <w:b/>
      <w:bCs/>
      <w:kern w:val="2"/>
      <w:sz w:val="32"/>
      <w:szCs w:val="32"/>
    </w:rPr>
  </w:style>
  <w:style w:type="character" w:customStyle="1" w:styleId="BodyTextChar">
    <w:name w:val="Body Text Char"/>
    <w:uiPriority w:val="99"/>
    <w:semiHidden/>
    <w:qFormat/>
    <w:rPr>
      <w:rFonts w:ascii="Times New Roman" w:hAnsi="Times New Roman" w:cs="Times New Roman"/>
      <w:sz w:val="24"/>
      <w:szCs w:val="24"/>
    </w:rPr>
  </w:style>
  <w:style w:type="character" w:customStyle="1" w:styleId="Char0">
    <w:name w:val="批注框文本 Char"/>
    <w:link w:val="a5"/>
    <w:uiPriority w:val="99"/>
    <w:semiHidden/>
    <w:qFormat/>
    <w:locked/>
    <w:rPr>
      <w:rFonts w:ascii="Times New Roman" w:hAnsi="Times New Roman" w:cs="Times New Roman"/>
      <w:kern w:val="2"/>
      <w:sz w:val="18"/>
      <w:szCs w:val="18"/>
    </w:rPr>
  </w:style>
  <w:style w:type="character" w:customStyle="1" w:styleId="FooterChar">
    <w:name w:val="Footer Char"/>
    <w:uiPriority w:val="99"/>
    <w:semiHidden/>
    <w:qFormat/>
    <w:rPr>
      <w:rFonts w:ascii="Times New Roman" w:hAnsi="Times New Roman" w:cs="Times New Roman"/>
      <w:sz w:val="18"/>
      <w:szCs w:val="18"/>
    </w:rPr>
  </w:style>
  <w:style w:type="character" w:customStyle="1" w:styleId="HeaderChar">
    <w:name w:val="Header Char"/>
    <w:uiPriority w:val="99"/>
    <w:semiHidden/>
    <w:qFormat/>
    <w:rPr>
      <w:rFonts w:ascii="Times New Roman" w:hAnsi="Times New Roman" w:cs="Times New Roman"/>
      <w:sz w:val="18"/>
      <w:szCs w:val="18"/>
    </w:rPr>
  </w:style>
  <w:style w:type="character" w:customStyle="1" w:styleId="Char3">
    <w:name w:val="页眉 Char"/>
    <w:link w:val="a7"/>
    <w:uiPriority w:val="99"/>
    <w:semiHidden/>
    <w:qFormat/>
    <w:locked/>
    <w:rPr>
      <w:sz w:val="18"/>
    </w:rPr>
  </w:style>
  <w:style w:type="character" w:customStyle="1" w:styleId="Char2">
    <w:name w:val="页脚 Char"/>
    <w:link w:val="a6"/>
    <w:uiPriority w:val="99"/>
    <w:qFormat/>
    <w:locked/>
    <w:rPr>
      <w:sz w:val="18"/>
    </w:rPr>
  </w:style>
  <w:style w:type="character" w:customStyle="1" w:styleId="Char1">
    <w:name w:val="正文文本 Char1"/>
    <w:link w:val="a3"/>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cs="仿宋"/>
      <w:color w:val="000000"/>
      <w:sz w:val="24"/>
      <w:szCs w:val="24"/>
    </w:rPr>
  </w:style>
  <w:style w:type="paragraph" w:customStyle="1" w:styleId="10">
    <w:name w:val="列出段落1"/>
    <w:basedOn w:val="a"/>
    <w:uiPriority w:val="34"/>
    <w:qFormat/>
    <w:pPr>
      <w:ind w:firstLine="420"/>
    </w:pPr>
  </w:style>
  <w:style w:type="paragraph" w:customStyle="1" w:styleId="TOC1">
    <w:name w:val="TOC 标题1"/>
    <w:basedOn w:val="11"/>
    <w:next w:val="a"/>
    <w:uiPriority w:val="39"/>
    <w:unhideWhenUsed/>
    <w:qFormat/>
    <w:pPr>
      <w:spacing w:before="480" w:after="0" w:line="276" w:lineRule="auto"/>
      <w:outlineLvl w:val="9"/>
    </w:pPr>
    <w:rPr>
      <w:rFonts w:ascii="Cambria" w:hAnsi="Cambria"/>
      <w:color w:val="365F91"/>
      <w:kern w:val="0"/>
      <w:sz w:val="28"/>
      <w:szCs w:val="28"/>
    </w:rPr>
  </w:style>
  <w:style w:type="paragraph" w:customStyle="1" w:styleId="TOCHeading1">
    <w:name w:val="TOC Heading1"/>
    <w:basedOn w:val="11"/>
    <w:next w:val="a"/>
    <w:uiPriority w:val="39"/>
    <w:unhideWhenUsed/>
    <w:qFormat/>
    <w:pPr>
      <w:spacing w:before="480" w:after="0" w:line="276" w:lineRule="auto"/>
      <w:outlineLvl w:val="9"/>
    </w:pPr>
    <w:rPr>
      <w:rFonts w:ascii="Cambria" w:hAnsi="Cambria"/>
      <w:color w:val="365F91"/>
      <w:kern w:val="0"/>
      <w:sz w:val="28"/>
      <w:szCs w:val="28"/>
    </w:rPr>
  </w:style>
  <w:style w:type="character" w:customStyle="1" w:styleId="2Char1">
    <w:name w:val="标题 2 Char1"/>
    <w:uiPriority w:val="9"/>
    <w:qFormat/>
    <w:locked/>
    <w:rPr>
      <w:rFonts w:ascii="Cambria" w:eastAsia="宋体" w:hAnsi="Cambria" w:cs="Times New Roman"/>
      <w:b/>
      <w:bCs/>
      <w:sz w:val="32"/>
      <w:szCs w:val="32"/>
    </w:rPr>
  </w:style>
  <w:style w:type="character" w:customStyle="1" w:styleId="Char4">
    <w:name w:val="正文文本 Char"/>
    <w:uiPriority w:val="99"/>
    <w:qFormat/>
    <w:locked/>
    <w:rPr>
      <w:rFonts w:ascii="仿宋_GB2312" w:eastAsia="仿宋_GB2312" w:hAnsi="Times New Roman"/>
      <w:sz w:val="24"/>
    </w:rPr>
  </w:style>
  <w:style w:type="character" w:customStyle="1" w:styleId="Char">
    <w:name w:val="纯文本 Char"/>
    <w:basedOn w:val="a0"/>
    <w:link w:val="a4"/>
    <w:rPr>
      <w:rFonts w:ascii="宋体" w:hAnsi="Courier New"/>
      <w:kern w:val="2"/>
      <w:sz w:val="21"/>
      <w:szCs w:val="24"/>
    </w:rPr>
  </w:style>
  <w:style w:type="paragraph" w:styleId="ac">
    <w:name w:val="List Paragraph"/>
    <w:basedOn w:val="a"/>
    <w:uiPriority w:val="34"/>
    <w:qFormat/>
    <w:pPr>
      <w:ind w:firstLine="420"/>
    </w:pPr>
    <w:rPr>
      <w:szCs w:val="22"/>
    </w:rPr>
  </w:style>
  <w:style w:type="paragraph" w:customStyle="1" w:styleId="Heading11">
    <w:name w:val="Heading 11"/>
    <w:basedOn w:val="a"/>
    <w:pPr>
      <w:spacing w:before="480"/>
    </w:pPr>
    <w:rPr>
      <w:b/>
      <w:color w:val="345A8A"/>
      <w:sz w:val="32"/>
    </w:rPr>
  </w:style>
  <w:style w:type="paragraph" w:customStyle="1" w:styleId="Heading21">
    <w:name w:val="Heading 21"/>
    <w:basedOn w:val="a"/>
    <w:pPr>
      <w:spacing w:before="200"/>
    </w:pPr>
    <w:rPr>
      <w:b/>
      <w:color w:val="4F81BD"/>
      <w:sz w:val="26"/>
    </w:rPr>
  </w:style>
  <w:style w:type="paragraph" w:customStyle="1" w:styleId="Heading31">
    <w:name w:val="Heading 31"/>
    <w:basedOn w:val="a"/>
    <w:pPr>
      <w:spacing w:before="200"/>
    </w:pPr>
    <w:rPr>
      <w:b/>
      <w:color w:val="4F81BD"/>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__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___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___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___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96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收支总决算（万元）</a:t>
            </a:r>
          </a:p>
        </c:rich>
      </c:tx>
      <c:layout>
        <c:manualLayout>
          <c:xMode val="edge"/>
          <c:yMode val="edge"/>
          <c:x val="0.34182590233545701"/>
          <c:y val="2.1276595744680799E-2"/>
        </c:manualLayout>
      </c:layout>
      <c:overlay val="0"/>
      <c:spPr>
        <a:noFill/>
        <a:ln w="20329">
          <a:noFill/>
        </a:ln>
      </c:spPr>
    </c:title>
    <c:autoTitleDeleted val="0"/>
    <c:plotArea>
      <c:layout>
        <c:manualLayout>
          <c:layoutTarget val="inner"/>
          <c:xMode val="edge"/>
          <c:yMode val="edge"/>
          <c:x val="9.7993938519266896E-2"/>
          <c:y val="3.9837451249952298E-2"/>
          <c:w val="0.88322717622080704"/>
          <c:h val="0.719858156028369"/>
        </c:manualLayout>
      </c:layout>
      <c:barChart>
        <c:barDir val="col"/>
        <c:grouping val="stacked"/>
        <c:varyColors val="0"/>
        <c:ser>
          <c:idx val="0"/>
          <c:order val="0"/>
          <c:tx>
            <c:strRef>
              <c:f>Sheet1!$A$2</c:f>
              <c:strCache>
                <c:ptCount val="1"/>
              </c:strCache>
            </c:strRef>
          </c:tx>
          <c:spPr>
            <a:solidFill>
              <a:srgbClr val="9999FF"/>
            </a:solidFill>
            <a:ln w="10165">
              <a:solidFill>
                <a:srgbClr val="000000"/>
              </a:solidFill>
              <a:prstDash val="solid"/>
            </a:ln>
          </c:spPr>
          <c:invertIfNegative val="0"/>
          <c:dLbls>
            <c:dLbl>
              <c:idx val="0"/>
              <c:tx>
                <c:rich>
                  <a:bodyPr/>
                  <a:lstStyle/>
                  <a:p>
                    <a:r>
                      <a:rPr lang="en-US" altLang="en-US"/>
                      <a:t>7825.06</a:t>
                    </a:r>
                  </a:p>
                </c:rich>
              </c:tx>
              <c:dLblPos val="ctr"/>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ltLang="en-US"/>
                      <a:t>8339.12</a:t>
                    </a:r>
                  </a:p>
                </c:rich>
              </c:tx>
              <c:dLblPos val="ctr"/>
              <c:showLegendKey val="0"/>
              <c:showVal val="1"/>
              <c:showCatName val="0"/>
              <c:showSerName val="0"/>
              <c:showPercent val="0"/>
              <c:showBubbleSize val="0"/>
              <c:extLst>
                <c:ext xmlns:c15="http://schemas.microsoft.com/office/drawing/2012/chart" uri="{CE6537A1-D6FC-4f65-9D91-7224C49458BB}"/>
              </c:extLst>
            </c:dLbl>
            <c:spPr>
              <a:noFill/>
              <a:ln w="20329">
                <a:noFill/>
              </a:ln>
              <a:effectLst/>
            </c:spPr>
            <c:txPr>
              <a:bodyPr rot="0" spcFirstLastPara="0" vertOverflow="ellipsis" vert="horz" wrap="square" lIns="38100" tIns="19050" rIns="38100" bIns="19050" anchor="ctr" anchorCtr="1"/>
              <a:lstStyle/>
              <a:p>
                <a:pPr>
                  <a:defRPr lang="zh-CN" sz="96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Sheet1!$C$1:$E$1</c:f>
              <c:strCache>
                <c:ptCount val="2"/>
                <c:pt idx="0">
                  <c:v>2019年</c:v>
                </c:pt>
                <c:pt idx="1">
                  <c:v>2020年</c:v>
                </c:pt>
              </c:strCache>
            </c:strRef>
          </c:cat>
          <c:val>
            <c:numRef>
              <c:f>Sheet1!$C$2:$E$2</c:f>
              <c:numCache>
                <c:formatCode>General</c:formatCode>
                <c:ptCount val="3"/>
                <c:pt idx="0" formatCode="#,##0.00">
                  <c:v>7825.06</c:v>
                </c:pt>
                <c:pt idx="1">
                  <c:v>8339.1200000000008</c:v>
                </c:pt>
              </c:numCache>
            </c:numRef>
          </c:val>
        </c:ser>
        <c:ser>
          <c:idx val="1"/>
          <c:order val="1"/>
          <c:tx>
            <c:strRef>
              <c:f>Sheet1!$A$3</c:f>
              <c:strCache>
                <c:ptCount val="1"/>
              </c:strCache>
            </c:strRef>
          </c:tx>
          <c:spPr>
            <a:solidFill>
              <a:srgbClr val="993366"/>
            </a:solidFill>
            <a:ln w="10165">
              <a:solidFill>
                <a:srgbClr val="000000"/>
              </a:solidFill>
              <a:prstDash val="solid"/>
            </a:ln>
          </c:spPr>
          <c:invertIfNegative val="0"/>
          <c:dLbls>
            <c:spPr>
              <a:noFill/>
              <a:ln w="20329">
                <a:noFill/>
              </a:ln>
              <a:effectLst/>
            </c:spPr>
            <c:txPr>
              <a:bodyPr rot="0" spcFirstLastPara="0" vertOverflow="ellipsis" vert="horz" wrap="square" lIns="38100" tIns="19050" rIns="38100" bIns="19050" anchor="ctr" anchorCtr="1"/>
              <a:lstStyle/>
              <a:p>
                <a:pPr>
                  <a:defRPr lang="zh-CN" sz="96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Sheet1!$C$1:$E$1</c:f>
              <c:strCache>
                <c:ptCount val="2"/>
                <c:pt idx="0">
                  <c:v>2019年</c:v>
                </c:pt>
                <c:pt idx="1">
                  <c:v>2020年</c:v>
                </c:pt>
              </c:strCache>
            </c:strRef>
          </c:cat>
          <c:val>
            <c:numRef>
              <c:f>Sheet1!$C$3:$E$3</c:f>
              <c:numCache>
                <c:formatCode>General</c:formatCode>
                <c:ptCount val="3"/>
              </c:numCache>
            </c:numRef>
          </c:val>
        </c:ser>
        <c:ser>
          <c:idx val="2"/>
          <c:order val="2"/>
          <c:tx>
            <c:strRef>
              <c:f>Sheet1!$A$4</c:f>
              <c:strCache>
                <c:ptCount val="1"/>
              </c:strCache>
            </c:strRef>
          </c:tx>
          <c:spPr>
            <a:solidFill>
              <a:srgbClr val="FFFFCC"/>
            </a:solidFill>
            <a:ln w="10165">
              <a:solidFill>
                <a:srgbClr val="000000"/>
              </a:solidFill>
              <a:prstDash val="solid"/>
            </a:ln>
          </c:spPr>
          <c:invertIfNegative val="0"/>
          <c:dLbls>
            <c:spPr>
              <a:noFill/>
              <a:ln w="20329">
                <a:noFill/>
              </a:ln>
              <a:effectLst/>
            </c:spPr>
            <c:txPr>
              <a:bodyPr rot="0" spcFirstLastPara="0" vertOverflow="ellipsis" vert="horz" wrap="square" lIns="38100" tIns="19050" rIns="38100" bIns="19050" anchor="ctr" anchorCtr="1"/>
              <a:lstStyle/>
              <a:p>
                <a:pPr>
                  <a:defRPr lang="zh-CN" sz="96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Sheet1!$C$1:$E$1</c:f>
              <c:strCache>
                <c:ptCount val="2"/>
                <c:pt idx="0">
                  <c:v>2019年</c:v>
                </c:pt>
                <c:pt idx="1">
                  <c:v>2020年</c:v>
                </c:pt>
              </c:strCache>
            </c:strRef>
          </c:cat>
          <c:val>
            <c:numRef>
              <c:f>Sheet1!$C$4:$E$4</c:f>
              <c:numCache>
                <c:formatCode>General</c:formatCode>
                <c:ptCount val="3"/>
              </c:numCache>
            </c:numRef>
          </c:val>
        </c:ser>
        <c:dLbls>
          <c:showLegendKey val="0"/>
          <c:showVal val="1"/>
          <c:showCatName val="0"/>
          <c:showSerName val="0"/>
          <c:showPercent val="0"/>
          <c:showBubbleSize val="0"/>
        </c:dLbls>
        <c:gapWidth val="150"/>
        <c:overlap val="100"/>
        <c:axId val="430552192"/>
        <c:axId val="430553728"/>
      </c:barChart>
      <c:catAx>
        <c:axId val="430552192"/>
        <c:scaling>
          <c:orientation val="minMax"/>
        </c:scaling>
        <c:delete val="0"/>
        <c:axPos val="b"/>
        <c:numFmt formatCode="General" sourceLinked="1"/>
        <c:majorTickMark val="in"/>
        <c:minorTickMark val="none"/>
        <c:tickLblPos val="low"/>
        <c:spPr>
          <a:ln w="2541" cap="flat" cmpd="sng" algn="ctr">
            <a:solidFill>
              <a:srgbClr val="000000"/>
            </a:solidFill>
            <a:prstDash val="solid"/>
            <a:round/>
          </a:ln>
        </c:spPr>
        <c:txPr>
          <a:bodyPr rot="0" spcFirstLastPara="0" vertOverflow="ellipsis" vert="horz" wrap="square" anchor="ctr" anchorCtr="1"/>
          <a:lstStyle/>
          <a:p>
            <a:pPr>
              <a:defRPr lang="zh-CN" sz="96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crossAx val="430553728"/>
        <c:crossesAt val="2000"/>
        <c:auto val="1"/>
        <c:lblAlgn val="ctr"/>
        <c:lblOffset val="100"/>
        <c:tickLblSkip val="1"/>
        <c:noMultiLvlLbl val="0"/>
      </c:catAx>
      <c:valAx>
        <c:axId val="430553728"/>
        <c:scaling>
          <c:orientation val="minMax"/>
          <c:max val="6000"/>
          <c:min val="2000"/>
        </c:scaling>
        <c:delete val="0"/>
        <c:axPos val="l"/>
        <c:majorGridlines>
          <c:spPr>
            <a:ln w="2541" cap="flat" cmpd="sng" algn="ctr">
              <a:solidFill>
                <a:srgbClr val="000000"/>
              </a:solidFill>
              <a:prstDash val="solid"/>
              <a:round/>
            </a:ln>
          </c:spPr>
        </c:majorGridlines>
        <c:numFmt formatCode="#,##0.00" sourceLinked="1"/>
        <c:majorTickMark val="in"/>
        <c:minorTickMark val="none"/>
        <c:tickLblPos val="nextTo"/>
        <c:spPr>
          <a:ln w="2541" cap="flat" cmpd="sng" algn="ctr">
            <a:solidFill>
              <a:srgbClr val="000000"/>
            </a:solidFill>
            <a:prstDash val="solid"/>
            <a:round/>
          </a:ln>
        </c:spPr>
        <c:txPr>
          <a:bodyPr rot="0" spcFirstLastPara="0" vertOverflow="ellipsis" vert="horz" wrap="square" anchor="ctr" anchorCtr="1"/>
          <a:lstStyle/>
          <a:p>
            <a:pPr>
              <a:defRPr lang="zh-CN" sz="96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crossAx val="430552192"/>
        <c:crosses val="autoZero"/>
        <c:crossBetween val="between"/>
        <c:majorUnit val="1000"/>
        <c:minorUnit val="500"/>
      </c:valAx>
      <c:spPr>
        <a:solidFill>
          <a:srgbClr val="C0C0C0"/>
        </a:solidFill>
        <a:ln w="12700">
          <a:solidFill>
            <a:srgbClr val="808080"/>
          </a:solidFill>
          <a:prstDash val="solid"/>
        </a:ln>
        <a:effectLst/>
      </c:spPr>
    </c:plotArea>
    <c:plotVisOnly val="1"/>
    <c:dispBlanksAs val="gap"/>
    <c:showDLblsOverMax val="0"/>
  </c:chart>
  <c:spPr>
    <a:noFill/>
    <a:ln w="9525" cap="flat" cmpd="sng" algn="ctr">
      <a:noFill/>
      <a:prstDash val="solid"/>
      <a:round/>
    </a:ln>
  </c:spPr>
  <c:txPr>
    <a:bodyPr/>
    <a:lstStyle/>
    <a:p>
      <a:pPr>
        <a:defRPr lang="zh-CN" sz="960" b="0" i="0" u="none" strike="noStrike" baseline="0">
          <a:solidFill>
            <a:srgbClr val="000000"/>
          </a:solidFill>
          <a:latin typeface="宋体" panose="02010600030101010101" charset="-122"/>
          <a:ea typeface="宋体" panose="02010600030101010101" charset="-122"/>
          <a:cs typeface="宋体" panose="02010600030101010101" charset="-122"/>
        </a:defRPr>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335"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本年收入</a:t>
            </a:r>
          </a:p>
        </c:rich>
      </c:tx>
      <c:layout>
        <c:manualLayout>
          <c:xMode val="edge"/>
          <c:yMode val="edge"/>
          <c:x val="0.43606557377049199"/>
          <c:y val="1.8918918918918899E-2"/>
        </c:manualLayout>
      </c:layout>
      <c:overlay val="0"/>
      <c:spPr>
        <a:noFill/>
        <a:ln w="24615">
          <a:noFill/>
        </a:ln>
      </c:spPr>
    </c:title>
    <c:autoTitleDeleted val="0"/>
    <c:view3D>
      <c:rotX val="30"/>
      <c:rotY val="180"/>
      <c:depthPercent val="100"/>
      <c:rAngAx val="0"/>
      <c:perspective val="0"/>
    </c:view3D>
    <c:floor>
      <c:thickness val="0"/>
    </c:floor>
    <c:sideWall>
      <c:thickness val="0"/>
    </c:sideWall>
    <c:backWall>
      <c:thickness val="0"/>
    </c:backWall>
    <c:plotArea>
      <c:layout>
        <c:manualLayout>
          <c:layoutTarget val="inner"/>
          <c:xMode val="edge"/>
          <c:yMode val="edge"/>
          <c:x val="0.24098360655737699"/>
          <c:y val="0.24324324324324301"/>
          <c:w val="0.349180327868853"/>
          <c:h val="0.22972972972972999"/>
        </c:manualLayout>
      </c:layout>
      <c:pie3DChart>
        <c:varyColors val="1"/>
        <c:ser>
          <c:idx val="0"/>
          <c:order val="0"/>
          <c:tx>
            <c:strRef>
              <c:f>Sheet1!$A$2</c:f>
              <c:strCache>
                <c:ptCount val="1"/>
              </c:strCache>
            </c:strRef>
          </c:tx>
          <c:spPr>
            <a:solidFill>
              <a:srgbClr val="9999FF"/>
            </a:solidFill>
            <a:ln w="12308">
              <a:solidFill>
                <a:srgbClr val="000000"/>
              </a:solidFill>
              <a:prstDash val="solid"/>
            </a:ln>
          </c:spPr>
          <c:explosion val="42"/>
          <c:dPt>
            <c:idx val="0"/>
            <c:bubble3D val="0"/>
          </c:dPt>
          <c:dPt>
            <c:idx val="1"/>
            <c:bubble3D val="0"/>
            <c:spPr>
              <a:solidFill>
                <a:srgbClr val="00FF00"/>
              </a:solidFill>
              <a:ln w="12308">
                <a:solidFill>
                  <a:srgbClr val="000000"/>
                </a:solidFill>
                <a:prstDash val="solid"/>
              </a:ln>
            </c:spPr>
          </c:dPt>
          <c:dPt>
            <c:idx val="2"/>
            <c:bubble3D val="0"/>
            <c:spPr>
              <a:solidFill>
                <a:srgbClr val="FFFFCC"/>
              </a:solidFill>
              <a:ln w="12308">
                <a:solidFill>
                  <a:srgbClr val="000000"/>
                </a:solidFill>
                <a:prstDash val="solid"/>
              </a:ln>
            </c:spPr>
          </c:dPt>
          <c:dPt>
            <c:idx val="3"/>
            <c:bubble3D val="0"/>
            <c:spPr>
              <a:solidFill>
                <a:srgbClr val="CCFFFF"/>
              </a:solidFill>
              <a:ln w="12308">
                <a:solidFill>
                  <a:srgbClr val="000000"/>
                </a:solidFill>
                <a:prstDash val="solid"/>
              </a:ln>
            </c:spPr>
          </c:dPt>
          <c:dPt>
            <c:idx val="4"/>
            <c:bubble3D val="0"/>
            <c:spPr>
              <a:solidFill>
                <a:srgbClr val="660066"/>
              </a:solidFill>
              <a:ln w="12308">
                <a:solidFill>
                  <a:srgbClr val="000000"/>
                </a:solidFill>
                <a:prstDash val="solid"/>
              </a:ln>
            </c:spPr>
          </c:dPt>
          <c:dPt>
            <c:idx val="5"/>
            <c:bubble3D val="0"/>
            <c:spPr>
              <a:solidFill>
                <a:srgbClr val="FF0000"/>
              </a:solidFill>
              <a:ln w="12308">
                <a:solidFill>
                  <a:srgbClr val="000000"/>
                </a:solidFill>
                <a:prstDash val="solid"/>
              </a:ln>
            </c:spPr>
          </c:dPt>
          <c:dPt>
            <c:idx val="6"/>
            <c:bubble3D val="0"/>
            <c:spPr>
              <a:solidFill>
                <a:srgbClr val="0066CC"/>
              </a:solidFill>
              <a:ln w="12308">
                <a:solidFill>
                  <a:srgbClr val="000000"/>
                </a:solidFill>
                <a:prstDash val="solid"/>
              </a:ln>
            </c:spPr>
          </c:dPt>
          <c:dPt>
            <c:idx val="7"/>
            <c:bubble3D val="0"/>
            <c:spPr>
              <a:solidFill>
                <a:srgbClr val="CCCCFF"/>
              </a:solidFill>
              <a:ln w="12308">
                <a:solidFill>
                  <a:srgbClr val="000000"/>
                </a:solidFill>
                <a:prstDash val="solid"/>
              </a:ln>
            </c:spPr>
          </c:dPt>
          <c:dLbls>
            <c:dLbl>
              <c:idx val="0"/>
              <c:layout>
                <c:manualLayout>
                  <c:x val="-7.8846797549644604E-2"/>
                  <c:y val="-8.0760101065318807E-2"/>
                </c:manualLayout>
              </c:layout>
              <c:tx>
                <c:rich>
                  <a:bodyPr/>
                  <a:lstStyle/>
                  <a:p>
                    <a:r>
                      <a:rPr lang="zh-CN" altLang="en-US"/>
                      <a:t>一般公共预算财政拨款收入
</a:t>
                    </a:r>
                    <a:r>
                      <a:rPr lang="en-US" altLang="zh-CN"/>
                      <a:t>4162.56
99.83%</a:t>
                    </a:r>
                    <a:endParaRPr lang="zh-CN" altLang="en-US"/>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manualLayout>
                  <c:x val="5.3424615425397802E-2"/>
                  <c:y val="3.7457418504229803E-2"/>
                </c:manualLayout>
              </c:layout>
              <c:tx>
                <c:rich>
                  <a:bodyPr/>
                  <a:lstStyle/>
                  <a:p>
                    <a:r>
                      <a:rPr lang="zh-CN" altLang="en-US"/>
                      <a:t>政府性基金预算财政拨款收入
</a:t>
                    </a:r>
                    <a:r>
                      <a:rPr lang="en-US" altLang="zh-CN"/>
                      <a:t>7
0.17%</a:t>
                    </a:r>
                    <a:endParaRPr lang="zh-CN" altLang="en-US"/>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manualLayout>
                  <c:x val="2.9666307756705599E-3"/>
                  <c:y val="0.152815290933903"/>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3"/>
              <c:layout>
                <c:manualLayout>
                  <c:x val="-0.264531356762573"/>
                  <c:y val="-4.71847090660973E-2"/>
                </c:manualLayout>
              </c:layout>
              <c:tx>
                <c:rich>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上级补助收入</a:t>
                    </a:r>
                    <a:r>
                      <a:rPr lang="en-US" altLang="zh-CN"/>
                      <a:t>, 0, 0%</a:t>
                    </a:r>
                  </a:p>
                </c:rich>
              </c:tx>
              <c:spPr>
                <a:noFill/>
                <a:ln w="24615">
                  <a:noFill/>
                </a:ln>
                <a:effectLst/>
              </c:spPr>
              <c:dLblPos val="bestFit"/>
              <c:showLegendKey val="0"/>
              <c:showVal val="1"/>
              <c:showCatName val="1"/>
              <c:showSerName val="1"/>
              <c:showPercent val="1"/>
              <c:showBubbleSize val="0"/>
              <c:extLst>
                <c:ext xmlns:c15="http://schemas.microsoft.com/office/drawing/2012/chart" uri="{CE6537A1-D6FC-4f65-9D91-7224C49458BB}">
                  <c15:layout/>
                </c:ext>
              </c:extLst>
            </c:dLbl>
            <c:dLbl>
              <c:idx val="4"/>
              <c:layout>
                <c:manualLayout>
                  <c:x val="0.115298532843722"/>
                  <c:y val="0.24470718282579501"/>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5"/>
              <c:layout>
                <c:manualLayout>
                  <c:x val="0.15136410661421401"/>
                  <c:y val="0.114977453096065"/>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6"/>
              <c:layout>
                <c:manualLayout>
                  <c:x val="-0.24022606561229301"/>
                  <c:y val="4.7409885528497203E-2"/>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7"/>
              <c:layout>
                <c:manualLayout>
                  <c:x val="-0.26994736879562198"/>
                  <c:y val="0.23930177742038899"/>
                </c:manualLayout>
              </c:layout>
              <c:tx>
                <c:rich>
                  <a:bodyPr/>
                  <a:lstStyle/>
                  <a:p>
                    <a:r>
                      <a:rPr lang="zh-CN" altLang="en-US"/>
                      <a:t>其他收入
</a:t>
                    </a:r>
                    <a:r>
                      <a:rPr lang="en-US" altLang="zh-CN"/>
                      <a:t>0
0%</a:t>
                    </a:r>
                    <a:endParaRPr lang="zh-CN" altLang="en-US"/>
                  </a:p>
                </c:rich>
              </c:tx>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0%" sourceLinked="0"/>
            <c:spPr>
              <a:noFill/>
              <a:ln w="24615">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Sheet1!$B$1:$I$1</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Sheet1!$B$2:$I$2</c:f>
              <c:numCache>
                <c:formatCode>General</c:formatCode>
                <c:ptCount val="8"/>
                <c:pt idx="0">
                  <c:v>3457.18</c:v>
                </c:pt>
                <c:pt idx="1">
                  <c:v>350.83</c:v>
                </c:pt>
                <c:pt idx="2">
                  <c:v>0</c:v>
                </c:pt>
                <c:pt idx="3">
                  <c:v>0</c:v>
                </c:pt>
                <c:pt idx="4">
                  <c:v>0</c:v>
                </c:pt>
                <c:pt idx="5">
                  <c:v>0</c:v>
                </c:pt>
                <c:pt idx="6">
                  <c:v>0</c:v>
                </c:pt>
                <c:pt idx="7">
                  <c:v>0.19</c:v>
                </c:pt>
              </c:numCache>
            </c:numRef>
          </c:val>
        </c:ser>
        <c:ser>
          <c:idx val="1"/>
          <c:order val="1"/>
          <c:tx>
            <c:strRef>
              <c:f>Sheet1!$A$3</c:f>
              <c:strCache>
                <c:ptCount val="1"/>
              </c:strCache>
            </c:strRef>
          </c:tx>
          <c:spPr>
            <a:solidFill>
              <a:srgbClr val="993366"/>
            </a:solidFill>
            <a:ln w="12308">
              <a:solidFill>
                <a:srgbClr val="000000"/>
              </a:solidFill>
              <a:prstDash val="solid"/>
            </a:ln>
          </c:spPr>
          <c:explosion val="42"/>
          <c:dPt>
            <c:idx val="0"/>
            <c:bubble3D val="0"/>
            <c:spPr>
              <a:solidFill>
                <a:srgbClr val="9999FF"/>
              </a:solidFill>
              <a:ln w="12308">
                <a:solidFill>
                  <a:srgbClr val="000000"/>
                </a:solidFill>
                <a:prstDash val="solid"/>
              </a:ln>
            </c:spPr>
          </c:dPt>
          <c:dPt>
            <c:idx val="1"/>
            <c:bubble3D val="0"/>
          </c:dPt>
          <c:dPt>
            <c:idx val="2"/>
            <c:bubble3D val="0"/>
            <c:spPr>
              <a:solidFill>
                <a:srgbClr val="FFFFCC"/>
              </a:solidFill>
              <a:ln w="12308">
                <a:solidFill>
                  <a:srgbClr val="000000"/>
                </a:solidFill>
                <a:prstDash val="solid"/>
              </a:ln>
            </c:spPr>
          </c:dPt>
          <c:dPt>
            <c:idx val="3"/>
            <c:bubble3D val="0"/>
            <c:spPr>
              <a:solidFill>
                <a:srgbClr val="CCFFFF"/>
              </a:solidFill>
              <a:ln w="12308">
                <a:solidFill>
                  <a:srgbClr val="000000"/>
                </a:solidFill>
                <a:prstDash val="solid"/>
              </a:ln>
            </c:spPr>
          </c:dPt>
          <c:dPt>
            <c:idx val="4"/>
            <c:bubble3D val="0"/>
            <c:spPr>
              <a:solidFill>
                <a:srgbClr val="660066"/>
              </a:solidFill>
              <a:ln w="12308">
                <a:solidFill>
                  <a:srgbClr val="000000"/>
                </a:solidFill>
                <a:prstDash val="solid"/>
              </a:ln>
            </c:spPr>
          </c:dPt>
          <c:dPt>
            <c:idx val="5"/>
            <c:bubble3D val="0"/>
            <c:spPr>
              <a:solidFill>
                <a:srgbClr val="FF8080"/>
              </a:solidFill>
              <a:ln w="12308">
                <a:solidFill>
                  <a:srgbClr val="000000"/>
                </a:solidFill>
                <a:prstDash val="solid"/>
              </a:ln>
            </c:spPr>
          </c:dPt>
          <c:dPt>
            <c:idx val="6"/>
            <c:bubble3D val="0"/>
            <c:spPr>
              <a:solidFill>
                <a:srgbClr val="0066CC"/>
              </a:solidFill>
              <a:ln w="12308">
                <a:solidFill>
                  <a:srgbClr val="000000"/>
                </a:solidFill>
                <a:prstDash val="solid"/>
              </a:ln>
            </c:spPr>
          </c:dPt>
          <c:dPt>
            <c:idx val="7"/>
            <c:bubble3D val="0"/>
            <c:spPr>
              <a:solidFill>
                <a:srgbClr val="CCCCFF"/>
              </a:solidFill>
              <a:ln w="12308">
                <a:solidFill>
                  <a:srgbClr val="000000"/>
                </a:solidFill>
                <a:prstDash val="solid"/>
              </a:ln>
            </c:spPr>
          </c:dPt>
          <c:dLbls>
            <c:numFmt formatCode="0%" sourceLinked="0"/>
            <c:spPr>
              <a:noFill/>
              <a:ln w="24615">
                <a:noFill/>
              </a:ln>
              <a:effectLst/>
            </c:spPr>
            <c:txPr>
              <a:bodyPr rot="0" spcFirstLastPara="0" vertOverflow="ellipsis" vert="horz" wrap="square" lIns="38100" tIns="19050" rIns="38100" bIns="19050" anchor="ctr" anchorCtr="1"/>
              <a:lstStyle/>
              <a:p>
                <a:pPr>
                  <a:defRPr lang="zh-CN" sz="177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Sheet1!$B$1:$I$1</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Sheet1!$B$3:$I$3</c:f>
              <c:numCache>
                <c:formatCode>General</c:formatCode>
                <c:ptCount val="8"/>
              </c:numCache>
            </c:numRef>
          </c:val>
        </c:ser>
        <c:ser>
          <c:idx val="2"/>
          <c:order val="2"/>
          <c:tx>
            <c:strRef>
              <c:f>Sheet1!$A$4</c:f>
              <c:strCache>
                <c:ptCount val="1"/>
              </c:strCache>
            </c:strRef>
          </c:tx>
          <c:spPr>
            <a:solidFill>
              <a:srgbClr val="FFFFCC"/>
            </a:solidFill>
            <a:ln w="12308">
              <a:solidFill>
                <a:srgbClr val="000000"/>
              </a:solidFill>
              <a:prstDash val="solid"/>
            </a:ln>
          </c:spPr>
          <c:explosion val="42"/>
          <c:dPt>
            <c:idx val="0"/>
            <c:bubble3D val="0"/>
            <c:spPr>
              <a:solidFill>
                <a:srgbClr val="9999FF"/>
              </a:solidFill>
              <a:ln w="12308">
                <a:solidFill>
                  <a:srgbClr val="000000"/>
                </a:solidFill>
                <a:prstDash val="solid"/>
              </a:ln>
            </c:spPr>
          </c:dPt>
          <c:dPt>
            <c:idx val="1"/>
            <c:bubble3D val="0"/>
            <c:spPr>
              <a:solidFill>
                <a:srgbClr val="993366"/>
              </a:solidFill>
              <a:ln w="12308">
                <a:solidFill>
                  <a:srgbClr val="000000"/>
                </a:solidFill>
                <a:prstDash val="solid"/>
              </a:ln>
            </c:spPr>
          </c:dPt>
          <c:dPt>
            <c:idx val="2"/>
            <c:bubble3D val="0"/>
          </c:dPt>
          <c:dPt>
            <c:idx val="3"/>
            <c:bubble3D val="0"/>
            <c:spPr>
              <a:solidFill>
                <a:srgbClr val="CCFFFF"/>
              </a:solidFill>
              <a:ln w="12308">
                <a:solidFill>
                  <a:srgbClr val="000000"/>
                </a:solidFill>
                <a:prstDash val="solid"/>
              </a:ln>
            </c:spPr>
          </c:dPt>
          <c:dPt>
            <c:idx val="4"/>
            <c:bubble3D val="0"/>
            <c:spPr>
              <a:solidFill>
                <a:srgbClr val="660066"/>
              </a:solidFill>
              <a:ln w="12308">
                <a:solidFill>
                  <a:srgbClr val="000000"/>
                </a:solidFill>
                <a:prstDash val="solid"/>
              </a:ln>
            </c:spPr>
          </c:dPt>
          <c:dPt>
            <c:idx val="5"/>
            <c:bubble3D val="0"/>
            <c:spPr>
              <a:solidFill>
                <a:srgbClr val="FF8080"/>
              </a:solidFill>
              <a:ln w="12308">
                <a:solidFill>
                  <a:srgbClr val="000000"/>
                </a:solidFill>
                <a:prstDash val="solid"/>
              </a:ln>
            </c:spPr>
          </c:dPt>
          <c:dPt>
            <c:idx val="6"/>
            <c:bubble3D val="0"/>
            <c:spPr>
              <a:solidFill>
                <a:srgbClr val="0066CC"/>
              </a:solidFill>
              <a:ln w="12308">
                <a:solidFill>
                  <a:srgbClr val="000000"/>
                </a:solidFill>
                <a:prstDash val="solid"/>
              </a:ln>
            </c:spPr>
          </c:dPt>
          <c:dPt>
            <c:idx val="7"/>
            <c:bubble3D val="0"/>
            <c:spPr>
              <a:solidFill>
                <a:srgbClr val="CCCCFF"/>
              </a:solidFill>
              <a:ln w="12308">
                <a:solidFill>
                  <a:srgbClr val="000000"/>
                </a:solidFill>
                <a:prstDash val="solid"/>
              </a:ln>
            </c:spPr>
          </c:dPt>
          <c:dLbls>
            <c:numFmt formatCode="0%" sourceLinked="0"/>
            <c:spPr>
              <a:noFill/>
              <a:ln w="24615">
                <a:noFill/>
              </a:ln>
              <a:effectLst/>
            </c:spPr>
            <c:txPr>
              <a:bodyPr rot="0" spcFirstLastPara="0" vertOverflow="ellipsis" vert="horz" wrap="square" lIns="38100" tIns="19050" rIns="38100" bIns="19050" anchor="ctr" anchorCtr="1"/>
              <a:lstStyle/>
              <a:p>
                <a:pPr>
                  <a:defRPr lang="zh-CN" sz="177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Sheet1!$B$1:$I$1</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Sheet1!$B$4:$I$4</c:f>
              <c:numCache>
                <c:formatCode>General</c:formatCode>
                <c:ptCount val="8"/>
              </c:numCache>
            </c:numRef>
          </c:val>
        </c:ser>
        <c:ser>
          <c:idx val="3"/>
          <c:order val="3"/>
          <c:tx>
            <c:strRef>
              <c:f>Sheet1!$A$5</c:f>
              <c:strCache>
                <c:ptCount val="1"/>
              </c:strCache>
            </c:strRef>
          </c:tx>
          <c:spPr>
            <a:solidFill>
              <a:srgbClr val="CCFFFF"/>
            </a:solidFill>
            <a:ln w="12308">
              <a:solidFill>
                <a:srgbClr val="000000"/>
              </a:solidFill>
              <a:prstDash val="solid"/>
            </a:ln>
          </c:spPr>
          <c:explosion val="42"/>
          <c:dPt>
            <c:idx val="0"/>
            <c:bubble3D val="0"/>
            <c:spPr>
              <a:solidFill>
                <a:srgbClr val="9999FF"/>
              </a:solidFill>
              <a:ln w="12308">
                <a:solidFill>
                  <a:srgbClr val="000000"/>
                </a:solidFill>
                <a:prstDash val="solid"/>
              </a:ln>
            </c:spPr>
          </c:dPt>
          <c:dPt>
            <c:idx val="1"/>
            <c:bubble3D val="0"/>
            <c:spPr>
              <a:solidFill>
                <a:srgbClr val="993366"/>
              </a:solidFill>
              <a:ln w="12308">
                <a:solidFill>
                  <a:srgbClr val="000000"/>
                </a:solidFill>
                <a:prstDash val="solid"/>
              </a:ln>
            </c:spPr>
          </c:dPt>
          <c:dPt>
            <c:idx val="2"/>
            <c:bubble3D val="0"/>
            <c:spPr>
              <a:solidFill>
                <a:srgbClr val="FFFFCC"/>
              </a:solidFill>
              <a:ln w="12308">
                <a:solidFill>
                  <a:srgbClr val="000000"/>
                </a:solidFill>
                <a:prstDash val="solid"/>
              </a:ln>
            </c:spPr>
          </c:dPt>
          <c:dPt>
            <c:idx val="3"/>
            <c:bubble3D val="0"/>
          </c:dPt>
          <c:dPt>
            <c:idx val="4"/>
            <c:bubble3D val="0"/>
            <c:spPr>
              <a:solidFill>
                <a:srgbClr val="660066"/>
              </a:solidFill>
              <a:ln w="12308">
                <a:solidFill>
                  <a:srgbClr val="000000"/>
                </a:solidFill>
                <a:prstDash val="solid"/>
              </a:ln>
            </c:spPr>
          </c:dPt>
          <c:dPt>
            <c:idx val="5"/>
            <c:bubble3D val="0"/>
            <c:spPr>
              <a:solidFill>
                <a:srgbClr val="FF8080"/>
              </a:solidFill>
              <a:ln w="12308">
                <a:solidFill>
                  <a:srgbClr val="000000"/>
                </a:solidFill>
                <a:prstDash val="solid"/>
              </a:ln>
            </c:spPr>
          </c:dPt>
          <c:dPt>
            <c:idx val="6"/>
            <c:bubble3D val="0"/>
            <c:spPr>
              <a:solidFill>
                <a:srgbClr val="0066CC"/>
              </a:solidFill>
              <a:ln w="12308">
                <a:solidFill>
                  <a:srgbClr val="000000"/>
                </a:solidFill>
                <a:prstDash val="solid"/>
              </a:ln>
            </c:spPr>
          </c:dPt>
          <c:dPt>
            <c:idx val="7"/>
            <c:bubble3D val="0"/>
            <c:spPr>
              <a:solidFill>
                <a:srgbClr val="CCCCFF"/>
              </a:solidFill>
              <a:ln w="12308">
                <a:solidFill>
                  <a:srgbClr val="000000"/>
                </a:solidFill>
                <a:prstDash val="solid"/>
              </a:ln>
            </c:spPr>
          </c:dPt>
          <c:dLbls>
            <c:numFmt formatCode="0%" sourceLinked="0"/>
            <c:spPr>
              <a:noFill/>
              <a:ln w="24615">
                <a:noFill/>
              </a:ln>
              <a:effectLst/>
            </c:spPr>
            <c:txPr>
              <a:bodyPr rot="0" spcFirstLastPara="0" vertOverflow="ellipsis" vert="horz" wrap="square" lIns="38100" tIns="19050" rIns="38100" bIns="19050" anchor="ctr" anchorCtr="1"/>
              <a:lstStyle/>
              <a:p>
                <a:pPr>
                  <a:defRPr lang="zh-CN" sz="177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Sheet1!$B$1:$I$1</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Sheet1!$B$5:$I$5</c:f>
              <c:numCache>
                <c:formatCode>General</c:formatCode>
                <c:ptCount val="8"/>
              </c:numCache>
            </c:numRef>
          </c:val>
        </c:ser>
        <c:ser>
          <c:idx val="4"/>
          <c:order val="4"/>
          <c:tx>
            <c:strRef>
              <c:f>Sheet1!$A$6</c:f>
              <c:strCache>
                <c:ptCount val="1"/>
              </c:strCache>
            </c:strRef>
          </c:tx>
          <c:spPr>
            <a:solidFill>
              <a:srgbClr val="660066"/>
            </a:solidFill>
            <a:ln w="12308">
              <a:solidFill>
                <a:srgbClr val="000000"/>
              </a:solidFill>
              <a:prstDash val="solid"/>
            </a:ln>
          </c:spPr>
          <c:explosion val="42"/>
          <c:dPt>
            <c:idx val="0"/>
            <c:bubble3D val="0"/>
            <c:spPr>
              <a:solidFill>
                <a:srgbClr val="9999FF"/>
              </a:solidFill>
              <a:ln w="12308">
                <a:solidFill>
                  <a:srgbClr val="000000"/>
                </a:solidFill>
                <a:prstDash val="solid"/>
              </a:ln>
            </c:spPr>
          </c:dPt>
          <c:dPt>
            <c:idx val="1"/>
            <c:bubble3D val="0"/>
            <c:spPr>
              <a:solidFill>
                <a:srgbClr val="993366"/>
              </a:solidFill>
              <a:ln w="12308">
                <a:solidFill>
                  <a:srgbClr val="000000"/>
                </a:solidFill>
                <a:prstDash val="solid"/>
              </a:ln>
            </c:spPr>
          </c:dPt>
          <c:dPt>
            <c:idx val="2"/>
            <c:bubble3D val="0"/>
            <c:spPr>
              <a:solidFill>
                <a:srgbClr val="FFFFCC"/>
              </a:solidFill>
              <a:ln w="12308">
                <a:solidFill>
                  <a:srgbClr val="000000"/>
                </a:solidFill>
                <a:prstDash val="solid"/>
              </a:ln>
            </c:spPr>
          </c:dPt>
          <c:dPt>
            <c:idx val="3"/>
            <c:bubble3D val="0"/>
            <c:spPr>
              <a:solidFill>
                <a:srgbClr val="CCFFFF"/>
              </a:solidFill>
              <a:ln w="12308">
                <a:solidFill>
                  <a:srgbClr val="000000"/>
                </a:solidFill>
                <a:prstDash val="solid"/>
              </a:ln>
            </c:spPr>
          </c:dPt>
          <c:dPt>
            <c:idx val="4"/>
            <c:bubble3D val="0"/>
          </c:dPt>
          <c:dPt>
            <c:idx val="5"/>
            <c:bubble3D val="0"/>
            <c:spPr>
              <a:solidFill>
                <a:srgbClr val="FF8080"/>
              </a:solidFill>
              <a:ln w="12308">
                <a:solidFill>
                  <a:srgbClr val="000000"/>
                </a:solidFill>
                <a:prstDash val="solid"/>
              </a:ln>
            </c:spPr>
          </c:dPt>
          <c:dPt>
            <c:idx val="6"/>
            <c:bubble3D val="0"/>
            <c:spPr>
              <a:solidFill>
                <a:srgbClr val="0066CC"/>
              </a:solidFill>
              <a:ln w="12308">
                <a:solidFill>
                  <a:srgbClr val="000000"/>
                </a:solidFill>
                <a:prstDash val="solid"/>
              </a:ln>
            </c:spPr>
          </c:dPt>
          <c:dPt>
            <c:idx val="7"/>
            <c:bubble3D val="0"/>
            <c:spPr>
              <a:solidFill>
                <a:srgbClr val="CCCCFF"/>
              </a:solidFill>
              <a:ln w="12308">
                <a:solidFill>
                  <a:srgbClr val="000000"/>
                </a:solidFill>
                <a:prstDash val="solid"/>
              </a:ln>
            </c:spPr>
          </c:dPt>
          <c:dLbls>
            <c:numFmt formatCode="0%" sourceLinked="0"/>
            <c:spPr>
              <a:noFill/>
              <a:ln w="24615">
                <a:noFill/>
              </a:ln>
              <a:effectLst/>
            </c:spPr>
            <c:txPr>
              <a:bodyPr rot="0" spcFirstLastPara="0" vertOverflow="ellipsis" vert="horz" wrap="square" lIns="38100" tIns="19050" rIns="38100" bIns="19050" anchor="ctr" anchorCtr="1"/>
              <a:lstStyle/>
              <a:p>
                <a:pPr>
                  <a:defRPr lang="zh-CN" sz="177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Sheet1!$B$1:$I$1</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Sheet1!$B$6:$I$6</c:f>
              <c:numCache>
                <c:formatCode>General</c:formatCode>
                <c:ptCount val="8"/>
              </c:numCache>
            </c:numRef>
          </c:val>
        </c:ser>
        <c:ser>
          <c:idx val="5"/>
          <c:order val="5"/>
          <c:tx>
            <c:strRef>
              <c:f>Sheet1!$A$7</c:f>
              <c:strCache>
                <c:ptCount val="1"/>
              </c:strCache>
            </c:strRef>
          </c:tx>
          <c:spPr>
            <a:solidFill>
              <a:srgbClr val="FF8080"/>
            </a:solidFill>
            <a:ln w="12308">
              <a:solidFill>
                <a:srgbClr val="000000"/>
              </a:solidFill>
              <a:prstDash val="solid"/>
            </a:ln>
          </c:spPr>
          <c:explosion val="42"/>
          <c:dPt>
            <c:idx val="0"/>
            <c:bubble3D val="0"/>
            <c:spPr>
              <a:solidFill>
                <a:srgbClr val="9999FF"/>
              </a:solidFill>
              <a:ln w="12308">
                <a:solidFill>
                  <a:srgbClr val="000000"/>
                </a:solidFill>
                <a:prstDash val="solid"/>
              </a:ln>
            </c:spPr>
          </c:dPt>
          <c:dPt>
            <c:idx val="1"/>
            <c:bubble3D val="0"/>
            <c:spPr>
              <a:solidFill>
                <a:srgbClr val="993366"/>
              </a:solidFill>
              <a:ln w="12308">
                <a:solidFill>
                  <a:srgbClr val="000000"/>
                </a:solidFill>
                <a:prstDash val="solid"/>
              </a:ln>
            </c:spPr>
          </c:dPt>
          <c:dPt>
            <c:idx val="2"/>
            <c:bubble3D val="0"/>
            <c:spPr>
              <a:solidFill>
                <a:srgbClr val="FFFFCC"/>
              </a:solidFill>
              <a:ln w="12308">
                <a:solidFill>
                  <a:srgbClr val="000000"/>
                </a:solidFill>
                <a:prstDash val="solid"/>
              </a:ln>
            </c:spPr>
          </c:dPt>
          <c:dPt>
            <c:idx val="3"/>
            <c:bubble3D val="0"/>
            <c:spPr>
              <a:solidFill>
                <a:srgbClr val="CCFFFF"/>
              </a:solidFill>
              <a:ln w="12308">
                <a:solidFill>
                  <a:srgbClr val="000000"/>
                </a:solidFill>
                <a:prstDash val="solid"/>
              </a:ln>
            </c:spPr>
          </c:dPt>
          <c:dPt>
            <c:idx val="4"/>
            <c:bubble3D val="0"/>
            <c:spPr>
              <a:solidFill>
                <a:srgbClr val="660066"/>
              </a:solidFill>
              <a:ln w="12308">
                <a:solidFill>
                  <a:srgbClr val="000000"/>
                </a:solidFill>
                <a:prstDash val="solid"/>
              </a:ln>
            </c:spPr>
          </c:dPt>
          <c:dPt>
            <c:idx val="5"/>
            <c:bubble3D val="0"/>
          </c:dPt>
          <c:dPt>
            <c:idx val="6"/>
            <c:bubble3D val="0"/>
            <c:spPr>
              <a:solidFill>
                <a:srgbClr val="0066CC"/>
              </a:solidFill>
              <a:ln w="12308">
                <a:solidFill>
                  <a:srgbClr val="000000"/>
                </a:solidFill>
                <a:prstDash val="solid"/>
              </a:ln>
            </c:spPr>
          </c:dPt>
          <c:dPt>
            <c:idx val="7"/>
            <c:bubble3D val="0"/>
            <c:spPr>
              <a:solidFill>
                <a:srgbClr val="CCCCFF"/>
              </a:solidFill>
              <a:ln w="12308">
                <a:solidFill>
                  <a:srgbClr val="000000"/>
                </a:solidFill>
                <a:prstDash val="solid"/>
              </a:ln>
            </c:spPr>
          </c:dPt>
          <c:dLbls>
            <c:numFmt formatCode="0%" sourceLinked="0"/>
            <c:spPr>
              <a:noFill/>
              <a:ln w="24615">
                <a:noFill/>
              </a:ln>
              <a:effectLst/>
            </c:spPr>
            <c:txPr>
              <a:bodyPr rot="0" spcFirstLastPara="0" vertOverflow="ellipsis" vert="horz" wrap="square" lIns="38100" tIns="19050" rIns="38100" bIns="19050" anchor="ctr" anchorCtr="1"/>
              <a:lstStyle/>
              <a:p>
                <a:pPr>
                  <a:defRPr lang="zh-CN" sz="177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Sheet1!$B$1:$I$1</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Sheet1!$B$7:$I$7</c:f>
              <c:numCache>
                <c:formatCode>General</c:formatCode>
                <c:ptCount val="8"/>
              </c:numCache>
            </c:numRef>
          </c:val>
        </c:ser>
        <c:ser>
          <c:idx val="6"/>
          <c:order val="6"/>
          <c:tx>
            <c:strRef>
              <c:f>Sheet1!$A$8</c:f>
              <c:strCache>
                <c:ptCount val="1"/>
              </c:strCache>
            </c:strRef>
          </c:tx>
          <c:spPr>
            <a:solidFill>
              <a:srgbClr val="0066CC"/>
            </a:solidFill>
            <a:ln w="12308">
              <a:solidFill>
                <a:srgbClr val="000000"/>
              </a:solidFill>
              <a:prstDash val="solid"/>
            </a:ln>
          </c:spPr>
          <c:explosion val="42"/>
          <c:dPt>
            <c:idx val="0"/>
            <c:bubble3D val="0"/>
            <c:spPr>
              <a:solidFill>
                <a:srgbClr val="9999FF"/>
              </a:solidFill>
              <a:ln w="12308">
                <a:solidFill>
                  <a:srgbClr val="000000"/>
                </a:solidFill>
                <a:prstDash val="solid"/>
              </a:ln>
            </c:spPr>
          </c:dPt>
          <c:dPt>
            <c:idx val="1"/>
            <c:bubble3D val="0"/>
            <c:spPr>
              <a:solidFill>
                <a:srgbClr val="993366"/>
              </a:solidFill>
              <a:ln w="12308">
                <a:solidFill>
                  <a:srgbClr val="000000"/>
                </a:solidFill>
                <a:prstDash val="solid"/>
              </a:ln>
            </c:spPr>
          </c:dPt>
          <c:dPt>
            <c:idx val="2"/>
            <c:bubble3D val="0"/>
            <c:spPr>
              <a:solidFill>
                <a:srgbClr val="FFFFCC"/>
              </a:solidFill>
              <a:ln w="12308">
                <a:solidFill>
                  <a:srgbClr val="000000"/>
                </a:solidFill>
                <a:prstDash val="solid"/>
              </a:ln>
            </c:spPr>
          </c:dPt>
          <c:dPt>
            <c:idx val="3"/>
            <c:bubble3D val="0"/>
            <c:spPr>
              <a:solidFill>
                <a:srgbClr val="CCFFFF"/>
              </a:solidFill>
              <a:ln w="12308">
                <a:solidFill>
                  <a:srgbClr val="000000"/>
                </a:solidFill>
                <a:prstDash val="solid"/>
              </a:ln>
            </c:spPr>
          </c:dPt>
          <c:dPt>
            <c:idx val="4"/>
            <c:bubble3D val="0"/>
            <c:spPr>
              <a:solidFill>
                <a:srgbClr val="660066"/>
              </a:solidFill>
              <a:ln w="12308">
                <a:solidFill>
                  <a:srgbClr val="000000"/>
                </a:solidFill>
                <a:prstDash val="solid"/>
              </a:ln>
            </c:spPr>
          </c:dPt>
          <c:dPt>
            <c:idx val="5"/>
            <c:bubble3D val="0"/>
            <c:spPr>
              <a:solidFill>
                <a:srgbClr val="FF8080"/>
              </a:solidFill>
              <a:ln w="12308">
                <a:solidFill>
                  <a:srgbClr val="000000"/>
                </a:solidFill>
                <a:prstDash val="solid"/>
              </a:ln>
            </c:spPr>
          </c:dPt>
          <c:dPt>
            <c:idx val="6"/>
            <c:bubble3D val="0"/>
          </c:dPt>
          <c:dPt>
            <c:idx val="7"/>
            <c:bubble3D val="0"/>
            <c:spPr>
              <a:solidFill>
                <a:srgbClr val="CCCCFF"/>
              </a:solidFill>
              <a:ln w="12308">
                <a:solidFill>
                  <a:srgbClr val="000000"/>
                </a:solidFill>
                <a:prstDash val="solid"/>
              </a:ln>
            </c:spPr>
          </c:dPt>
          <c:dLbls>
            <c:numFmt formatCode="0%" sourceLinked="0"/>
            <c:spPr>
              <a:noFill/>
              <a:ln w="24615">
                <a:noFill/>
              </a:ln>
              <a:effectLst/>
            </c:spPr>
            <c:txPr>
              <a:bodyPr rot="0" spcFirstLastPara="0" vertOverflow="ellipsis" vert="horz" wrap="square" lIns="38100" tIns="19050" rIns="38100" bIns="19050" anchor="ctr" anchorCtr="1"/>
              <a:lstStyle/>
              <a:p>
                <a:pPr>
                  <a:defRPr lang="zh-CN" sz="177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Sheet1!$B$1:$I$1</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Sheet1!$B$8:$I$8</c:f>
              <c:numCache>
                <c:formatCode>General</c:formatCode>
                <c:ptCount val="8"/>
              </c:numCache>
            </c:numRef>
          </c:val>
        </c:ser>
        <c:dLbls>
          <c:showLegendKey val="0"/>
          <c:showVal val="1"/>
          <c:showCatName val="1"/>
          <c:showSerName val="0"/>
          <c:showPercent val="1"/>
          <c:showBubbleSize val="0"/>
          <c:showLeaderLines val="1"/>
        </c:dLbls>
      </c:pie3DChart>
      <c:spPr>
        <a:solidFill>
          <a:srgbClr val="C0C0C0"/>
        </a:solidFill>
        <a:ln w="12308">
          <a:solidFill>
            <a:srgbClr val="808080"/>
          </a:solidFill>
          <a:prstDash val="solid"/>
        </a:ln>
      </c:spPr>
    </c:plotArea>
    <c:legend>
      <c:legendPos val="r"/>
      <c:layout>
        <c:manualLayout>
          <c:xMode val="edge"/>
          <c:yMode val="edge"/>
          <c:x val="0.69508196721311499"/>
          <c:y val="8.3783783783783705E-2"/>
          <c:w val="0.28196721311475398"/>
          <c:h val="0.34864864864864897"/>
        </c:manualLayout>
      </c:layout>
      <c:overlay val="0"/>
      <c:spPr>
        <a:noFill/>
        <a:ln w="3077">
          <a:solidFill>
            <a:srgbClr val="000000"/>
          </a:solidFill>
          <a:prstDash val="solid"/>
        </a:ln>
      </c:spPr>
      <c:txPr>
        <a:bodyPr rot="0" spcFirstLastPara="0" vertOverflow="ellipsis" vert="horz" wrap="square" anchor="ctr" anchorCtr="1"/>
        <a:lstStyle/>
        <a:p>
          <a:pPr>
            <a:defRPr lang="zh-CN" sz="71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legend>
    <c:plotVisOnly val="1"/>
    <c:dispBlanksAs val="zero"/>
    <c:showDLblsOverMax val="0"/>
  </c:chart>
  <c:spPr>
    <a:noFill/>
    <a:ln w="9525" cap="flat" cmpd="sng" algn="ctr">
      <a:noFill/>
      <a:prstDash val="solid"/>
      <a:round/>
    </a:ln>
  </c:spPr>
  <c:txPr>
    <a:bodyPr/>
    <a:lstStyle/>
    <a:p>
      <a:pPr>
        <a:defRPr lang="zh-CN" sz="1770" b="0" i="0" u="none" strike="noStrike" baseline="0">
          <a:solidFill>
            <a:srgbClr val="000000"/>
          </a:solidFill>
          <a:latin typeface="宋体" panose="02010600030101010101" charset="-122"/>
          <a:ea typeface="宋体" panose="02010600030101010101" charset="-122"/>
          <a:cs typeface="宋体" panose="02010600030101010101" charset="-122"/>
        </a:defRPr>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本年支出</a:t>
            </a:r>
          </a:p>
        </c:rich>
      </c:tx>
      <c:layout>
        <c:manualLayout>
          <c:xMode val="edge"/>
          <c:yMode val="edge"/>
          <c:x val="0.410087719298246"/>
          <c:y val="1.9230769230769301E-2"/>
        </c:manualLayout>
      </c:layout>
      <c:overlay val="0"/>
      <c:spPr>
        <a:noFill/>
        <a:ln w="25379">
          <a:noFill/>
        </a:ln>
      </c:spPr>
    </c:title>
    <c:autoTitleDeleted val="0"/>
    <c:view3D>
      <c:rotX val="30"/>
      <c:rotY val="190"/>
      <c:depthPercent val="100"/>
      <c:rAngAx val="0"/>
      <c:perspective val="0"/>
    </c:view3D>
    <c:floor>
      <c:thickness val="0"/>
    </c:floor>
    <c:sideWall>
      <c:thickness val="0"/>
    </c:sideWall>
    <c:backWall>
      <c:thickness val="0"/>
    </c:backWall>
    <c:plotArea>
      <c:layout>
        <c:manualLayout>
          <c:layoutTarget val="inner"/>
          <c:xMode val="edge"/>
          <c:yMode val="edge"/>
          <c:x val="0.142543859649123"/>
          <c:y val="0.47756410256410298"/>
          <c:w val="0.43640350877193002"/>
          <c:h val="0.25320512820512803"/>
        </c:manualLayout>
      </c:layout>
      <c:pie3DChart>
        <c:varyColors val="1"/>
        <c:ser>
          <c:idx val="0"/>
          <c:order val="0"/>
          <c:tx>
            <c:strRef>
              <c:f>Sheet1!$A$2</c:f>
              <c:strCache>
                <c:ptCount val="1"/>
              </c:strCache>
            </c:strRef>
          </c:tx>
          <c:spPr>
            <a:solidFill>
              <a:srgbClr val="9999FF"/>
            </a:solidFill>
            <a:ln w="12689">
              <a:solidFill>
                <a:srgbClr val="000000"/>
              </a:solidFill>
              <a:prstDash val="solid"/>
            </a:ln>
          </c:spPr>
          <c:explosion val="25"/>
          <c:dPt>
            <c:idx val="0"/>
            <c:bubble3D val="0"/>
          </c:dPt>
          <c:dPt>
            <c:idx val="1"/>
            <c:bubble3D val="0"/>
            <c:spPr>
              <a:solidFill>
                <a:srgbClr val="FF6600"/>
              </a:solidFill>
              <a:ln w="12689">
                <a:solidFill>
                  <a:srgbClr val="000000"/>
                </a:solidFill>
                <a:prstDash val="solid"/>
              </a:ln>
            </c:spPr>
          </c:dPt>
          <c:dPt>
            <c:idx val="2"/>
            <c:bubble3D val="0"/>
            <c:spPr>
              <a:solidFill>
                <a:srgbClr val="FFFFCC"/>
              </a:solidFill>
              <a:ln w="12689">
                <a:solidFill>
                  <a:srgbClr val="000000"/>
                </a:solidFill>
                <a:prstDash val="solid"/>
              </a:ln>
            </c:spPr>
          </c:dPt>
          <c:dPt>
            <c:idx val="3"/>
            <c:bubble3D val="0"/>
            <c:spPr>
              <a:solidFill>
                <a:srgbClr val="CCFFFF"/>
              </a:solidFill>
              <a:ln w="12689">
                <a:solidFill>
                  <a:srgbClr val="000000"/>
                </a:solidFill>
                <a:prstDash val="solid"/>
              </a:ln>
            </c:spPr>
          </c:dPt>
          <c:dPt>
            <c:idx val="4"/>
            <c:bubble3D val="0"/>
            <c:spPr>
              <a:solidFill>
                <a:srgbClr val="660066"/>
              </a:solidFill>
              <a:ln w="12689">
                <a:solidFill>
                  <a:srgbClr val="000000"/>
                </a:solidFill>
                <a:prstDash val="solid"/>
              </a:ln>
            </c:spPr>
          </c:dPt>
          <c:dLbls>
            <c:dLbl>
              <c:idx val="0"/>
              <c:layout>
                <c:manualLayout>
                  <c:x val="2.2400407350726601E-2"/>
                  <c:y val="0.29947694276613401"/>
                </c:manualLayout>
              </c:layout>
              <c:tx>
                <c:rich>
                  <a:bodyPr/>
                  <a:lstStyle/>
                  <a:p>
                    <a:r>
                      <a:rPr lang="zh-CN" altLang="en-US"/>
                      <a:t>项目支出
</a:t>
                    </a:r>
                    <a:r>
                      <a:rPr lang="en-US" altLang="zh-CN"/>
                      <a:t>1182
28%</a:t>
                    </a:r>
                    <a:endParaRPr lang="zh-CN" altLang="en-US"/>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manualLayout>
                  <c:x val="-0.239385798020369"/>
                  <c:y val="-0.327492403802354"/>
                </c:manualLayout>
              </c:layout>
              <c:tx>
                <c:rich>
                  <a:bodyPr/>
                  <a:lstStyle/>
                  <a:p>
                    <a:r>
                      <a:rPr lang="zh-CN" altLang="en-US"/>
                      <a:t>基本支出
</a:t>
                    </a:r>
                    <a:r>
                      <a:rPr lang="en-US" altLang="zh-CN"/>
                      <a:t>2987.24</a:t>
                    </a:r>
                  </a:p>
                  <a:p>
                    <a:r>
                      <a:rPr lang="en-US" altLang="zh-CN"/>
                      <a:t>71.65%</a:t>
                    </a:r>
                    <a:endParaRPr lang="zh-CN" altLang="en-US"/>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manualLayout>
                  <c:x val="8.02151448319251E-2"/>
                  <c:y val="0.12007114813127701"/>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3"/>
              <c:layout>
                <c:manualLayout>
                  <c:x val="0.41717974954902598"/>
                  <c:y val="6.8789096849225795E-2"/>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4"/>
              <c:layout>
                <c:manualLayout>
                  <c:x val="0.29293444307753902"/>
                  <c:y val="0.11045543814334"/>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0%" sourceLinked="0"/>
            <c:spPr>
              <a:noFill/>
              <a:ln w="25379">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Sheet1!$B$1:$F$1</c:f>
              <c:strCache>
                <c:ptCount val="5"/>
                <c:pt idx="0">
                  <c:v>基本支出</c:v>
                </c:pt>
                <c:pt idx="1">
                  <c:v>项目支出</c:v>
                </c:pt>
                <c:pt idx="2">
                  <c:v>上缴上级支出</c:v>
                </c:pt>
                <c:pt idx="3">
                  <c:v>经营支出</c:v>
                </c:pt>
                <c:pt idx="4">
                  <c:v>对附属单位补助支出</c:v>
                </c:pt>
              </c:strCache>
            </c:strRef>
          </c:cat>
          <c:val>
            <c:numRef>
              <c:f>Sheet1!$B$2:$F$2</c:f>
              <c:numCache>
                <c:formatCode>General</c:formatCode>
                <c:ptCount val="5"/>
                <c:pt idx="0">
                  <c:v>1467.57</c:v>
                </c:pt>
                <c:pt idx="1">
                  <c:v>2272.91</c:v>
                </c:pt>
                <c:pt idx="2">
                  <c:v>0</c:v>
                </c:pt>
                <c:pt idx="3">
                  <c:v>0</c:v>
                </c:pt>
                <c:pt idx="4">
                  <c:v>0</c:v>
                </c:pt>
              </c:numCache>
            </c:numRef>
          </c:val>
        </c:ser>
        <c:dLbls>
          <c:showLegendKey val="0"/>
          <c:showVal val="1"/>
          <c:showCatName val="1"/>
          <c:showSerName val="0"/>
          <c:showPercent val="1"/>
          <c:showBubbleSize val="0"/>
          <c:showLeaderLines val="1"/>
        </c:dLbls>
      </c:pie3DChart>
      <c:spPr>
        <a:solidFill>
          <a:srgbClr val="C0C0C0"/>
        </a:solidFill>
        <a:ln w="12689">
          <a:solidFill>
            <a:srgbClr val="808080"/>
          </a:solidFill>
          <a:prstDash val="solid"/>
        </a:ln>
      </c:spPr>
    </c:plotArea>
    <c:legend>
      <c:legendPos val="r"/>
      <c:layout>
        <c:manualLayout>
          <c:xMode val="edge"/>
          <c:yMode val="edge"/>
          <c:x val="0.69956140350877305"/>
          <c:y val="0.40705128205128199"/>
          <c:w val="0.300438596491228"/>
          <c:h val="0.29166666666666702"/>
        </c:manualLayout>
      </c:layout>
      <c:overlay val="0"/>
      <c:spPr>
        <a:noFill/>
        <a:ln w="3172">
          <a:solidFill>
            <a:srgbClr val="000000"/>
          </a:solidFill>
          <a:prstDash val="solid"/>
        </a:ln>
      </c:spPr>
      <c:txPr>
        <a:bodyPr rot="0" spcFirstLastPara="0" vertOverflow="ellipsis" vert="horz" wrap="square" anchor="ctr" anchorCtr="1"/>
        <a:lstStyle/>
        <a:p>
          <a:pPr>
            <a:defRPr lang="zh-CN" sz="92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legend>
    <c:plotVisOnly val="1"/>
    <c:dispBlanksAs val="zero"/>
    <c:showDLblsOverMax val="0"/>
  </c:chart>
  <c:spPr>
    <a:noFill/>
    <a:ln w="9525" cap="flat" cmpd="sng" algn="ctr">
      <a:noFill/>
      <a:prstDash val="solid"/>
      <a:round/>
    </a:ln>
  </c:spPr>
  <c:txPr>
    <a:bodyPr/>
    <a:lstStyle/>
    <a:p>
      <a:pPr>
        <a:defRPr lang="zh-CN" sz="1000" b="0" i="0" u="none" strike="noStrike" baseline="0">
          <a:solidFill>
            <a:srgbClr val="000000"/>
          </a:solidFill>
          <a:latin typeface="宋体" panose="02010600030101010101" charset="-122"/>
          <a:ea typeface="宋体" panose="02010600030101010101" charset="-122"/>
          <a:cs typeface="宋体" panose="02010600030101010101" charset="-122"/>
        </a:defRPr>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财政拨款收支总决算（万元）</a:t>
            </a:r>
          </a:p>
        </c:rich>
      </c:tx>
      <c:layout>
        <c:manualLayout>
          <c:xMode val="edge"/>
          <c:yMode val="edge"/>
          <c:x val="0.273885350318472"/>
          <c:y val="2.1276595744680799E-2"/>
        </c:manualLayout>
      </c:layout>
      <c:overlay val="0"/>
      <c:spPr>
        <a:noFill/>
        <a:ln w="25401">
          <a:noFill/>
        </a:ln>
      </c:spPr>
    </c:title>
    <c:autoTitleDeleted val="0"/>
    <c:plotArea>
      <c:layout>
        <c:manualLayout>
          <c:layoutTarget val="inner"/>
          <c:xMode val="edge"/>
          <c:yMode val="edge"/>
          <c:x val="7.4309978768577506E-2"/>
          <c:y val="0.18794326241134801"/>
          <c:w val="0.88322717622080704"/>
          <c:h val="0.719858156028369"/>
        </c:manualLayout>
      </c:layout>
      <c:barChart>
        <c:barDir val="col"/>
        <c:grouping val="stacked"/>
        <c:varyColors val="0"/>
        <c:ser>
          <c:idx val="0"/>
          <c:order val="0"/>
          <c:tx>
            <c:strRef>
              <c:f>Sheet1!$A$2</c:f>
              <c:strCache>
                <c:ptCount val="1"/>
              </c:strCache>
            </c:strRef>
          </c:tx>
          <c:spPr>
            <a:solidFill>
              <a:srgbClr val="9999FF"/>
            </a:solidFill>
            <a:ln w="12701">
              <a:solidFill>
                <a:srgbClr val="000000"/>
              </a:solidFill>
              <a:prstDash val="solid"/>
            </a:ln>
          </c:spPr>
          <c:invertIfNegative val="0"/>
          <c:dLbls>
            <c:dLbl>
              <c:idx val="0"/>
              <c:tx>
                <c:rich>
                  <a:bodyPr/>
                  <a:lstStyle/>
                  <a:p>
                    <a:r>
                      <a:rPr lang="en-US" altLang="en-US"/>
                      <a:t>8853.18</a:t>
                    </a:r>
                  </a:p>
                </c:rich>
              </c:tx>
              <c:dLblPos val="ctr"/>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ltLang="en-US"/>
                      <a:t>8325.12</a:t>
                    </a:r>
                  </a:p>
                </c:rich>
              </c:tx>
              <c:dLblPos val="ctr"/>
              <c:showLegendKey val="0"/>
              <c:showVal val="1"/>
              <c:showCatName val="0"/>
              <c:showSerName val="0"/>
              <c:showPercent val="0"/>
              <c:showBubbleSize val="0"/>
              <c:extLst>
                <c:ext xmlns:c15="http://schemas.microsoft.com/office/drawing/2012/chart" uri="{CE6537A1-D6FC-4f65-9D91-7224C49458BB}"/>
              </c:extLst>
            </c:dLbl>
            <c:spPr>
              <a:noFill/>
              <a:ln w="25401">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Sheet1!$C$1:$E$1</c:f>
              <c:strCache>
                <c:ptCount val="2"/>
                <c:pt idx="0">
                  <c:v>2019年</c:v>
                </c:pt>
                <c:pt idx="1">
                  <c:v>2020年</c:v>
                </c:pt>
              </c:strCache>
            </c:strRef>
          </c:cat>
          <c:val>
            <c:numRef>
              <c:f>Sheet1!$C$2:$E$2</c:f>
              <c:numCache>
                <c:formatCode>General</c:formatCode>
                <c:ptCount val="3"/>
                <c:pt idx="0">
                  <c:v>4124.38</c:v>
                </c:pt>
                <c:pt idx="1">
                  <c:v>3832.74</c:v>
                </c:pt>
              </c:numCache>
            </c:numRef>
          </c:val>
        </c:ser>
        <c:ser>
          <c:idx val="1"/>
          <c:order val="1"/>
          <c:tx>
            <c:strRef>
              <c:f>Sheet1!$A$3</c:f>
              <c:strCache>
                <c:ptCount val="1"/>
              </c:strCache>
            </c:strRef>
          </c:tx>
          <c:spPr>
            <a:solidFill>
              <a:srgbClr val="993366"/>
            </a:solidFill>
            <a:ln w="12701">
              <a:solidFill>
                <a:srgbClr val="000000"/>
              </a:solidFill>
              <a:prstDash val="solid"/>
            </a:ln>
          </c:spPr>
          <c:invertIfNegative val="0"/>
          <c:dLbls>
            <c:spPr>
              <a:noFill/>
              <a:ln w="25401">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Sheet1!$C$1:$E$1</c:f>
              <c:strCache>
                <c:ptCount val="2"/>
                <c:pt idx="0">
                  <c:v>2019年</c:v>
                </c:pt>
                <c:pt idx="1">
                  <c:v>2020年</c:v>
                </c:pt>
              </c:strCache>
            </c:strRef>
          </c:cat>
          <c:val>
            <c:numRef>
              <c:f>Sheet1!$C$3:$E$3</c:f>
              <c:numCache>
                <c:formatCode>General</c:formatCode>
                <c:ptCount val="3"/>
              </c:numCache>
            </c:numRef>
          </c:val>
        </c:ser>
        <c:ser>
          <c:idx val="2"/>
          <c:order val="2"/>
          <c:tx>
            <c:strRef>
              <c:f>Sheet1!$A$4</c:f>
              <c:strCache>
                <c:ptCount val="1"/>
              </c:strCache>
            </c:strRef>
          </c:tx>
          <c:spPr>
            <a:solidFill>
              <a:srgbClr val="FFFFCC"/>
            </a:solidFill>
            <a:ln w="12701">
              <a:solidFill>
                <a:srgbClr val="000000"/>
              </a:solidFill>
              <a:prstDash val="solid"/>
            </a:ln>
          </c:spPr>
          <c:invertIfNegative val="0"/>
          <c:dLbls>
            <c:spPr>
              <a:noFill/>
              <a:ln w="25401">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Sheet1!$C$1:$E$1</c:f>
              <c:strCache>
                <c:ptCount val="2"/>
                <c:pt idx="0">
                  <c:v>2019年</c:v>
                </c:pt>
                <c:pt idx="1">
                  <c:v>2020年</c:v>
                </c:pt>
              </c:strCache>
            </c:strRef>
          </c:cat>
          <c:val>
            <c:numRef>
              <c:f>Sheet1!$C$4:$E$4</c:f>
              <c:numCache>
                <c:formatCode>General</c:formatCode>
                <c:ptCount val="3"/>
              </c:numCache>
            </c:numRef>
          </c:val>
        </c:ser>
        <c:dLbls>
          <c:showLegendKey val="0"/>
          <c:showVal val="1"/>
          <c:showCatName val="0"/>
          <c:showSerName val="0"/>
          <c:showPercent val="0"/>
          <c:showBubbleSize val="0"/>
        </c:dLbls>
        <c:gapWidth val="150"/>
        <c:overlap val="100"/>
        <c:axId val="431200896"/>
        <c:axId val="431210880"/>
      </c:barChart>
      <c:catAx>
        <c:axId val="431200896"/>
        <c:scaling>
          <c:orientation val="minMax"/>
        </c:scaling>
        <c:delete val="0"/>
        <c:axPos val="b"/>
        <c:numFmt formatCode="General" sourceLinked="1"/>
        <c:majorTickMark val="in"/>
        <c:minorTickMark val="none"/>
        <c:tickLblPos val="low"/>
        <c:spPr>
          <a:ln w="3175" cap="flat" cmpd="sng" algn="ctr">
            <a:solidFill>
              <a:srgbClr val="000000"/>
            </a:solidFill>
            <a:prstDash val="solid"/>
            <a:round/>
          </a:ln>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crossAx val="431210880"/>
        <c:crossesAt val="2000"/>
        <c:auto val="1"/>
        <c:lblAlgn val="ctr"/>
        <c:lblOffset val="100"/>
        <c:tickLblSkip val="1"/>
        <c:noMultiLvlLbl val="0"/>
      </c:catAx>
      <c:valAx>
        <c:axId val="431210880"/>
        <c:scaling>
          <c:orientation val="minMax"/>
          <c:max val="6000"/>
          <c:min val="2000"/>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crossAx val="431200896"/>
        <c:crosses val="autoZero"/>
        <c:crossBetween val="between"/>
        <c:majorUnit val="1000"/>
        <c:minorUnit val="500"/>
      </c:valAx>
      <c:spPr>
        <a:solidFill>
          <a:srgbClr val="C0C0C0"/>
        </a:solidFill>
        <a:ln w="12700">
          <a:solidFill>
            <a:srgbClr val="808080"/>
          </a:solidFill>
          <a:prstDash val="solid"/>
        </a:ln>
        <a:effectLst/>
      </c:spPr>
    </c:plotArea>
    <c:plotVisOnly val="1"/>
    <c:dispBlanksAs val="gap"/>
    <c:showDLblsOverMax val="0"/>
  </c:chart>
  <c:spPr>
    <a:noFill/>
    <a:ln w="9525" cap="flat" cmpd="sng" algn="ctr">
      <a:noFill/>
      <a:prstDash val="solid"/>
      <a:round/>
    </a:ln>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一般公共预算财政拨款支出（万元）</a:t>
            </a:r>
          </a:p>
        </c:rich>
      </c:tx>
      <c:layout>
        <c:manualLayout>
          <c:xMode val="edge"/>
          <c:yMode val="edge"/>
          <c:x val="0.22292993630573199"/>
          <c:y val="2.1276595744680799E-2"/>
        </c:manualLayout>
      </c:layout>
      <c:overlay val="0"/>
      <c:spPr>
        <a:noFill/>
        <a:ln w="25396">
          <a:noFill/>
        </a:ln>
      </c:spPr>
    </c:title>
    <c:autoTitleDeleted val="0"/>
    <c:plotArea>
      <c:layout>
        <c:manualLayout>
          <c:layoutTarget val="inner"/>
          <c:xMode val="edge"/>
          <c:yMode val="edge"/>
          <c:x val="7.4309978768577506E-2"/>
          <c:y val="0.18794326241134801"/>
          <c:w val="0.88322717622080704"/>
          <c:h val="0.719858156028369"/>
        </c:manualLayout>
      </c:layout>
      <c:barChart>
        <c:barDir val="col"/>
        <c:grouping val="stacked"/>
        <c:varyColors val="0"/>
        <c:ser>
          <c:idx val="0"/>
          <c:order val="0"/>
          <c:tx>
            <c:strRef>
              <c:f>Sheet1!$A$2</c:f>
              <c:strCache>
                <c:ptCount val="1"/>
              </c:strCache>
            </c:strRef>
          </c:tx>
          <c:spPr>
            <a:solidFill>
              <a:srgbClr val="CC99FF"/>
            </a:solidFill>
            <a:ln w="12698">
              <a:solidFill>
                <a:srgbClr val="000000"/>
              </a:solidFill>
              <a:prstDash val="solid"/>
            </a:ln>
          </c:spPr>
          <c:invertIfNegative val="0"/>
          <c:dLbls>
            <c:dLbl>
              <c:idx val="0"/>
              <c:tx>
                <c:rich>
                  <a:bodyPr/>
                  <a:lstStyle/>
                  <a:p>
                    <a:r>
                      <a:rPr lang="en-US" altLang="en-US"/>
                      <a:t>4162.56</a:t>
                    </a:r>
                  </a:p>
                </c:rich>
              </c:tx>
              <c:dLblPos val="ctr"/>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ltLang="en-US"/>
                      <a:t>4426.59</a:t>
                    </a:r>
                  </a:p>
                </c:rich>
              </c:tx>
              <c:dLblPos val="ctr"/>
              <c:showLegendKey val="0"/>
              <c:showVal val="1"/>
              <c:showCatName val="0"/>
              <c:showSerName val="0"/>
              <c:showPercent val="0"/>
              <c:showBubbleSize val="0"/>
              <c:extLst>
                <c:ext xmlns:c15="http://schemas.microsoft.com/office/drawing/2012/chart" uri="{CE6537A1-D6FC-4f65-9D91-7224C49458BB}"/>
              </c:extLst>
            </c:dLbl>
            <c:spPr>
              <a:noFill/>
              <a:ln w="25396">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Sheet1!$B$1:$E$1</c:f>
              <c:strCache>
                <c:ptCount val="2"/>
                <c:pt idx="0">
                  <c:v>2020年</c:v>
                </c:pt>
                <c:pt idx="1">
                  <c:v>2019年</c:v>
                </c:pt>
              </c:strCache>
            </c:strRef>
          </c:cat>
          <c:val>
            <c:numRef>
              <c:f>Sheet1!$B$2:$E$2</c:f>
              <c:numCache>
                <c:formatCode>General</c:formatCode>
                <c:ptCount val="4"/>
                <c:pt idx="0">
                  <c:v>3368.12</c:v>
                </c:pt>
                <c:pt idx="1">
                  <c:v>3235.95</c:v>
                </c:pt>
              </c:numCache>
            </c:numRef>
          </c:val>
        </c:ser>
        <c:ser>
          <c:idx val="1"/>
          <c:order val="1"/>
          <c:tx>
            <c:strRef>
              <c:f>Sheet1!$A$3</c:f>
              <c:strCache>
                <c:ptCount val="1"/>
              </c:strCache>
            </c:strRef>
          </c:tx>
          <c:spPr>
            <a:solidFill>
              <a:srgbClr val="993366"/>
            </a:solidFill>
            <a:ln w="12698">
              <a:solidFill>
                <a:srgbClr val="000000"/>
              </a:solidFill>
              <a:prstDash val="solid"/>
            </a:ln>
          </c:spPr>
          <c:invertIfNegative val="0"/>
          <c:dLbls>
            <c:spPr>
              <a:noFill/>
              <a:ln w="25396">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Sheet1!$B$1:$E$1</c:f>
              <c:strCache>
                <c:ptCount val="2"/>
                <c:pt idx="0">
                  <c:v>2020年</c:v>
                </c:pt>
                <c:pt idx="1">
                  <c:v>2019年</c:v>
                </c:pt>
              </c:strCache>
            </c:strRef>
          </c:cat>
          <c:val>
            <c:numRef>
              <c:f>Sheet1!$B$3:$E$3</c:f>
              <c:numCache>
                <c:formatCode>General</c:formatCode>
                <c:ptCount val="4"/>
              </c:numCache>
            </c:numRef>
          </c:val>
        </c:ser>
        <c:ser>
          <c:idx val="2"/>
          <c:order val="2"/>
          <c:tx>
            <c:strRef>
              <c:f>Sheet1!$A$4</c:f>
              <c:strCache>
                <c:ptCount val="1"/>
              </c:strCache>
            </c:strRef>
          </c:tx>
          <c:spPr>
            <a:solidFill>
              <a:srgbClr val="FFFFCC"/>
            </a:solidFill>
            <a:ln w="12698">
              <a:solidFill>
                <a:srgbClr val="000000"/>
              </a:solidFill>
              <a:prstDash val="solid"/>
            </a:ln>
          </c:spPr>
          <c:invertIfNegative val="0"/>
          <c:dLbls>
            <c:spPr>
              <a:noFill/>
              <a:ln w="25396">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Sheet1!$B$1:$E$1</c:f>
              <c:strCache>
                <c:ptCount val="2"/>
                <c:pt idx="0">
                  <c:v>2020年</c:v>
                </c:pt>
                <c:pt idx="1">
                  <c:v>2019年</c:v>
                </c:pt>
              </c:strCache>
            </c:strRef>
          </c:cat>
          <c:val>
            <c:numRef>
              <c:f>Sheet1!$B$4:$E$4</c:f>
              <c:numCache>
                <c:formatCode>General</c:formatCode>
                <c:ptCount val="4"/>
              </c:numCache>
            </c:numRef>
          </c:val>
        </c:ser>
        <c:dLbls>
          <c:showLegendKey val="0"/>
          <c:showVal val="1"/>
          <c:showCatName val="0"/>
          <c:showSerName val="0"/>
          <c:showPercent val="0"/>
          <c:showBubbleSize val="0"/>
        </c:dLbls>
        <c:gapWidth val="150"/>
        <c:overlap val="100"/>
        <c:axId val="431037056"/>
        <c:axId val="431055232"/>
      </c:barChart>
      <c:catAx>
        <c:axId val="431037056"/>
        <c:scaling>
          <c:orientation val="minMax"/>
        </c:scaling>
        <c:delete val="0"/>
        <c:axPos val="b"/>
        <c:numFmt formatCode="General" sourceLinked="1"/>
        <c:majorTickMark val="in"/>
        <c:minorTickMark val="none"/>
        <c:tickLblPos val="low"/>
        <c:spPr>
          <a:ln w="3174" cap="flat" cmpd="sng" algn="ctr">
            <a:solidFill>
              <a:srgbClr val="000000"/>
            </a:solidFill>
            <a:prstDash val="solid"/>
            <a:round/>
          </a:ln>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crossAx val="431055232"/>
        <c:crossesAt val="2000"/>
        <c:auto val="1"/>
        <c:lblAlgn val="ctr"/>
        <c:lblOffset val="100"/>
        <c:tickLblSkip val="1"/>
        <c:noMultiLvlLbl val="0"/>
      </c:catAx>
      <c:valAx>
        <c:axId val="431055232"/>
        <c:scaling>
          <c:orientation val="minMax"/>
          <c:max val="6000"/>
          <c:min val="2000"/>
        </c:scaling>
        <c:delete val="0"/>
        <c:axPos val="l"/>
        <c:majorGridlines>
          <c:spPr>
            <a:ln w="3174" cap="flat" cmpd="sng" algn="ctr">
              <a:solidFill>
                <a:srgbClr val="000000"/>
              </a:solidFill>
              <a:prstDash val="solid"/>
              <a:round/>
            </a:ln>
          </c:spPr>
        </c:majorGridlines>
        <c:numFmt formatCode="General" sourceLinked="1"/>
        <c:majorTickMark val="in"/>
        <c:minorTickMark val="none"/>
        <c:tickLblPos val="nextTo"/>
        <c:spPr>
          <a:ln w="3174" cap="flat" cmpd="sng" algn="ctr">
            <a:solidFill>
              <a:srgbClr val="000000"/>
            </a:solidFill>
            <a:prstDash val="solid"/>
            <a:round/>
          </a:ln>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crossAx val="431037056"/>
        <c:crosses val="autoZero"/>
        <c:crossBetween val="between"/>
        <c:majorUnit val="1000"/>
        <c:minorUnit val="500"/>
      </c:valAx>
      <c:spPr>
        <a:solidFill>
          <a:srgbClr val="C0C0C0"/>
        </a:solidFill>
        <a:ln w="12700">
          <a:solidFill>
            <a:srgbClr val="808080"/>
          </a:solidFill>
          <a:prstDash val="solid"/>
        </a:ln>
        <a:effectLst/>
      </c:spPr>
    </c:plotArea>
    <c:plotVisOnly val="1"/>
    <c:dispBlanksAs val="gap"/>
    <c:showDLblsOverMax val="0"/>
  </c:chart>
  <c:spPr>
    <a:noFill/>
    <a:ln w="9525" cap="flat" cmpd="sng" algn="ctr">
      <a:noFill/>
      <a:prstDash val="solid"/>
      <a:round/>
    </a:ln>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190"/>
      <c:depthPercent val="100"/>
      <c:rAngAx val="0"/>
      <c:perspective val="0"/>
    </c:view3D>
    <c:floor>
      <c:thickness val="0"/>
    </c:floor>
    <c:sideWall>
      <c:thickness val="0"/>
    </c:sideWall>
    <c:backWall>
      <c:thickness val="0"/>
    </c:backWall>
    <c:plotArea>
      <c:layout>
        <c:manualLayout>
          <c:layoutTarget val="inner"/>
          <c:xMode val="edge"/>
          <c:yMode val="edge"/>
          <c:x val="0.13930348258706499"/>
          <c:y val="0.22873900293255101"/>
          <c:w val="0.55887230514096098"/>
          <c:h val="0.39002932551319602"/>
        </c:manualLayout>
      </c:layout>
      <c:pie3DChart>
        <c:varyColors val="1"/>
        <c:ser>
          <c:idx val="0"/>
          <c:order val="0"/>
          <c:tx>
            <c:strRef>
              <c:f>Sheet1!$A$2</c:f>
              <c:strCache>
                <c:ptCount val="1"/>
              </c:strCache>
            </c:strRef>
          </c:tx>
          <c:spPr>
            <a:solidFill>
              <a:srgbClr val="9999FF"/>
            </a:solidFill>
            <a:ln w="12678">
              <a:solidFill>
                <a:srgbClr val="000000"/>
              </a:solidFill>
              <a:prstDash val="solid"/>
            </a:ln>
          </c:spPr>
          <c:explosion val="110"/>
          <c:dPt>
            <c:idx val="0"/>
            <c:bubble3D val="0"/>
            <c:spPr>
              <a:solidFill>
                <a:srgbClr val="00FF00"/>
              </a:solidFill>
              <a:ln w="12678">
                <a:solidFill>
                  <a:srgbClr val="000000"/>
                </a:solidFill>
                <a:prstDash val="solid"/>
              </a:ln>
            </c:spPr>
          </c:dPt>
          <c:dPt>
            <c:idx val="1"/>
            <c:bubble3D val="0"/>
            <c:spPr>
              <a:solidFill>
                <a:srgbClr val="99CCFF"/>
              </a:solidFill>
              <a:ln w="12678">
                <a:solidFill>
                  <a:srgbClr val="000000"/>
                </a:solidFill>
                <a:prstDash val="solid"/>
              </a:ln>
            </c:spPr>
          </c:dPt>
          <c:dPt>
            <c:idx val="2"/>
            <c:bubble3D val="0"/>
            <c:spPr>
              <a:solidFill>
                <a:srgbClr val="CC99FF"/>
              </a:solidFill>
              <a:ln w="12678">
                <a:solidFill>
                  <a:srgbClr val="000000"/>
                </a:solidFill>
                <a:prstDash val="solid"/>
              </a:ln>
            </c:spPr>
          </c:dPt>
          <c:dPt>
            <c:idx val="3"/>
            <c:bubble3D val="0"/>
            <c:spPr>
              <a:solidFill>
                <a:srgbClr val="FF9900"/>
              </a:solidFill>
              <a:ln w="12678">
                <a:solidFill>
                  <a:srgbClr val="000000"/>
                </a:solidFill>
                <a:prstDash val="solid"/>
              </a:ln>
            </c:spPr>
          </c:dPt>
          <c:dPt>
            <c:idx val="4"/>
            <c:bubble3D val="0"/>
            <c:spPr>
              <a:solidFill>
                <a:srgbClr val="FF0000"/>
              </a:solidFill>
              <a:ln w="12678">
                <a:solidFill>
                  <a:srgbClr val="000000"/>
                </a:solidFill>
                <a:prstDash val="solid"/>
              </a:ln>
            </c:spPr>
          </c:dPt>
          <c:dLbls>
            <c:dLbl>
              <c:idx val="0"/>
              <c:layout>
                <c:manualLayout>
                  <c:x val="-0.15744940418884601"/>
                  <c:y val="8.4602977797477198E-3"/>
                </c:manualLayout>
              </c:layout>
              <c:tx>
                <c:rich>
                  <a:bodyPr/>
                  <a:lstStyle/>
                  <a:p>
                    <a:r>
                      <a:rPr lang="zh-CN" altLang="en-US"/>
                      <a:t>一般公共服务支出
</a:t>
                    </a:r>
                    <a:r>
                      <a:rPr lang="en-US" altLang="zh-CN"/>
                      <a:t>5.2
0.12%</a:t>
                    </a:r>
                    <a:endParaRPr lang="zh-CN" altLang="en-US"/>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manualLayout>
                  <c:x val="-4.1832966929875197E-2"/>
                  <c:y val="-5.88241308707739E-2"/>
                </c:manualLayout>
              </c:layout>
              <c:tx>
                <c:rich>
                  <a:bodyPr/>
                  <a:lstStyle/>
                  <a:p>
                    <a:r>
                      <a:rPr lang="zh-CN" altLang="en-US"/>
                      <a:t>教育支出
</a:t>
                    </a:r>
                    <a:r>
                      <a:rPr lang="en-US" altLang="zh-CN"/>
                      <a:t>3587.99
86.05%</a:t>
                    </a:r>
                    <a:endParaRPr lang="zh-CN" altLang="en-US"/>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manualLayout>
                  <c:x val="0.123996298324948"/>
                  <c:y val="1.94476133487528E-2"/>
                </c:manualLayout>
              </c:layout>
              <c:tx>
                <c:rich>
                  <a:bodyPr/>
                  <a:lstStyle/>
                  <a:p>
                    <a:r>
                      <a:rPr lang="zh-CN" altLang="en-US"/>
                      <a:t>城乡社区类支出
</a:t>
                    </a:r>
                    <a:r>
                      <a:rPr lang="en-US" altLang="zh-CN"/>
                      <a:t>20.27
0.49%</a:t>
                    </a:r>
                    <a:endParaRPr lang="zh-CN" altLang="en-US"/>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3"/>
              <c:layout>
                <c:manualLayout>
                  <c:x val="8.1312221353743205E-2"/>
                  <c:y val="0.15242976167900099"/>
                </c:manualLayout>
              </c:layout>
              <c:tx>
                <c:rich>
                  <a:bodyPr/>
                  <a:lstStyle/>
                  <a:p>
                    <a:r>
                      <a:rPr lang="zh-CN" altLang="en-US"/>
                      <a:t>社会保障和就业支出
</a:t>
                    </a:r>
                    <a:r>
                      <a:rPr lang="en-US" altLang="zh-CN"/>
                      <a:t>290.14
6.96%</a:t>
                    </a:r>
                    <a:endParaRPr lang="zh-CN" altLang="en-US"/>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4"/>
              <c:layout>
                <c:manualLayout>
                  <c:x val="0.100380847855536"/>
                  <c:y val="0.28110880844802599"/>
                </c:manualLayout>
              </c:layout>
              <c:tx>
                <c:rich>
                  <a:bodyPr/>
                  <a:lstStyle/>
                  <a:p>
                    <a:r>
                      <a:rPr lang="zh-CN" altLang="en-US"/>
                      <a:t>住房保障支出
</a:t>
                    </a:r>
                    <a:r>
                      <a:rPr lang="en-US" altLang="zh-CN"/>
                      <a:t>265.96
6.38%</a:t>
                    </a:r>
                    <a:endParaRPr lang="zh-CN" altLang="en-US"/>
                  </a:p>
                </c:rich>
              </c:tx>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0%" sourceLinked="0"/>
            <c:spPr>
              <a:noFill/>
              <a:ln w="25356">
                <a:noFill/>
              </a:ln>
              <a:effectLst/>
            </c:spPr>
            <c:txPr>
              <a:bodyPr rot="0" spcFirstLastPara="0" vertOverflow="ellipsis" vert="horz" wrap="square" lIns="38100" tIns="19050" rIns="38100" bIns="19050" anchor="ctr" anchorCtr="1"/>
              <a:lstStyle/>
              <a:p>
                <a:pPr>
                  <a:defRPr lang="zh-CN" sz="925"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Sheet1!$B$1:$F$1</c:f>
              <c:strCache>
                <c:ptCount val="5"/>
                <c:pt idx="0">
                  <c:v>一般公共服务支出</c:v>
                </c:pt>
                <c:pt idx="1">
                  <c:v>教育支出</c:v>
                </c:pt>
                <c:pt idx="2">
                  <c:v>文化体育与传媒支出</c:v>
                </c:pt>
                <c:pt idx="3">
                  <c:v>社会保障和就业支出</c:v>
                </c:pt>
                <c:pt idx="4">
                  <c:v>住房保障支出</c:v>
                </c:pt>
              </c:strCache>
            </c:strRef>
          </c:cat>
          <c:val>
            <c:numRef>
              <c:f>Sheet1!$B$2:$F$2</c:f>
              <c:numCache>
                <c:formatCode>General</c:formatCode>
                <c:ptCount val="5"/>
                <c:pt idx="0">
                  <c:v>64.58</c:v>
                </c:pt>
                <c:pt idx="1">
                  <c:v>2822.29</c:v>
                </c:pt>
                <c:pt idx="2">
                  <c:v>38.700000000000003</c:v>
                </c:pt>
                <c:pt idx="3">
                  <c:v>349.36</c:v>
                </c:pt>
                <c:pt idx="4">
                  <c:v>93.19</c:v>
                </c:pt>
              </c:numCache>
            </c:numRef>
          </c:val>
        </c:ser>
        <c:ser>
          <c:idx val="1"/>
          <c:order val="1"/>
          <c:tx>
            <c:strRef>
              <c:f>Sheet1!$A$3</c:f>
              <c:strCache>
                <c:ptCount val="1"/>
              </c:strCache>
            </c:strRef>
          </c:tx>
          <c:spPr>
            <a:solidFill>
              <a:srgbClr val="993366"/>
            </a:solidFill>
            <a:ln w="12678">
              <a:solidFill>
                <a:srgbClr val="000000"/>
              </a:solidFill>
              <a:prstDash val="solid"/>
            </a:ln>
          </c:spPr>
          <c:explosion val="110"/>
          <c:dPt>
            <c:idx val="0"/>
            <c:bubble3D val="0"/>
            <c:spPr>
              <a:solidFill>
                <a:srgbClr val="9999FF"/>
              </a:solidFill>
              <a:ln w="12678">
                <a:solidFill>
                  <a:srgbClr val="000000"/>
                </a:solidFill>
                <a:prstDash val="solid"/>
              </a:ln>
            </c:spPr>
          </c:dPt>
          <c:dPt>
            <c:idx val="1"/>
            <c:bubble3D val="0"/>
          </c:dPt>
          <c:dPt>
            <c:idx val="2"/>
            <c:bubble3D val="0"/>
            <c:spPr>
              <a:solidFill>
                <a:srgbClr val="FFFFCC"/>
              </a:solidFill>
              <a:ln w="12678">
                <a:solidFill>
                  <a:srgbClr val="000000"/>
                </a:solidFill>
                <a:prstDash val="solid"/>
              </a:ln>
            </c:spPr>
          </c:dPt>
          <c:dPt>
            <c:idx val="3"/>
            <c:bubble3D val="0"/>
            <c:spPr>
              <a:solidFill>
                <a:srgbClr val="CCFFFF"/>
              </a:solidFill>
              <a:ln w="12678">
                <a:solidFill>
                  <a:srgbClr val="000000"/>
                </a:solidFill>
                <a:prstDash val="solid"/>
              </a:ln>
            </c:spPr>
          </c:dPt>
          <c:dPt>
            <c:idx val="4"/>
            <c:bubble3D val="0"/>
            <c:spPr>
              <a:solidFill>
                <a:srgbClr val="660066"/>
              </a:solidFill>
              <a:ln w="12678">
                <a:solidFill>
                  <a:srgbClr val="000000"/>
                </a:solidFill>
                <a:prstDash val="solid"/>
              </a:ln>
            </c:spPr>
          </c:dPt>
          <c:dLbls>
            <c:numFmt formatCode="0%" sourceLinked="0"/>
            <c:spPr>
              <a:noFill/>
              <a:ln w="25356">
                <a:noFill/>
              </a:ln>
              <a:effectLst/>
            </c:spPr>
            <c:txPr>
              <a:bodyPr rot="0" spcFirstLastPara="0" vertOverflow="ellipsis" vert="horz" wrap="square" lIns="38100" tIns="19050" rIns="38100" bIns="19050" anchor="ctr" anchorCtr="1"/>
              <a:lstStyle/>
              <a:p>
                <a:pPr>
                  <a:defRPr lang="zh-CN" sz="182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Sheet1!$B$1:$F$1</c:f>
              <c:strCache>
                <c:ptCount val="5"/>
                <c:pt idx="0">
                  <c:v>一般公共服务支出</c:v>
                </c:pt>
                <c:pt idx="1">
                  <c:v>教育支出</c:v>
                </c:pt>
                <c:pt idx="2">
                  <c:v>文化体育与传媒支出</c:v>
                </c:pt>
                <c:pt idx="3">
                  <c:v>社会保障和就业支出</c:v>
                </c:pt>
                <c:pt idx="4">
                  <c:v>住房保障支出</c:v>
                </c:pt>
              </c:strCache>
            </c:strRef>
          </c:cat>
          <c:val>
            <c:numRef>
              <c:f>Sheet1!$B$3:$F$3</c:f>
              <c:numCache>
                <c:formatCode>General</c:formatCode>
                <c:ptCount val="5"/>
              </c:numCache>
            </c:numRef>
          </c:val>
        </c:ser>
        <c:ser>
          <c:idx val="2"/>
          <c:order val="2"/>
          <c:tx>
            <c:strRef>
              <c:f>Sheet1!$A$4</c:f>
              <c:strCache>
                <c:ptCount val="1"/>
              </c:strCache>
            </c:strRef>
          </c:tx>
          <c:spPr>
            <a:solidFill>
              <a:srgbClr val="FFFFCC"/>
            </a:solidFill>
            <a:ln w="12678">
              <a:solidFill>
                <a:srgbClr val="000000"/>
              </a:solidFill>
              <a:prstDash val="solid"/>
            </a:ln>
          </c:spPr>
          <c:explosion val="110"/>
          <c:dPt>
            <c:idx val="0"/>
            <c:bubble3D val="0"/>
            <c:spPr>
              <a:solidFill>
                <a:srgbClr val="9999FF"/>
              </a:solidFill>
              <a:ln w="12678">
                <a:solidFill>
                  <a:srgbClr val="000000"/>
                </a:solidFill>
                <a:prstDash val="solid"/>
              </a:ln>
            </c:spPr>
          </c:dPt>
          <c:dPt>
            <c:idx val="1"/>
            <c:bubble3D val="0"/>
            <c:spPr>
              <a:solidFill>
                <a:srgbClr val="993366"/>
              </a:solidFill>
              <a:ln w="12678">
                <a:solidFill>
                  <a:srgbClr val="000000"/>
                </a:solidFill>
                <a:prstDash val="solid"/>
              </a:ln>
            </c:spPr>
          </c:dPt>
          <c:dPt>
            <c:idx val="2"/>
            <c:bubble3D val="0"/>
          </c:dPt>
          <c:dPt>
            <c:idx val="3"/>
            <c:bubble3D val="0"/>
            <c:spPr>
              <a:solidFill>
                <a:srgbClr val="CCFFFF"/>
              </a:solidFill>
              <a:ln w="12678">
                <a:solidFill>
                  <a:srgbClr val="000000"/>
                </a:solidFill>
                <a:prstDash val="solid"/>
              </a:ln>
            </c:spPr>
          </c:dPt>
          <c:dPt>
            <c:idx val="4"/>
            <c:bubble3D val="0"/>
            <c:spPr>
              <a:solidFill>
                <a:srgbClr val="660066"/>
              </a:solidFill>
              <a:ln w="12678">
                <a:solidFill>
                  <a:srgbClr val="000000"/>
                </a:solidFill>
                <a:prstDash val="solid"/>
              </a:ln>
            </c:spPr>
          </c:dPt>
          <c:dLbls>
            <c:numFmt formatCode="0%" sourceLinked="0"/>
            <c:spPr>
              <a:noFill/>
              <a:ln w="25356">
                <a:noFill/>
              </a:ln>
              <a:effectLst/>
            </c:spPr>
            <c:txPr>
              <a:bodyPr rot="0" spcFirstLastPara="0" vertOverflow="ellipsis" vert="horz" wrap="square" lIns="38100" tIns="19050" rIns="38100" bIns="19050" anchor="ctr" anchorCtr="1"/>
              <a:lstStyle/>
              <a:p>
                <a:pPr>
                  <a:defRPr lang="zh-CN" sz="182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Sheet1!$B$1:$F$1</c:f>
              <c:strCache>
                <c:ptCount val="5"/>
                <c:pt idx="0">
                  <c:v>一般公共服务支出</c:v>
                </c:pt>
                <c:pt idx="1">
                  <c:v>教育支出</c:v>
                </c:pt>
                <c:pt idx="2">
                  <c:v>文化体育与传媒支出</c:v>
                </c:pt>
                <c:pt idx="3">
                  <c:v>社会保障和就业支出</c:v>
                </c:pt>
                <c:pt idx="4">
                  <c:v>住房保障支出</c:v>
                </c:pt>
              </c:strCache>
            </c:strRef>
          </c:cat>
          <c:val>
            <c:numRef>
              <c:f>Sheet1!$B$4:$F$4</c:f>
              <c:numCache>
                <c:formatCode>General</c:formatCode>
                <c:ptCount val="5"/>
              </c:numCache>
            </c:numRef>
          </c:val>
        </c:ser>
        <c:dLbls>
          <c:showLegendKey val="0"/>
          <c:showVal val="1"/>
          <c:showCatName val="1"/>
          <c:showSerName val="0"/>
          <c:showPercent val="1"/>
          <c:showBubbleSize val="0"/>
          <c:showLeaderLines val="1"/>
        </c:dLbls>
      </c:pie3DChart>
      <c:spPr>
        <a:solidFill>
          <a:srgbClr val="C0C0C0"/>
        </a:solidFill>
        <a:ln w="12678">
          <a:solidFill>
            <a:srgbClr val="808080"/>
          </a:solidFill>
          <a:prstDash val="solid"/>
        </a:ln>
      </c:spPr>
    </c:plotArea>
    <c:legend>
      <c:legendPos val="r"/>
      <c:layout>
        <c:manualLayout>
          <c:xMode val="edge"/>
          <c:yMode val="edge"/>
          <c:x val="0.73797678275290202"/>
          <c:y val="9.9706744868035199E-2"/>
          <c:w val="0.21227197346600299"/>
          <c:h val="0.25219941348973601"/>
        </c:manualLayout>
      </c:layout>
      <c:overlay val="0"/>
      <c:spPr>
        <a:noFill/>
        <a:ln w="3170">
          <a:solidFill>
            <a:srgbClr val="000000"/>
          </a:solidFill>
          <a:prstDash val="solid"/>
        </a:ln>
      </c:spPr>
      <c:txPr>
        <a:bodyPr rot="0" spcFirstLastPara="0" vertOverflow="ellipsis" vert="horz" wrap="square" anchor="ctr" anchorCtr="1"/>
        <a:lstStyle/>
        <a:p>
          <a:pPr>
            <a:defRPr lang="zh-CN" sz="805"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legend>
    <c:plotVisOnly val="1"/>
    <c:dispBlanksAs val="zero"/>
    <c:showDLblsOverMax val="0"/>
  </c:chart>
  <c:spPr>
    <a:noFill/>
    <a:ln w="9525" cap="flat" cmpd="sng" algn="ctr">
      <a:noFill/>
      <a:prstDash val="solid"/>
      <a:round/>
    </a:ln>
  </c:spPr>
  <c:txPr>
    <a:bodyPr/>
    <a:lstStyle/>
    <a:p>
      <a:pPr>
        <a:defRPr lang="zh-CN" sz="1670" b="0" i="0" u="none" strike="noStrike" baseline="0">
          <a:solidFill>
            <a:srgbClr val="000000"/>
          </a:solidFill>
          <a:latin typeface="宋体" panose="02010600030101010101" charset="-122"/>
          <a:ea typeface="宋体" panose="02010600030101010101" charset="-122"/>
          <a:cs typeface="宋体" panose="02010600030101010101" charset="-122"/>
        </a:defRPr>
      </a:pPr>
      <a:endParaRPr lang="zh-CN"/>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三公经费财政拨款支出</a:t>
            </a:r>
          </a:p>
        </c:rich>
      </c:tx>
      <c:layout>
        <c:manualLayout>
          <c:xMode val="edge"/>
          <c:yMode val="edge"/>
          <c:x val="0.330578512396695"/>
          <c:y val="2.1052631578947399E-2"/>
        </c:manualLayout>
      </c:layout>
      <c:overlay val="0"/>
      <c:spPr>
        <a:noFill/>
        <a:ln w="25407">
          <a:noFill/>
        </a:ln>
      </c:spPr>
    </c:title>
    <c:autoTitleDeleted val="0"/>
    <c:view3D>
      <c:rotX val="30"/>
      <c:rotY val="190"/>
      <c:depthPercent val="100"/>
      <c:rAngAx val="0"/>
      <c:perspective val="0"/>
    </c:view3D>
    <c:floor>
      <c:thickness val="0"/>
    </c:floor>
    <c:sideWall>
      <c:thickness val="0"/>
    </c:sideWall>
    <c:backWall>
      <c:thickness val="0"/>
    </c:backWall>
    <c:plotArea>
      <c:layout>
        <c:manualLayout>
          <c:layoutTarget val="inner"/>
          <c:xMode val="edge"/>
          <c:yMode val="edge"/>
          <c:x val="0.11776859504132201"/>
          <c:y val="0.37894736842105298"/>
          <c:w val="0.52479338842975198"/>
          <c:h val="0.35438596491228103"/>
        </c:manualLayout>
      </c:layout>
      <c:pie3DChart>
        <c:varyColors val="1"/>
        <c:ser>
          <c:idx val="0"/>
          <c:order val="0"/>
          <c:tx>
            <c:strRef>
              <c:f>Sheet1!$A$2</c:f>
              <c:strCache>
                <c:ptCount val="1"/>
              </c:strCache>
            </c:strRef>
          </c:tx>
          <c:spPr>
            <a:solidFill>
              <a:srgbClr val="9999FF"/>
            </a:solidFill>
            <a:ln w="12704">
              <a:solidFill>
                <a:srgbClr val="000000"/>
              </a:solidFill>
              <a:prstDash val="solid"/>
            </a:ln>
          </c:spPr>
          <c:explosion val="25"/>
          <c:dPt>
            <c:idx val="0"/>
            <c:bubble3D val="0"/>
          </c:dPt>
          <c:dPt>
            <c:idx val="1"/>
            <c:bubble3D val="0"/>
            <c:spPr>
              <a:solidFill>
                <a:srgbClr val="FF6600"/>
              </a:solidFill>
              <a:ln w="12704">
                <a:solidFill>
                  <a:srgbClr val="000000"/>
                </a:solidFill>
                <a:prstDash val="solid"/>
              </a:ln>
            </c:spPr>
          </c:dPt>
          <c:dPt>
            <c:idx val="2"/>
            <c:bubble3D val="0"/>
            <c:spPr>
              <a:solidFill>
                <a:srgbClr val="FFFFCC"/>
              </a:solidFill>
              <a:ln w="12704">
                <a:solidFill>
                  <a:srgbClr val="000000"/>
                </a:solidFill>
                <a:prstDash val="solid"/>
              </a:ln>
            </c:spPr>
          </c:dPt>
          <c:dLbls>
            <c:dLbl>
              <c:idx val="0"/>
              <c:layout>
                <c:manualLayout>
                  <c:x val="-8.1767995500667601E-2"/>
                  <c:y val="0.12965989327339"/>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manualLayout>
                  <c:x val="-1.4566558068083201E-2"/>
                  <c:y val="-0.152447180908753"/>
                </c:manualLayout>
              </c:layout>
              <c:tx>
                <c:rich>
                  <a:bodyPr/>
                  <a:lstStyle/>
                  <a:p>
                    <a:r>
                      <a:rPr lang="zh-CN" altLang="en-US"/>
                      <a:t>公务用车购置及运行维护费
</a:t>
                    </a:r>
                    <a:r>
                      <a:rPr lang="en-US" altLang="zh-CN"/>
                      <a:t>5.65
43.97%</a:t>
                    </a:r>
                    <a:endParaRPr lang="zh-CN" altLang="en-US"/>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manualLayout>
                  <c:x val="0.10939256672803099"/>
                  <c:y val="0.186965553205685"/>
                </c:manualLayout>
              </c:layout>
              <c:tx>
                <c:rich>
                  <a:bodyPr/>
                  <a:lstStyle/>
                  <a:p>
                    <a:r>
                      <a:rPr lang="zh-CN" altLang="en-US"/>
                      <a:t>公务接待费
</a:t>
                    </a:r>
                    <a:r>
                      <a:rPr lang="en-US" altLang="zh-CN"/>
                      <a:t>7.2</a:t>
                    </a:r>
                  </a:p>
                  <a:p>
                    <a:r>
                      <a:rPr lang="en-US" altLang="zh-CN"/>
                      <a:t>56.03%</a:t>
                    </a:r>
                    <a:endParaRPr lang="zh-CN" altLang="en-US"/>
                  </a:p>
                </c:rich>
              </c:tx>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0.00%" sourceLinked="0"/>
            <c:spPr>
              <a:noFill/>
              <a:ln w="25407">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Sheet1!$B$1:$D$1</c:f>
              <c:strCache>
                <c:ptCount val="3"/>
                <c:pt idx="0">
                  <c:v>因公出国（境）费</c:v>
                </c:pt>
                <c:pt idx="1">
                  <c:v>公务用车购置及运行维护费</c:v>
                </c:pt>
                <c:pt idx="2">
                  <c:v>公务接待费</c:v>
                </c:pt>
              </c:strCache>
            </c:strRef>
          </c:cat>
          <c:val>
            <c:numRef>
              <c:f>Sheet1!$B$2:$D$2</c:f>
              <c:numCache>
                <c:formatCode>General</c:formatCode>
                <c:ptCount val="3"/>
                <c:pt idx="0">
                  <c:v>0</c:v>
                </c:pt>
                <c:pt idx="1">
                  <c:v>5.65</c:v>
                </c:pt>
                <c:pt idx="2">
                  <c:v>7.2</c:v>
                </c:pt>
              </c:numCache>
            </c:numRef>
          </c:val>
        </c:ser>
        <c:ser>
          <c:idx val="1"/>
          <c:order val="1"/>
          <c:tx>
            <c:strRef>
              <c:f>Sheet1!$A$3</c:f>
              <c:strCache>
                <c:ptCount val="1"/>
              </c:strCache>
            </c:strRef>
          </c:tx>
          <c:spPr>
            <a:solidFill>
              <a:srgbClr val="993366"/>
            </a:solidFill>
            <a:ln w="12704">
              <a:solidFill>
                <a:srgbClr val="000000"/>
              </a:solidFill>
              <a:prstDash val="solid"/>
            </a:ln>
          </c:spPr>
          <c:explosion val="25"/>
          <c:dPt>
            <c:idx val="0"/>
            <c:bubble3D val="0"/>
            <c:spPr>
              <a:solidFill>
                <a:srgbClr val="9999FF"/>
              </a:solidFill>
              <a:ln w="12704">
                <a:solidFill>
                  <a:srgbClr val="000000"/>
                </a:solidFill>
                <a:prstDash val="solid"/>
              </a:ln>
            </c:spPr>
          </c:dPt>
          <c:dPt>
            <c:idx val="1"/>
            <c:bubble3D val="0"/>
          </c:dPt>
          <c:dPt>
            <c:idx val="2"/>
            <c:bubble3D val="0"/>
            <c:spPr>
              <a:solidFill>
                <a:srgbClr val="FFFFCC"/>
              </a:solidFill>
              <a:ln w="12704">
                <a:solidFill>
                  <a:srgbClr val="000000"/>
                </a:solidFill>
                <a:prstDash val="solid"/>
              </a:ln>
            </c:spPr>
          </c:dPt>
          <c:dLbls>
            <c:numFmt formatCode="0%" sourceLinked="0"/>
            <c:spPr>
              <a:noFill/>
              <a:ln w="25407">
                <a:noFill/>
              </a:ln>
              <a:effectLst/>
            </c:spPr>
            <c:txPr>
              <a:bodyPr rot="0" spcFirstLastPara="0" vertOverflow="ellipsis" vert="horz" wrap="square" lIns="38100" tIns="19050" rIns="38100" bIns="19050" anchor="ctr" anchorCtr="1"/>
              <a:lstStyle/>
              <a:p>
                <a:pPr>
                  <a:defRPr lang="zh-CN" sz="1675"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Sheet1!$B$1:$D$1</c:f>
              <c:strCache>
                <c:ptCount val="3"/>
                <c:pt idx="0">
                  <c:v>因公出国（境）费</c:v>
                </c:pt>
                <c:pt idx="1">
                  <c:v>公务用车购置及运行维护费</c:v>
                </c:pt>
                <c:pt idx="2">
                  <c:v>公务接待费</c:v>
                </c:pt>
              </c:strCache>
            </c:strRef>
          </c:cat>
          <c:val>
            <c:numRef>
              <c:f>Sheet1!$B$3:$D$3</c:f>
              <c:numCache>
                <c:formatCode>General</c:formatCode>
                <c:ptCount val="3"/>
              </c:numCache>
            </c:numRef>
          </c:val>
        </c:ser>
        <c:ser>
          <c:idx val="2"/>
          <c:order val="2"/>
          <c:tx>
            <c:strRef>
              <c:f>Sheet1!$A$4</c:f>
              <c:strCache>
                <c:ptCount val="1"/>
              </c:strCache>
            </c:strRef>
          </c:tx>
          <c:spPr>
            <a:solidFill>
              <a:srgbClr val="FFFFCC"/>
            </a:solidFill>
            <a:ln w="12704">
              <a:solidFill>
                <a:srgbClr val="000000"/>
              </a:solidFill>
              <a:prstDash val="solid"/>
            </a:ln>
          </c:spPr>
          <c:explosion val="25"/>
          <c:dPt>
            <c:idx val="0"/>
            <c:bubble3D val="0"/>
            <c:spPr>
              <a:solidFill>
                <a:srgbClr val="9999FF"/>
              </a:solidFill>
              <a:ln w="12704">
                <a:solidFill>
                  <a:srgbClr val="000000"/>
                </a:solidFill>
                <a:prstDash val="solid"/>
              </a:ln>
            </c:spPr>
          </c:dPt>
          <c:dPt>
            <c:idx val="1"/>
            <c:bubble3D val="0"/>
            <c:spPr>
              <a:solidFill>
                <a:srgbClr val="993366"/>
              </a:solidFill>
              <a:ln w="12704">
                <a:solidFill>
                  <a:srgbClr val="000000"/>
                </a:solidFill>
                <a:prstDash val="solid"/>
              </a:ln>
            </c:spPr>
          </c:dPt>
          <c:dPt>
            <c:idx val="2"/>
            <c:bubble3D val="0"/>
          </c:dPt>
          <c:dLbls>
            <c:numFmt formatCode="0%" sourceLinked="0"/>
            <c:spPr>
              <a:noFill/>
              <a:ln w="25407">
                <a:noFill/>
              </a:ln>
              <a:effectLst/>
            </c:spPr>
            <c:txPr>
              <a:bodyPr rot="0" spcFirstLastPara="0" vertOverflow="ellipsis" vert="horz" wrap="square" lIns="38100" tIns="19050" rIns="38100" bIns="19050" anchor="ctr" anchorCtr="1"/>
              <a:lstStyle/>
              <a:p>
                <a:pPr>
                  <a:defRPr lang="zh-CN" sz="1675"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Sheet1!$B$1:$D$1</c:f>
              <c:strCache>
                <c:ptCount val="3"/>
                <c:pt idx="0">
                  <c:v>因公出国（境）费</c:v>
                </c:pt>
                <c:pt idx="1">
                  <c:v>公务用车购置及运行维护费</c:v>
                </c:pt>
                <c:pt idx="2">
                  <c:v>公务接待费</c:v>
                </c:pt>
              </c:strCache>
            </c:strRef>
          </c:cat>
          <c:val>
            <c:numRef>
              <c:f>Sheet1!$B$4:$D$4</c:f>
              <c:numCache>
                <c:formatCode>General</c:formatCode>
                <c:ptCount val="3"/>
              </c:numCache>
            </c:numRef>
          </c:val>
        </c:ser>
        <c:dLbls>
          <c:showLegendKey val="0"/>
          <c:showVal val="1"/>
          <c:showCatName val="1"/>
          <c:showSerName val="0"/>
          <c:showPercent val="1"/>
          <c:showBubbleSize val="0"/>
          <c:showLeaderLines val="1"/>
        </c:dLbls>
      </c:pie3DChart>
      <c:spPr>
        <a:solidFill>
          <a:srgbClr val="C0C0C0"/>
        </a:solidFill>
        <a:ln w="12704">
          <a:solidFill>
            <a:srgbClr val="808080"/>
          </a:solidFill>
          <a:prstDash val="solid"/>
        </a:ln>
      </c:spPr>
    </c:plotArea>
    <c:legend>
      <c:legendPos val="r"/>
      <c:layout>
        <c:manualLayout>
          <c:xMode val="edge"/>
          <c:yMode val="edge"/>
          <c:x val="0.71487603305785197"/>
          <c:y val="0.150877192982456"/>
          <c:w val="0.26239669421487599"/>
          <c:h val="0.46315789473684199"/>
        </c:manualLayout>
      </c:layout>
      <c:overlay val="0"/>
      <c:spPr>
        <a:noFill/>
        <a:ln w="3176">
          <a:solidFill>
            <a:srgbClr val="000000"/>
          </a:solidFill>
          <a:prstDash val="solid"/>
        </a:ln>
      </c:spPr>
      <c:txPr>
        <a:bodyPr rot="0" spcFirstLastPara="0" vertOverflow="ellipsis" vert="horz" wrap="square" anchor="ctr" anchorCtr="1"/>
        <a:lstStyle/>
        <a:p>
          <a:pPr>
            <a:defRPr lang="zh-CN" sz="920"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legend>
    <c:plotVisOnly val="1"/>
    <c:dispBlanksAs val="zero"/>
    <c:showDLblsOverMax val="0"/>
  </c:chart>
  <c:spPr>
    <a:noFill/>
    <a:ln w="9525" cap="flat" cmpd="sng" algn="ctr">
      <a:noFill/>
      <a:prstDash val="solid"/>
      <a:round/>
    </a:ln>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34</Pages>
  <Words>2307</Words>
  <Characters>13156</Characters>
  <Application>Microsoft Office Word</Application>
  <DocSecurity>0</DocSecurity>
  <Lines>109</Lines>
  <Paragraphs>30</Paragraphs>
  <ScaleCrop>false</ScaleCrop>
  <Company>四川省财政厅</Company>
  <LinksUpToDate>false</LinksUpToDate>
  <CharactersWithSpaces>15433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龙晓莹</cp:lastModifiedBy>
  <cp:revision>7</cp:revision>
  <cp:lastPrinted>2021-07-29T03:56:00Z</cp:lastPrinted>
  <dcterms:created xsi:type="dcterms:W3CDTF">2021-10-15T02:48:00Z</dcterms:created>
  <dcterms:modified xsi:type="dcterms:W3CDTF">2026-10-20T03:50:00Z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EDB8CCBB8E9C4503B546613B68AECF4A</vt:lpwstr>
  </property>
</Properties>
</file>