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2C9" w:rsidRDefault="00D632C9">
      <w:pPr>
        <w:spacing w:line="600" w:lineRule="exact"/>
        <w:jc w:val="left"/>
        <w:outlineLvl w:val="0"/>
        <w:rPr>
          <w:rFonts w:ascii="方正小标宋简体" w:eastAsia="方正小标宋简体" w:hAnsi="宋体"/>
          <w:szCs w:val="21"/>
        </w:rPr>
      </w:pPr>
      <w:bookmarkStart w:id="0" w:name="_Toc15306267"/>
    </w:p>
    <w:p w:rsidR="00D632C9" w:rsidRDefault="00D632C9">
      <w:pPr>
        <w:spacing w:line="600" w:lineRule="exact"/>
        <w:jc w:val="center"/>
        <w:outlineLvl w:val="0"/>
        <w:rPr>
          <w:rFonts w:ascii="方正小标宋简体" w:eastAsia="方正小标宋简体" w:hAnsi="宋体"/>
          <w:sz w:val="72"/>
          <w:szCs w:val="72"/>
        </w:rPr>
      </w:pPr>
    </w:p>
    <w:p w:rsidR="00D632C9" w:rsidRDefault="00D632C9">
      <w:pPr>
        <w:spacing w:line="600" w:lineRule="exact"/>
        <w:jc w:val="center"/>
        <w:outlineLvl w:val="0"/>
        <w:rPr>
          <w:rFonts w:ascii="方正小标宋简体" w:eastAsia="方正小标宋简体" w:hAnsi="宋体"/>
          <w:sz w:val="72"/>
          <w:szCs w:val="72"/>
        </w:rPr>
      </w:pPr>
    </w:p>
    <w:p w:rsidR="00D632C9" w:rsidRDefault="00A722CB">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1" w:name="_Toc15377193"/>
      <w:bookmarkStart w:id="2" w:name="_Toc15377425"/>
      <w:bookmarkStart w:id="3" w:name="_Toc15378441"/>
      <w:bookmarkStart w:id="4" w:name="_Toc15396475"/>
      <w:bookmarkStart w:id="5" w:name="_Toc15396597"/>
      <w:r>
        <w:rPr>
          <w:rFonts w:ascii="方正小标宋简体" w:eastAsia="方正小标宋简体" w:hAnsi="方正小标宋简体" w:cs="方正小标宋简体" w:hint="eastAsia"/>
          <w:sz w:val="72"/>
          <w:szCs w:val="72"/>
        </w:rPr>
        <w:t>2022年度</w:t>
      </w:r>
      <w:bookmarkStart w:id="6" w:name="_GoBack"/>
      <w:bookmarkEnd w:id="1"/>
      <w:bookmarkEnd w:id="2"/>
      <w:bookmarkEnd w:id="3"/>
      <w:bookmarkEnd w:id="4"/>
      <w:bookmarkEnd w:id="5"/>
      <w:bookmarkEnd w:id="6"/>
    </w:p>
    <w:p w:rsidR="00D632C9" w:rsidRDefault="00A722CB">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7" w:name="_Toc15396598"/>
      <w:bookmarkStart w:id="8" w:name="_Toc15377194"/>
      <w:bookmarkStart w:id="9" w:name="_Toc15396476"/>
      <w:bookmarkStart w:id="10" w:name="_Toc15377426"/>
      <w:bookmarkStart w:id="11" w:name="_Toc15378442"/>
      <w:r>
        <w:rPr>
          <w:rFonts w:ascii="方正小标宋简体" w:eastAsia="方正小标宋简体" w:hAnsi="方正小标宋简体" w:cs="方正小标宋简体" w:hint="eastAsia"/>
          <w:sz w:val="72"/>
          <w:szCs w:val="72"/>
        </w:rPr>
        <w:t>攀枝花市</w:t>
      </w:r>
      <w:bookmarkStart w:id="12" w:name="_Toc15306268"/>
      <w:bookmarkEnd w:id="0"/>
      <w:r>
        <w:rPr>
          <w:rFonts w:ascii="方正小标宋简体" w:eastAsia="方正小标宋简体" w:hAnsi="方正小标宋简体" w:cs="方正小标宋简体" w:hint="eastAsia"/>
          <w:sz w:val="72"/>
          <w:szCs w:val="72"/>
        </w:rPr>
        <w:t>实验学校单位决算</w:t>
      </w:r>
      <w:bookmarkEnd w:id="7"/>
      <w:bookmarkEnd w:id="8"/>
      <w:bookmarkEnd w:id="9"/>
      <w:bookmarkEnd w:id="10"/>
      <w:bookmarkEnd w:id="11"/>
      <w:bookmarkEnd w:id="12"/>
    </w:p>
    <w:p w:rsidR="00D632C9" w:rsidRDefault="00D632C9" w:rsidP="00773424">
      <w:pPr>
        <w:pStyle w:val="a0"/>
        <w:spacing w:before="93"/>
        <w:rPr>
          <w:rFonts w:eastAsia="方正小标宋简体"/>
        </w:rPr>
      </w:pPr>
    </w:p>
    <w:p w:rsidR="00D632C9" w:rsidRDefault="00A722CB">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D632C9" w:rsidRDefault="00D632C9">
      <w:pPr>
        <w:widowControl/>
        <w:jc w:val="center"/>
        <w:rPr>
          <w:rFonts w:ascii="黑体" w:eastAsia="黑体" w:hAnsi="黑体" w:cstheme="minorBidi"/>
          <w:sz w:val="28"/>
          <w:szCs w:val="28"/>
        </w:rPr>
      </w:pPr>
    </w:p>
    <w:p w:rsidR="00D632C9" w:rsidRDefault="00A722CB">
      <w:pPr>
        <w:pStyle w:val="10"/>
      </w:pPr>
      <w:r>
        <w:rPr>
          <w:rFonts w:hint="eastAsia"/>
        </w:rPr>
        <w:t>公开时间：2023年9月</w:t>
      </w:r>
      <w:r>
        <w:t>1</w:t>
      </w:r>
      <w:r w:rsidR="00BD5D7A">
        <w:rPr>
          <w:rFonts w:hint="eastAsia"/>
        </w:rPr>
        <w:t>5</w:t>
      </w:r>
      <w:r>
        <w:rPr>
          <w:rFonts w:hint="eastAsia"/>
        </w:rPr>
        <w:t>日</w:t>
      </w:r>
    </w:p>
    <w:p w:rsidR="00D632C9" w:rsidRDefault="00D632C9"/>
    <w:p w:rsidR="00D632C9" w:rsidRDefault="00A722CB">
      <w:pPr>
        <w:pStyle w:val="10"/>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单位概况</w:t>
      </w:r>
      <w:r>
        <w:rPr>
          <w:rFonts w:cstheme="minorBidi"/>
          <w:sz w:val="24"/>
          <w:szCs w:val="24"/>
        </w:rPr>
        <w:tab/>
      </w:r>
      <w:r>
        <w:rPr>
          <w:rFonts w:cstheme="minorBidi" w:hint="eastAsia"/>
          <w:sz w:val="24"/>
          <w:szCs w:val="24"/>
        </w:rPr>
        <w:t>4</w:t>
      </w:r>
    </w:p>
    <w:p w:rsidR="00D632C9" w:rsidRDefault="00A722CB">
      <w:pPr>
        <w:pStyle w:val="20"/>
        <w:adjustRightInd w:val="0"/>
        <w:snapToGrid w:val="0"/>
        <w:spacing w:line="440" w:lineRule="exact"/>
        <w:jc w:val="left"/>
        <w:rPr>
          <w:sz w:val="24"/>
        </w:rPr>
      </w:pPr>
      <w:r>
        <w:rPr>
          <w:rFonts w:hint="eastAsia"/>
          <w:sz w:val="24"/>
        </w:rPr>
        <w:t>一、主要职责</w:t>
      </w:r>
      <w:r>
        <w:rPr>
          <w:rFonts w:cstheme="minorBidi"/>
          <w:sz w:val="24"/>
        </w:rPr>
        <w:tab/>
      </w:r>
      <w:r>
        <w:rPr>
          <w:rFonts w:cstheme="minorBidi" w:hint="eastAsia"/>
          <w:sz w:val="24"/>
        </w:rPr>
        <w:t>4</w:t>
      </w:r>
    </w:p>
    <w:p w:rsidR="00D632C9" w:rsidRDefault="00A722CB">
      <w:pPr>
        <w:pStyle w:val="20"/>
        <w:adjustRightInd w:val="0"/>
        <w:snapToGrid w:val="0"/>
        <w:spacing w:line="440" w:lineRule="exact"/>
        <w:jc w:val="left"/>
      </w:pPr>
      <w:r>
        <w:rPr>
          <w:rFonts w:hint="eastAsia"/>
          <w:sz w:val="24"/>
        </w:rPr>
        <w:t>二、机构设置</w:t>
      </w:r>
      <w:r>
        <w:rPr>
          <w:rFonts w:cstheme="minorBidi"/>
          <w:sz w:val="24"/>
        </w:rPr>
        <w:tab/>
      </w:r>
      <w:r>
        <w:rPr>
          <w:rFonts w:hint="eastAsia"/>
          <w:sz w:val="24"/>
        </w:rPr>
        <w:t xml:space="preserve"> 4    </w:t>
      </w:r>
    </w:p>
    <w:p w:rsidR="00D632C9" w:rsidRDefault="00A722CB">
      <w:pPr>
        <w:pStyle w:val="10"/>
        <w:adjustRightInd w:val="0"/>
        <w:snapToGrid w:val="0"/>
        <w:spacing w:before="0" w:line="440" w:lineRule="exact"/>
        <w:jc w:val="left"/>
        <w:rPr>
          <w:sz w:val="24"/>
          <w:szCs w:val="24"/>
        </w:rPr>
      </w:pPr>
      <w:r>
        <w:rPr>
          <w:rFonts w:hint="eastAsia"/>
          <w:sz w:val="24"/>
        </w:rPr>
        <w:t>第二部分 2022年度单位决算情况说明</w:t>
      </w:r>
      <w:r>
        <w:rPr>
          <w:rFonts w:cstheme="minorBidi"/>
          <w:sz w:val="24"/>
          <w:szCs w:val="24"/>
        </w:rPr>
        <w:tab/>
      </w:r>
      <w:r>
        <w:rPr>
          <w:rFonts w:cstheme="minorBidi" w:hint="eastAsia"/>
          <w:sz w:val="24"/>
          <w:szCs w:val="24"/>
        </w:rPr>
        <w:t>5</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一、收入支出决算总体情况说明</w:t>
      </w:r>
      <w:r>
        <w:rPr>
          <w:rFonts w:cstheme="minorBidi"/>
          <w:sz w:val="24"/>
        </w:rPr>
        <w:tab/>
      </w:r>
      <w:r>
        <w:rPr>
          <w:rFonts w:cstheme="minorBidi" w:hint="eastAsia"/>
          <w:sz w:val="24"/>
        </w:rPr>
        <w:t>5</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二、收入决算情况说明</w:t>
      </w:r>
      <w:r>
        <w:rPr>
          <w:rFonts w:cstheme="minorBidi"/>
          <w:sz w:val="24"/>
        </w:rPr>
        <w:tab/>
      </w:r>
      <w:r>
        <w:rPr>
          <w:rFonts w:cstheme="minorBidi" w:hint="eastAsia"/>
          <w:sz w:val="24"/>
        </w:rPr>
        <w:t>5-6</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三、支出决算情况说明</w:t>
      </w:r>
      <w:r>
        <w:rPr>
          <w:rFonts w:cstheme="minorBidi"/>
          <w:sz w:val="24"/>
        </w:rPr>
        <w:tab/>
      </w:r>
      <w:r>
        <w:rPr>
          <w:rFonts w:cstheme="minorBidi" w:hint="eastAsia"/>
          <w:sz w:val="24"/>
        </w:rPr>
        <w:t>6-7</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四、财政拨款收入支出决算总体情况说明</w:t>
      </w:r>
      <w:r>
        <w:rPr>
          <w:rFonts w:cstheme="minorBidi"/>
          <w:sz w:val="24"/>
        </w:rPr>
        <w:tab/>
      </w:r>
      <w:r>
        <w:rPr>
          <w:rFonts w:cstheme="minorBidi" w:hint="eastAsia"/>
          <w:sz w:val="24"/>
        </w:rPr>
        <w:t>7</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五、一般公共预算财政拨款支出决算情况说明</w:t>
      </w:r>
      <w:r>
        <w:rPr>
          <w:rFonts w:cstheme="minorBidi"/>
          <w:sz w:val="24"/>
        </w:rPr>
        <w:tab/>
      </w:r>
      <w:r>
        <w:rPr>
          <w:rFonts w:cstheme="minorBidi" w:hint="eastAsia"/>
          <w:sz w:val="24"/>
        </w:rPr>
        <w:t>8-9</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六、一般公共预算财政拨款基本支出决算情况说明</w:t>
      </w:r>
      <w:r>
        <w:rPr>
          <w:rFonts w:cstheme="minorBidi"/>
          <w:sz w:val="24"/>
        </w:rPr>
        <w:tab/>
      </w:r>
      <w:r>
        <w:rPr>
          <w:rFonts w:cstheme="minorBidi" w:hint="eastAsia"/>
          <w:sz w:val="24"/>
        </w:rPr>
        <w:t>10</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七、财政拨款“三公”经费支出决算情况说明</w:t>
      </w:r>
      <w:r>
        <w:rPr>
          <w:rFonts w:cstheme="minorBidi"/>
          <w:sz w:val="24"/>
        </w:rPr>
        <w:tab/>
      </w:r>
      <w:r>
        <w:rPr>
          <w:rFonts w:cstheme="minorBidi" w:hint="eastAsia"/>
          <w:sz w:val="24"/>
        </w:rPr>
        <w:t>10-12</w:t>
      </w:r>
    </w:p>
    <w:p w:rsidR="00D632C9" w:rsidRDefault="00A722CB">
      <w:pPr>
        <w:pStyle w:val="20"/>
        <w:adjustRightInd w:val="0"/>
        <w:snapToGrid w:val="0"/>
        <w:spacing w:line="440" w:lineRule="exact"/>
        <w:jc w:val="left"/>
        <w:rPr>
          <w:rFonts w:ascii="仿宋" w:eastAsia="仿宋" w:hAnsi="仿宋" w:cstheme="minorBidi"/>
          <w:sz w:val="24"/>
        </w:rPr>
      </w:pPr>
      <w:r>
        <w:rPr>
          <w:rFonts w:hint="eastAsia"/>
          <w:sz w:val="24"/>
        </w:rPr>
        <w:t>八、政府性基金预算支出决算情况说明</w:t>
      </w:r>
      <w:r>
        <w:rPr>
          <w:rFonts w:cstheme="minorBidi"/>
          <w:sz w:val="24"/>
        </w:rPr>
        <w:tab/>
      </w:r>
      <w:r>
        <w:rPr>
          <w:rFonts w:cstheme="minorBidi" w:hint="eastAsia"/>
          <w:sz w:val="24"/>
        </w:rPr>
        <w:t>12</w:t>
      </w:r>
    </w:p>
    <w:p w:rsidR="00D632C9" w:rsidRDefault="00A722CB">
      <w:pPr>
        <w:pStyle w:val="20"/>
        <w:adjustRightInd w:val="0"/>
        <w:snapToGrid w:val="0"/>
        <w:spacing w:line="440" w:lineRule="exact"/>
        <w:jc w:val="left"/>
        <w:rPr>
          <w:sz w:val="24"/>
        </w:rPr>
      </w:pPr>
      <w:r>
        <w:rPr>
          <w:rFonts w:hint="eastAsia"/>
          <w:sz w:val="24"/>
        </w:rPr>
        <w:t>九、国有资本经营预算支出决算情况说明</w:t>
      </w:r>
      <w:r>
        <w:rPr>
          <w:rFonts w:cstheme="minorBidi"/>
          <w:sz w:val="24"/>
        </w:rPr>
        <w:tab/>
      </w:r>
      <w:r>
        <w:rPr>
          <w:rFonts w:cstheme="minorBidi" w:hint="eastAsia"/>
          <w:sz w:val="24"/>
        </w:rPr>
        <w:t>12</w:t>
      </w:r>
    </w:p>
    <w:p w:rsidR="00D632C9" w:rsidRDefault="00A722CB">
      <w:pPr>
        <w:pStyle w:val="20"/>
        <w:adjustRightInd w:val="0"/>
        <w:snapToGrid w:val="0"/>
        <w:spacing w:line="440" w:lineRule="exact"/>
        <w:jc w:val="left"/>
        <w:rPr>
          <w:sz w:val="24"/>
        </w:rPr>
      </w:pPr>
      <w:r>
        <w:rPr>
          <w:rFonts w:hint="eastAsia"/>
          <w:sz w:val="24"/>
        </w:rPr>
        <w:t>十、其他重要事项的情况说明</w:t>
      </w:r>
      <w:r>
        <w:rPr>
          <w:rFonts w:cstheme="minorBidi"/>
          <w:sz w:val="24"/>
        </w:rPr>
        <w:tab/>
      </w:r>
      <w:r>
        <w:rPr>
          <w:rFonts w:cstheme="minorBidi" w:hint="eastAsia"/>
          <w:sz w:val="24"/>
        </w:rPr>
        <w:t>12-13</w:t>
      </w:r>
    </w:p>
    <w:p w:rsidR="00D632C9" w:rsidRDefault="00A722CB">
      <w:pPr>
        <w:pStyle w:val="10"/>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r>
        <w:rPr>
          <w:rFonts w:cstheme="minorBidi"/>
          <w:sz w:val="24"/>
          <w:szCs w:val="24"/>
        </w:rPr>
        <w:tab/>
      </w:r>
      <w:r>
        <w:rPr>
          <w:rFonts w:cstheme="minorBidi" w:hint="eastAsia"/>
          <w:sz w:val="24"/>
          <w:szCs w:val="24"/>
        </w:rPr>
        <w:t>14-15</w:t>
      </w:r>
    </w:p>
    <w:p w:rsidR="00D632C9" w:rsidRDefault="00A722CB">
      <w:pPr>
        <w:pStyle w:val="10"/>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r>
        <w:rPr>
          <w:rFonts w:cstheme="minorBidi"/>
          <w:sz w:val="24"/>
          <w:szCs w:val="24"/>
        </w:rPr>
        <w:tab/>
      </w:r>
      <w:r>
        <w:rPr>
          <w:rFonts w:cstheme="minorBidi" w:hint="eastAsia"/>
          <w:sz w:val="24"/>
          <w:szCs w:val="24"/>
        </w:rPr>
        <w:t>16</w:t>
      </w:r>
    </w:p>
    <w:p w:rsidR="00D632C9" w:rsidRDefault="00A722CB">
      <w:pPr>
        <w:pStyle w:val="10"/>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r>
        <w:rPr>
          <w:rFonts w:cstheme="minorBidi"/>
          <w:sz w:val="24"/>
          <w:szCs w:val="24"/>
        </w:rPr>
        <w:tab/>
      </w:r>
      <w:r>
        <w:rPr>
          <w:rFonts w:cstheme="minorBidi" w:hint="eastAsia"/>
          <w:sz w:val="24"/>
          <w:szCs w:val="24"/>
        </w:rPr>
        <w:t>17</w:t>
      </w:r>
    </w:p>
    <w:p w:rsidR="00D632C9" w:rsidRDefault="00A722CB">
      <w:pPr>
        <w:pStyle w:val="20"/>
        <w:adjustRightInd w:val="0"/>
        <w:snapToGrid w:val="0"/>
        <w:spacing w:line="440" w:lineRule="exact"/>
        <w:jc w:val="left"/>
        <w:rPr>
          <w:sz w:val="24"/>
        </w:rPr>
      </w:pPr>
      <w:r>
        <w:rPr>
          <w:rFonts w:hint="eastAsia"/>
          <w:sz w:val="24"/>
        </w:rPr>
        <w:t>一、收入支出决算总表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二、收入决算表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三、支出决算表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四、财政拨款收入支出决算总表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五、财政拨款支出决算明细表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六、一般公共预算财政拨款支出决算表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七、一般公共预算财政拨款支出决算明细表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八、一般公共预算财政拨款基本支出决算明细表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九、一般公共预算财政拨款项目支出决算表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lastRenderedPageBreak/>
        <w:t>十、政府性基金预算财政拨款收入支出决算表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十一、国有资本经营预算财政拨款收入支出决算表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十二、国有资本经营预算财政拨款支出决算表</w:t>
      </w:r>
      <w:r>
        <w:rPr>
          <w:rFonts w:cstheme="minorBidi"/>
          <w:sz w:val="24"/>
        </w:rPr>
        <w:tab/>
      </w:r>
      <w:r>
        <w:rPr>
          <w:rFonts w:cstheme="minorBidi" w:hint="eastAsia"/>
          <w:sz w:val="24"/>
        </w:rPr>
        <w:t>17</w:t>
      </w:r>
    </w:p>
    <w:p w:rsidR="00D632C9" w:rsidRDefault="00A722CB">
      <w:pPr>
        <w:pStyle w:val="20"/>
        <w:adjustRightInd w:val="0"/>
        <w:snapToGrid w:val="0"/>
        <w:spacing w:line="440" w:lineRule="exact"/>
        <w:jc w:val="left"/>
        <w:rPr>
          <w:sz w:val="24"/>
        </w:rPr>
      </w:pPr>
      <w:r>
        <w:rPr>
          <w:rFonts w:hint="eastAsia"/>
          <w:sz w:val="24"/>
        </w:rPr>
        <w:t>十三、财政拨款“三公”经费支出决算表</w:t>
      </w:r>
      <w:r>
        <w:rPr>
          <w:rFonts w:cstheme="minorBidi"/>
          <w:sz w:val="24"/>
        </w:rPr>
        <w:tab/>
      </w:r>
      <w:r>
        <w:rPr>
          <w:rFonts w:cstheme="minorBidi" w:hint="eastAsia"/>
          <w:sz w:val="24"/>
        </w:rPr>
        <w:t>17</w:t>
      </w:r>
    </w:p>
    <w:p w:rsidR="00D632C9" w:rsidRDefault="00A722CB">
      <w:pPr>
        <w:widowControl/>
        <w:spacing w:line="440" w:lineRule="exact"/>
        <w:jc w:val="left"/>
        <w:rPr>
          <w:rFonts w:ascii="仿宋" w:eastAsia="仿宋" w:hAnsi="仿宋"/>
          <w:bCs/>
          <w:kern w:val="44"/>
          <w:sz w:val="24"/>
        </w:rPr>
      </w:pPr>
      <w:bookmarkStart w:id="13" w:name="_Toc15377196"/>
      <w:bookmarkStart w:id="14" w:name="_Toc15396599"/>
      <w:r>
        <w:rPr>
          <w:rFonts w:ascii="仿宋" w:eastAsia="仿宋" w:hAnsi="仿宋"/>
          <w:b/>
          <w:sz w:val="24"/>
        </w:rPr>
        <w:br w:type="page"/>
      </w:r>
    </w:p>
    <w:p w:rsidR="00D632C9" w:rsidRDefault="00A722CB">
      <w:pPr>
        <w:pStyle w:val="1"/>
        <w:jc w:val="center"/>
        <w:rPr>
          <w:rStyle w:val="1Char"/>
          <w:rFonts w:ascii="黑体" w:eastAsia="黑体" w:hAnsi="黑体"/>
          <w:b/>
        </w:rPr>
      </w:pPr>
      <w:r>
        <w:rPr>
          <w:rFonts w:ascii="黑体" w:eastAsia="黑体" w:hAnsi="黑体" w:hint="eastAsia"/>
          <w:b w:val="0"/>
        </w:rPr>
        <w:lastRenderedPageBreak/>
        <w:t>第一部分 单位</w:t>
      </w:r>
      <w:r>
        <w:rPr>
          <w:rStyle w:val="1Char"/>
          <w:rFonts w:ascii="黑体" w:eastAsia="黑体" w:hAnsi="黑体" w:hint="eastAsia"/>
        </w:rPr>
        <w:t>概况</w:t>
      </w:r>
      <w:bookmarkEnd w:id="13"/>
      <w:bookmarkEnd w:id="14"/>
    </w:p>
    <w:p w:rsidR="00D632C9" w:rsidRDefault="00D632C9">
      <w:pPr>
        <w:widowControl/>
        <w:jc w:val="left"/>
        <w:rPr>
          <w:rFonts w:ascii="黑体" w:eastAsia="黑体"/>
          <w:sz w:val="32"/>
          <w:szCs w:val="32"/>
        </w:rPr>
      </w:pPr>
    </w:p>
    <w:p w:rsidR="00D632C9" w:rsidRDefault="00A722CB">
      <w:pPr>
        <w:pStyle w:val="2"/>
        <w:numPr>
          <w:ilvl w:val="0"/>
          <w:numId w:val="1"/>
        </w:numPr>
        <w:rPr>
          <w:rStyle w:val="2Char"/>
          <w:rFonts w:ascii="黑体" w:eastAsia="黑体" w:hAnsi="黑体"/>
        </w:rPr>
      </w:pPr>
      <w:bookmarkStart w:id="15" w:name="_Toc15377197"/>
      <w:bookmarkStart w:id="16" w:name="_Toc15396600"/>
      <w:r>
        <w:rPr>
          <w:rStyle w:val="2Char"/>
          <w:rFonts w:ascii="黑体" w:eastAsia="黑体" w:hAnsi="黑体" w:hint="eastAsia"/>
        </w:rPr>
        <w:t>主要职责</w:t>
      </w:r>
    </w:p>
    <w:p w:rsidR="00D632C9" w:rsidRDefault="00A722CB">
      <w:pPr>
        <w:pStyle w:val="2"/>
        <w:ind w:firstLineChars="200" w:firstLine="640"/>
        <w:rPr>
          <w:rFonts w:ascii="黑体" w:eastAsia="黑体" w:hAnsi="黑体"/>
          <w:b w:val="0"/>
          <w:bCs w:val="0"/>
        </w:rPr>
      </w:pPr>
      <w:r>
        <w:rPr>
          <w:rFonts w:ascii="仿宋" w:eastAsia="仿宋" w:hAnsi="仿宋" w:hint="eastAsia"/>
          <w:b w:val="0"/>
          <w:color w:val="000000"/>
        </w:rPr>
        <w:t>攀枝花市实验学校实施初中、小学义务教育，促进基础教育发展，提供初中、小学学历教育相关社会服务。</w:t>
      </w:r>
    </w:p>
    <w:p w:rsidR="00D632C9" w:rsidRDefault="00A722CB">
      <w:pPr>
        <w:pStyle w:val="2"/>
        <w:rPr>
          <w:rFonts w:ascii="黑体" w:eastAsia="黑体" w:hAnsi="黑体"/>
          <w:b w:val="0"/>
        </w:rPr>
      </w:pPr>
      <w:r>
        <w:rPr>
          <w:rFonts w:ascii="黑体" w:eastAsia="黑体" w:hAnsi="黑体" w:hint="eastAsia"/>
          <w:b w:val="0"/>
        </w:rPr>
        <w:t>二、机构设置</w:t>
      </w:r>
    </w:p>
    <w:p w:rsidR="00D632C9" w:rsidRDefault="00A722CB">
      <w:pPr>
        <w:ind w:firstLineChars="200" w:firstLine="640"/>
        <w:rPr>
          <w:rFonts w:ascii="仿宋" w:eastAsia="仿宋" w:hAnsi="仿宋" w:cstheme="majorBidi"/>
          <w:bCs/>
          <w:color w:val="000000"/>
          <w:sz w:val="32"/>
          <w:szCs w:val="32"/>
        </w:rPr>
      </w:pPr>
      <w:r>
        <w:rPr>
          <w:rFonts w:ascii="仿宋" w:eastAsia="仿宋" w:hAnsi="仿宋" w:cstheme="majorBidi" w:hint="eastAsia"/>
          <w:bCs/>
          <w:color w:val="000000"/>
          <w:sz w:val="32"/>
          <w:szCs w:val="32"/>
        </w:rPr>
        <w:t>攀枝花市实验学校为市属全额拨款事业单位，内设机构10个。</w:t>
      </w:r>
      <w:r>
        <w:rPr>
          <w:rFonts w:ascii="仿宋" w:eastAsia="仿宋" w:hAnsi="仿宋" w:hint="eastAsia"/>
          <w:bCs/>
          <w:color w:val="000000"/>
          <w:sz w:val="32"/>
          <w:szCs w:val="32"/>
        </w:rPr>
        <w:t>学校现有两个校区108个教学班。其中小学62个班，初中40个班，幼儿园6个班；学生共4797人，其中小学2710人，中学1864人，幼儿园223人；学校现有教职工365人，其中专任教师347人，特级教师1人，各级各类骨干教师、学科带头人69人，正高级教师1人，高级教师64人，硕士研究生24人。</w:t>
      </w:r>
    </w:p>
    <w:bookmarkEnd w:id="15"/>
    <w:bookmarkEnd w:id="16"/>
    <w:p w:rsidR="00D632C9" w:rsidRDefault="00A722CB">
      <w:pPr>
        <w:widowControl/>
        <w:jc w:val="left"/>
        <w:rPr>
          <w:rFonts w:ascii="仿宋" w:eastAsia="仿宋" w:hAnsi="仿宋"/>
          <w:kern w:val="0"/>
          <w:sz w:val="32"/>
          <w:szCs w:val="32"/>
        </w:rPr>
      </w:pPr>
      <w:r>
        <w:rPr>
          <w:rFonts w:ascii="仿宋" w:eastAsia="仿宋" w:hAnsi="仿宋"/>
          <w:sz w:val="32"/>
          <w:szCs w:val="32"/>
        </w:rPr>
        <w:br w:type="page"/>
      </w:r>
    </w:p>
    <w:p w:rsidR="00D632C9" w:rsidRDefault="00A722CB">
      <w:pPr>
        <w:pStyle w:val="1"/>
        <w:ind w:right="440"/>
        <w:jc w:val="center"/>
        <w:rPr>
          <w:rStyle w:val="1Char"/>
          <w:rFonts w:ascii="黑体" w:eastAsia="黑体" w:hAnsi="黑体"/>
          <w:bCs/>
        </w:rPr>
      </w:pPr>
      <w:bookmarkStart w:id="17" w:name="_Toc15377204"/>
      <w:bookmarkStart w:id="18" w:name="_Toc15396602"/>
      <w:r>
        <w:rPr>
          <w:rFonts w:ascii="黑体" w:eastAsia="黑体" w:hAnsi="黑体" w:hint="eastAsia"/>
          <w:b w:val="0"/>
        </w:rPr>
        <w:lastRenderedPageBreak/>
        <w:t>第二部分 2022年度</w:t>
      </w:r>
      <w:r>
        <w:rPr>
          <w:rStyle w:val="1Char"/>
          <w:rFonts w:ascii="黑体" w:eastAsia="黑体" w:hAnsi="黑体" w:hint="eastAsia"/>
          <w:bCs/>
        </w:rPr>
        <w:t>单位决算情况说明</w:t>
      </w:r>
      <w:bookmarkEnd w:id="17"/>
      <w:bookmarkEnd w:id="18"/>
    </w:p>
    <w:p w:rsidR="00D632C9" w:rsidRDefault="00D632C9"/>
    <w:p w:rsidR="00D632C9" w:rsidRDefault="00A722CB">
      <w:pPr>
        <w:pStyle w:val="a9"/>
        <w:numPr>
          <w:ilvl w:val="0"/>
          <w:numId w:val="2"/>
        </w:numPr>
        <w:spacing w:line="600" w:lineRule="exact"/>
        <w:ind w:firstLineChars="0"/>
        <w:outlineLvl w:val="1"/>
        <w:rPr>
          <w:rStyle w:val="2Char"/>
          <w:rFonts w:ascii="黑体" w:eastAsia="黑体" w:hAnsi="黑体"/>
          <w:b w:val="0"/>
        </w:rPr>
      </w:pPr>
      <w:bookmarkStart w:id="19" w:name="_Toc15377205"/>
      <w:bookmarkStart w:id="20" w:name="_Toc15396603"/>
      <w:r>
        <w:rPr>
          <w:rFonts w:ascii="黑体" w:eastAsia="黑体" w:hAnsi="黑体" w:hint="eastAsia"/>
          <w:sz w:val="32"/>
          <w:szCs w:val="32"/>
        </w:rPr>
        <w:t>收</w:t>
      </w:r>
      <w:r>
        <w:rPr>
          <w:rStyle w:val="2Char"/>
          <w:rFonts w:ascii="黑体" w:eastAsia="黑体" w:hAnsi="黑体" w:hint="eastAsia"/>
          <w:b w:val="0"/>
        </w:rPr>
        <w:t>入支出决算总体情况说明</w:t>
      </w:r>
      <w:bookmarkEnd w:id="19"/>
      <w:bookmarkEnd w:id="20"/>
    </w:p>
    <w:p w:rsidR="00D632C9" w:rsidRDefault="00A722CB">
      <w:pPr>
        <w:spacing w:line="600" w:lineRule="exact"/>
        <w:ind w:firstLineChars="200" w:firstLine="640"/>
        <w:rPr>
          <w:rFonts w:ascii="仿宋" w:eastAsia="仿宋" w:hAnsi="仿宋"/>
          <w:sz w:val="32"/>
          <w:szCs w:val="32"/>
        </w:rPr>
      </w:pPr>
      <w:r>
        <w:rPr>
          <w:rFonts w:ascii="仿宋" w:eastAsia="仿宋" w:hAnsi="仿宋" w:hint="eastAsia"/>
          <w:sz w:val="32"/>
          <w:szCs w:val="32"/>
        </w:rPr>
        <w:t>2022年度收、支总计</w:t>
      </w:r>
      <w:r>
        <w:rPr>
          <w:rFonts w:ascii="仿宋" w:eastAsia="仿宋" w:hAnsi="仿宋"/>
          <w:sz w:val="32"/>
          <w:szCs w:val="32"/>
        </w:rPr>
        <w:t>9112.9</w:t>
      </w:r>
      <w:r>
        <w:rPr>
          <w:rFonts w:ascii="仿宋" w:eastAsia="仿宋" w:hAnsi="仿宋" w:hint="eastAsia"/>
          <w:sz w:val="32"/>
          <w:szCs w:val="32"/>
        </w:rPr>
        <w:t>万元。与2021年相比，收、支总计各增加989.24万元，增长12.17%</w:t>
      </w:r>
      <w:r>
        <w:rPr>
          <w:rFonts w:ascii="仿宋" w:eastAsia="仿宋" w:hAnsi="仿宋"/>
          <w:sz w:val="32"/>
          <w:szCs w:val="32"/>
        </w:rPr>
        <w:t>%</w:t>
      </w:r>
      <w:r>
        <w:rPr>
          <w:rFonts w:ascii="仿宋" w:eastAsia="仿宋" w:hAnsi="仿宋" w:hint="eastAsia"/>
          <w:sz w:val="32"/>
          <w:szCs w:val="32"/>
        </w:rPr>
        <w:t>。主要变动原因是2022年支付新建学生宿舍及教师周转房工程款。</w:t>
      </w:r>
    </w:p>
    <w:p w:rsidR="00D632C9" w:rsidRDefault="00A722CB">
      <w:pPr>
        <w:spacing w:line="600" w:lineRule="exact"/>
        <w:ind w:firstLineChars="500" w:firstLine="1600"/>
        <w:rPr>
          <w:rFonts w:ascii="仿宋" w:eastAsia="仿宋" w:hAnsi="仿宋"/>
          <w:sz w:val="32"/>
          <w:szCs w:val="32"/>
        </w:rPr>
      </w:pPr>
      <w:r>
        <w:rPr>
          <w:rFonts w:ascii="仿宋" w:eastAsia="仿宋" w:hAnsi="仿宋" w:hint="eastAsia"/>
          <w:sz w:val="32"/>
          <w:szCs w:val="32"/>
        </w:rPr>
        <w:t>图</w:t>
      </w:r>
      <w:r>
        <w:rPr>
          <w:rFonts w:ascii="仿宋" w:eastAsia="仿宋" w:hAnsi="仿宋"/>
          <w:sz w:val="32"/>
          <w:szCs w:val="32"/>
        </w:rPr>
        <w:t>1</w:t>
      </w:r>
      <w:r>
        <w:rPr>
          <w:rFonts w:ascii="仿宋" w:eastAsia="仿宋" w:hAnsi="仿宋" w:hint="eastAsia"/>
          <w:sz w:val="32"/>
          <w:szCs w:val="32"/>
        </w:rPr>
        <w:t>：收、支决算总计变动情况图</w:t>
      </w:r>
    </w:p>
    <w:p w:rsidR="00D632C9" w:rsidRDefault="00D632C9">
      <w:pPr>
        <w:pStyle w:val="a0"/>
        <w:spacing w:before="93"/>
        <w:jc w:val="center"/>
      </w:pPr>
    </w:p>
    <w:p w:rsidR="00D632C9" w:rsidRDefault="00A722CB">
      <w:pPr>
        <w:pStyle w:val="a0"/>
        <w:spacing w:before="93"/>
        <w:jc w:val="center"/>
      </w:pPr>
      <w:r>
        <w:rPr>
          <w:noProof/>
        </w:rPr>
        <w:drawing>
          <wp:inline distT="0" distB="0" distL="0" distR="0">
            <wp:extent cx="4572000" cy="2743200"/>
            <wp:effectExtent l="19050" t="0" r="19050" b="0"/>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632C9" w:rsidRDefault="00D632C9">
      <w:pPr>
        <w:pStyle w:val="a0"/>
        <w:spacing w:before="93"/>
        <w:jc w:val="center"/>
      </w:pPr>
    </w:p>
    <w:p w:rsidR="00D632C9" w:rsidRDefault="00A722CB">
      <w:pPr>
        <w:pStyle w:val="a9"/>
        <w:numPr>
          <w:ilvl w:val="0"/>
          <w:numId w:val="2"/>
        </w:numPr>
        <w:spacing w:line="600" w:lineRule="exact"/>
        <w:ind w:firstLineChars="0"/>
        <w:outlineLvl w:val="1"/>
        <w:rPr>
          <w:rStyle w:val="2Char"/>
          <w:rFonts w:ascii="黑体" w:eastAsia="黑体" w:hAnsi="黑体"/>
          <w:b w:val="0"/>
        </w:rPr>
      </w:pPr>
      <w:bookmarkStart w:id="21" w:name="_Toc15396604"/>
      <w:bookmarkStart w:id="22" w:name="_Toc15377206"/>
      <w:r>
        <w:rPr>
          <w:rFonts w:ascii="黑体" w:eastAsia="黑体" w:hAnsi="黑体" w:hint="eastAsia"/>
          <w:sz w:val="32"/>
          <w:szCs w:val="32"/>
        </w:rPr>
        <w:t>收</w:t>
      </w:r>
      <w:r>
        <w:rPr>
          <w:rStyle w:val="2Char"/>
          <w:rFonts w:ascii="黑体" w:eastAsia="黑体" w:hAnsi="黑体" w:hint="eastAsia"/>
          <w:b w:val="0"/>
        </w:rPr>
        <w:t>入决算情况说明</w:t>
      </w:r>
      <w:bookmarkEnd w:id="21"/>
      <w:bookmarkEnd w:id="22"/>
    </w:p>
    <w:p w:rsidR="00D632C9" w:rsidRDefault="00A722CB">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22年本年收入合计</w:t>
      </w:r>
      <w:r>
        <w:rPr>
          <w:rFonts w:ascii="仿宋" w:eastAsia="仿宋" w:hAnsi="仿宋"/>
          <w:sz w:val="32"/>
          <w:szCs w:val="32"/>
        </w:rPr>
        <w:t>9110.89</w:t>
      </w:r>
      <w:r>
        <w:rPr>
          <w:rFonts w:ascii="仿宋" w:eastAsia="仿宋" w:hAnsi="仿宋" w:hint="eastAsia"/>
          <w:sz w:val="32"/>
          <w:szCs w:val="32"/>
        </w:rPr>
        <w:t>万元，其中：一般公共预算财政拨款收入</w:t>
      </w:r>
      <w:r>
        <w:rPr>
          <w:rFonts w:ascii="仿宋" w:eastAsia="仿宋" w:hAnsi="仿宋"/>
          <w:sz w:val="32"/>
          <w:szCs w:val="32"/>
        </w:rPr>
        <w:t>9063.55</w:t>
      </w:r>
      <w:r>
        <w:rPr>
          <w:rFonts w:ascii="仿宋" w:eastAsia="仿宋" w:hAnsi="仿宋" w:hint="eastAsia"/>
          <w:sz w:val="32"/>
          <w:szCs w:val="32"/>
        </w:rPr>
        <w:t>万元，占99.48</w:t>
      </w:r>
      <w:r>
        <w:rPr>
          <w:rFonts w:ascii="仿宋" w:eastAsia="仿宋" w:hAnsi="仿宋"/>
          <w:sz w:val="32"/>
          <w:szCs w:val="32"/>
        </w:rPr>
        <w:t>%</w:t>
      </w:r>
      <w:r>
        <w:rPr>
          <w:rFonts w:ascii="仿宋" w:eastAsia="仿宋" w:hAnsi="仿宋" w:hint="eastAsia"/>
          <w:sz w:val="32"/>
          <w:szCs w:val="32"/>
        </w:rPr>
        <w:t>；政府性基金预算财政拨款收入</w:t>
      </w:r>
      <w:r>
        <w:rPr>
          <w:rFonts w:ascii="仿宋" w:eastAsia="仿宋" w:hAnsi="仿宋"/>
          <w:sz w:val="32"/>
          <w:szCs w:val="32"/>
        </w:rPr>
        <w:t>4.16</w:t>
      </w:r>
      <w:r>
        <w:rPr>
          <w:rFonts w:ascii="仿宋" w:eastAsia="仿宋" w:hAnsi="仿宋" w:hint="eastAsia"/>
          <w:sz w:val="32"/>
          <w:szCs w:val="32"/>
        </w:rPr>
        <w:t>万元，占0.05</w:t>
      </w:r>
      <w:r>
        <w:rPr>
          <w:rFonts w:ascii="仿宋" w:eastAsia="仿宋" w:hAnsi="仿宋"/>
          <w:sz w:val="32"/>
          <w:szCs w:val="32"/>
        </w:rPr>
        <w:t>%</w:t>
      </w:r>
      <w:r>
        <w:rPr>
          <w:rFonts w:ascii="仿宋" w:eastAsia="仿宋" w:hAnsi="仿宋" w:hint="eastAsia"/>
          <w:sz w:val="32"/>
          <w:szCs w:val="32"/>
        </w:rPr>
        <w:t>；国有资本经营预算财政拨款收入0万元，占0</w:t>
      </w:r>
      <w:r>
        <w:rPr>
          <w:rFonts w:ascii="仿宋" w:eastAsia="仿宋" w:hAnsi="仿宋"/>
          <w:sz w:val="32"/>
          <w:szCs w:val="32"/>
        </w:rPr>
        <w:t>%</w:t>
      </w:r>
      <w:r>
        <w:rPr>
          <w:rFonts w:ascii="仿宋" w:eastAsia="仿宋" w:hAnsi="仿宋" w:hint="eastAsia"/>
          <w:sz w:val="32"/>
          <w:szCs w:val="32"/>
        </w:rPr>
        <w:t>；上级补助收入0万元，占0</w:t>
      </w:r>
      <w:r>
        <w:rPr>
          <w:rFonts w:ascii="仿宋" w:eastAsia="仿宋" w:hAnsi="仿宋"/>
          <w:sz w:val="32"/>
          <w:szCs w:val="32"/>
        </w:rPr>
        <w:t>%</w:t>
      </w:r>
      <w:r>
        <w:rPr>
          <w:rFonts w:ascii="仿宋" w:eastAsia="仿宋" w:hAnsi="仿宋" w:hint="eastAsia"/>
          <w:sz w:val="32"/>
          <w:szCs w:val="32"/>
        </w:rPr>
        <w:t>；事业收入</w:t>
      </w:r>
      <w:r>
        <w:rPr>
          <w:rFonts w:ascii="仿宋" w:eastAsia="仿宋" w:hAnsi="仿宋"/>
          <w:sz w:val="32"/>
          <w:szCs w:val="32"/>
        </w:rPr>
        <w:t>43.18</w:t>
      </w:r>
      <w:r>
        <w:rPr>
          <w:rFonts w:ascii="仿宋" w:eastAsia="仿宋" w:hAnsi="仿宋" w:hint="eastAsia"/>
          <w:sz w:val="32"/>
          <w:szCs w:val="32"/>
        </w:rPr>
        <w:t>万元，占0.47</w:t>
      </w:r>
      <w:r>
        <w:rPr>
          <w:rFonts w:ascii="仿宋" w:eastAsia="仿宋" w:hAnsi="仿宋"/>
          <w:sz w:val="32"/>
          <w:szCs w:val="32"/>
        </w:rPr>
        <w:t>%</w:t>
      </w:r>
      <w:r>
        <w:rPr>
          <w:rFonts w:ascii="仿宋" w:eastAsia="仿宋" w:hAnsi="仿宋" w:hint="eastAsia"/>
          <w:sz w:val="32"/>
          <w:szCs w:val="32"/>
        </w:rPr>
        <w:t>；经营收入0万元，占0</w:t>
      </w:r>
      <w:r>
        <w:rPr>
          <w:rFonts w:ascii="仿宋" w:eastAsia="仿宋" w:hAnsi="仿宋"/>
          <w:sz w:val="32"/>
          <w:szCs w:val="32"/>
        </w:rPr>
        <w:t>%</w:t>
      </w:r>
      <w:r>
        <w:rPr>
          <w:rFonts w:ascii="仿宋" w:eastAsia="仿宋" w:hAnsi="仿宋" w:hint="eastAsia"/>
          <w:sz w:val="32"/>
          <w:szCs w:val="32"/>
        </w:rPr>
        <w:t>；附属单</w:t>
      </w:r>
      <w:r>
        <w:rPr>
          <w:rFonts w:ascii="仿宋" w:eastAsia="仿宋" w:hAnsi="仿宋" w:hint="eastAsia"/>
          <w:sz w:val="32"/>
          <w:szCs w:val="32"/>
        </w:rPr>
        <w:lastRenderedPageBreak/>
        <w:t>位上缴收入0万元，占0</w:t>
      </w:r>
      <w:r>
        <w:rPr>
          <w:rFonts w:ascii="仿宋" w:eastAsia="仿宋" w:hAnsi="仿宋"/>
          <w:sz w:val="32"/>
          <w:szCs w:val="32"/>
        </w:rPr>
        <w:t>%</w:t>
      </w:r>
      <w:r>
        <w:rPr>
          <w:rFonts w:ascii="仿宋" w:eastAsia="仿宋" w:hAnsi="仿宋" w:hint="eastAsia"/>
          <w:sz w:val="32"/>
          <w:szCs w:val="32"/>
        </w:rPr>
        <w:t>；其他收入0万元，占0</w:t>
      </w:r>
      <w:r>
        <w:rPr>
          <w:rFonts w:ascii="仿宋" w:eastAsia="仿宋" w:hAnsi="仿宋"/>
          <w:sz w:val="32"/>
          <w:szCs w:val="32"/>
        </w:rPr>
        <w:t>%</w:t>
      </w:r>
      <w:r>
        <w:rPr>
          <w:rFonts w:ascii="仿宋" w:eastAsia="仿宋" w:hAnsi="仿宋" w:hint="eastAsia"/>
          <w:sz w:val="32"/>
          <w:szCs w:val="32"/>
        </w:rPr>
        <w:t>。</w:t>
      </w:r>
    </w:p>
    <w:p w:rsidR="00773424" w:rsidRDefault="00A722CB" w:rsidP="002D4EA0">
      <w:pPr>
        <w:spacing w:line="600" w:lineRule="exact"/>
        <w:ind w:firstLineChars="600" w:firstLine="1920"/>
        <w:rPr>
          <w:rFonts w:ascii="仿宋" w:eastAsia="仿宋" w:hAnsi="仿宋"/>
          <w:sz w:val="32"/>
          <w:szCs w:val="32"/>
        </w:rPr>
      </w:pPr>
      <w:r>
        <w:rPr>
          <w:rFonts w:ascii="仿宋" w:eastAsia="仿宋" w:hAnsi="仿宋" w:hint="eastAsia"/>
          <w:sz w:val="32"/>
          <w:szCs w:val="32"/>
        </w:rPr>
        <w:t>图2：收入决算结构图</w:t>
      </w:r>
    </w:p>
    <w:p w:rsidR="002D4EA0" w:rsidRPr="002D4EA0" w:rsidRDefault="002D4EA0" w:rsidP="002D4EA0">
      <w:pPr>
        <w:pStyle w:val="a0"/>
        <w:spacing w:before="93"/>
      </w:pPr>
    </w:p>
    <w:p w:rsidR="002D4EA0" w:rsidRDefault="002D4EA0">
      <w:pPr>
        <w:pStyle w:val="a0"/>
        <w:spacing w:before="93"/>
        <w:rPr>
          <w:noProof/>
        </w:rPr>
      </w:pPr>
      <w:r w:rsidRPr="002D4EA0">
        <w:rPr>
          <w:noProof/>
        </w:rPr>
        <w:drawing>
          <wp:inline distT="0" distB="0" distL="0" distR="0">
            <wp:extent cx="4572000" cy="2743200"/>
            <wp:effectExtent l="19050" t="0" r="1905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632C9" w:rsidRDefault="00D632C9" w:rsidP="00773424">
      <w:pPr>
        <w:spacing w:line="600" w:lineRule="exact"/>
        <w:rPr>
          <w:rFonts w:ascii="仿宋_GB2312" w:eastAsia="仿宋_GB2312"/>
          <w:sz w:val="32"/>
          <w:szCs w:val="32"/>
        </w:rPr>
      </w:pPr>
    </w:p>
    <w:p w:rsidR="00D632C9" w:rsidRDefault="00A722CB">
      <w:pPr>
        <w:pStyle w:val="a9"/>
        <w:numPr>
          <w:ilvl w:val="0"/>
          <w:numId w:val="2"/>
        </w:numPr>
        <w:spacing w:line="600" w:lineRule="exact"/>
        <w:ind w:firstLineChars="0"/>
        <w:outlineLvl w:val="1"/>
        <w:rPr>
          <w:rStyle w:val="2Char"/>
          <w:rFonts w:ascii="黑体" w:eastAsia="黑体" w:hAnsi="黑体"/>
          <w:b w:val="0"/>
        </w:rPr>
      </w:pPr>
      <w:bookmarkStart w:id="23" w:name="_Toc15396605"/>
      <w:bookmarkStart w:id="24" w:name="_Toc15377207"/>
      <w:r>
        <w:rPr>
          <w:rFonts w:ascii="黑体" w:eastAsia="黑体" w:hAnsi="黑体" w:hint="eastAsia"/>
          <w:sz w:val="32"/>
          <w:szCs w:val="32"/>
        </w:rPr>
        <w:t>支</w:t>
      </w:r>
      <w:r>
        <w:rPr>
          <w:rStyle w:val="2Char"/>
          <w:rFonts w:ascii="黑体" w:eastAsia="黑体" w:hAnsi="黑体" w:hint="eastAsia"/>
          <w:b w:val="0"/>
        </w:rPr>
        <w:t>出决算情况说明</w:t>
      </w:r>
      <w:bookmarkEnd w:id="23"/>
      <w:bookmarkEnd w:id="24"/>
    </w:p>
    <w:p w:rsidR="00D632C9" w:rsidRDefault="00A722CB">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22年本年支出合计9112.90万元，其中：基本支出</w:t>
      </w:r>
      <w:r>
        <w:rPr>
          <w:rFonts w:ascii="仿宋" w:eastAsia="仿宋" w:hAnsi="仿宋"/>
          <w:sz w:val="32"/>
          <w:szCs w:val="32"/>
        </w:rPr>
        <w:t>7961.81</w:t>
      </w:r>
      <w:r>
        <w:rPr>
          <w:rFonts w:ascii="仿宋" w:eastAsia="仿宋" w:hAnsi="仿宋" w:hint="eastAsia"/>
          <w:sz w:val="32"/>
          <w:szCs w:val="32"/>
        </w:rPr>
        <w:t>万元，占87.37</w:t>
      </w:r>
      <w:r>
        <w:rPr>
          <w:rFonts w:ascii="仿宋" w:eastAsia="仿宋" w:hAnsi="仿宋"/>
          <w:sz w:val="32"/>
          <w:szCs w:val="32"/>
        </w:rPr>
        <w:t>%</w:t>
      </w:r>
      <w:r>
        <w:rPr>
          <w:rFonts w:ascii="仿宋" w:eastAsia="仿宋" w:hAnsi="仿宋" w:hint="eastAsia"/>
          <w:sz w:val="32"/>
          <w:szCs w:val="32"/>
        </w:rPr>
        <w:t>；项目支出</w:t>
      </w:r>
      <w:r>
        <w:rPr>
          <w:rFonts w:ascii="仿宋" w:eastAsia="仿宋" w:hAnsi="仿宋"/>
          <w:sz w:val="32"/>
          <w:szCs w:val="32"/>
        </w:rPr>
        <w:t>1151.09</w:t>
      </w:r>
      <w:r>
        <w:rPr>
          <w:rFonts w:ascii="仿宋" w:eastAsia="仿宋" w:hAnsi="仿宋" w:hint="eastAsia"/>
          <w:sz w:val="32"/>
          <w:szCs w:val="32"/>
        </w:rPr>
        <w:t>万元，占12.63</w:t>
      </w:r>
      <w:r>
        <w:rPr>
          <w:rFonts w:ascii="仿宋" w:eastAsia="仿宋" w:hAnsi="仿宋"/>
          <w:sz w:val="32"/>
          <w:szCs w:val="32"/>
        </w:rPr>
        <w:t>%</w:t>
      </w:r>
      <w:r>
        <w:rPr>
          <w:rFonts w:ascii="仿宋" w:eastAsia="仿宋" w:hAnsi="仿宋" w:hint="eastAsia"/>
          <w:sz w:val="32"/>
          <w:szCs w:val="32"/>
        </w:rPr>
        <w:t>；上缴上级支出0万元，占0</w:t>
      </w:r>
      <w:r>
        <w:rPr>
          <w:rFonts w:ascii="仿宋" w:eastAsia="仿宋" w:hAnsi="仿宋"/>
          <w:sz w:val="32"/>
          <w:szCs w:val="32"/>
        </w:rPr>
        <w:t>%</w:t>
      </w:r>
      <w:r>
        <w:rPr>
          <w:rFonts w:ascii="仿宋" w:eastAsia="仿宋" w:hAnsi="仿宋" w:hint="eastAsia"/>
          <w:sz w:val="32"/>
          <w:szCs w:val="32"/>
        </w:rPr>
        <w:t>；经营支出0万元，占0</w:t>
      </w:r>
      <w:r>
        <w:rPr>
          <w:rFonts w:ascii="仿宋" w:eastAsia="仿宋" w:hAnsi="仿宋"/>
          <w:sz w:val="32"/>
          <w:szCs w:val="32"/>
        </w:rPr>
        <w:t>%</w:t>
      </w:r>
      <w:r>
        <w:rPr>
          <w:rFonts w:ascii="仿宋" w:eastAsia="仿宋" w:hAnsi="仿宋" w:hint="eastAsia"/>
          <w:sz w:val="32"/>
          <w:szCs w:val="32"/>
        </w:rPr>
        <w:t>；对附属单位补助支出0万元，占0</w:t>
      </w:r>
      <w:r>
        <w:rPr>
          <w:rFonts w:ascii="仿宋" w:eastAsia="仿宋" w:hAnsi="仿宋"/>
          <w:sz w:val="32"/>
          <w:szCs w:val="32"/>
        </w:rPr>
        <w:t>%</w:t>
      </w:r>
      <w:r>
        <w:rPr>
          <w:rFonts w:ascii="仿宋" w:eastAsia="仿宋" w:hAnsi="仿宋" w:hint="eastAsia"/>
          <w:sz w:val="32"/>
          <w:szCs w:val="32"/>
        </w:rPr>
        <w:t>。</w:t>
      </w:r>
    </w:p>
    <w:p w:rsidR="00D632C9" w:rsidRDefault="00A722CB">
      <w:pPr>
        <w:spacing w:line="600" w:lineRule="exact"/>
        <w:ind w:firstLineChars="300" w:firstLine="960"/>
        <w:rPr>
          <w:rFonts w:ascii="仿宋" w:eastAsia="仿宋" w:hAnsi="仿宋"/>
          <w:sz w:val="32"/>
          <w:szCs w:val="32"/>
        </w:rPr>
      </w:pPr>
      <w:r>
        <w:rPr>
          <w:rFonts w:ascii="仿宋" w:eastAsia="仿宋" w:hAnsi="仿宋" w:hint="eastAsia"/>
          <w:sz w:val="32"/>
          <w:szCs w:val="32"/>
        </w:rPr>
        <w:t>图3：支出决算结构图</w:t>
      </w:r>
    </w:p>
    <w:p w:rsidR="00D632C9" w:rsidRDefault="00A722CB">
      <w:pPr>
        <w:pStyle w:val="a0"/>
        <w:spacing w:before="93"/>
        <w:jc w:val="center"/>
      </w:pPr>
      <w:r>
        <w:rPr>
          <w:noProof/>
        </w:rPr>
        <w:lastRenderedPageBreak/>
        <w:drawing>
          <wp:inline distT="0" distB="0" distL="0" distR="0">
            <wp:extent cx="4572000" cy="2743200"/>
            <wp:effectExtent l="19050" t="0" r="19050" b="0"/>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632C9" w:rsidRDefault="00D632C9">
      <w:pPr>
        <w:pStyle w:val="a0"/>
        <w:spacing w:before="93"/>
      </w:pPr>
    </w:p>
    <w:p w:rsidR="00D632C9" w:rsidRDefault="00D632C9">
      <w:pPr>
        <w:spacing w:line="600" w:lineRule="exact"/>
        <w:ind w:firstLineChars="200" w:firstLine="640"/>
        <w:rPr>
          <w:rFonts w:ascii="仿宋_GB2312" w:eastAsia="仿宋_GB2312"/>
          <w:sz w:val="32"/>
          <w:szCs w:val="32"/>
        </w:rPr>
      </w:pPr>
    </w:p>
    <w:p w:rsidR="00D632C9" w:rsidRDefault="00A722CB">
      <w:pPr>
        <w:spacing w:line="600" w:lineRule="exact"/>
        <w:ind w:firstLineChars="200" w:firstLine="640"/>
        <w:outlineLvl w:val="1"/>
        <w:rPr>
          <w:rStyle w:val="2Char"/>
          <w:rFonts w:ascii="黑体" w:eastAsia="黑体" w:hAnsi="黑体"/>
          <w:b w:val="0"/>
        </w:rPr>
      </w:pPr>
      <w:bookmarkStart w:id="25" w:name="_Toc15396606"/>
      <w:bookmarkStart w:id="26" w:name="_Toc15377208"/>
      <w:r>
        <w:rPr>
          <w:rFonts w:ascii="黑体" w:eastAsia="黑体" w:hAnsi="黑体" w:hint="eastAsia"/>
          <w:sz w:val="32"/>
          <w:szCs w:val="32"/>
        </w:rPr>
        <w:t>四、财</w:t>
      </w:r>
      <w:r>
        <w:rPr>
          <w:rStyle w:val="2Char"/>
          <w:rFonts w:ascii="黑体" w:eastAsia="黑体" w:hAnsi="黑体" w:hint="eastAsia"/>
          <w:b w:val="0"/>
        </w:rPr>
        <w:t>政拨款收入支出决算总体情况说明</w:t>
      </w:r>
      <w:bookmarkEnd w:id="25"/>
      <w:bookmarkEnd w:id="26"/>
    </w:p>
    <w:p w:rsidR="00D632C9" w:rsidRDefault="00A722CB">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22年财政拨款收、支总计</w:t>
      </w:r>
      <w:r>
        <w:rPr>
          <w:rFonts w:ascii="仿宋" w:eastAsia="仿宋" w:hAnsi="仿宋"/>
          <w:sz w:val="32"/>
          <w:szCs w:val="32"/>
        </w:rPr>
        <w:t>9069.72</w:t>
      </w:r>
      <w:r>
        <w:rPr>
          <w:rFonts w:ascii="仿宋" w:eastAsia="仿宋" w:hAnsi="仿宋" w:hint="eastAsia"/>
          <w:sz w:val="32"/>
          <w:szCs w:val="32"/>
        </w:rPr>
        <w:t>万元。与</w:t>
      </w:r>
      <w:r>
        <w:rPr>
          <w:rFonts w:ascii="仿宋" w:eastAsia="仿宋" w:hAnsi="仿宋"/>
          <w:sz w:val="32"/>
          <w:szCs w:val="32"/>
        </w:rPr>
        <w:t>20</w:t>
      </w:r>
      <w:r>
        <w:rPr>
          <w:rFonts w:ascii="仿宋" w:eastAsia="仿宋" w:hAnsi="仿宋" w:hint="eastAsia"/>
          <w:sz w:val="32"/>
          <w:szCs w:val="32"/>
        </w:rPr>
        <w:t>21年相比，财政拨款收、支总计各增加978.18万元，增长12.09</w:t>
      </w:r>
      <w:r>
        <w:rPr>
          <w:rFonts w:ascii="仿宋" w:eastAsia="仿宋" w:hAnsi="仿宋"/>
          <w:sz w:val="32"/>
          <w:szCs w:val="32"/>
        </w:rPr>
        <w:t>%</w:t>
      </w:r>
      <w:r>
        <w:rPr>
          <w:rFonts w:ascii="仿宋" w:eastAsia="仿宋" w:hAnsi="仿宋" w:hint="eastAsia"/>
          <w:sz w:val="32"/>
          <w:szCs w:val="32"/>
        </w:rPr>
        <w:t>。主要变动原因是2022年支付新建学生宿舍及教师周转房工程款。</w:t>
      </w:r>
    </w:p>
    <w:p w:rsidR="00D632C9" w:rsidRDefault="00A722CB">
      <w:pPr>
        <w:spacing w:line="600" w:lineRule="exact"/>
        <w:ind w:firstLineChars="250" w:firstLine="800"/>
        <w:rPr>
          <w:rFonts w:ascii="仿宋" w:eastAsia="仿宋" w:hAnsi="仿宋"/>
          <w:sz w:val="32"/>
          <w:szCs w:val="32"/>
        </w:rPr>
      </w:pPr>
      <w:r>
        <w:rPr>
          <w:rFonts w:ascii="仿宋" w:eastAsia="仿宋" w:hAnsi="仿宋" w:hint="eastAsia"/>
          <w:sz w:val="32"/>
          <w:szCs w:val="32"/>
        </w:rPr>
        <w:t>图4：财政拨款收、支决算总计变动情况</w:t>
      </w:r>
    </w:p>
    <w:p w:rsidR="00D632C9" w:rsidRDefault="00A722CB">
      <w:pPr>
        <w:pStyle w:val="a0"/>
        <w:spacing w:before="93"/>
      </w:pPr>
      <w:r>
        <w:rPr>
          <w:noProof/>
        </w:rPr>
        <w:drawing>
          <wp:inline distT="0" distB="0" distL="0" distR="0">
            <wp:extent cx="4572000" cy="2743200"/>
            <wp:effectExtent l="19050" t="0" r="19050" b="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632C9" w:rsidRDefault="00D632C9">
      <w:pPr>
        <w:spacing w:line="600" w:lineRule="exact"/>
        <w:ind w:firstLine="640"/>
        <w:rPr>
          <w:rFonts w:ascii="仿宋" w:eastAsia="仿宋" w:hAnsi="仿宋"/>
          <w:b/>
          <w:sz w:val="32"/>
          <w:szCs w:val="32"/>
        </w:rPr>
      </w:pPr>
    </w:p>
    <w:p w:rsidR="00D632C9" w:rsidRDefault="00A722CB">
      <w:pPr>
        <w:spacing w:line="600" w:lineRule="exact"/>
        <w:ind w:firstLineChars="200" w:firstLine="640"/>
        <w:outlineLvl w:val="1"/>
        <w:rPr>
          <w:rStyle w:val="2Char"/>
          <w:rFonts w:ascii="黑体" w:eastAsia="黑体" w:hAnsi="黑体"/>
          <w:b w:val="0"/>
        </w:rPr>
      </w:pPr>
      <w:bookmarkStart w:id="27" w:name="_Toc15396607"/>
      <w:bookmarkStart w:id="28" w:name="_Toc15377209"/>
      <w:r>
        <w:rPr>
          <w:rFonts w:ascii="黑体" w:eastAsia="黑体" w:hAnsi="黑体" w:hint="eastAsia"/>
          <w:sz w:val="32"/>
          <w:szCs w:val="32"/>
        </w:rPr>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27"/>
      <w:bookmarkEnd w:id="28"/>
    </w:p>
    <w:p w:rsidR="00D632C9" w:rsidRDefault="00A722CB" w:rsidP="00773424">
      <w:pPr>
        <w:spacing w:line="600" w:lineRule="exact"/>
        <w:ind w:firstLineChars="200" w:firstLine="643"/>
        <w:outlineLvl w:val="2"/>
        <w:rPr>
          <w:rFonts w:ascii="仿宋" w:eastAsia="仿宋" w:hAnsi="仿宋"/>
          <w:b/>
          <w:sz w:val="32"/>
          <w:szCs w:val="32"/>
        </w:rPr>
      </w:pPr>
      <w:bookmarkStart w:id="29" w:name="_Toc15377210"/>
      <w:r>
        <w:rPr>
          <w:rFonts w:ascii="仿宋" w:eastAsia="仿宋" w:hAnsi="仿宋" w:hint="eastAsia"/>
          <w:b/>
          <w:sz w:val="32"/>
          <w:szCs w:val="32"/>
        </w:rPr>
        <w:t>（一）一般公共预算财政拨款支出决算总体情况</w:t>
      </w:r>
      <w:bookmarkEnd w:id="29"/>
    </w:p>
    <w:p w:rsidR="00D632C9" w:rsidRDefault="00A722CB">
      <w:pPr>
        <w:spacing w:line="600" w:lineRule="exact"/>
        <w:ind w:firstLineChars="200"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22年一般公共预算财政拨款支出</w:t>
      </w:r>
      <w:r>
        <w:rPr>
          <w:rFonts w:ascii="仿宋" w:eastAsia="仿宋" w:hAnsi="仿宋"/>
          <w:sz w:val="32"/>
          <w:szCs w:val="32"/>
        </w:rPr>
        <w:t>9065.56</w:t>
      </w:r>
      <w:r>
        <w:rPr>
          <w:rFonts w:ascii="仿宋" w:eastAsia="仿宋" w:hAnsi="仿宋" w:hint="eastAsia"/>
          <w:sz w:val="32"/>
          <w:szCs w:val="32"/>
        </w:rPr>
        <w:t>万元，占本年支出合计的99.95</w:t>
      </w:r>
      <w:r>
        <w:rPr>
          <w:rFonts w:ascii="仿宋" w:eastAsia="仿宋" w:hAnsi="仿宋"/>
          <w:sz w:val="32"/>
          <w:szCs w:val="32"/>
        </w:rPr>
        <w:t>%</w:t>
      </w:r>
      <w:r>
        <w:rPr>
          <w:rFonts w:ascii="仿宋" w:eastAsia="仿宋" w:hAnsi="仿宋" w:hint="eastAsia"/>
          <w:sz w:val="32"/>
          <w:szCs w:val="32"/>
        </w:rPr>
        <w:t>。与</w:t>
      </w:r>
      <w:r>
        <w:rPr>
          <w:rFonts w:ascii="仿宋" w:eastAsia="仿宋" w:hAnsi="仿宋"/>
          <w:sz w:val="32"/>
          <w:szCs w:val="32"/>
        </w:rPr>
        <w:t>20</w:t>
      </w:r>
      <w:r>
        <w:rPr>
          <w:rFonts w:ascii="仿宋" w:eastAsia="仿宋" w:hAnsi="仿宋" w:hint="eastAsia"/>
          <w:sz w:val="32"/>
          <w:szCs w:val="32"/>
        </w:rPr>
        <w:t>21年相比，一般公共预算财政拨款支出增加974.02万元，增长</w:t>
      </w:r>
      <w:r>
        <w:rPr>
          <w:rFonts w:ascii="仿宋" w:eastAsia="仿宋" w:hAnsi="仿宋"/>
          <w:sz w:val="32"/>
          <w:szCs w:val="32"/>
        </w:rPr>
        <w:t>/</w:t>
      </w:r>
      <w:r>
        <w:rPr>
          <w:rFonts w:ascii="仿宋" w:eastAsia="仿宋" w:hAnsi="仿宋" w:hint="eastAsia"/>
          <w:sz w:val="32"/>
          <w:szCs w:val="32"/>
        </w:rPr>
        <w:t>下降12.04</w:t>
      </w:r>
      <w:r>
        <w:rPr>
          <w:rFonts w:ascii="仿宋" w:eastAsia="仿宋" w:hAnsi="仿宋"/>
          <w:sz w:val="32"/>
          <w:szCs w:val="32"/>
        </w:rPr>
        <w:t>%</w:t>
      </w:r>
      <w:r>
        <w:rPr>
          <w:rFonts w:ascii="仿宋" w:eastAsia="仿宋" w:hAnsi="仿宋" w:hint="eastAsia"/>
          <w:sz w:val="32"/>
          <w:szCs w:val="32"/>
        </w:rPr>
        <w:t>。主要变动原因是支付新建学生宿舍及教师周转房工程款。</w:t>
      </w:r>
    </w:p>
    <w:p w:rsidR="00D632C9" w:rsidRDefault="00A722CB">
      <w:pPr>
        <w:spacing w:line="600" w:lineRule="exact"/>
        <w:jc w:val="center"/>
        <w:rPr>
          <w:rFonts w:ascii="仿宋" w:eastAsia="仿宋" w:hAnsi="仿宋"/>
          <w:sz w:val="32"/>
          <w:szCs w:val="32"/>
        </w:rPr>
      </w:pPr>
      <w:r>
        <w:rPr>
          <w:rFonts w:ascii="仿宋" w:eastAsia="仿宋" w:hAnsi="仿宋" w:hint="eastAsia"/>
          <w:sz w:val="32"/>
          <w:szCs w:val="32"/>
        </w:rPr>
        <w:t>图5：一般公共预算财政拨款支出决算变动情况</w:t>
      </w:r>
    </w:p>
    <w:p w:rsidR="00D632C9" w:rsidRDefault="00A722CB">
      <w:pPr>
        <w:pStyle w:val="a0"/>
        <w:spacing w:before="93"/>
        <w:jc w:val="center"/>
      </w:pPr>
      <w:r>
        <w:rPr>
          <w:noProof/>
        </w:rPr>
        <w:drawing>
          <wp:inline distT="0" distB="0" distL="0" distR="0">
            <wp:extent cx="4572000" cy="2743200"/>
            <wp:effectExtent l="19050" t="0" r="19050" b="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32C9" w:rsidRDefault="00A722CB" w:rsidP="00773424">
      <w:pPr>
        <w:spacing w:line="600" w:lineRule="exact"/>
        <w:ind w:firstLineChars="150" w:firstLine="482"/>
        <w:outlineLvl w:val="2"/>
        <w:rPr>
          <w:rFonts w:ascii="仿宋" w:eastAsia="仿宋" w:hAnsi="仿宋"/>
          <w:b/>
          <w:sz w:val="32"/>
          <w:szCs w:val="32"/>
        </w:rPr>
      </w:pPr>
      <w:bookmarkStart w:id="30" w:name="_Toc15377211"/>
      <w:r>
        <w:rPr>
          <w:rFonts w:ascii="仿宋" w:eastAsia="仿宋" w:hAnsi="仿宋" w:hint="eastAsia"/>
          <w:b/>
          <w:sz w:val="32"/>
          <w:szCs w:val="32"/>
        </w:rPr>
        <w:t>（二）一般公共预算财政拨款支出决算结构情况</w:t>
      </w:r>
      <w:bookmarkEnd w:id="30"/>
    </w:p>
    <w:p w:rsidR="00D632C9" w:rsidRDefault="00A722CB">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22年一般公共预算财政拨款支出</w:t>
      </w:r>
      <w:r>
        <w:rPr>
          <w:rFonts w:ascii="仿宋" w:eastAsia="仿宋" w:hAnsi="仿宋"/>
          <w:sz w:val="32"/>
          <w:szCs w:val="32"/>
        </w:rPr>
        <w:t>9065.56</w:t>
      </w:r>
      <w:r>
        <w:rPr>
          <w:rFonts w:ascii="仿宋" w:eastAsia="仿宋" w:hAnsi="仿宋" w:hint="eastAsia"/>
          <w:sz w:val="32"/>
          <w:szCs w:val="32"/>
        </w:rPr>
        <w:t>万元，主要用于以下方面</w:t>
      </w:r>
      <w:r>
        <w:rPr>
          <w:rFonts w:ascii="仿宋" w:eastAsia="仿宋" w:hAnsi="仿宋"/>
          <w:sz w:val="32"/>
          <w:szCs w:val="32"/>
        </w:rPr>
        <w:t>:</w:t>
      </w:r>
      <w:r>
        <w:rPr>
          <w:rFonts w:ascii="仿宋" w:eastAsia="仿宋" w:hAnsi="仿宋" w:hint="eastAsia"/>
          <w:b/>
          <w:sz w:val="32"/>
          <w:szCs w:val="32"/>
        </w:rPr>
        <w:t>教育支出</w:t>
      </w:r>
      <w:r>
        <w:rPr>
          <w:rFonts w:ascii="仿宋" w:eastAsia="仿宋" w:hAnsi="仿宋"/>
          <w:sz w:val="32"/>
          <w:szCs w:val="32"/>
        </w:rPr>
        <w:t>7928.42</w:t>
      </w:r>
      <w:r>
        <w:rPr>
          <w:rFonts w:ascii="仿宋" w:eastAsia="仿宋" w:hAnsi="仿宋" w:hint="eastAsia"/>
          <w:sz w:val="32"/>
          <w:szCs w:val="32"/>
        </w:rPr>
        <w:t>万元，占87.46</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hint="eastAsia"/>
          <w:b/>
          <w:bCs/>
          <w:sz w:val="32"/>
          <w:szCs w:val="32"/>
        </w:rPr>
        <w:t>支出</w:t>
      </w:r>
      <w:r>
        <w:rPr>
          <w:rFonts w:ascii="仿宋" w:eastAsia="仿宋" w:hAnsi="仿宋"/>
          <w:sz w:val="32"/>
          <w:szCs w:val="32"/>
        </w:rPr>
        <w:t>525.34</w:t>
      </w:r>
      <w:r>
        <w:rPr>
          <w:rFonts w:ascii="仿宋" w:eastAsia="仿宋" w:hAnsi="仿宋" w:hint="eastAsia"/>
          <w:sz w:val="32"/>
          <w:szCs w:val="32"/>
        </w:rPr>
        <w:t>万元，占5.79</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住房保障支出</w:t>
      </w:r>
      <w:r>
        <w:rPr>
          <w:rFonts w:ascii="仿宋" w:eastAsia="仿宋" w:hAnsi="仿宋"/>
          <w:sz w:val="32"/>
          <w:szCs w:val="32"/>
        </w:rPr>
        <w:t>611.81</w:t>
      </w:r>
      <w:r>
        <w:rPr>
          <w:rFonts w:ascii="仿宋" w:eastAsia="仿宋" w:hAnsi="仿宋" w:hint="eastAsia"/>
          <w:sz w:val="32"/>
          <w:szCs w:val="32"/>
        </w:rPr>
        <w:t>万元，占6.75</w:t>
      </w:r>
      <w:r>
        <w:rPr>
          <w:rFonts w:ascii="仿宋" w:eastAsia="仿宋" w:hAnsi="仿宋"/>
          <w:sz w:val="32"/>
          <w:szCs w:val="32"/>
        </w:rPr>
        <w:t>%</w:t>
      </w:r>
      <w:r>
        <w:rPr>
          <w:rFonts w:ascii="仿宋" w:eastAsia="仿宋" w:hAnsi="仿宋" w:hint="eastAsia"/>
          <w:sz w:val="32"/>
          <w:szCs w:val="32"/>
        </w:rPr>
        <w:t>。</w:t>
      </w:r>
    </w:p>
    <w:p w:rsidR="00D632C9" w:rsidRDefault="00A722CB">
      <w:pPr>
        <w:pStyle w:val="a0"/>
        <w:spacing w:before="93"/>
        <w:jc w:val="center"/>
      </w:pPr>
      <w:r>
        <w:rPr>
          <w:rFonts w:ascii="仿宋" w:eastAsia="仿宋" w:hAnsi="仿宋" w:hint="eastAsia"/>
          <w:sz w:val="32"/>
          <w:szCs w:val="32"/>
        </w:rPr>
        <w:t>图6：一般公共预算财政拨款支出决算结构</w:t>
      </w:r>
    </w:p>
    <w:p w:rsidR="00D632C9" w:rsidRDefault="00A722CB">
      <w:pPr>
        <w:pStyle w:val="a0"/>
        <w:spacing w:before="93"/>
        <w:jc w:val="center"/>
      </w:pPr>
      <w:r>
        <w:rPr>
          <w:noProof/>
        </w:rPr>
        <w:lastRenderedPageBreak/>
        <w:drawing>
          <wp:inline distT="0" distB="0" distL="0" distR="0">
            <wp:extent cx="4572000" cy="2743200"/>
            <wp:effectExtent l="19050" t="0" r="19050" b="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632C9" w:rsidRDefault="00A722CB" w:rsidP="00773424">
      <w:pPr>
        <w:spacing w:line="600" w:lineRule="exact"/>
        <w:ind w:firstLineChars="200" w:firstLine="643"/>
        <w:outlineLvl w:val="2"/>
        <w:rPr>
          <w:rFonts w:ascii="仿宋" w:eastAsia="仿宋" w:hAnsi="仿宋"/>
          <w:b/>
          <w:sz w:val="32"/>
          <w:szCs w:val="32"/>
        </w:rPr>
      </w:pPr>
      <w:bookmarkStart w:id="31" w:name="_Toc15377212"/>
      <w:r>
        <w:rPr>
          <w:rFonts w:ascii="仿宋" w:eastAsia="仿宋" w:hAnsi="仿宋" w:hint="eastAsia"/>
          <w:b/>
          <w:sz w:val="32"/>
          <w:szCs w:val="32"/>
        </w:rPr>
        <w:t>（三）一般公共预算财政拨款支出决算具体情况</w:t>
      </w:r>
      <w:bookmarkEnd w:id="31"/>
    </w:p>
    <w:p w:rsidR="00D632C9" w:rsidRDefault="00A722CB" w:rsidP="00773424">
      <w:pPr>
        <w:spacing w:line="600" w:lineRule="exact"/>
        <w:ind w:firstLineChars="200" w:firstLine="643"/>
        <w:outlineLvl w:val="2"/>
        <w:rPr>
          <w:rFonts w:ascii="仿宋" w:eastAsia="仿宋" w:hAnsi="仿宋"/>
          <w:sz w:val="32"/>
          <w:szCs w:val="32"/>
        </w:rPr>
      </w:pPr>
      <w:bookmarkStart w:id="32" w:name="_Toc15378460"/>
      <w:bookmarkStart w:id="33" w:name="_Toc15377213"/>
      <w:bookmarkStart w:id="34" w:name="_Toc15377444"/>
      <w:r>
        <w:rPr>
          <w:rFonts w:ascii="仿宋" w:eastAsia="仿宋" w:hAnsi="仿宋" w:hint="eastAsia"/>
          <w:b/>
          <w:sz w:val="32"/>
          <w:szCs w:val="32"/>
        </w:rPr>
        <w:t>2022年一般公共预算支出决算数为</w:t>
      </w:r>
      <w:r>
        <w:rPr>
          <w:rFonts w:ascii="仿宋" w:eastAsia="仿宋" w:hAnsi="仿宋"/>
          <w:sz w:val="32"/>
          <w:szCs w:val="32"/>
        </w:rPr>
        <w:t>9065.56</w:t>
      </w:r>
      <w:r>
        <w:rPr>
          <w:rFonts w:ascii="仿宋" w:eastAsia="仿宋" w:hAnsi="仿宋" w:hint="eastAsia"/>
          <w:sz w:val="32"/>
          <w:szCs w:val="32"/>
        </w:rPr>
        <w:t>，</w:t>
      </w:r>
      <w:r>
        <w:rPr>
          <w:rStyle w:val="a7"/>
          <w:rFonts w:ascii="仿宋" w:eastAsia="仿宋" w:hAnsi="仿宋" w:hint="eastAsia"/>
          <w:bCs/>
          <w:sz w:val="32"/>
          <w:szCs w:val="32"/>
        </w:rPr>
        <w:t>完成预算100</w:t>
      </w:r>
      <w:r>
        <w:rPr>
          <w:rStyle w:val="a7"/>
          <w:rFonts w:ascii="仿宋" w:eastAsia="仿宋" w:hAnsi="仿宋"/>
          <w:bCs/>
          <w:sz w:val="32"/>
          <w:szCs w:val="32"/>
        </w:rPr>
        <w:t>%</w:t>
      </w:r>
      <w:r>
        <w:rPr>
          <w:rStyle w:val="a7"/>
          <w:rFonts w:ascii="仿宋" w:eastAsia="仿宋" w:hAnsi="仿宋" w:hint="eastAsia"/>
          <w:bCs/>
          <w:sz w:val="32"/>
          <w:szCs w:val="32"/>
        </w:rPr>
        <w:t>。其中：</w:t>
      </w:r>
      <w:bookmarkEnd w:id="32"/>
      <w:bookmarkEnd w:id="33"/>
      <w:bookmarkEnd w:id="34"/>
    </w:p>
    <w:p w:rsidR="00D632C9" w:rsidRDefault="00A722CB" w:rsidP="00773424">
      <w:pPr>
        <w:spacing w:line="600" w:lineRule="exact"/>
        <w:ind w:firstLineChars="200" w:firstLine="643"/>
        <w:rPr>
          <w:rFonts w:ascii="仿宋" w:eastAsia="仿宋" w:hAnsi="仿宋"/>
          <w:b/>
          <w:bCs/>
          <w:sz w:val="32"/>
          <w:szCs w:val="32"/>
        </w:rPr>
      </w:pPr>
      <w:r>
        <w:rPr>
          <w:rStyle w:val="a7"/>
          <w:rFonts w:ascii="仿宋" w:eastAsia="仿宋" w:hAnsi="仿宋"/>
          <w:bCs/>
          <w:sz w:val="32"/>
          <w:szCs w:val="32"/>
        </w:rPr>
        <w:t>1.</w:t>
      </w:r>
      <w:r>
        <w:rPr>
          <w:rStyle w:val="a7"/>
          <w:rFonts w:ascii="仿宋" w:eastAsia="仿宋" w:hAnsi="仿宋" w:hint="eastAsia"/>
          <w:bCs/>
          <w:sz w:val="32"/>
          <w:szCs w:val="32"/>
        </w:rPr>
        <w:t>教育（类）普通教育（款）学前教育（项）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w:t>
      </w:r>
      <w:r>
        <w:rPr>
          <w:rStyle w:val="a7"/>
          <w:rFonts w:ascii="仿宋" w:eastAsia="仿宋" w:hAnsi="仿宋"/>
          <w:b w:val="0"/>
          <w:bCs/>
          <w:sz w:val="32"/>
          <w:szCs w:val="32"/>
        </w:rPr>
        <w:t>16.25</w:t>
      </w:r>
      <w:r>
        <w:rPr>
          <w:rStyle w:val="a7"/>
          <w:rFonts w:ascii="仿宋" w:eastAsia="仿宋" w:hAnsi="仿宋" w:hint="eastAsia"/>
          <w:b w:val="0"/>
          <w:bCs/>
          <w:sz w:val="32"/>
          <w:szCs w:val="32"/>
        </w:rPr>
        <w:t>万元，完成预算100</w:t>
      </w:r>
      <w:r>
        <w:rPr>
          <w:rStyle w:val="a7"/>
          <w:rFonts w:ascii="仿宋" w:eastAsia="仿宋" w:hAnsi="仿宋"/>
          <w:b w:val="0"/>
          <w:bCs/>
          <w:sz w:val="32"/>
          <w:szCs w:val="32"/>
        </w:rPr>
        <w:t>%</w:t>
      </w:r>
      <w:r>
        <w:rPr>
          <w:rStyle w:val="a7"/>
          <w:rFonts w:ascii="仿宋" w:eastAsia="仿宋" w:hAnsi="仿宋" w:hint="eastAsia"/>
          <w:b w:val="0"/>
          <w:bCs/>
          <w:sz w:val="32"/>
          <w:szCs w:val="32"/>
        </w:rPr>
        <w:t>。</w:t>
      </w:r>
      <w:r>
        <w:rPr>
          <w:rStyle w:val="a7"/>
          <w:rFonts w:ascii="仿宋" w:eastAsia="仿宋" w:hAnsi="仿宋" w:hint="eastAsia"/>
          <w:bCs/>
          <w:sz w:val="32"/>
          <w:szCs w:val="32"/>
        </w:rPr>
        <w:t>教育（类）普通教育（款）  初中教育（项）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w:t>
      </w:r>
      <w:r>
        <w:rPr>
          <w:rStyle w:val="a7"/>
          <w:rFonts w:ascii="仿宋" w:eastAsia="仿宋" w:hAnsi="仿宋"/>
          <w:b w:val="0"/>
          <w:bCs/>
          <w:sz w:val="32"/>
          <w:szCs w:val="32"/>
        </w:rPr>
        <w:t>7710.39</w:t>
      </w:r>
      <w:r>
        <w:rPr>
          <w:rStyle w:val="a7"/>
          <w:rFonts w:ascii="仿宋" w:eastAsia="仿宋" w:hAnsi="仿宋" w:hint="eastAsia"/>
          <w:b w:val="0"/>
          <w:bCs/>
          <w:sz w:val="32"/>
          <w:szCs w:val="32"/>
        </w:rPr>
        <w:t>万元，完成预算100</w:t>
      </w:r>
      <w:r>
        <w:rPr>
          <w:rStyle w:val="a7"/>
          <w:rFonts w:ascii="仿宋" w:eastAsia="仿宋" w:hAnsi="仿宋"/>
          <w:b w:val="0"/>
          <w:bCs/>
          <w:sz w:val="32"/>
          <w:szCs w:val="32"/>
        </w:rPr>
        <w:t>%</w:t>
      </w:r>
      <w:r>
        <w:rPr>
          <w:rStyle w:val="a7"/>
          <w:rFonts w:ascii="仿宋" w:eastAsia="仿宋" w:hAnsi="仿宋" w:hint="eastAsia"/>
          <w:b w:val="0"/>
          <w:bCs/>
          <w:sz w:val="32"/>
          <w:szCs w:val="32"/>
        </w:rPr>
        <w:t>。</w:t>
      </w:r>
      <w:r>
        <w:rPr>
          <w:rStyle w:val="a7"/>
          <w:rFonts w:ascii="仿宋" w:eastAsia="仿宋" w:hAnsi="仿宋" w:hint="eastAsia"/>
          <w:bCs/>
          <w:sz w:val="32"/>
          <w:szCs w:val="32"/>
        </w:rPr>
        <w:t>教育（类）普通教育（款）其他普通教育支出（项）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支出决算为200万元，完成预算100</w:t>
      </w:r>
      <w:r>
        <w:rPr>
          <w:rStyle w:val="a7"/>
          <w:rFonts w:ascii="仿宋" w:eastAsia="仿宋" w:hAnsi="仿宋"/>
          <w:b w:val="0"/>
          <w:bCs/>
          <w:sz w:val="32"/>
          <w:szCs w:val="32"/>
        </w:rPr>
        <w:t>%</w:t>
      </w:r>
      <w:r>
        <w:rPr>
          <w:rStyle w:val="a7"/>
          <w:rFonts w:ascii="仿宋" w:eastAsia="仿宋" w:hAnsi="仿宋" w:hint="eastAsia"/>
          <w:b w:val="0"/>
          <w:bCs/>
          <w:sz w:val="32"/>
          <w:szCs w:val="32"/>
        </w:rPr>
        <w:t>。</w:t>
      </w:r>
      <w:r>
        <w:rPr>
          <w:rStyle w:val="a7"/>
          <w:rFonts w:ascii="仿宋" w:eastAsia="仿宋" w:hAnsi="仿宋" w:hint="eastAsia"/>
          <w:bCs/>
          <w:sz w:val="32"/>
          <w:szCs w:val="32"/>
        </w:rPr>
        <w:t>教育（类）教育费附加安排的支出（款）其他教育费附加安排的支出（项）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w:t>
      </w:r>
      <w:r>
        <w:rPr>
          <w:rStyle w:val="a7"/>
          <w:rFonts w:ascii="仿宋" w:eastAsia="仿宋" w:hAnsi="仿宋"/>
          <w:b w:val="0"/>
          <w:bCs/>
          <w:sz w:val="32"/>
          <w:szCs w:val="32"/>
        </w:rPr>
        <w:t>1.78</w:t>
      </w:r>
      <w:r>
        <w:rPr>
          <w:rStyle w:val="a7"/>
          <w:rFonts w:ascii="仿宋" w:eastAsia="仿宋" w:hAnsi="仿宋" w:hint="eastAsia"/>
          <w:b w:val="0"/>
          <w:bCs/>
          <w:sz w:val="32"/>
          <w:szCs w:val="32"/>
        </w:rPr>
        <w:t>万元，完成预算100</w:t>
      </w:r>
      <w:r>
        <w:rPr>
          <w:rStyle w:val="a7"/>
          <w:rFonts w:ascii="仿宋" w:eastAsia="仿宋" w:hAnsi="仿宋"/>
          <w:b w:val="0"/>
          <w:bCs/>
          <w:sz w:val="32"/>
          <w:szCs w:val="32"/>
        </w:rPr>
        <w:t>%</w:t>
      </w:r>
      <w:r>
        <w:rPr>
          <w:rStyle w:val="a7"/>
          <w:rFonts w:ascii="仿宋" w:eastAsia="仿宋" w:hAnsi="仿宋" w:hint="eastAsia"/>
          <w:b w:val="0"/>
          <w:bCs/>
          <w:sz w:val="32"/>
          <w:szCs w:val="32"/>
        </w:rPr>
        <w:t>。</w:t>
      </w:r>
    </w:p>
    <w:p w:rsidR="00D632C9" w:rsidRDefault="00A722CB" w:rsidP="00773424">
      <w:pPr>
        <w:spacing w:line="600" w:lineRule="exact"/>
        <w:ind w:firstLineChars="200" w:firstLine="643"/>
        <w:rPr>
          <w:rFonts w:ascii="仿宋" w:eastAsia="仿宋" w:hAnsi="仿宋"/>
          <w:b/>
          <w:bCs/>
          <w:sz w:val="32"/>
          <w:szCs w:val="32"/>
        </w:rPr>
      </w:pPr>
      <w:r>
        <w:rPr>
          <w:rStyle w:val="a7"/>
          <w:rFonts w:ascii="仿宋" w:eastAsia="仿宋" w:hAnsi="仿宋" w:hint="eastAsia"/>
          <w:bCs/>
          <w:sz w:val="32"/>
          <w:szCs w:val="32"/>
        </w:rPr>
        <w:t>2</w:t>
      </w:r>
      <w:r>
        <w:rPr>
          <w:rStyle w:val="a7"/>
          <w:rFonts w:ascii="仿宋" w:eastAsia="仿宋" w:hAnsi="仿宋"/>
          <w:bCs/>
          <w:sz w:val="32"/>
          <w:szCs w:val="32"/>
        </w:rPr>
        <w:t>.</w:t>
      </w:r>
      <w:r>
        <w:rPr>
          <w:rStyle w:val="a7"/>
          <w:rFonts w:ascii="仿宋" w:eastAsia="仿宋" w:hAnsi="仿宋" w:hint="eastAsia"/>
          <w:bCs/>
          <w:sz w:val="32"/>
          <w:szCs w:val="32"/>
        </w:rPr>
        <w:t>社会保障和就业（类）行政事业单位养老支出（款）  机关事业单位基本养老保险缴费支出（项）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w:t>
      </w:r>
      <w:r>
        <w:rPr>
          <w:rStyle w:val="a7"/>
          <w:rFonts w:ascii="仿宋" w:eastAsia="仿宋" w:hAnsi="仿宋"/>
          <w:b w:val="0"/>
          <w:bCs/>
          <w:sz w:val="32"/>
          <w:szCs w:val="32"/>
        </w:rPr>
        <w:t>525.34</w:t>
      </w:r>
      <w:r>
        <w:rPr>
          <w:rStyle w:val="a7"/>
          <w:rFonts w:ascii="仿宋" w:eastAsia="仿宋" w:hAnsi="仿宋" w:hint="eastAsia"/>
          <w:b w:val="0"/>
          <w:bCs/>
          <w:sz w:val="32"/>
          <w:szCs w:val="32"/>
        </w:rPr>
        <w:t>万元，完成预算100</w:t>
      </w:r>
      <w:r>
        <w:rPr>
          <w:rStyle w:val="a7"/>
          <w:rFonts w:ascii="仿宋" w:eastAsia="仿宋" w:hAnsi="仿宋"/>
          <w:b w:val="0"/>
          <w:bCs/>
          <w:sz w:val="32"/>
          <w:szCs w:val="32"/>
        </w:rPr>
        <w:t>%</w:t>
      </w:r>
      <w:r>
        <w:rPr>
          <w:rStyle w:val="a7"/>
          <w:rFonts w:ascii="仿宋" w:eastAsia="仿宋" w:hAnsi="仿宋" w:hint="eastAsia"/>
          <w:b w:val="0"/>
          <w:bCs/>
          <w:sz w:val="32"/>
          <w:szCs w:val="32"/>
        </w:rPr>
        <w:t>。</w:t>
      </w:r>
    </w:p>
    <w:p w:rsidR="00D632C9" w:rsidRDefault="00A722CB" w:rsidP="00773424">
      <w:pPr>
        <w:spacing w:line="600" w:lineRule="exact"/>
        <w:ind w:firstLineChars="200" w:firstLine="643"/>
        <w:rPr>
          <w:rFonts w:ascii="仿宋" w:eastAsia="仿宋" w:hAnsi="仿宋"/>
          <w:b/>
          <w:sz w:val="32"/>
          <w:szCs w:val="32"/>
        </w:rPr>
      </w:pPr>
      <w:r>
        <w:rPr>
          <w:rStyle w:val="a7"/>
          <w:rFonts w:ascii="仿宋" w:eastAsia="仿宋" w:hAnsi="仿宋" w:hint="eastAsia"/>
          <w:bCs/>
          <w:sz w:val="32"/>
          <w:szCs w:val="32"/>
        </w:rPr>
        <w:t>3</w:t>
      </w:r>
      <w:r>
        <w:rPr>
          <w:rStyle w:val="a7"/>
          <w:rFonts w:ascii="仿宋" w:eastAsia="仿宋" w:hAnsi="仿宋"/>
          <w:bCs/>
          <w:sz w:val="32"/>
          <w:szCs w:val="32"/>
        </w:rPr>
        <w:t>.</w:t>
      </w:r>
      <w:r>
        <w:rPr>
          <w:rFonts w:hint="eastAsia"/>
        </w:rPr>
        <w:t xml:space="preserve"> </w:t>
      </w:r>
      <w:r>
        <w:rPr>
          <w:rFonts w:ascii="仿宋" w:eastAsia="仿宋" w:hAnsi="仿宋" w:hint="eastAsia"/>
          <w:b/>
          <w:bCs/>
          <w:sz w:val="32"/>
          <w:szCs w:val="32"/>
        </w:rPr>
        <w:t>住房保障支出</w:t>
      </w:r>
      <w:r>
        <w:rPr>
          <w:rStyle w:val="a7"/>
          <w:rFonts w:ascii="仿宋" w:eastAsia="仿宋" w:hAnsi="仿宋" w:hint="eastAsia"/>
          <w:bCs/>
          <w:sz w:val="32"/>
          <w:szCs w:val="32"/>
        </w:rPr>
        <w:t>（类）住房改革支出（款）住房公积金（项）</w:t>
      </w:r>
      <w:r>
        <w:rPr>
          <w:rStyle w:val="a7"/>
          <w:rFonts w:ascii="仿宋" w:eastAsia="仿宋" w:hAnsi="仿宋"/>
          <w:bCs/>
          <w:sz w:val="32"/>
          <w:szCs w:val="32"/>
        </w:rPr>
        <w:t>:</w:t>
      </w:r>
      <w:r>
        <w:rPr>
          <w:rStyle w:val="a7"/>
          <w:rFonts w:ascii="仿宋" w:eastAsia="仿宋" w:hAnsi="仿宋" w:hint="eastAsia"/>
          <w:b w:val="0"/>
          <w:bCs/>
          <w:sz w:val="32"/>
          <w:szCs w:val="32"/>
        </w:rPr>
        <w:t>支出决算为</w:t>
      </w:r>
      <w:r>
        <w:rPr>
          <w:rStyle w:val="a7"/>
          <w:rFonts w:ascii="仿宋" w:eastAsia="仿宋" w:hAnsi="仿宋"/>
          <w:b w:val="0"/>
          <w:bCs/>
          <w:sz w:val="32"/>
          <w:szCs w:val="32"/>
        </w:rPr>
        <w:t>611.81</w:t>
      </w:r>
      <w:r>
        <w:rPr>
          <w:rStyle w:val="a7"/>
          <w:rFonts w:ascii="仿宋" w:eastAsia="仿宋" w:hAnsi="仿宋" w:hint="eastAsia"/>
          <w:b w:val="0"/>
          <w:bCs/>
          <w:sz w:val="32"/>
          <w:szCs w:val="32"/>
        </w:rPr>
        <w:t>万元，完成预算100</w:t>
      </w:r>
      <w:r>
        <w:rPr>
          <w:rStyle w:val="a7"/>
          <w:rFonts w:ascii="仿宋" w:eastAsia="仿宋" w:hAnsi="仿宋"/>
          <w:b w:val="0"/>
          <w:bCs/>
          <w:sz w:val="32"/>
          <w:szCs w:val="32"/>
        </w:rPr>
        <w:t>%</w:t>
      </w:r>
      <w:r>
        <w:rPr>
          <w:rStyle w:val="a7"/>
          <w:rFonts w:ascii="仿宋" w:eastAsia="仿宋" w:hAnsi="仿宋" w:hint="eastAsia"/>
          <w:b w:val="0"/>
          <w:bCs/>
          <w:sz w:val="32"/>
          <w:szCs w:val="32"/>
        </w:rPr>
        <w:t>。</w:t>
      </w:r>
    </w:p>
    <w:p w:rsidR="00D632C9" w:rsidRDefault="00A722CB">
      <w:pPr>
        <w:tabs>
          <w:tab w:val="right" w:pos="8306"/>
        </w:tabs>
        <w:spacing w:line="600" w:lineRule="exact"/>
        <w:ind w:firstLine="640"/>
        <w:outlineLvl w:val="1"/>
        <w:rPr>
          <w:rStyle w:val="2Char"/>
        </w:rPr>
      </w:pPr>
      <w:bookmarkStart w:id="35" w:name="_Toc15377214"/>
      <w:bookmarkStart w:id="36" w:name="_Toc15396608"/>
      <w:r>
        <w:rPr>
          <w:rFonts w:ascii="黑体" w:eastAsia="黑体" w:hint="eastAsia"/>
          <w:sz w:val="32"/>
          <w:szCs w:val="32"/>
        </w:rPr>
        <w:lastRenderedPageBreak/>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35"/>
      <w:bookmarkEnd w:id="36"/>
      <w:r>
        <w:rPr>
          <w:rStyle w:val="2Char"/>
          <w:rFonts w:ascii="黑体" w:eastAsia="黑体" w:hAnsi="黑体"/>
          <w:b w:val="0"/>
        </w:rPr>
        <w:tab/>
      </w:r>
    </w:p>
    <w:p w:rsidR="00D632C9" w:rsidRDefault="00A722CB">
      <w:pPr>
        <w:spacing w:line="600" w:lineRule="exact"/>
        <w:ind w:firstLine="645"/>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22年一般公共预算财政拨款基本支出</w:t>
      </w:r>
      <w:r>
        <w:rPr>
          <w:rFonts w:ascii="仿宋" w:eastAsia="仿宋" w:hAnsi="仿宋"/>
          <w:sz w:val="32"/>
          <w:szCs w:val="32"/>
        </w:rPr>
        <w:t>7918.63</w:t>
      </w:r>
      <w:r>
        <w:rPr>
          <w:rFonts w:ascii="仿宋" w:eastAsia="仿宋" w:hAnsi="仿宋" w:hint="eastAsia"/>
          <w:sz w:val="32"/>
          <w:szCs w:val="32"/>
        </w:rPr>
        <w:t>万元，其中：</w:t>
      </w:r>
    </w:p>
    <w:p w:rsidR="00D632C9" w:rsidRDefault="00A722CB">
      <w:pPr>
        <w:spacing w:line="600" w:lineRule="exact"/>
        <w:ind w:firstLine="645"/>
        <w:rPr>
          <w:rFonts w:ascii="仿宋" w:eastAsia="仿宋" w:hAnsi="仿宋"/>
          <w:sz w:val="32"/>
          <w:szCs w:val="32"/>
        </w:rPr>
      </w:pPr>
      <w:r>
        <w:rPr>
          <w:rFonts w:ascii="仿宋" w:eastAsia="仿宋" w:hAnsi="仿宋" w:hint="eastAsia"/>
          <w:sz w:val="32"/>
          <w:szCs w:val="32"/>
        </w:rPr>
        <w:t>人员经费</w:t>
      </w:r>
      <w:r>
        <w:rPr>
          <w:rFonts w:ascii="仿宋" w:eastAsia="仿宋" w:hAnsi="仿宋"/>
          <w:sz w:val="32"/>
          <w:szCs w:val="32"/>
        </w:rPr>
        <w:t>7362.21</w:t>
      </w:r>
      <w:r>
        <w:rPr>
          <w:rFonts w:ascii="仿宋" w:eastAsia="仿宋" w:hAnsi="仿宋" w:hint="eastAsia"/>
          <w:sz w:val="32"/>
          <w:szCs w:val="32"/>
        </w:rPr>
        <w:t>万元，主要包括：基本工资、津贴补贴、奖金、绩效工资、机关事业单位基本养老保险缴费、其他社会保障缴费、其他工资福利支出、生活补助、医疗费补助、奖励金、住房公积金、其他对个人和家庭的补助支出等。</w:t>
      </w:r>
      <w:r>
        <w:rPr>
          <w:rFonts w:ascii="仿宋" w:eastAsia="仿宋" w:hAnsi="仿宋"/>
          <w:sz w:val="32"/>
          <w:szCs w:val="32"/>
        </w:rPr>
        <w:br/>
      </w:r>
      <w:r>
        <w:rPr>
          <w:rFonts w:ascii="仿宋" w:eastAsia="仿宋" w:hAnsi="仿宋" w:hint="eastAsia"/>
          <w:sz w:val="32"/>
          <w:szCs w:val="32"/>
        </w:rPr>
        <w:t xml:space="preserve">　　公用经费</w:t>
      </w:r>
      <w:r>
        <w:rPr>
          <w:rFonts w:ascii="仿宋" w:eastAsia="仿宋" w:hAnsi="仿宋"/>
          <w:sz w:val="32"/>
          <w:szCs w:val="32"/>
        </w:rPr>
        <w:t>556.43</w:t>
      </w:r>
      <w:r>
        <w:rPr>
          <w:rFonts w:ascii="仿宋" w:eastAsia="仿宋" w:hAnsi="仿宋" w:hint="eastAsia"/>
          <w:sz w:val="32"/>
          <w:szCs w:val="32"/>
        </w:rPr>
        <w:t>万元，主要包括：办公费、印刷费、咨询费、手续费、水费、电费、物业管理费、差旅费、维修（护）费、租赁费、培训费、劳务费、委托业务费、工会经费、福利费、公务用车运行维护费、其他交通费、其他商品和服务支出、办公设备购置、无形资产购置、其他资本性支出等。</w:t>
      </w:r>
    </w:p>
    <w:p w:rsidR="00D632C9" w:rsidRDefault="00A722CB">
      <w:pPr>
        <w:spacing w:line="600" w:lineRule="exact"/>
        <w:ind w:firstLine="640"/>
        <w:outlineLvl w:val="1"/>
        <w:rPr>
          <w:rStyle w:val="2Char"/>
          <w:rFonts w:ascii="黑体" w:eastAsia="黑体" w:hAnsi="黑体"/>
          <w:b w:val="0"/>
        </w:rPr>
      </w:pPr>
      <w:bookmarkStart w:id="37" w:name="_Toc15377215"/>
      <w:bookmarkStart w:id="38" w:name="_Toc15396609"/>
      <w:r>
        <w:rPr>
          <w:rFonts w:ascii="黑体" w:eastAsia="黑体" w:hint="eastAsia"/>
          <w:sz w:val="32"/>
          <w:szCs w:val="32"/>
        </w:rPr>
        <w:t>七、</w:t>
      </w:r>
      <w:r>
        <w:rPr>
          <w:rStyle w:val="2Char"/>
          <w:rFonts w:ascii="黑体" w:eastAsia="黑体" w:hAnsi="黑体" w:hint="eastAsia"/>
          <w:b w:val="0"/>
        </w:rPr>
        <w:t>财政拨款</w:t>
      </w:r>
      <w:r>
        <w:rPr>
          <w:rStyle w:val="2Char"/>
          <w:rFonts w:ascii="黑体" w:eastAsia="黑体" w:hAnsi="黑体" w:hint="eastAsia"/>
        </w:rPr>
        <w:t>“</w:t>
      </w:r>
      <w:r>
        <w:rPr>
          <w:rStyle w:val="2Char"/>
          <w:rFonts w:ascii="黑体" w:eastAsia="黑体" w:hAnsi="黑体" w:hint="eastAsia"/>
          <w:b w:val="0"/>
        </w:rPr>
        <w:t>三公”经费支出决算情况说明</w:t>
      </w:r>
      <w:bookmarkEnd w:id="37"/>
      <w:bookmarkEnd w:id="38"/>
    </w:p>
    <w:p w:rsidR="00D632C9" w:rsidRDefault="00A722CB">
      <w:pPr>
        <w:spacing w:line="600" w:lineRule="exact"/>
        <w:ind w:firstLine="640"/>
        <w:outlineLvl w:val="2"/>
        <w:rPr>
          <w:rFonts w:ascii="仿宋" w:eastAsia="仿宋" w:hAnsi="仿宋"/>
          <w:b/>
          <w:sz w:val="32"/>
          <w:szCs w:val="32"/>
        </w:rPr>
      </w:pPr>
      <w:bookmarkStart w:id="39" w:name="_Toc15377216"/>
      <w:r>
        <w:rPr>
          <w:rFonts w:ascii="仿宋" w:eastAsia="仿宋" w:hAnsi="仿宋" w:hint="eastAsia"/>
          <w:b/>
          <w:sz w:val="32"/>
          <w:szCs w:val="32"/>
        </w:rPr>
        <w:t>（一）“三公”经费财政拨款支出决算总体情况说明</w:t>
      </w:r>
      <w:bookmarkEnd w:id="39"/>
    </w:p>
    <w:p w:rsidR="00D632C9" w:rsidRDefault="00A722CB">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22年“三公”经费财政拨款支出决算为1.18万元，完成预算1.18</w:t>
      </w:r>
      <w:r>
        <w:rPr>
          <w:rFonts w:ascii="仿宋" w:eastAsia="仿宋" w:hAnsi="仿宋"/>
          <w:sz w:val="32"/>
          <w:szCs w:val="32"/>
        </w:rPr>
        <w:t>%</w:t>
      </w:r>
      <w:r>
        <w:rPr>
          <w:rFonts w:ascii="仿宋" w:eastAsia="仿宋" w:hAnsi="仿宋" w:hint="eastAsia"/>
          <w:sz w:val="32"/>
          <w:szCs w:val="32"/>
        </w:rPr>
        <w:t>，较上年减少1.95万元，下降62.30%。决算数小于预算数的主要原因是财政未审核支付。</w:t>
      </w:r>
    </w:p>
    <w:p w:rsidR="00D632C9" w:rsidRDefault="00A722CB">
      <w:pPr>
        <w:spacing w:line="600" w:lineRule="exact"/>
        <w:ind w:firstLine="640"/>
        <w:outlineLvl w:val="2"/>
        <w:rPr>
          <w:rFonts w:ascii="仿宋" w:eastAsia="仿宋" w:hAnsi="仿宋"/>
          <w:b/>
          <w:sz w:val="32"/>
          <w:szCs w:val="32"/>
        </w:rPr>
      </w:pPr>
      <w:bookmarkStart w:id="40" w:name="_Toc15377217"/>
      <w:r>
        <w:rPr>
          <w:rFonts w:ascii="仿宋" w:eastAsia="仿宋" w:hAnsi="仿宋" w:hint="eastAsia"/>
          <w:b/>
          <w:sz w:val="32"/>
          <w:szCs w:val="32"/>
        </w:rPr>
        <w:t>（二）“三公”经费财政拨款支出决算具体情况说明</w:t>
      </w:r>
      <w:bookmarkEnd w:id="40"/>
    </w:p>
    <w:p w:rsidR="00D632C9" w:rsidRDefault="00A722CB">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22年“三公”经费财政拨款支出决算中，因公出国（境）费支出决算0万元，占0</w:t>
      </w:r>
      <w:r>
        <w:rPr>
          <w:rFonts w:ascii="仿宋" w:eastAsia="仿宋" w:hAnsi="仿宋"/>
          <w:sz w:val="32"/>
          <w:szCs w:val="32"/>
        </w:rPr>
        <w:t>%</w:t>
      </w:r>
      <w:r>
        <w:rPr>
          <w:rFonts w:ascii="仿宋" w:eastAsia="仿宋" w:hAnsi="仿宋" w:hint="eastAsia"/>
          <w:sz w:val="32"/>
          <w:szCs w:val="32"/>
        </w:rPr>
        <w:t>；公务用车购置及运行维护费支出决算1.18万元，占100</w:t>
      </w:r>
      <w:r>
        <w:rPr>
          <w:rFonts w:ascii="仿宋" w:eastAsia="仿宋" w:hAnsi="仿宋"/>
          <w:sz w:val="32"/>
          <w:szCs w:val="32"/>
        </w:rPr>
        <w:t>%</w:t>
      </w:r>
      <w:r>
        <w:rPr>
          <w:rFonts w:ascii="仿宋" w:eastAsia="仿宋" w:hAnsi="仿宋" w:hint="eastAsia"/>
          <w:sz w:val="32"/>
          <w:szCs w:val="32"/>
        </w:rPr>
        <w:t>；公务接待费支出决算0万元，占0</w:t>
      </w:r>
      <w:r>
        <w:rPr>
          <w:rFonts w:ascii="仿宋" w:eastAsia="仿宋" w:hAnsi="仿宋"/>
          <w:sz w:val="32"/>
          <w:szCs w:val="32"/>
        </w:rPr>
        <w:t>%</w:t>
      </w:r>
      <w:r>
        <w:rPr>
          <w:rFonts w:ascii="仿宋" w:eastAsia="仿宋" w:hAnsi="仿宋" w:hint="eastAsia"/>
          <w:sz w:val="32"/>
          <w:szCs w:val="32"/>
        </w:rPr>
        <w:t>。具体情况如下：</w:t>
      </w:r>
    </w:p>
    <w:p w:rsidR="00D632C9" w:rsidRDefault="00A722CB">
      <w:pPr>
        <w:spacing w:line="600" w:lineRule="exact"/>
        <w:ind w:firstLine="640"/>
        <w:jc w:val="center"/>
        <w:rPr>
          <w:rFonts w:ascii="仿宋" w:eastAsia="仿宋" w:hAnsi="仿宋"/>
          <w:sz w:val="32"/>
          <w:szCs w:val="32"/>
        </w:rPr>
      </w:pPr>
      <w:r>
        <w:rPr>
          <w:rFonts w:ascii="仿宋" w:eastAsia="仿宋" w:hAnsi="仿宋" w:hint="eastAsia"/>
          <w:sz w:val="32"/>
          <w:szCs w:val="32"/>
        </w:rPr>
        <w:t>图7：“三公”经费财政拨款支出结构</w:t>
      </w:r>
    </w:p>
    <w:p w:rsidR="00D632C9" w:rsidRDefault="00A722CB">
      <w:pPr>
        <w:pStyle w:val="a0"/>
        <w:spacing w:before="93"/>
        <w:jc w:val="center"/>
      </w:pPr>
      <w:r>
        <w:rPr>
          <w:noProof/>
        </w:rPr>
        <w:lastRenderedPageBreak/>
        <w:drawing>
          <wp:inline distT="0" distB="0" distL="0" distR="0">
            <wp:extent cx="4572000" cy="2743200"/>
            <wp:effectExtent l="19050" t="0" r="19050" b="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632C9" w:rsidRDefault="00A722CB">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a7"/>
          <w:rFonts w:ascii="仿宋" w:eastAsia="仿宋" w:hAnsi="仿宋" w:hint="eastAsia"/>
          <w:b w:val="0"/>
          <w:bCs/>
          <w:sz w:val="32"/>
          <w:szCs w:val="32"/>
        </w:rPr>
        <w:t>完成预算0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全年安排因公出国（境）团组0次，出国（境）0人。因公出国（境）支出决算与</w:t>
      </w:r>
      <w:r>
        <w:rPr>
          <w:rFonts w:ascii="仿宋_GB2312" w:eastAsia="仿宋_GB2312"/>
          <w:sz w:val="32"/>
          <w:szCs w:val="32"/>
        </w:rPr>
        <w:t>20</w:t>
      </w:r>
      <w:r>
        <w:rPr>
          <w:rFonts w:ascii="仿宋_GB2312" w:eastAsia="仿宋_GB2312" w:hint="eastAsia"/>
          <w:sz w:val="32"/>
          <w:szCs w:val="32"/>
        </w:rPr>
        <w:t>21年持平。</w:t>
      </w:r>
    </w:p>
    <w:p w:rsidR="00D632C9" w:rsidRDefault="00A722CB">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1.18万元,</w:t>
      </w:r>
      <w:r>
        <w:rPr>
          <w:rStyle w:val="a7"/>
          <w:rFonts w:ascii="仿宋" w:eastAsia="仿宋" w:hAnsi="仿宋" w:hint="eastAsia"/>
          <w:b w:val="0"/>
          <w:bCs/>
          <w:sz w:val="32"/>
          <w:szCs w:val="32"/>
        </w:rPr>
        <w:t>完成预算100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w:t>
      </w:r>
      <w:r>
        <w:rPr>
          <w:rFonts w:ascii="仿宋_GB2312" w:eastAsia="仿宋_GB2312" w:hint="eastAsia"/>
          <w:sz w:val="32"/>
          <w:szCs w:val="32"/>
        </w:rPr>
        <w:t>21年减少</w:t>
      </w:r>
      <w:r>
        <w:rPr>
          <w:rFonts w:ascii="仿宋" w:eastAsia="仿宋" w:hAnsi="仿宋" w:hint="eastAsia"/>
          <w:sz w:val="32"/>
          <w:szCs w:val="32"/>
        </w:rPr>
        <w:t>1.95</w:t>
      </w:r>
      <w:r>
        <w:rPr>
          <w:rFonts w:ascii="仿宋_GB2312" w:eastAsia="仿宋_GB2312" w:hint="eastAsia"/>
          <w:sz w:val="32"/>
          <w:szCs w:val="32"/>
        </w:rPr>
        <w:t>万元，下降</w:t>
      </w:r>
      <w:r>
        <w:rPr>
          <w:rFonts w:ascii="仿宋" w:eastAsia="仿宋" w:hAnsi="仿宋" w:hint="eastAsia"/>
          <w:sz w:val="32"/>
          <w:szCs w:val="32"/>
        </w:rPr>
        <w:t>62.30</w:t>
      </w:r>
      <w:r>
        <w:rPr>
          <w:rFonts w:ascii="仿宋_GB2312" w:eastAsia="仿宋_GB2312"/>
          <w:sz w:val="32"/>
          <w:szCs w:val="32"/>
        </w:rPr>
        <w:t>%</w:t>
      </w:r>
      <w:r>
        <w:rPr>
          <w:rFonts w:ascii="仿宋_GB2312" w:eastAsia="仿宋_GB2312" w:hint="eastAsia"/>
          <w:sz w:val="32"/>
          <w:szCs w:val="32"/>
        </w:rPr>
        <w:t>。主要原因是财政未审核支付。</w:t>
      </w:r>
    </w:p>
    <w:p w:rsidR="00D632C9" w:rsidRDefault="00A722CB">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0万元。全年按规定更新购置公务用车0辆，截至</w:t>
      </w:r>
      <w:r>
        <w:rPr>
          <w:rFonts w:ascii="仿宋_GB2312" w:eastAsia="仿宋_GB2312"/>
          <w:sz w:val="32"/>
          <w:szCs w:val="32"/>
        </w:rPr>
        <w:t>20</w:t>
      </w:r>
      <w:r>
        <w:rPr>
          <w:rFonts w:ascii="仿宋_GB2312" w:eastAsia="仿宋_GB2312" w:hint="eastAsia"/>
          <w:sz w:val="32"/>
          <w:szCs w:val="32"/>
        </w:rPr>
        <w:t>22年</w:t>
      </w:r>
      <w:r>
        <w:rPr>
          <w:rFonts w:ascii="仿宋_GB2312" w:eastAsia="仿宋_GB2312"/>
          <w:sz w:val="32"/>
          <w:szCs w:val="32"/>
        </w:rPr>
        <w:t>12</w:t>
      </w:r>
      <w:r>
        <w:rPr>
          <w:rFonts w:ascii="仿宋_GB2312" w:eastAsia="仿宋_GB2312" w:hint="eastAsia"/>
          <w:sz w:val="32"/>
          <w:szCs w:val="32"/>
        </w:rPr>
        <w:t>月底，单位共有公务用车2辆，其中：轿车2辆。</w:t>
      </w:r>
    </w:p>
    <w:p w:rsidR="00D632C9" w:rsidRDefault="00A722CB">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hint="eastAsia"/>
          <w:sz w:val="32"/>
          <w:szCs w:val="32"/>
        </w:rPr>
        <w:t>1.18万元。主要用于教育教学外出等所需的公务用车燃料费、维修费、过路过桥费等支出。</w:t>
      </w:r>
    </w:p>
    <w:p w:rsidR="00D632C9" w:rsidRDefault="00A722CB">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0万元，</w:t>
      </w:r>
      <w:r>
        <w:rPr>
          <w:rStyle w:val="a7"/>
          <w:rFonts w:ascii="仿宋" w:eastAsia="仿宋" w:hAnsi="仿宋" w:hint="eastAsia"/>
          <w:b w:val="0"/>
          <w:bCs/>
          <w:sz w:val="32"/>
          <w:szCs w:val="32"/>
        </w:rPr>
        <w:t>完成预算0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公务接待费支出决算比</w:t>
      </w:r>
      <w:r>
        <w:rPr>
          <w:rFonts w:ascii="仿宋_GB2312" w:eastAsia="仿宋_GB2312"/>
          <w:sz w:val="32"/>
          <w:szCs w:val="32"/>
        </w:rPr>
        <w:t>20</w:t>
      </w:r>
      <w:r>
        <w:rPr>
          <w:rFonts w:ascii="仿宋_GB2312" w:eastAsia="仿宋_GB2312" w:hint="eastAsia"/>
          <w:sz w:val="32"/>
          <w:szCs w:val="32"/>
        </w:rPr>
        <w:t>21年减少</w:t>
      </w:r>
      <w:r>
        <w:rPr>
          <w:rFonts w:ascii="仿宋" w:eastAsia="仿宋" w:hAnsi="仿宋" w:hint="eastAsia"/>
          <w:color w:val="000000"/>
          <w:sz w:val="32"/>
          <w:szCs w:val="32"/>
        </w:rPr>
        <w:t>0.18</w:t>
      </w:r>
      <w:r>
        <w:rPr>
          <w:rFonts w:ascii="仿宋_GB2312" w:eastAsia="仿宋_GB2312" w:hint="eastAsia"/>
          <w:sz w:val="32"/>
          <w:szCs w:val="32"/>
        </w:rPr>
        <w:t>万元，下降100</w:t>
      </w:r>
      <w:r>
        <w:rPr>
          <w:rFonts w:ascii="仿宋_GB2312" w:eastAsia="仿宋_GB2312"/>
          <w:sz w:val="32"/>
          <w:szCs w:val="32"/>
        </w:rPr>
        <w:t>%</w:t>
      </w:r>
      <w:r>
        <w:rPr>
          <w:rFonts w:ascii="仿宋_GB2312" w:eastAsia="仿宋_GB2312" w:hint="eastAsia"/>
          <w:sz w:val="32"/>
          <w:szCs w:val="32"/>
        </w:rPr>
        <w:t>。主要原因是厉行节约。</w:t>
      </w:r>
      <w:bookmarkStart w:id="41" w:name="_Toc15377218"/>
      <w:bookmarkStart w:id="42" w:name="_Toc15396610"/>
    </w:p>
    <w:p w:rsidR="00D632C9" w:rsidRDefault="00A722CB">
      <w:pPr>
        <w:spacing w:line="600" w:lineRule="exact"/>
        <w:ind w:firstLine="640"/>
        <w:outlineLvl w:val="1"/>
        <w:rPr>
          <w:rStyle w:val="2Char"/>
          <w:rFonts w:ascii="黑体" w:eastAsia="黑体" w:hAnsi="黑体"/>
        </w:rPr>
      </w:pPr>
      <w:r>
        <w:rPr>
          <w:rFonts w:ascii="黑体" w:eastAsia="黑体" w:hint="eastAsia"/>
          <w:sz w:val="32"/>
          <w:szCs w:val="32"/>
        </w:rPr>
        <w:t>八、</w:t>
      </w:r>
      <w:r>
        <w:rPr>
          <w:rStyle w:val="2Char"/>
          <w:rFonts w:ascii="黑体" w:eastAsia="黑体" w:hAnsi="黑体" w:hint="eastAsia"/>
          <w:b w:val="0"/>
        </w:rPr>
        <w:t>政府性基金预算支出决算情况说明</w:t>
      </w:r>
      <w:bookmarkEnd w:id="41"/>
      <w:bookmarkEnd w:id="42"/>
    </w:p>
    <w:p w:rsidR="00D632C9" w:rsidRDefault="00A722CB">
      <w:pPr>
        <w:spacing w:line="600" w:lineRule="exact"/>
        <w:ind w:firstLine="640"/>
        <w:rPr>
          <w:rFonts w:ascii="仿宋_GB2312" w:eastAsia="仿宋_GB2312"/>
          <w:sz w:val="32"/>
          <w:szCs w:val="32"/>
        </w:rPr>
      </w:pPr>
      <w:r>
        <w:rPr>
          <w:rFonts w:ascii="仿宋_GB2312" w:eastAsia="仿宋_GB2312"/>
          <w:sz w:val="32"/>
          <w:szCs w:val="32"/>
        </w:rPr>
        <w:lastRenderedPageBreak/>
        <w:t>20</w:t>
      </w:r>
      <w:r>
        <w:rPr>
          <w:rFonts w:ascii="仿宋_GB2312" w:eastAsia="仿宋_GB2312" w:hint="eastAsia"/>
          <w:sz w:val="32"/>
          <w:szCs w:val="32"/>
        </w:rPr>
        <w:t>22年政府性基金预算财政拨款支出</w:t>
      </w:r>
      <w:r>
        <w:rPr>
          <w:rFonts w:ascii="仿宋_GB2312" w:eastAsia="仿宋_GB2312"/>
          <w:sz w:val="32"/>
          <w:szCs w:val="32"/>
        </w:rPr>
        <w:t>4.16</w:t>
      </w:r>
      <w:r>
        <w:rPr>
          <w:rFonts w:ascii="仿宋_GB2312" w:eastAsia="仿宋_GB2312" w:hint="eastAsia"/>
          <w:sz w:val="32"/>
          <w:szCs w:val="32"/>
        </w:rPr>
        <w:t>万元。</w:t>
      </w:r>
    </w:p>
    <w:p w:rsidR="00D632C9" w:rsidRDefault="00A722CB">
      <w:pPr>
        <w:numPr>
          <w:ilvl w:val="0"/>
          <w:numId w:val="3"/>
        </w:numPr>
        <w:spacing w:line="600" w:lineRule="exact"/>
        <w:ind w:firstLine="640"/>
        <w:outlineLvl w:val="1"/>
        <w:rPr>
          <w:rStyle w:val="2Char"/>
          <w:rFonts w:ascii="黑体" w:eastAsia="黑体" w:hAnsi="黑体"/>
          <w:b w:val="0"/>
        </w:rPr>
      </w:pPr>
      <w:bookmarkStart w:id="43" w:name="_Toc15396611"/>
      <w:bookmarkStart w:id="44" w:name="_Toc15377219"/>
      <w:r>
        <w:rPr>
          <w:rStyle w:val="2Char"/>
          <w:rFonts w:ascii="黑体" w:eastAsia="黑体" w:hAnsi="黑体" w:hint="eastAsia"/>
          <w:b w:val="0"/>
        </w:rPr>
        <w:t>国有资本经营预算支出决算情况说明</w:t>
      </w:r>
      <w:bookmarkEnd w:id="43"/>
      <w:bookmarkEnd w:id="44"/>
    </w:p>
    <w:p w:rsidR="00D632C9" w:rsidRDefault="00A722CB">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22年国有资本经营预算财政拨款支出0万元。</w:t>
      </w:r>
    </w:p>
    <w:p w:rsidR="00D632C9" w:rsidRDefault="00A722CB">
      <w:pPr>
        <w:numPr>
          <w:ilvl w:val="0"/>
          <w:numId w:val="3"/>
        </w:numPr>
        <w:spacing w:line="600" w:lineRule="exact"/>
        <w:ind w:firstLine="640"/>
        <w:outlineLvl w:val="1"/>
        <w:rPr>
          <w:rStyle w:val="2Char"/>
          <w:rFonts w:ascii="黑体" w:eastAsia="黑体" w:hAnsi="黑体"/>
          <w:b w:val="0"/>
        </w:rPr>
      </w:pPr>
      <w:bookmarkStart w:id="45" w:name="_Toc15396612"/>
      <w:bookmarkStart w:id="46" w:name="_Toc15377221"/>
      <w:r>
        <w:rPr>
          <w:rStyle w:val="2Char"/>
          <w:rFonts w:ascii="黑体" w:eastAsia="黑体" w:hAnsi="黑体" w:hint="eastAsia"/>
          <w:b w:val="0"/>
        </w:rPr>
        <w:t>其他重要事项的情况说明</w:t>
      </w:r>
      <w:bookmarkEnd w:id="45"/>
      <w:bookmarkEnd w:id="46"/>
    </w:p>
    <w:p w:rsidR="00D632C9" w:rsidRDefault="00A722CB" w:rsidP="00773424">
      <w:pPr>
        <w:spacing w:line="600" w:lineRule="exact"/>
        <w:ind w:firstLineChars="200" w:firstLine="643"/>
        <w:outlineLvl w:val="2"/>
        <w:rPr>
          <w:rFonts w:ascii="仿宋" w:eastAsia="仿宋" w:hAnsi="仿宋"/>
          <w:sz w:val="32"/>
          <w:szCs w:val="32"/>
        </w:rPr>
      </w:pPr>
      <w:bookmarkStart w:id="47" w:name="_Toc15377222"/>
      <w:r>
        <w:rPr>
          <w:rFonts w:ascii="仿宋" w:eastAsia="仿宋" w:hAnsi="仿宋" w:hint="eastAsia"/>
          <w:b/>
          <w:sz w:val="32"/>
          <w:szCs w:val="32"/>
        </w:rPr>
        <w:t>（一）机关运行经费支出情况</w:t>
      </w:r>
      <w:bookmarkEnd w:id="47"/>
    </w:p>
    <w:p w:rsidR="00D632C9" w:rsidRDefault="00A722CB">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22年，机关运行经费支出0万元，与</w:t>
      </w:r>
      <w:r>
        <w:rPr>
          <w:rFonts w:ascii="仿宋_GB2312" w:eastAsia="仿宋_GB2312"/>
          <w:sz w:val="32"/>
          <w:szCs w:val="32"/>
        </w:rPr>
        <w:t>20</w:t>
      </w:r>
      <w:r>
        <w:rPr>
          <w:rFonts w:ascii="仿宋_GB2312" w:eastAsia="仿宋_GB2312" w:hint="eastAsia"/>
          <w:sz w:val="32"/>
          <w:szCs w:val="32"/>
        </w:rPr>
        <w:t>21年决算数持平。</w:t>
      </w:r>
    </w:p>
    <w:p w:rsidR="00D632C9" w:rsidRDefault="00A722CB" w:rsidP="00773424">
      <w:pPr>
        <w:autoSpaceDE w:val="0"/>
        <w:autoSpaceDN w:val="0"/>
        <w:adjustRightInd w:val="0"/>
        <w:spacing w:line="600" w:lineRule="exact"/>
        <w:ind w:firstLineChars="200" w:firstLine="643"/>
        <w:jc w:val="left"/>
        <w:outlineLvl w:val="2"/>
        <w:rPr>
          <w:rFonts w:ascii="仿宋" w:eastAsia="仿宋" w:hAnsi="仿宋"/>
          <w:b/>
          <w:sz w:val="32"/>
          <w:szCs w:val="32"/>
        </w:rPr>
      </w:pPr>
      <w:bookmarkStart w:id="48" w:name="_Toc15377223"/>
      <w:r>
        <w:rPr>
          <w:rFonts w:ascii="仿宋" w:eastAsia="仿宋" w:hAnsi="仿宋" w:hint="eastAsia"/>
          <w:b/>
          <w:sz w:val="32"/>
          <w:szCs w:val="32"/>
        </w:rPr>
        <w:t>（二）政府采购支出情况</w:t>
      </w:r>
      <w:bookmarkEnd w:id="48"/>
    </w:p>
    <w:p w:rsidR="00D632C9" w:rsidRDefault="00A722CB">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22年，攀枝花市实验学校政府采购支出总额85.79万元，其中：政府采购货物支出85.79万元。主要用于教育教学工作。授予中小企业合同金额0万元，占政府采购支出总额的0</w:t>
      </w:r>
      <w:r>
        <w:rPr>
          <w:rFonts w:ascii="仿宋_GB2312" w:eastAsia="仿宋_GB2312"/>
          <w:sz w:val="32"/>
          <w:szCs w:val="32"/>
        </w:rPr>
        <w:t>%</w:t>
      </w:r>
      <w:r>
        <w:rPr>
          <w:rFonts w:ascii="仿宋_GB2312" w:eastAsia="仿宋_GB2312" w:hint="eastAsia"/>
          <w:sz w:val="32"/>
          <w:szCs w:val="32"/>
        </w:rPr>
        <w:t>，其中：授予小微企业合同金额0万元，占政府采购支出总额的0</w:t>
      </w:r>
      <w:r>
        <w:rPr>
          <w:rFonts w:ascii="仿宋_GB2312" w:eastAsia="仿宋_GB2312"/>
          <w:sz w:val="32"/>
          <w:szCs w:val="32"/>
        </w:rPr>
        <w:t>%</w:t>
      </w:r>
      <w:r>
        <w:rPr>
          <w:rFonts w:ascii="仿宋_GB2312" w:eastAsia="仿宋_GB2312" w:hint="eastAsia"/>
          <w:sz w:val="32"/>
          <w:szCs w:val="32"/>
        </w:rPr>
        <w:t>。</w:t>
      </w:r>
    </w:p>
    <w:p w:rsidR="00D632C9" w:rsidRDefault="00A722CB" w:rsidP="00773424">
      <w:pPr>
        <w:autoSpaceDE w:val="0"/>
        <w:autoSpaceDN w:val="0"/>
        <w:adjustRightInd w:val="0"/>
        <w:spacing w:line="600" w:lineRule="exact"/>
        <w:ind w:firstLineChars="200" w:firstLine="643"/>
        <w:jc w:val="left"/>
        <w:outlineLvl w:val="2"/>
        <w:rPr>
          <w:rFonts w:ascii="仿宋" w:eastAsia="仿宋" w:hAnsi="仿宋"/>
          <w:b/>
          <w:sz w:val="32"/>
          <w:szCs w:val="32"/>
        </w:rPr>
      </w:pPr>
      <w:bookmarkStart w:id="49" w:name="_Toc15377224"/>
      <w:r>
        <w:rPr>
          <w:rFonts w:ascii="仿宋" w:eastAsia="仿宋" w:hAnsi="仿宋" w:hint="eastAsia"/>
          <w:b/>
          <w:sz w:val="32"/>
          <w:szCs w:val="32"/>
        </w:rPr>
        <w:t>（三）国有资产占有使用情况</w:t>
      </w:r>
      <w:bookmarkEnd w:id="49"/>
    </w:p>
    <w:p w:rsidR="00D632C9" w:rsidRDefault="00A722CB">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22年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日，攀枝花市实验学校共有车辆2辆，其中：其他用车2辆，其他用车主要是用于教育教学公务外出。单价</w:t>
      </w:r>
      <w:r>
        <w:rPr>
          <w:rFonts w:ascii="仿宋_GB2312" w:eastAsia="仿宋_GB2312"/>
          <w:sz w:val="32"/>
          <w:szCs w:val="32"/>
        </w:rPr>
        <w:t>100</w:t>
      </w:r>
      <w:r>
        <w:rPr>
          <w:rFonts w:ascii="仿宋_GB2312" w:eastAsia="仿宋_GB2312" w:hint="eastAsia"/>
          <w:sz w:val="32"/>
          <w:szCs w:val="32"/>
        </w:rPr>
        <w:t>万元以上专用设备0台（套）。</w:t>
      </w:r>
    </w:p>
    <w:p w:rsidR="00D632C9" w:rsidRDefault="00A722CB" w:rsidP="00773424">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D632C9" w:rsidRDefault="00A722CB">
      <w:pPr>
        <w:pStyle w:val="a0"/>
        <w:spacing w:before="93"/>
        <w:ind w:firstLineChars="200" w:firstLine="640"/>
        <w:rPr>
          <w:highlight w:val="yellow"/>
        </w:rPr>
      </w:pPr>
      <w:r>
        <w:rPr>
          <w:rFonts w:hAnsi="仿宋_GB2312" w:cs="仿宋_GB2312" w:hint="eastAsia"/>
          <w:sz w:val="32"/>
          <w:szCs w:val="32"/>
        </w:rPr>
        <w:t>根据预算绩效管理要求，本单位在2022年度预算编制阶段，组织对新建学生宿舍及教师周转房工程款项目等32个项目开展了预算事前绩效评估，对32个项目编制了绩效目标，预算执行过程中，选取32个项目开展绩效监控，组织对32个项目开展绩效自评，绩效自评表详见第四部分附件。</w:t>
      </w:r>
    </w:p>
    <w:p w:rsidR="00D632C9" w:rsidRDefault="00A722CB">
      <w:pPr>
        <w:widowControl/>
        <w:jc w:val="left"/>
        <w:rPr>
          <w:rFonts w:ascii="仿宋_GB2312" w:eastAsia="仿宋_GB2312"/>
          <w:b/>
          <w:sz w:val="32"/>
          <w:szCs w:val="32"/>
        </w:rPr>
      </w:pPr>
      <w:r>
        <w:rPr>
          <w:rFonts w:ascii="仿宋_GB2312" w:eastAsia="仿宋_GB2312"/>
          <w:b/>
          <w:sz w:val="32"/>
          <w:szCs w:val="32"/>
        </w:rPr>
        <w:lastRenderedPageBreak/>
        <w:br w:type="page"/>
      </w:r>
    </w:p>
    <w:p w:rsidR="00D632C9" w:rsidRDefault="00A722CB">
      <w:pPr>
        <w:numPr>
          <w:ilvl w:val="0"/>
          <w:numId w:val="4"/>
        </w:numPr>
        <w:spacing w:line="600" w:lineRule="exact"/>
        <w:ind w:firstLineChars="150" w:firstLine="660"/>
        <w:jc w:val="center"/>
        <w:outlineLvl w:val="0"/>
        <w:rPr>
          <w:rStyle w:val="1Char"/>
          <w:rFonts w:ascii="黑体" w:eastAsia="黑体" w:hAnsi="黑体"/>
          <w:b w:val="0"/>
        </w:rPr>
      </w:pPr>
      <w:bookmarkStart w:id="50" w:name="_Toc15377225"/>
      <w:bookmarkStart w:id="51" w:name="_Toc15396613"/>
      <w:r>
        <w:rPr>
          <w:rFonts w:ascii="黑体" w:eastAsia="黑体" w:hAnsi="黑体" w:hint="eastAsia"/>
          <w:sz w:val="44"/>
          <w:szCs w:val="44"/>
        </w:rPr>
        <w:lastRenderedPageBreak/>
        <w:t>名</w:t>
      </w:r>
      <w:r>
        <w:rPr>
          <w:rStyle w:val="1Char"/>
          <w:rFonts w:ascii="黑体" w:eastAsia="黑体" w:hAnsi="黑体" w:hint="eastAsia"/>
          <w:b w:val="0"/>
        </w:rPr>
        <w:t>词解释</w:t>
      </w:r>
      <w:bookmarkEnd w:id="50"/>
      <w:bookmarkEnd w:id="51"/>
    </w:p>
    <w:p w:rsidR="00D632C9" w:rsidRDefault="00D632C9">
      <w:pPr>
        <w:spacing w:line="600" w:lineRule="exact"/>
        <w:jc w:val="left"/>
        <w:rPr>
          <w:rFonts w:ascii="宋体"/>
          <w:b/>
          <w:sz w:val="44"/>
          <w:szCs w:val="44"/>
        </w:rPr>
      </w:pPr>
    </w:p>
    <w:p w:rsidR="00D632C9" w:rsidRDefault="00A722CB">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rsidR="00D632C9" w:rsidRDefault="00A722CB">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事业收入：指事业单位开展专业业务活动及辅助活动取得的收入。如学生住宿费收入等。</w:t>
      </w:r>
    </w:p>
    <w:p w:rsidR="00D632C9" w:rsidRDefault="00A722CB">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教育（类）普通教育（款）学前教育（项）：指部门举办的学前教育支出；教育（类）普通教育（款）初中教育（项）：指部门举办的初中教育支出。教育（类）教育费附加安排的支出（款）其他教育费附加安排的支出（项）：指除农村中小学校舍建设、农村中小学教学设施、城市中小学校舍建设、城市中小学教学设施、中等职业学校教学设施以外的教育费附加支出。</w:t>
      </w:r>
    </w:p>
    <w:p w:rsidR="00D632C9" w:rsidRDefault="00A722CB">
      <w:pPr>
        <w:spacing w:line="56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 xml:space="preserve">社会保障和就业（类）行政事业单位离退休（款）机关事业单位基本养老保险缴费支出（项）：反映机关事业单位实施养老保险制度由单位缴纳的基本养老保险费支出。  </w:t>
      </w:r>
    </w:p>
    <w:p w:rsidR="00D632C9" w:rsidRDefault="00A722CB">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Pr>
          <w:rFonts w:ascii="仿宋_GB2312" w:eastAsia="仿宋_GB2312" w:hint="eastAsia"/>
          <w:sz w:val="32"/>
          <w:szCs w:val="32"/>
        </w:rPr>
        <w:t xml:space="preserve"> 住房保障（类）住房改革支出（款）住房公积金（项）：指反映行政事业单位按人力资源和社会保障部、财政部规定的基本工资和津贴补贴以及规定</w:t>
      </w:r>
      <w:r w:rsidR="00F50FC2">
        <w:rPr>
          <w:rFonts w:ascii="仿宋_GB2312" w:eastAsia="仿宋_GB2312" w:hint="eastAsia"/>
          <w:sz w:val="32"/>
          <w:szCs w:val="32"/>
        </w:rPr>
        <w:t>比例为</w:t>
      </w:r>
      <w:r>
        <w:rPr>
          <w:rFonts w:ascii="仿宋_GB2312" w:eastAsia="仿宋_GB2312" w:hint="eastAsia"/>
          <w:sz w:val="32"/>
          <w:szCs w:val="32"/>
        </w:rPr>
        <w:t>职工缴纳的住房公积金。</w:t>
      </w:r>
    </w:p>
    <w:p w:rsidR="00D632C9" w:rsidRDefault="00A722CB">
      <w:pPr>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rsidR="00D632C9" w:rsidRDefault="00A722CB">
      <w:pPr>
        <w:ind w:firstLineChars="200" w:firstLine="640"/>
        <w:rPr>
          <w:rFonts w:ascii="仿宋_GB2312" w:eastAsia="仿宋_GB2312"/>
          <w:sz w:val="32"/>
          <w:szCs w:val="32"/>
        </w:rPr>
      </w:pPr>
      <w:r>
        <w:rPr>
          <w:rFonts w:ascii="仿宋_GB2312" w:eastAsia="仿宋_GB2312" w:hint="eastAsia"/>
          <w:sz w:val="32"/>
          <w:szCs w:val="32"/>
        </w:rPr>
        <w:t>7</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rsidR="00D632C9" w:rsidRDefault="00A722C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lastRenderedPageBreak/>
        <w:t>8</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D632C9" w:rsidRDefault="00A722C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9</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D632C9" w:rsidRDefault="00D632C9">
      <w:pPr>
        <w:pStyle w:val="Default"/>
        <w:spacing w:line="560" w:lineRule="exact"/>
        <w:ind w:firstLineChars="200" w:firstLine="640"/>
        <w:rPr>
          <w:rFonts w:ascii="仿宋_GB2312" w:eastAsia="仿宋_GB2312" w:cs="黑体"/>
          <w:color w:val="auto"/>
          <w:sz w:val="32"/>
          <w:szCs w:val="32"/>
        </w:rPr>
      </w:pPr>
    </w:p>
    <w:p w:rsidR="00D632C9" w:rsidRDefault="00D632C9">
      <w:pPr>
        <w:spacing w:line="600" w:lineRule="exact"/>
        <w:jc w:val="center"/>
        <w:outlineLvl w:val="0"/>
        <w:rPr>
          <w:rFonts w:ascii="仿宋" w:eastAsia="仿宋" w:hAnsi="仿宋"/>
          <w:b/>
          <w:sz w:val="32"/>
          <w:szCs w:val="32"/>
        </w:rPr>
      </w:pPr>
      <w:bookmarkStart w:id="52" w:name="_Toc15396614"/>
      <w:bookmarkStart w:id="53" w:name="_Toc15377226"/>
    </w:p>
    <w:p w:rsidR="00D632C9" w:rsidRDefault="00D632C9">
      <w:pPr>
        <w:spacing w:line="600" w:lineRule="exact"/>
        <w:jc w:val="center"/>
        <w:outlineLvl w:val="0"/>
        <w:rPr>
          <w:rFonts w:ascii="仿宋" w:eastAsia="仿宋" w:hAnsi="仿宋"/>
          <w:b/>
          <w:sz w:val="32"/>
          <w:szCs w:val="32"/>
        </w:rPr>
      </w:pPr>
    </w:p>
    <w:p w:rsidR="00D632C9" w:rsidRDefault="00D632C9">
      <w:pPr>
        <w:spacing w:line="600" w:lineRule="exact"/>
        <w:jc w:val="center"/>
        <w:outlineLvl w:val="0"/>
        <w:rPr>
          <w:rFonts w:ascii="仿宋" w:eastAsia="仿宋" w:hAnsi="仿宋"/>
          <w:b/>
          <w:sz w:val="32"/>
          <w:szCs w:val="32"/>
        </w:rPr>
      </w:pPr>
    </w:p>
    <w:p w:rsidR="00D632C9" w:rsidRDefault="00D632C9">
      <w:pPr>
        <w:spacing w:line="600" w:lineRule="exact"/>
        <w:jc w:val="center"/>
        <w:outlineLvl w:val="0"/>
        <w:rPr>
          <w:rFonts w:ascii="仿宋" w:eastAsia="仿宋" w:hAnsi="仿宋"/>
          <w:b/>
          <w:sz w:val="32"/>
          <w:szCs w:val="32"/>
        </w:rPr>
      </w:pPr>
    </w:p>
    <w:p w:rsidR="00D632C9" w:rsidRDefault="00D632C9">
      <w:pPr>
        <w:spacing w:line="600" w:lineRule="exact"/>
        <w:jc w:val="center"/>
        <w:outlineLvl w:val="0"/>
        <w:rPr>
          <w:rFonts w:ascii="仿宋" w:eastAsia="仿宋" w:hAnsi="仿宋"/>
          <w:b/>
          <w:sz w:val="32"/>
          <w:szCs w:val="32"/>
        </w:rPr>
      </w:pPr>
    </w:p>
    <w:p w:rsidR="00D632C9" w:rsidRDefault="00D632C9">
      <w:pPr>
        <w:spacing w:line="600" w:lineRule="exact"/>
        <w:jc w:val="center"/>
        <w:outlineLvl w:val="0"/>
        <w:rPr>
          <w:rFonts w:ascii="仿宋" w:eastAsia="仿宋" w:hAnsi="仿宋"/>
          <w:b/>
          <w:sz w:val="32"/>
          <w:szCs w:val="32"/>
        </w:rPr>
      </w:pPr>
    </w:p>
    <w:p w:rsidR="00036D33" w:rsidRDefault="00036D33" w:rsidP="00036D33">
      <w:pPr>
        <w:pStyle w:val="a0"/>
        <w:spacing w:before="93"/>
      </w:pPr>
    </w:p>
    <w:p w:rsidR="00036D33" w:rsidRDefault="00036D33" w:rsidP="00036D33">
      <w:pPr>
        <w:pStyle w:val="a0"/>
        <w:spacing w:before="93"/>
      </w:pPr>
    </w:p>
    <w:p w:rsidR="00036D33" w:rsidRPr="00036D33" w:rsidRDefault="00036D33" w:rsidP="00036D33">
      <w:pPr>
        <w:pStyle w:val="a0"/>
        <w:spacing w:before="93"/>
      </w:pPr>
    </w:p>
    <w:p w:rsidR="00D632C9" w:rsidRDefault="00D632C9">
      <w:pPr>
        <w:spacing w:line="600" w:lineRule="exact"/>
        <w:jc w:val="center"/>
        <w:outlineLvl w:val="0"/>
        <w:rPr>
          <w:rFonts w:ascii="仿宋" w:eastAsia="仿宋" w:hAnsi="仿宋"/>
          <w:b/>
          <w:sz w:val="32"/>
          <w:szCs w:val="32"/>
        </w:rPr>
      </w:pPr>
    </w:p>
    <w:p w:rsidR="00D632C9" w:rsidRDefault="00D632C9">
      <w:pPr>
        <w:spacing w:line="600" w:lineRule="exact"/>
        <w:jc w:val="center"/>
        <w:outlineLvl w:val="0"/>
        <w:rPr>
          <w:rFonts w:ascii="仿宋" w:eastAsia="仿宋" w:hAnsi="仿宋"/>
          <w:b/>
          <w:sz w:val="32"/>
          <w:szCs w:val="32"/>
        </w:rPr>
      </w:pPr>
    </w:p>
    <w:p w:rsidR="00D632C9" w:rsidRDefault="00A722CB">
      <w:pPr>
        <w:spacing w:line="600" w:lineRule="exact"/>
        <w:jc w:val="center"/>
        <w:outlineLvl w:val="0"/>
        <w:rPr>
          <w:rStyle w:val="1Char"/>
          <w:rFonts w:ascii="黑体" w:eastAsia="黑体" w:hAnsi="黑体"/>
          <w:b w:val="0"/>
        </w:rPr>
      </w:pPr>
      <w:r>
        <w:rPr>
          <w:rFonts w:ascii="黑体" w:eastAsia="黑体" w:hAnsi="黑体" w:hint="eastAsia"/>
          <w:sz w:val="44"/>
          <w:szCs w:val="44"/>
        </w:rPr>
        <w:t>第</w:t>
      </w:r>
      <w:r>
        <w:rPr>
          <w:rStyle w:val="1Char"/>
          <w:rFonts w:ascii="黑体" w:eastAsia="黑体" w:hAnsi="黑体" w:hint="eastAsia"/>
          <w:b w:val="0"/>
        </w:rPr>
        <w:t>四部分 附件</w:t>
      </w:r>
      <w:bookmarkEnd w:id="52"/>
    </w:p>
    <w:p w:rsidR="00D632C9" w:rsidRDefault="00D632C9">
      <w:pPr>
        <w:spacing w:line="572" w:lineRule="exact"/>
        <w:jc w:val="left"/>
        <w:outlineLvl w:val="0"/>
        <w:rPr>
          <w:rFonts w:ascii="仿宋_GB2312" w:eastAsia="仿宋_GB2312" w:hAnsi="仿宋_GB2312" w:cs="仿宋_GB2312"/>
          <w:sz w:val="32"/>
          <w:szCs w:val="32"/>
        </w:rPr>
      </w:pPr>
    </w:p>
    <w:p w:rsidR="00D632C9" w:rsidRDefault="00A722CB">
      <w:pPr>
        <w:spacing w:line="600" w:lineRule="exact"/>
        <w:ind w:firstLineChars="200" w:firstLine="640"/>
        <w:outlineLvl w:val="0"/>
        <w:rPr>
          <w:rFonts w:ascii="仿宋_GB2312" w:eastAsia="仿宋_GB2312" w:hAnsi="Calibri" w:cs="仿宋"/>
          <w:kern w:val="0"/>
          <w:sz w:val="32"/>
          <w:szCs w:val="32"/>
        </w:rPr>
      </w:pPr>
      <w:bookmarkStart w:id="54" w:name="_Toc15396618"/>
      <w:r>
        <w:rPr>
          <w:rFonts w:ascii="宋体" w:hAnsi="宋体" w:cs="宋体" w:hint="eastAsia"/>
          <w:kern w:val="0"/>
          <w:sz w:val="32"/>
          <w:szCs w:val="32"/>
        </w:rPr>
        <w:t>部门预算项目支出绩效自评表（2022年度）见附件：攀枝花市实验学校部门预算项目支出绩效自评表</w:t>
      </w: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D632C9">
      <w:pPr>
        <w:pStyle w:val="a0"/>
        <w:spacing w:before="93"/>
        <w:rPr>
          <w:rFonts w:hAnsi="Calibri" w:cs="仿宋"/>
          <w:sz w:val="32"/>
          <w:szCs w:val="32"/>
        </w:rPr>
      </w:pPr>
    </w:p>
    <w:p w:rsidR="00D632C9" w:rsidRDefault="00A722CB">
      <w:pPr>
        <w:spacing w:line="600" w:lineRule="exact"/>
        <w:jc w:val="center"/>
        <w:outlineLvl w:val="0"/>
        <w:rPr>
          <w:rFonts w:ascii="仿宋" w:eastAsia="仿宋" w:hAnsi="仿宋"/>
        </w:rPr>
      </w:pPr>
      <w:r>
        <w:rPr>
          <w:rFonts w:ascii="黑体" w:eastAsia="黑体" w:hAnsi="黑体" w:hint="eastAsia"/>
          <w:sz w:val="44"/>
          <w:szCs w:val="44"/>
        </w:rPr>
        <w:t>第</w:t>
      </w:r>
      <w:r>
        <w:rPr>
          <w:rStyle w:val="1Char"/>
          <w:rFonts w:ascii="黑体" w:eastAsia="黑体" w:hAnsi="黑体" w:hint="eastAsia"/>
          <w:b w:val="0"/>
        </w:rPr>
        <w:t>五部分 附表</w:t>
      </w:r>
      <w:bookmarkStart w:id="55" w:name="_Toc15396619"/>
      <w:bookmarkEnd w:id="53"/>
      <w:bookmarkEnd w:id="54"/>
    </w:p>
    <w:p w:rsidR="00D632C9" w:rsidRDefault="00A722CB">
      <w:pPr>
        <w:pStyle w:val="2"/>
        <w:rPr>
          <w:rFonts w:ascii="仿宋" w:eastAsia="仿宋" w:hAnsi="仿宋"/>
        </w:rPr>
      </w:pPr>
      <w:r>
        <w:rPr>
          <w:rFonts w:ascii="仿宋" w:eastAsia="仿宋" w:hAnsi="仿宋" w:hint="eastAsia"/>
          <w:b w:val="0"/>
        </w:rPr>
        <w:t>一、收</w:t>
      </w:r>
      <w:r>
        <w:rPr>
          <w:rStyle w:val="2Char"/>
          <w:rFonts w:ascii="仿宋" w:eastAsia="仿宋" w:hAnsi="仿宋" w:hint="eastAsia"/>
        </w:rPr>
        <w:t>入支出决算总表</w:t>
      </w:r>
      <w:bookmarkEnd w:id="55"/>
    </w:p>
    <w:p w:rsidR="00D632C9" w:rsidRDefault="00A722CB">
      <w:pPr>
        <w:pStyle w:val="2"/>
        <w:rPr>
          <w:rFonts w:ascii="仿宋" w:eastAsia="仿宋" w:hAnsi="仿宋"/>
        </w:rPr>
      </w:pPr>
      <w:bookmarkStart w:id="56" w:name="_Toc15396620"/>
      <w:r>
        <w:rPr>
          <w:rFonts w:ascii="仿宋" w:eastAsia="仿宋" w:hAnsi="仿宋" w:hint="eastAsia"/>
          <w:b w:val="0"/>
        </w:rPr>
        <w:t>二、收</w:t>
      </w:r>
      <w:r>
        <w:rPr>
          <w:rStyle w:val="2Char"/>
          <w:rFonts w:ascii="仿宋" w:eastAsia="仿宋" w:hAnsi="仿宋" w:hint="eastAsia"/>
        </w:rPr>
        <w:t>入决算表</w:t>
      </w:r>
      <w:bookmarkEnd w:id="56"/>
    </w:p>
    <w:p w:rsidR="00D632C9" w:rsidRDefault="00A722CB">
      <w:pPr>
        <w:pStyle w:val="2"/>
        <w:rPr>
          <w:rFonts w:ascii="仿宋" w:eastAsia="仿宋" w:hAnsi="仿宋"/>
        </w:rPr>
      </w:pPr>
      <w:bookmarkStart w:id="57" w:name="_Toc15396621"/>
      <w:r>
        <w:rPr>
          <w:rStyle w:val="2Char"/>
          <w:rFonts w:ascii="仿宋" w:eastAsia="仿宋" w:hAnsi="仿宋" w:hint="eastAsia"/>
        </w:rPr>
        <w:t>三、</w:t>
      </w:r>
      <w:r>
        <w:rPr>
          <w:rFonts w:ascii="仿宋" w:eastAsia="仿宋" w:hAnsi="仿宋" w:hint="eastAsia"/>
          <w:b w:val="0"/>
        </w:rPr>
        <w:t>支</w:t>
      </w:r>
      <w:r>
        <w:rPr>
          <w:rStyle w:val="2Char"/>
          <w:rFonts w:ascii="仿宋" w:eastAsia="仿宋" w:hAnsi="仿宋" w:hint="eastAsia"/>
        </w:rPr>
        <w:t>出决算表</w:t>
      </w:r>
      <w:bookmarkEnd w:id="57"/>
    </w:p>
    <w:p w:rsidR="00D632C9" w:rsidRDefault="00A722CB">
      <w:pPr>
        <w:pStyle w:val="2"/>
        <w:rPr>
          <w:rFonts w:ascii="仿宋" w:eastAsia="仿宋" w:hAnsi="仿宋"/>
          <w:b w:val="0"/>
        </w:rPr>
      </w:pPr>
      <w:bookmarkStart w:id="58" w:name="_Toc15396622"/>
      <w:r>
        <w:rPr>
          <w:rStyle w:val="2Char"/>
          <w:rFonts w:ascii="仿宋" w:eastAsia="仿宋" w:hAnsi="仿宋" w:hint="eastAsia"/>
        </w:rPr>
        <w:t>四、</w:t>
      </w:r>
      <w:r>
        <w:rPr>
          <w:rFonts w:ascii="仿宋" w:eastAsia="仿宋" w:hAnsi="仿宋" w:hint="eastAsia"/>
          <w:b w:val="0"/>
        </w:rPr>
        <w:t>财</w:t>
      </w:r>
      <w:r>
        <w:rPr>
          <w:rStyle w:val="2Char"/>
          <w:rFonts w:ascii="仿宋" w:eastAsia="仿宋" w:hAnsi="仿宋" w:hint="eastAsia"/>
        </w:rPr>
        <w:t>政拨款收入支出决算总表</w:t>
      </w:r>
      <w:bookmarkEnd w:id="58"/>
    </w:p>
    <w:p w:rsidR="00D632C9" w:rsidRDefault="00A722CB">
      <w:pPr>
        <w:pStyle w:val="2"/>
        <w:rPr>
          <w:rStyle w:val="2Char"/>
          <w:rFonts w:ascii="仿宋" w:eastAsia="仿宋" w:hAnsi="仿宋"/>
        </w:rPr>
      </w:pPr>
      <w:bookmarkStart w:id="59" w:name="_Toc15396623"/>
      <w:r>
        <w:rPr>
          <w:rStyle w:val="2Char"/>
          <w:rFonts w:ascii="仿宋" w:eastAsia="仿宋" w:hAnsi="仿宋" w:hint="eastAsia"/>
        </w:rPr>
        <w:t>五、</w:t>
      </w:r>
      <w:r>
        <w:rPr>
          <w:rFonts w:ascii="仿宋" w:eastAsia="仿宋" w:hAnsi="仿宋" w:hint="eastAsia"/>
          <w:b w:val="0"/>
        </w:rPr>
        <w:t>财</w:t>
      </w:r>
      <w:r>
        <w:rPr>
          <w:rStyle w:val="2Char"/>
          <w:rFonts w:ascii="仿宋" w:eastAsia="仿宋" w:hAnsi="仿宋" w:hint="eastAsia"/>
        </w:rPr>
        <w:t>政拨款支出决算明细表</w:t>
      </w:r>
      <w:bookmarkStart w:id="60" w:name="_Toc15396624"/>
      <w:bookmarkEnd w:id="59"/>
    </w:p>
    <w:p w:rsidR="00D632C9" w:rsidRDefault="00A722CB">
      <w:pPr>
        <w:pStyle w:val="2"/>
        <w:rPr>
          <w:rFonts w:ascii="仿宋" w:eastAsia="仿宋" w:hAnsi="仿宋"/>
        </w:rPr>
      </w:pPr>
      <w:r>
        <w:rPr>
          <w:rStyle w:val="2Char"/>
          <w:rFonts w:ascii="仿宋" w:eastAsia="仿宋" w:hAnsi="仿宋" w:hint="eastAsia"/>
        </w:rPr>
        <w:t>六、</w:t>
      </w:r>
      <w:r>
        <w:rPr>
          <w:rFonts w:ascii="仿宋" w:eastAsia="仿宋" w:hAnsi="仿宋" w:hint="eastAsia"/>
          <w:b w:val="0"/>
        </w:rPr>
        <w:t>一</w:t>
      </w:r>
      <w:r>
        <w:rPr>
          <w:rStyle w:val="2Char"/>
          <w:rFonts w:ascii="仿宋" w:eastAsia="仿宋" w:hAnsi="仿宋" w:hint="eastAsia"/>
        </w:rPr>
        <w:t>般公共预算财政拨款支出决算表</w:t>
      </w:r>
      <w:bookmarkEnd w:id="60"/>
    </w:p>
    <w:p w:rsidR="00D632C9" w:rsidRDefault="00A722CB">
      <w:pPr>
        <w:pStyle w:val="2"/>
        <w:rPr>
          <w:rFonts w:ascii="仿宋" w:eastAsia="仿宋" w:hAnsi="仿宋"/>
        </w:rPr>
      </w:pPr>
      <w:bookmarkStart w:id="61" w:name="_Toc15396625"/>
      <w:r>
        <w:rPr>
          <w:rStyle w:val="2Char"/>
          <w:rFonts w:ascii="仿宋" w:eastAsia="仿宋" w:hAnsi="仿宋" w:hint="eastAsia"/>
        </w:rPr>
        <w:t>七、</w:t>
      </w:r>
      <w:r>
        <w:rPr>
          <w:rFonts w:ascii="仿宋" w:eastAsia="仿宋" w:hAnsi="仿宋" w:hint="eastAsia"/>
          <w:b w:val="0"/>
        </w:rPr>
        <w:t>一</w:t>
      </w:r>
      <w:r>
        <w:rPr>
          <w:rStyle w:val="2Char"/>
          <w:rFonts w:ascii="仿宋" w:eastAsia="仿宋" w:hAnsi="仿宋" w:hint="eastAsia"/>
        </w:rPr>
        <w:t>般公共预算财政拨款支出决算明细表</w:t>
      </w:r>
      <w:bookmarkEnd w:id="61"/>
    </w:p>
    <w:p w:rsidR="00D632C9" w:rsidRDefault="00A722CB">
      <w:pPr>
        <w:pStyle w:val="2"/>
        <w:rPr>
          <w:rFonts w:ascii="仿宋" w:eastAsia="仿宋" w:hAnsi="仿宋"/>
        </w:rPr>
      </w:pPr>
      <w:bookmarkStart w:id="62" w:name="_Toc15396626"/>
      <w:r>
        <w:rPr>
          <w:rStyle w:val="2Char"/>
          <w:rFonts w:ascii="仿宋" w:eastAsia="仿宋" w:hAnsi="仿宋" w:hint="eastAsia"/>
        </w:rPr>
        <w:t>八、</w:t>
      </w:r>
      <w:r>
        <w:rPr>
          <w:rFonts w:ascii="仿宋" w:eastAsia="仿宋" w:hAnsi="仿宋" w:hint="eastAsia"/>
          <w:b w:val="0"/>
        </w:rPr>
        <w:t>一</w:t>
      </w:r>
      <w:r>
        <w:rPr>
          <w:rStyle w:val="2Char"/>
          <w:rFonts w:ascii="仿宋" w:eastAsia="仿宋" w:hAnsi="仿宋" w:hint="eastAsia"/>
        </w:rPr>
        <w:t>般公共预算财政拨款基本支出决算表</w:t>
      </w:r>
      <w:bookmarkEnd w:id="62"/>
    </w:p>
    <w:p w:rsidR="00D632C9" w:rsidRDefault="00A722CB">
      <w:pPr>
        <w:pStyle w:val="2"/>
        <w:rPr>
          <w:rFonts w:ascii="仿宋" w:eastAsia="仿宋" w:hAnsi="仿宋"/>
        </w:rPr>
      </w:pPr>
      <w:bookmarkStart w:id="63" w:name="_Toc15396627"/>
      <w:r>
        <w:rPr>
          <w:rStyle w:val="2Char"/>
          <w:rFonts w:ascii="仿宋" w:eastAsia="仿宋" w:hAnsi="仿宋" w:hint="eastAsia"/>
        </w:rPr>
        <w:t>九、</w:t>
      </w:r>
      <w:r>
        <w:rPr>
          <w:rFonts w:ascii="仿宋" w:eastAsia="仿宋" w:hAnsi="仿宋" w:hint="eastAsia"/>
          <w:b w:val="0"/>
        </w:rPr>
        <w:t>一</w:t>
      </w:r>
      <w:r>
        <w:rPr>
          <w:rStyle w:val="2Char"/>
          <w:rFonts w:ascii="仿宋" w:eastAsia="仿宋" w:hAnsi="仿宋" w:hint="eastAsia"/>
        </w:rPr>
        <w:t>般公共预算财政拨款项目支出决算表</w:t>
      </w:r>
      <w:bookmarkEnd w:id="63"/>
    </w:p>
    <w:p w:rsidR="00D632C9" w:rsidRDefault="00A722CB">
      <w:pPr>
        <w:pStyle w:val="2"/>
        <w:rPr>
          <w:rFonts w:ascii="仿宋" w:eastAsia="仿宋" w:hAnsi="仿宋"/>
        </w:rPr>
      </w:pPr>
      <w:bookmarkStart w:id="64" w:name="_Toc15396628"/>
      <w:r>
        <w:rPr>
          <w:rStyle w:val="2Char"/>
          <w:rFonts w:ascii="仿宋" w:eastAsia="仿宋" w:hAnsi="仿宋" w:hint="eastAsia"/>
        </w:rPr>
        <w:t>十、</w:t>
      </w:r>
      <w:bookmarkEnd w:id="64"/>
      <w:r>
        <w:rPr>
          <w:rFonts w:ascii="仿宋" w:eastAsia="仿宋" w:hAnsi="仿宋" w:hint="eastAsia"/>
          <w:b w:val="0"/>
        </w:rPr>
        <w:t>政</w:t>
      </w:r>
      <w:r>
        <w:rPr>
          <w:rStyle w:val="2Char"/>
          <w:rFonts w:ascii="仿宋" w:eastAsia="仿宋" w:hAnsi="仿宋" w:hint="eastAsia"/>
        </w:rPr>
        <w:t>府性基金预算财政拨款收入支出决算表</w:t>
      </w:r>
    </w:p>
    <w:p w:rsidR="00D632C9" w:rsidRDefault="00A722CB">
      <w:pPr>
        <w:pStyle w:val="2"/>
        <w:rPr>
          <w:rFonts w:ascii="仿宋" w:eastAsia="仿宋" w:hAnsi="仿宋"/>
        </w:rPr>
      </w:pPr>
      <w:bookmarkStart w:id="65" w:name="_Toc15396629"/>
      <w:r>
        <w:rPr>
          <w:rStyle w:val="2Char"/>
          <w:rFonts w:ascii="仿宋" w:eastAsia="仿宋" w:hAnsi="仿宋" w:hint="eastAsia"/>
        </w:rPr>
        <w:t>十一、</w:t>
      </w:r>
      <w:bookmarkEnd w:id="65"/>
      <w:r>
        <w:rPr>
          <w:rFonts w:ascii="仿宋" w:eastAsia="仿宋" w:hAnsi="仿宋" w:hint="eastAsia"/>
          <w:b w:val="0"/>
        </w:rPr>
        <w:t>国</w:t>
      </w:r>
      <w:r>
        <w:rPr>
          <w:rStyle w:val="2Char"/>
          <w:rFonts w:ascii="仿宋" w:eastAsia="仿宋" w:hAnsi="仿宋" w:hint="eastAsia"/>
        </w:rPr>
        <w:t>有资本经营预算财政拨款收入支出决算表（此表无数据）</w:t>
      </w:r>
    </w:p>
    <w:p w:rsidR="00D632C9" w:rsidRDefault="00A722CB">
      <w:pPr>
        <w:pStyle w:val="2"/>
        <w:rPr>
          <w:rFonts w:ascii="仿宋" w:eastAsia="仿宋" w:hAnsi="仿宋"/>
        </w:rPr>
      </w:pPr>
      <w:bookmarkStart w:id="66" w:name="_Toc15396630"/>
      <w:r>
        <w:rPr>
          <w:rStyle w:val="2Char"/>
          <w:rFonts w:ascii="仿宋" w:eastAsia="仿宋" w:hAnsi="仿宋" w:hint="eastAsia"/>
        </w:rPr>
        <w:t>十二、</w:t>
      </w:r>
      <w:bookmarkEnd w:id="66"/>
      <w:r>
        <w:rPr>
          <w:rStyle w:val="2Char"/>
          <w:rFonts w:ascii="仿宋" w:eastAsia="仿宋" w:hAnsi="仿宋" w:hint="eastAsia"/>
        </w:rPr>
        <w:t>国有资本经营预算财政拨款支出决算表（此表无数据）</w:t>
      </w:r>
    </w:p>
    <w:p w:rsidR="00D632C9" w:rsidRDefault="00A722CB">
      <w:pPr>
        <w:pStyle w:val="2"/>
        <w:rPr>
          <w:rFonts w:eastAsia="仿宋"/>
        </w:rPr>
      </w:pPr>
      <w:bookmarkStart w:id="67" w:name="_Toc15396631"/>
      <w:r>
        <w:rPr>
          <w:rStyle w:val="2Char"/>
          <w:rFonts w:ascii="仿宋" w:eastAsia="仿宋" w:hAnsi="仿宋" w:hint="eastAsia"/>
        </w:rPr>
        <w:t>十三、</w:t>
      </w:r>
      <w:bookmarkEnd w:id="67"/>
      <w:r>
        <w:rPr>
          <w:rStyle w:val="2Char"/>
          <w:rFonts w:ascii="仿宋" w:eastAsia="仿宋" w:hAnsi="仿宋" w:hint="eastAsia"/>
        </w:rPr>
        <w:t>财政拨款“三公”经费支出决算表</w:t>
      </w:r>
    </w:p>
    <w:sectPr w:rsidR="00D632C9" w:rsidSect="002463A5">
      <w:headerReference w:type="default" r:id="rId16"/>
      <w:footerReference w:type="default" r:id="rId17"/>
      <w:pgSz w:w="11906" w:h="16838"/>
      <w:pgMar w:top="1440" w:right="1701" w:bottom="1440" w:left="1701"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70E" w:rsidRDefault="001C270E" w:rsidP="00D632C9">
      <w:r>
        <w:separator/>
      </w:r>
    </w:p>
  </w:endnote>
  <w:endnote w:type="continuationSeparator" w:id="0">
    <w:p w:rsidR="001C270E" w:rsidRDefault="001C270E" w:rsidP="00D63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微软雅黑"/>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781956"/>
    </w:sdtPr>
    <w:sdtEndPr/>
    <w:sdtContent>
      <w:p w:rsidR="00D632C9" w:rsidRDefault="00A60A73">
        <w:pPr>
          <w:pStyle w:val="a5"/>
          <w:jc w:val="center"/>
        </w:pPr>
        <w:r>
          <w:fldChar w:fldCharType="begin"/>
        </w:r>
        <w:r w:rsidR="00A722CB">
          <w:instrText>PAGE   \* MERGEFORMAT</w:instrText>
        </w:r>
        <w:r>
          <w:fldChar w:fldCharType="separate"/>
        </w:r>
        <w:r w:rsidR="00F50FC2" w:rsidRPr="00F50FC2">
          <w:rPr>
            <w:noProof/>
            <w:lang w:val="zh-CN"/>
          </w:rPr>
          <w:t>2</w:t>
        </w:r>
        <w:r>
          <w:fldChar w:fldCharType="end"/>
        </w:r>
      </w:p>
    </w:sdtContent>
  </w:sdt>
  <w:p w:rsidR="00D632C9" w:rsidRDefault="00D632C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70E" w:rsidRDefault="001C270E" w:rsidP="00D632C9">
      <w:r>
        <w:separator/>
      </w:r>
    </w:p>
  </w:footnote>
  <w:footnote w:type="continuationSeparator" w:id="0">
    <w:p w:rsidR="001C270E" w:rsidRDefault="001C270E" w:rsidP="00D632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2C9" w:rsidRDefault="00D632C9">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ascii="黑体" w:eastAsia="黑体" w:hAnsi="黑体" w:cs="黑体" w:hint="eastAsia"/>
        <w:sz w:val="44"/>
        <w:szCs w:val="44"/>
      </w:rPr>
    </w:lvl>
  </w:abstractNum>
  <w:abstractNum w:abstractNumId="2">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nsid w:val="3818A09A"/>
    <w:multiLevelType w:val="singleLevel"/>
    <w:tmpl w:val="3818A09A"/>
    <w:lvl w:ilvl="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9E3A10E2"/>
    <w:rsid w:val="F2E1F9D4"/>
    <w:rsid w:val="F7880819"/>
    <w:rsid w:val="FF75B126"/>
    <w:rsid w:val="0002106C"/>
    <w:rsid w:val="000222C6"/>
    <w:rsid w:val="0002549F"/>
    <w:rsid w:val="00036D33"/>
    <w:rsid w:val="000468DB"/>
    <w:rsid w:val="00050F3D"/>
    <w:rsid w:val="0006487A"/>
    <w:rsid w:val="00065F8F"/>
    <w:rsid w:val="00070A43"/>
    <w:rsid w:val="000768F2"/>
    <w:rsid w:val="00083103"/>
    <w:rsid w:val="0009184B"/>
    <w:rsid w:val="00094236"/>
    <w:rsid w:val="0009593C"/>
    <w:rsid w:val="00097322"/>
    <w:rsid w:val="000A6A92"/>
    <w:rsid w:val="000B047F"/>
    <w:rsid w:val="000B5923"/>
    <w:rsid w:val="000B5A48"/>
    <w:rsid w:val="000B6FF3"/>
    <w:rsid w:val="000C3467"/>
    <w:rsid w:val="000C367D"/>
    <w:rsid w:val="000C3CA6"/>
    <w:rsid w:val="000D1267"/>
    <w:rsid w:val="000D1D50"/>
    <w:rsid w:val="000D5782"/>
    <w:rsid w:val="000E6613"/>
    <w:rsid w:val="000E7119"/>
    <w:rsid w:val="000F3D30"/>
    <w:rsid w:val="00114E9B"/>
    <w:rsid w:val="00123991"/>
    <w:rsid w:val="00142216"/>
    <w:rsid w:val="00144D6A"/>
    <w:rsid w:val="0014729F"/>
    <w:rsid w:val="00157BAB"/>
    <w:rsid w:val="00162ABB"/>
    <w:rsid w:val="001654D1"/>
    <w:rsid w:val="00166E95"/>
    <w:rsid w:val="00174518"/>
    <w:rsid w:val="0018106D"/>
    <w:rsid w:val="001877A7"/>
    <w:rsid w:val="00191536"/>
    <w:rsid w:val="00196687"/>
    <w:rsid w:val="001B22FD"/>
    <w:rsid w:val="001C0962"/>
    <w:rsid w:val="001C270E"/>
    <w:rsid w:val="001D7531"/>
    <w:rsid w:val="001E737D"/>
    <w:rsid w:val="001F0592"/>
    <w:rsid w:val="001F7506"/>
    <w:rsid w:val="002006CD"/>
    <w:rsid w:val="00202B36"/>
    <w:rsid w:val="00204B7A"/>
    <w:rsid w:val="00204CDE"/>
    <w:rsid w:val="0021101A"/>
    <w:rsid w:val="00220536"/>
    <w:rsid w:val="00235629"/>
    <w:rsid w:val="002463A5"/>
    <w:rsid w:val="00260950"/>
    <w:rsid w:val="00260C38"/>
    <w:rsid w:val="00260C9E"/>
    <w:rsid w:val="002616C0"/>
    <w:rsid w:val="00265372"/>
    <w:rsid w:val="002662AA"/>
    <w:rsid w:val="00273E3E"/>
    <w:rsid w:val="00280496"/>
    <w:rsid w:val="00294DC9"/>
    <w:rsid w:val="00295495"/>
    <w:rsid w:val="002A31DE"/>
    <w:rsid w:val="002B2613"/>
    <w:rsid w:val="002D4EA0"/>
    <w:rsid w:val="002D6D05"/>
    <w:rsid w:val="002F1818"/>
    <w:rsid w:val="002F567B"/>
    <w:rsid w:val="00314D11"/>
    <w:rsid w:val="003216A9"/>
    <w:rsid w:val="00335A74"/>
    <w:rsid w:val="0036561B"/>
    <w:rsid w:val="0037013F"/>
    <w:rsid w:val="00380C92"/>
    <w:rsid w:val="003A484F"/>
    <w:rsid w:val="003A4883"/>
    <w:rsid w:val="003B0BE0"/>
    <w:rsid w:val="003B0C1B"/>
    <w:rsid w:val="003B25E7"/>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4B39"/>
    <w:rsid w:val="00471401"/>
    <w:rsid w:val="00473F31"/>
    <w:rsid w:val="0048263A"/>
    <w:rsid w:val="00485945"/>
    <w:rsid w:val="00487E5D"/>
    <w:rsid w:val="004A711F"/>
    <w:rsid w:val="004B199D"/>
    <w:rsid w:val="004B4690"/>
    <w:rsid w:val="004E0A2D"/>
    <w:rsid w:val="004E206B"/>
    <w:rsid w:val="004E6DF7"/>
    <w:rsid w:val="004F0FBD"/>
    <w:rsid w:val="004F2B0E"/>
    <w:rsid w:val="00505A47"/>
    <w:rsid w:val="00506E6C"/>
    <w:rsid w:val="00512FDA"/>
    <w:rsid w:val="0051569B"/>
    <w:rsid w:val="00520DA0"/>
    <w:rsid w:val="00520F98"/>
    <w:rsid w:val="005464BF"/>
    <w:rsid w:val="005516E9"/>
    <w:rsid w:val="005664BB"/>
    <w:rsid w:val="00566FFA"/>
    <w:rsid w:val="00570FDC"/>
    <w:rsid w:val="0057481D"/>
    <w:rsid w:val="0058486E"/>
    <w:rsid w:val="00585B33"/>
    <w:rsid w:val="0059014D"/>
    <w:rsid w:val="005A049A"/>
    <w:rsid w:val="005A543A"/>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25788"/>
    <w:rsid w:val="00630AEF"/>
    <w:rsid w:val="006325F8"/>
    <w:rsid w:val="00633463"/>
    <w:rsid w:val="00634C9A"/>
    <w:rsid w:val="006440E4"/>
    <w:rsid w:val="0066343B"/>
    <w:rsid w:val="00664777"/>
    <w:rsid w:val="006748A4"/>
    <w:rsid w:val="00681A31"/>
    <w:rsid w:val="00683E73"/>
    <w:rsid w:val="0069032B"/>
    <w:rsid w:val="006A0D73"/>
    <w:rsid w:val="006A3141"/>
    <w:rsid w:val="006A5E34"/>
    <w:rsid w:val="006B2422"/>
    <w:rsid w:val="006B2B9A"/>
    <w:rsid w:val="006C04B6"/>
    <w:rsid w:val="006C1937"/>
    <w:rsid w:val="006F020C"/>
    <w:rsid w:val="0070534E"/>
    <w:rsid w:val="007127B7"/>
    <w:rsid w:val="00712A17"/>
    <w:rsid w:val="0071798E"/>
    <w:rsid w:val="007416B6"/>
    <w:rsid w:val="00746F48"/>
    <w:rsid w:val="0075404D"/>
    <w:rsid w:val="0076182A"/>
    <w:rsid w:val="00767B7E"/>
    <w:rsid w:val="00773424"/>
    <w:rsid w:val="007770C3"/>
    <w:rsid w:val="00784D24"/>
    <w:rsid w:val="00785FBA"/>
    <w:rsid w:val="00786E4A"/>
    <w:rsid w:val="007875EB"/>
    <w:rsid w:val="0079426B"/>
    <w:rsid w:val="007A45C1"/>
    <w:rsid w:val="007D1682"/>
    <w:rsid w:val="007D312A"/>
    <w:rsid w:val="007D3F19"/>
    <w:rsid w:val="007E219E"/>
    <w:rsid w:val="007E23B0"/>
    <w:rsid w:val="007E23E5"/>
    <w:rsid w:val="007F1991"/>
    <w:rsid w:val="007F2C2F"/>
    <w:rsid w:val="007F55FC"/>
    <w:rsid w:val="007F5665"/>
    <w:rsid w:val="00800112"/>
    <w:rsid w:val="00813348"/>
    <w:rsid w:val="008253BB"/>
    <w:rsid w:val="0083706E"/>
    <w:rsid w:val="008408F6"/>
    <w:rsid w:val="00842321"/>
    <w:rsid w:val="008423A5"/>
    <w:rsid w:val="008460DF"/>
    <w:rsid w:val="00850625"/>
    <w:rsid w:val="00853718"/>
    <w:rsid w:val="00855221"/>
    <w:rsid w:val="00860645"/>
    <w:rsid w:val="00871A18"/>
    <w:rsid w:val="00871F71"/>
    <w:rsid w:val="00872FD8"/>
    <w:rsid w:val="00885AF4"/>
    <w:rsid w:val="008939CD"/>
    <w:rsid w:val="008B768C"/>
    <w:rsid w:val="008C4DB1"/>
    <w:rsid w:val="008C4EAF"/>
    <w:rsid w:val="008C5176"/>
    <w:rsid w:val="008C7FD0"/>
    <w:rsid w:val="008D1250"/>
    <w:rsid w:val="008E1DE7"/>
    <w:rsid w:val="008E707C"/>
    <w:rsid w:val="00900B08"/>
    <w:rsid w:val="00902155"/>
    <w:rsid w:val="00902FA3"/>
    <w:rsid w:val="00923564"/>
    <w:rsid w:val="0092392E"/>
    <w:rsid w:val="009315F9"/>
    <w:rsid w:val="00933499"/>
    <w:rsid w:val="00935C98"/>
    <w:rsid w:val="00941368"/>
    <w:rsid w:val="00946945"/>
    <w:rsid w:val="00951248"/>
    <w:rsid w:val="0095152F"/>
    <w:rsid w:val="00954C49"/>
    <w:rsid w:val="00955E37"/>
    <w:rsid w:val="009641D5"/>
    <w:rsid w:val="0097099F"/>
    <w:rsid w:val="00971997"/>
    <w:rsid w:val="00971FFC"/>
    <w:rsid w:val="00980214"/>
    <w:rsid w:val="0098660A"/>
    <w:rsid w:val="009931C3"/>
    <w:rsid w:val="00997D9D"/>
    <w:rsid w:val="009B2C43"/>
    <w:rsid w:val="009B4EAE"/>
    <w:rsid w:val="009B7573"/>
    <w:rsid w:val="009C22F4"/>
    <w:rsid w:val="009C2A4B"/>
    <w:rsid w:val="009C2E98"/>
    <w:rsid w:val="009D3447"/>
    <w:rsid w:val="009D4711"/>
    <w:rsid w:val="009E6F28"/>
    <w:rsid w:val="009F1185"/>
    <w:rsid w:val="009F18CD"/>
    <w:rsid w:val="009F2A13"/>
    <w:rsid w:val="009F7527"/>
    <w:rsid w:val="00A04EB0"/>
    <w:rsid w:val="00A13CC1"/>
    <w:rsid w:val="00A13CD7"/>
    <w:rsid w:val="00A16847"/>
    <w:rsid w:val="00A237D8"/>
    <w:rsid w:val="00A268C4"/>
    <w:rsid w:val="00A307CD"/>
    <w:rsid w:val="00A331C8"/>
    <w:rsid w:val="00A35860"/>
    <w:rsid w:val="00A40A00"/>
    <w:rsid w:val="00A4142F"/>
    <w:rsid w:val="00A422EB"/>
    <w:rsid w:val="00A45BB7"/>
    <w:rsid w:val="00A54E30"/>
    <w:rsid w:val="00A569B4"/>
    <w:rsid w:val="00A56DF2"/>
    <w:rsid w:val="00A56E6E"/>
    <w:rsid w:val="00A60A73"/>
    <w:rsid w:val="00A67AB5"/>
    <w:rsid w:val="00A722CB"/>
    <w:rsid w:val="00A733B2"/>
    <w:rsid w:val="00A741C2"/>
    <w:rsid w:val="00A91760"/>
    <w:rsid w:val="00A93B00"/>
    <w:rsid w:val="00A93C21"/>
    <w:rsid w:val="00AB64C9"/>
    <w:rsid w:val="00AC3C6A"/>
    <w:rsid w:val="00AC4D0C"/>
    <w:rsid w:val="00AC520D"/>
    <w:rsid w:val="00AD39CE"/>
    <w:rsid w:val="00AD5620"/>
    <w:rsid w:val="00AD656B"/>
    <w:rsid w:val="00AD7C1B"/>
    <w:rsid w:val="00AE16BA"/>
    <w:rsid w:val="00AE1EBE"/>
    <w:rsid w:val="00AF7452"/>
    <w:rsid w:val="00B03C9D"/>
    <w:rsid w:val="00B060AE"/>
    <w:rsid w:val="00B10517"/>
    <w:rsid w:val="00B14E76"/>
    <w:rsid w:val="00B161B8"/>
    <w:rsid w:val="00B161C7"/>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D5D7A"/>
    <w:rsid w:val="00BF5BD6"/>
    <w:rsid w:val="00C03E31"/>
    <w:rsid w:val="00C0560A"/>
    <w:rsid w:val="00C115C1"/>
    <w:rsid w:val="00C32B50"/>
    <w:rsid w:val="00C33E72"/>
    <w:rsid w:val="00C354B2"/>
    <w:rsid w:val="00C35554"/>
    <w:rsid w:val="00C42709"/>
    <w:rsid w:val="00C533CC"/>
    <w:rsid w:val="00C5751C"/>
    <w:rsid w:val="00C61BFC"/>
    <w:rsid w:val="00C62B85"/>
    <w:rsid w:val="00C65438"/>
    <w:rsid w:val="00C7524A"/>
    <w:rsid w:val="00C77874"/>
    <w:rsid w:val="00C814BA"/>
    <w:rsid w:val="00C87FD8"/>
    <w:rsid w:val="00C91381"/>
    <w:rsid w:val="00C91CBB"/>
    <w:rsid w:val="00CA4F13"/>
    <w:rsid w:val="00CB4E70"/>
    <w:rsid w:val="00CC09B6"/>
    <w:rsid w:val="00CC1B64"/>
    <w:rsid w:val="00CC666F"/>
    <w:rsid w:val="00CD1E3F"/>
    <w:rsid w:val="00CE02E2"/>
    <w:rsid w:val="00CE44F6"/>
    <w:rsid w:val="00CE49DA"/>
    <w:rsid w:val="00CE7B61"/>
    <w:rsid w:val="00CF1910"/>
    <w:rsid w:val="00D00095"/>
    <w:rsid w:val="00D023C3"/>
    <w:rsid w:val="00D114F0"/>
    <w:rsid w:val="00D20620"/>
    <w:rsid w:val="00D254F7"/>
    <w:rsid w:val="00D26091"/>
    <w:rsid w:val="00D2685C"/>
    <w:rsid w:val="00D34418"/>
    <w:rsid w:val="00D34E7C"/>
    <w:rsid w:val="00D35489"/>
    <w:rsid w:val="00D36AFE"/>
    <w:rsid w:val="00D51276"/>
    <w:rsid w:val="00D632C9"/>
    <w:rsid w:val="00D7035F"/>
    <w:rsid w:val="00DA616E"/>
    <w:rsid w:val="00DA634F"/>
    <w:rsid w:val="00DA65AC"/>
    <w:rsid w:val="00DB1913"/>
    <w:rsid w:val="00DC0D7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14F5"/>
    <w:rsid w:val="00E64269"/>
    <w:rsid w:val="00E82267"/>
    <w:rsid w:val="00E853CE"/>
    <w:rsid w:val="00E867B6"/>
    <w:rsid w:val="00EA010F"/>
    <w:rsid w:val="00EB2FB5"/>
    <w:rsid w:val="00EC22D3"/>
    <w:rsid w:val="00ED1B63"/>
    <w:rsid w:val="00ED3C1F"/>
    <w:rsid w:val="00ED4085"/>
    <w:rsid w:val="00ED420E"/>
    <w:rsid w:val="00ED5F0D"/>
    <w:rsid w:val="00ED6FBE"/>
    <w:rsid w:val="00EE2F57"/>
    <w:rsid w:val="00EE3D7B"/>
    <w:rsid w:val="00EF4C34"/>
    <w:rsid w:val="00EF77C6"/>
    <w:rsid w:val="00F00D23"/>
    <w:rsid w:val="00F02F5D"/>
    <w:rsid w:val="00F05438"/>
    <w:rsid w:val="00F1361C"/>
    <w:rsid w:val="00F156F0"/>
    <w:rsid w:val="00F160C7"/>
    <w:rsid w:val="00F2408F"/>
    <w:rsid w:val="00F240E9"/>
    <w:rsid w:val="00F34AEE"/>
    <w:rsid w:val="00F36D8F"/>
    <w:rsid w:val="00F417B1"/>
    <w:rsid w:val="00F42F2B"/>
    <w:rsid w:val="00F45853"/>
    <w:rsid w:val="00F46EAD"/>
    <w:rsid w:val="00F50FC2"/>
    <w:rsid w:val="00F602DF"/>
    <w:rsid w:val="00F754A1"/>
    <w:rsid w:val="00F81FD9"/>
    <w:rsid w:val="00F841AA"/>
    <w:rsid w:val="00F84A94"/>
    <w:rsid w:val="00F87E96"/>
    <w:rsid w:val="00F922D7"/>
    <w:rsid w:val="00F95DF1"/>
    <w:rsid w:val="00FA23E8"/>
    <w:rsid w:val="00FC068E"/>
    <w:rsid w:val="00FD3CC1"/>
    <w:rsid w:val="00FF1E02"/>
    <w:rsid w:val="00FF30B4"/>
    <w:rsid w:val="053A62B5"/>
    <w:rsid w:val="0A2032A3"/>
    <w:rsid w:val="0B8A37D8"/>
    <w:rsid w:val="10C055FF"/>
    <w:rsid w:val="118107EC"/>
    <w:rsid w:val="11DD6519"/>
    <w:rsid w:val="16BB723D"/>
    <w:rsid w:val="18015F3F"/>
    <w:rsid w:val="1BE8440E"/>
    <w:rsid w:val="1D155CEE"/>
    <w:rsid w:val="20F57F95"/>
    <w:rsid w:val="240371BF"/>
    <w:rsid w:val="25711CC6"/>
    <w:rsid w:val="25C741E6"/>
    <w:rsid w:val="27842671"/>
    <w:rsid w:val="29FD04D3"/>
    <w:rsid w:val="2ABE7A3E"/>
    <w:rsid w:val="2CA234A8"/>
    <w:rsid w:val="2EFA178C"/>
    <w:rsid w:val="30B46D73"/>
    <w:rsid w:val="319F7F4E"/>
    <w:rsid w:val="383D272C"/>
    <w:rsid w:val="39AE70AB"/>
    <w:rsid w:val="3C0C0783"/>
    <w:rsid w:val="3F9F3A96"/>
    <w:rsid w:val="48BF60AB"/>
    <w:rsid w:val="493C27E9"/>
    <w:rsid w:val="496F39ED"/>
    <w:rsid w:val="49FF41D3"/>
    <w:rsid w:val="4BE068DB"/>
    <w:rsid w:val="4BF6002B"/>
    <w:rsid w:val="4ECE2238"/>
    <w:rsid w:val="51DB4B86"/>
    <w:rsid w:val="55333C3E"/>
    <w:rsid w:val="64CA39A1"/>
    <w:rsid w:val="69630ADE"/>
    <w:rsid w:val="6C4A05C8"/>
    <w:rsid w:val="6D3B1A89"/>
    <w:rsid w:val="71BF4EC2"/>
    <w:rsid w:val="72734D90"/>
    <w:rsid w:val="7412278C"/>
    <w:rsid w:val="79E7B28D"/>
    <w:rsid w:val="7F9F2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632C9"/>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D632C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632C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D632C9"/>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rsid w:val="00D632C9"/>
    <w:pPr>
      <w:spacing w:beforeLines="30"/>
    </w:pPr>
    <w:rPr>
      <w:rFonts w:ascii="仿宋_GB2312" w:eastAsia="仿宋_GB2312"/>
      <w:kern w:val="0"/>
      <w:sz w:val="30"/>
    </w:rPr>
  </w:style>
  <w:style w:type="paragraph" w:styleId="30">
    <w:name w:val="toc 3"/>
    <w:basedOn w:val="a"/>
    <w:next w:val="a"/>
    <w:uiPriority w:val="39"/>
    <w:unhideWhenUsed/>
    <w:qFormat/>
    <w:rsid w:val="00D632C9"/>
    <w:pPr>
      <w:tabs>
        <w:tab w:val="right" w:leader="dot" w:pos="8296"/>
      </w:tabs>
      <w:ind w:leftChars="400" w:left="840"/>
    </w:pPr>
  </w:style>
  <w:style w:type="paragraph" w:styleId="a4">
    <w:name w:val="Balloon Text"/>
    <w:basedOn w:val="a"/>
    <w:link w:val="Char0"/>
    <w:uiPriority w:val="99"/>
    <w:semiHidden/>
    <w:unhideWhenUsed/>
    <w:qFormat/>
    <w:rsid w:val="00D632C9"/>
    <w:rPr>
      <w:sz w:val="18"/>
      <w:szCs w:val="18"/>
    </w:rPr>
  </w:style>
  <w:style w:type="paragraph" w:styleId="a5">
    <w:name w:val="footer"/>
    <w:basedOn w:val="a"/>
    <w:link w:val="Char1"/>
    <w:uiPriority w:val="99"/>
    <w:qFormat/>
    <w:rsid w:val="00D632C9"/>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rsid w:val="00D632C9"/>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D632C9"/>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D632C9"/>
    <w:pPr>
      <w:tabs>
        <w:tab w:val="right" w:leader="dot" w:pos="8296"/>
      </w:tabs>
      <w:ind w:leftChars="200" w:left="420"/>
    </w:pPr>
  </w:style>
  <w:style w:type="character" w:styleId="a7">
    <w:name w:val="Strong"/>
    <w:basedOn w:val="a1"/>
    <w:uiPriority w:val="99"/>
    <w:qFormat/>
    <w:rsid w:val="00D632C9"/>
    <w:rPr>
      <w:b/>
    </w:rPr>
  </w:style>
  <w:style w:type="character" w:styleId="a8">
    <w:name w:val="Hyperlink"/>
    <w:basedOn w:val="a1"/>
    <w:uiPriority w:val="99"/>
    <w:unhideWhenUsed/>
    <w:qFormat/>
    <w:rsid w:val="00D632C9"/>
    <w:rPr>
      <w:color w:val="0000FF" w:themeColor="hyperlink"/>
      <w:u w:val="single"/>
    </w:rPr>
  </w:style>
  <w:style w:type="character" w:customStyle="1" w:styleId="HeaderChar">
    <w:name w:val="Header Char"/>
    <w:basedOn w:val="a1"/>
    <w:uiPriority w:val="99"/>
    <w:semiHidden/>
    <w:qFormat/>
    <w:rsid w:val="00D632C9"/>
    <w:rPr>
      <w:rFonts w:ascii="Times New Roman" w:hAnsi="Times New Roman"/>
      <w:sz w:val="18"/>
      <w:szCs w:val="18"/>
    </w:rPr>
  </w:style>
  <w:style w:type="character" w:customStyle="1" w:styleId="Char2">
    <w:name w:val="页眉 Char"/>
    <w:link w:val="a6"/>
    <w:uiPriority w:val="99"/>
    <w:semiHidden/>
    <w:qFormat/>
    <w:locked/>
    <w:rsid w:val="00D632C9"/>
    <w:rPr>
      <w:sz w:val="18"/>
    </w:rPr>
  </w:style>
  <w:style w:type="character" w:customStyle="1" w:styleId="FooterChar">
    <w:name w:val="Footer Char"/>
    <w:basedOn w:val="a1"/>
    <w:uiPriority w:val="99"/>
    <w:semiHidden/>
    <w:qFormat/>
    <w:rsid w:val="00D632C9"/>
    <w:rPr>
      <w:rFonts w:ascii="Times New Roman" w:hAnsi="Times New Roman"/>
      <w:sz w:val="18"/>
      <w:szCs w:val="18"/>
    </w:rPr>
  </w:style>
  <w:style w:type="character" w:customStyle="1" w:styleId="Char1">
    <w:name w:val="页脚 Char"/>
    <w:link w:val="a5"/>
    <w:uiPriority w:val="99"/>
    <w:qFormat/>
    <w:locked/>
    <w:rsid w:val="00D632C9"/>
    <w:rPr>
      <w:sz w:val="18"/>
    </w:rPr>
  </w:style>
  <w:style w:type="character" w:customStyle="1" w:styleId="BodyTextChar">
    <w:name w:val="Body Text Char"/>
    <w:basedOn w:val="a1"/>
    <w:uiPriority w:val="99"/>
    <w:semiHidden/>
    <w:qFormat/>
    <w:rsid w:val="00D632C9"/>
    <w:rPr>
      <w:rFonts w:ascii="Times New Roman" w:hAnsi="Times New Roman"/>
      <w:szCs w:val="24"/>
    </w:rPr>
  </w:style>
  <w:style w:type="character" w:customStyle="1" w:styleId="Char">
    <w:name w:val="正文文本 Char"/>
    <w:link w:val="a0"/>
    <w:uiPriority w:val="99"/>
    <w:qFormat/>
    <w:locked/>
    <w:rsid w:val="00D632C9"/>
    <w:rPr>
      <w:rFonts w:ascii="仿宋_GB2312" w:eastAsia="仿宋_GB2312" w:hAnsi="Times New Roman"/>
      <w:sz w:val="24"/>
    </w:rPr>
  </w:style>
  <w:style w:type="paragraph" w:customStyle="1" w:styleId="Default">
    <w:name w:val="Default"/>
    <w:uiPriority w:val="99"/>
    <w:qFormat/>
    <w:rsid w:val="00D632C9"/>
    <w:pPr>
      <w:widowControl w:val="0"/>
      <w:autoSpaceDE w:val="0"/>
      <w:autoSpaceDN w:val="0"/>
      <w:adjustRightInd w:val="0"/>
    </w:pPr>
    <w:rPr>
      <w:rFonts w:ascii="仿宋" w:eastAsia="仿宋" w:hAnsi="Calibri" w:cs="仿宋"/>
      <w:color w:val="000000"/>
      <w:sz w:val="24"/>
      <w:szCs w:val="24"/>
    </w:rPr>
  </w:style>
  <w:style w:type="paragraph" w:styleId="a9">
    <w:name w:val="List Paragraph"/>
    <w:basedOn w:val="a"/>
    <w:uiPriority w:val="34"/>
    <w:qFormat/>
    <w:rsid w:val="00D632C9"/>
    <w:pPr>
      <w:ind w:firstLineChars="200" w:firstLine="420"/>
    </w:pPr>
  </w:style>
  <w:style w:type="character" w:customStyle="1" w:styleId="1Char">
    <w:name w:val="标题 1 Char"/>
    <w:basedOn w:val="a1"/>
    <w:link w:val="1"/>
    <w:uiPriority w:val="9"/>
    <w:qFormat/>
    <w:rsid w:val="00D632C9"/>
    <w:rPr>
      <w:rFonts w:ascii="Times New Roman" w:hAnsi="Times New Roman"/>
      <w:b/>
      <w:bCs/>
      <w:kern w:val="44"/>
      <w:sz w:val="44"/>
      <w:szCs w:val="44"/>
    </w:rPr>
  </w:style>
  <w:style w:type="character" w:customStyle="1" w:styleId="2Char">
    <w:name w:val="标题 2 Char"/>
    <w:basedOn w:val="a1"/>
    <w:link w:val="2"/>
    <w:uiPriority w:val="9"/>
    <w:qFormat/>
    <w:rsid w:val="00D632C9"/>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D632C9"/>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sid w:val="00D632C9"/>
    <w:rPr>
      <w:rFonts w:ascii="Times New Roman" w:hAnsi="Times New Roman"/>
      <w:kern w:val="2"/>
      <w:sz w:val="18"/>
      <w:szCs w:val="18"/>
    </w:rPr>
  </w:style>
  <w:style w:type="character" w:customStyle="1" w:styleId="3Char">
    <w:name w:val="标题 3 Char"/>
    <w:basedOn w:val="a1"/>
    <w:link w:val="3"/>
    <w:uiPriority w:val="9"/>
    <w:qFormat/>
    <w:rsid w:val="00D632C9"/>
    <w:rPr>
      <w:rFonts w:ascii="Times New Roman" w:hAnsi="Times New Roman"/>
      <w:b/>
      <w:bCs/>
      <w:kern w:val="2"/>
      <w:sz w:val="32"/>
      <w:szCs w:val="32"/>
    </w:rPr>
  </w:style>
  <w:style w:type="paragraph" w:customStyle="1" w:styleId="TOC2">
    <w:name w:val="TOC 标题2"/>
    <w:basedOn w:val="1"/>
    <w:next w:val="a"/>
    <w:uiPriority w:val="39"/>
    <w:unhideWhenUsed/>
    <w:qFormat/>
    <w:rsid w:val="00D632C9"/>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007%20&#24037;&#20316;&#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007%20&#24037;&#20316;&#349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007%20&#24037;&#20316;&#349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007%20&#24037;&#20316;&#349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007%20&#24037;&#20316;&#349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007%20&#24037;&#20316;&#349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007%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barChart>
        <c:barDir val="col"/>
        <c:grouping val="clustered"/>
        <c:varyColors val="0"/>
        <c:ser>
          <c:idx val="0"/>
          <c:order val="0"/>
          <c:tx>
            <c:strRef>
              <c:f>Sheet1!$C$1</c:f>
              <c:strCache>
                <c:ptCount val="1"/>
                <c:pt idx="0">
                  <c:v>收、支决算总计变动情况</c:v>
                </c:pt>
              </c:strCache>
            </c:strRef>
          </c:tx>
          <c:invertIfNegative val="0"/>
          <c:cat>
            <c:strRef>
              <c:f>Sheet1!$B$2:$B$3</c:f>
              <c:strCache>
                <c:ptCount val="2"/>
                <c:pt idx="0">
                  <c:v>2021年收、支总计</c:v>
                </c:pt>
                <c:pt idx="1">
                  <c:v>2022年收、支总计</c:v>
                </c:pt>
              </c:strCache>
            </c:strRef>
          </c:cat>
          <c:val>
            <c:numRef>
              <c:f>Sheet1!$C$2:$C$3</c:f>
              <c:numCache>
                <c:formatCode>General</c:formatCode>
                <c:ptCount val="2"/>
                <c:pt idx="0">
                  <c:v>8123.6600000000044</c:v>
                </c:pt>
                <c:pt idx="1">
                  <c:v>9112.9</c:v>
                </c:pt>
              </c:numCache>
            </c:numRef>
          </c:val>
        </c:ser>
        <c:dLbls>
          <c:showLegendKey val="0"/>
          <c:showVal val="0"/>
          <c:showCatName val="0"/>
          <c:showSerName val="0"/>
          <c:showPercent val="0"/>
          <c:showBubbleSize val="0"/>
        </c:dLbls>
        <c:gapWidth val="150"/>
        <c:axId val="607084928"/>
        <c:axId val="607086464"/>
      </c:barChart>
      <c:catAx>
        <c:axId val="60708492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07086464"/>
        <c:crosses val="autoZero"/>
        <c:auto val="1"/>
        <c:lblAlgn val="ctr"/>
        <c:lblOffset val="100"/>
        <c:noMultiLvlLbl val="0"/>
      </c:catAx>
      <c:valAx>
        <c:axId val="60708646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0708492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cat>
            <c:strRef>
              <c:f>Sheet2!$B$2:$B$4</c:f>
              <c:strCache>
                <c:ptCount val="3"/>
                <c:pt idx="0">
                  <c:v>一般公共预算财政拨款收入</c:v>
                </c:pt>
                <c:pt idx="1">
                  <c:v>政府性基金预算财政拨款收入</c:v>
                </c:pt>
                <c:pt idx="2">
                  <c:v>事业收入</c:v>
                </c:pt>
              </c:strCache>
            </c:strRef>
          </c:cat>
          <c:val>
            <c:numRef>
              <c:f>Sheet2!$C$2:$C$4</c:f>
              <c:numCache>
                <c:formatCode>#,##0.00</c:formatCode>
                <c:ptCount val="3"/>
                <c:pt idx="0">
                  <c:v>9063.5499999999902</c:v>
                </c:pt>
                <c:pt idx="1">
                  <c:v>4.1599999999999975</c:v>
                </c:pt>
                <c:pt idx="2">
                  <c:v>43.18</c:v>
                </c:pt>
              </c:numCache>
            </c:numRef>
          </c:val>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Sheet3!$C$7</c:f>
              <c:strCache>
                <c:ptCount val="1"/>
                <c:pt idx="0">
                  <c:v>支出决算结构</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true"/>
                <c15:leaderLines/>
              </c:ext>
            </c:extLst>
          </c:dLbls>
          <c:cat>
            <c:strRef>
              <c:f>Sheet3!$B$8:$B$9</c:f>
              <c:strCache>
                <c:ptCount val="2"/>
                <c:pt idx="0">
                  <c:v>基本支出</c:v>
                </c:pt>
                <c:pt idx="1">
                  <c:v>项目支出</c:v>
                </c:pt>
              </c:strCache>
            </c:strRef>
          </c:cat>
          <c:val>
            <c:numRef>
              <c:f>Sheet3!$C$8:$C$9</c:f>
              <c:numCache>
                <c:formatCode>#,##0.00</c:formatCode>
                <c:ptCount val="2"/>
                <c:pt idx="0">
                  <c:v>7961.81</c:v>
                </c:pt>
                <c:pt idx="1">
                  <c:v>1151.0899999999999</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barChart>
        <c:barDir val="col"/>
        <c:grouping val="stacked"/>
        <c:varyColors val="0"/>
        <c:ser>
          <c:idx val="0"/>
          <c:order val="0"/>
          <c:tx>
            <c:strRef>
              <c:f>Sheet4!$B$1</c:f>
              <c:strCache>
                <c:ptCount val="1"/>
                <c:pt idx="0">
                  <c:v>财政收、支决算总计变动情况</c:v>
                </c:pt>
              </c:strCache>
            </c:strRef>
          </c:tx>
          <c:invertIfNegative val="0"/>
          <c:cat>
            <c:strRef>
              <c:f>Sheet4!$A$2:$A$3</c:f>
              <c:strCache>
                <c:ptCount val="2"/>
                <c:pt idx="0">
                  <c:v>2021年财政拨款收、支总计</c:v>
                </c:pt>
                <c:pt idx="1">
                  <c:v>2022年财政拨款收、支总计</c:v>
                </c:pt>
              </c:strCache>
            </c:strRef>
          </c:cat>
          <c:val>
            <c:numRef>
              <c:f>Sheet4!$B$2:$B$3</c:f>
              <c:numCache>
                <c:formatCode>General</c:formatCode>
                <c:ptCount val="2"/>
                <c:pt idx="0">
                  <c:v>8091.54</c:v>
                </c:pt>
                <c:pt idx="1">
                  <c:v>9069.7200000000048</c:v>
                </c:pt>
              </c:numCache>
            </c:numRef>
          </c:val>
        </c:ser>
        <c:dLbls>
          <c:showLegendKey val="0"/>
          <c:showVal val="0"/>
          <c:showCatName val="0"/>
          <c:showSerName val="0"/>
          <c:showPercent val="0"/>
          <c:showBubbleSize val="0"/>
        </c:dLbls>
        <c:gapWidth val="150"/>
        <c:overlap val="100"/>
        <c:axId val="606422912"/>
        <c:axId val="606424448"/>
      </c:barChart>
      <c:catAx>
        <c:axId val="60642291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06424448"/>
        <c:crosses val="autoZero"/>
        <c:auto val="1"/>
        <c:lblAlgn val="ctr"/>
        <c:lblOffset val="100"/>
        <c:noMultiLvlLbl val="0"/>
      </c:catAx>
      <c:valAx>
        <c:axId val="60642444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06422912"/>
        <c:crosses val="autoZero"/>
        <c:crossBetween val="between"/>
      </c:valAx>
      <c:spPr>
        <a:solidFill>
          <a:schemeClr val="bg1"/>
        </a:solidFill>
        <a:ln>
          <a:noFill/>
        </a:ln>
        <a:effectLst/>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barChart>
        <c:barDir val="col"/>
        <c:grouping val="stacked"/>
        <c:varyColors val="0"/>
        <c:ser>
          <c:idx val="0"/>
          <c:order val="0"/>
          <c:tx>
            <c:strRef>
              <c:f>Sheet5!$B$1</c:f>
              <c:strCache>
                <c:ptCount val="1"/>
                <c:pt idx="0">
                  <c:v>一般公共预算财政拨款支出决算变动情况</c:v>
                </c:pt>
              </c:strCache>
            </c:strRef>
          </c:tx>
          <c:invertIfNegative val="0"/>
          <c:cat>
            <c:strRef>
              <c:f>Sheet5!$A$2:$A$3</c:f>
              <c:strCache>
                <c:ptCount val="2"/>
                <c:pt idx="0">
                  <c:v>2021年一般公共预算拨款支出</c:v>
                </c:pt>
                <c:pt idx="1">
                  <c:v>2022年一般公共预算拨款支出</c:v>
                </c:pt>
              </c:strCache>
            </c:strRef>
          </c:cat>
          <c:val>
            <c:numRef>
              <c:f>Sheet5!$B$2:$B$3</c:f>
              <c:numCache>
                <c:formatCode>General</c:formatCode>
                <c:ptCount val="2"/>
                <c:pt idx="0">
                  <c:v>8091.54</c:v>
                </c:pt>
                <c:pt idx="1">
                  <c:v>9065.56</c:v>
                </c:pt>
              </c:numCache>
            </c:numRef>
          </c:val>
        </c:ser>
        <c:dLbls>
          <c:showLegendKey val="0"/>
          <c:showVal val="0"/>
          <c:showCatName val="0"/>
          <c:showSerName val="0"/>
          <c:showPercent val="0"/>
          <c:showBubbleSize val="0"/>
        </c:dLbls>
        <c:gapWidth val="150"/>
        <c:overlap val="100"/>
        <c:axId val="606444928"/>
        <c:axId val="428655744"/>
      </c:barChart>
      <c:catAx>
        <c:axId val="60644492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28655744"/>
        <c:crosses val="autoZero"/>
        <c:auto val="1"/>
        <c:lblAlgn val="ctr"/>
        <c:lblOffset val="100"/>
        <c:noMultiLvlLbl val="0"/>
      </c:catAx>
      <c:valAx>
        <c:axId val="4286557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0644492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Sheet6!$C$2</c:f>
              <c:strCache>
                <c:ptCount val="1"/>
                <c:pt idx="0">
                  <c:v>一般公共预算财政拨款支出决算结构</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true"/>
                <c15:leaderLines/>
              </c:ext>
            </c:extLst>
          </c:dLbls>
          <c:cat>
            <c:strRef>
              <c:f>Sheet6!$B$3:$B$5</c:f>
              <c:strCache>
                <c:ptCount val="3"/>
                <c:pt idx="0">
                  <c:v>教育支出</c:v>
                </c:pt>
                <c:pt idx="1">
                  <c:v>社会保障和就业支出</c:v>
                </c:pt>
                <c:pt idx="2">
                  <c:v>住房保障支出</c:v>
                </c:pt>
              </c:strCache>
            </c:strRef>
          </c:cat>
          <c:val>
            <c:numRef>
              <c:f>Sheet6!$C$3:$C$5</c:f>
              <c:numCache>
                <c:formatCode>#,##0.00</c:formatCode>
                <c:ptCount val="3"/>
                <c:pt idx="0">
                  <c:v>7928.42</c:v>
                </c:pt>
                <c:pt idx="1">
                  <c:v>525.33999999999946</c:v>
                </c:pt>
                <c:pt idx="2">
                  <c:v>611.80999999999949</c:v>
                </c:pt>
              </c:numCache>
            </c:numRef>
          </c:val>
        </c:ser>
        <c:dLbls>
          <c:showLegendKey val="0"/>
          <c:showVal val="0"/>
          <c:showCatName val="0"/>
          <c:showSerName val="0"/>
          <c:showPercent val="1"/>
          <c:showBubbleSize val="0"/>
          <c:showLeaderLines val="1"/>
        </c:dLbls>
        <c:firstSliceAng val="0"/>
      </c:pieChart>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Sheet7!$B$1</c:f>
              <c:strCache>
                <c:ptCount val="1"/>
                <c:pt idx="0">
                  <c:v>“三公”经费财政拨款支出结构</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true"/>
                <c15:leaderLines/>
              </c:ext>
            </c:extLst>
          </c:dLbls>
          <c:cat>
            <c:strRef>
              <c:f>Sheet7!$A$2:$A$4</c:f>
              <c:strCache>
                <c:ptCount val="3"/>
                <c:pt idx="0">
                  <c:v>因公出国（境）费</c:v>
                </c:pt>
                <c:pt idx="1">
                  <c:v>公务用车购置及运行维护费</c:v>
                </c:pt>
                <c:pt idx="2">
                  <c:v>公务接待费</c:v>
                </c:pt>
              </c:strCache>
            </c:strRef>
          </c:cat>
          <c:val>
            <c:numRef>
              <c:f>Sheet7!$B$2:$B$4</c:f>
              <c:numCache>
                <c:formatCode>#,##0.00</c:formatCode>
                <c:ptCount val="3"/>
                <c:pt idx="0" formatCode="General">
                  <c:v>0</c:v>
                </c:pt>
                <c:pt idx="1">
                  <c:v>1.1800000000000017</c:v>
                </c:pt>
                <c:pt idx="2" formatCode="General">
                  <c:v>0</c:v>
                </c:pt>
              </c:numCache>
            </c:numRef>
          </c:val>
        </c:ser>
        <c:dLbls>
          <c:showLegendKey val="0"/>
          <c:showVal val="0"/>
          <c:showCatName val="0"/>
          <c:showSerName val="0"/>
          <c:showPercent val="1"/>
          <c:showBubbleSize val="0"/>
          <c:showLeaderLines val="1"/>
        </c:dLbls>
        <c:firstSliceAng val="0"/>
      </c:pieChart>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705</Words>
  <Characters>4025</Characters>
  <Application>Microsoft Office Word</Application>
  <DocSecurity>0</DocSecurity>
  <Lines>33</Lines>
  <Paragraphs>9</Paragraphs>
  <ScaleCrop>false</ScaleCrop>
  <Company>四川省财政厅</Company>
  <LinksUpToDate>false</LinksUpToDate>
  <CharactersWithSpaces>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104</cp:revision>
  <cp:lastPrinted>2023-07-31T10:35:00Z</cp:lastPrinted>
  <dcterms:created xsi:type="dcterms:W3CDTF">2020-08-05T09:49:00Z</dcterms:created>
  <dcterms:modified xsi:type="dcterms:W3CDTF">2026-10-20T00:44:00Z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ies>
</file>