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A2A" w:rsidRDefault="00D57A2A" w:rsidP="006130B2">
      <w:pPr>
        <w:pStyle w:val="a0"/>
        <w:spacing w:before="93"/>
        <w:rPr>
          <w:rFonts w:ascii="黑体" w:eastAsia="黑体" w:hAnsi="黑体" w:cs="黑体"/>
          <w:kern w:val="2"/>
          <w:sz w:val="32"/>
          <w:szCs w:val="32"/>
        </w:rPr>
      </w:pPr>
      <w:bookmarkStart w:id="0" w:name="_Toc15377425"/>
      <w:bookmarkStart w:id="1" w:name="_Toc15377193"/>
      <w:bookmarkStart w:id="2" w:name="_Toc15378441"/>
      <w:bookmarkStart w:id="3" w:name="_Toc15396597"/>
      <w:bookmarkStart w:id="4" w:name="_Toc15396475"/>
      <w:bookmarkStart w:id="5" w:name="_Toc15306267"/>
    </w:p>
    <w:p w:rsidR="00D57A2A" w:rsidRDefault="00D57A2A" w:rsidP="006130B2">
      <w:pPr>
        <w:pStyle w:val="a0"/>
        <w:spacing w:before="93"/>
        <w:rPr>
          <w:rFonts w:ascii="Times New Roman" w:eastAsia="方正小标宋简体"/>
          <w:kern w:val="2"/>
          <w:sz w:val="72"/>
          <w:szCs w:val="72"/>
        </w:rPr>
      </w:pPr>
    </w:p>
    <w:p w:rsidR="00D57A2A" w:rsidRDefault="00D57A2A" w:rsidP="006130B2">
      <w:pPr>
        <w:pStyle w:val="a0"/>
        <w:spacing w:before="93"/>
        <w:rPr>
          <w:rFonts w:ascii="Times New Roman" w:eastAsia="方正小标宋简体"/>
          <w:kern w:val="2"/>
          <w:sz w:val="72"/>
          <w:szCs w:val="72"/>
        </w:rPr>
      </w:pPr>
    </w:p>
    <w:p w:rsidR="00D57A2A" w:rsidRDefault="00D57A2A" w:rsidP="006130B2">
      <w:pPr>
        <w:pStyle w:val="a0"/>
        <w:spacing w:before="93"/>
        <w:rPr>
          <w:rFonts w:ascii="Times New Roman" w:eastAsia="方正小标宋简体"/>
          <w:kern w:val="2"/>
          <w:sz w:val="72"/>
          <w:szCs w:val="72"/>
        </w:rPr>
      </w:pPr>
    </w:p>
    <w:p w:rsidR="00D57A2A" w:rsidRDefault="00D57A2A" w:rsidP="006130B2">
      <w:pPr>
        <w:pStyle w:val="a0"/>
        <w:spacing w:before="93"/>
        <w:rPr>
          <w:rFonts w:ascii="Times New Roman" w:eastAsia="方正小标宋简体"/>
          <w:kern w:val="2"/>
          <w:sz w:val="72"/>
          <w:szCs w:val="72"/>
        </w:rPr>
      </w:pPr>
    </w:p>
    <w:p w:rsidR="00D57A2A" w:rsidRDefault="00056866">
      <w:pPr>
        <w:pStyle w:val="a0"/>
        <w:spacing w:before="93"/>
        <w:jc w:val="center"/>
        <w:rPr>
          <w:rFonts w:ascii="Times New Roman" w:eastAsia="方正小标宋简体"/>
          <w:kern w:val="2"/>
          <w:sz w:val="44"/>
          <w:szCs w:val="44"/>
        </w:rPr>
      </w:pPr>
      <w:r>
        <w:rPr>
          <w:rFonts w:ascii="Times New Roman" w:eastAsia="方正小标宋简体" w:hint="eastAsia"/>
          <w:kern w:val="2"/>
          <w:sz w:val="44"/>
          <w:szCs w:val="44"/>
        </w:rPr>
        <w:t>2025</w:t>
      </w:r>
      <w:r>
        <w:rPr>
          <w:rFonts w:ascii="Times New Roman" w:eastAsia="方正小标宋简体" w:hint="eastAsia"/>
          <w:kern w:val="2"/>
          <w:sz w:val="44"/>
          <w:szCs w:val="44"/>
        </w:rPr>
        <w:t>年度四川省</w:t>
      </w:r>
    </w:p>
    <w:p w:rsidR="00D57A2A" w:rsidRDefault="00056866">
      <w:pPr>
        <w:pStyle w:val="a0"/>
        <w:spacing w:before="93"/>
        <w:jc w:val="center"/>
        <w:rPr>
          <w:rFonts w:ascii="Times New Roman" w:eastAsia="方正小标宋简体"/>
          <w:kern w:val="2"/>
          <w:sz w:val="44"/>
          <w:szCs w:val="44"/>
        </w:rPr>
      </w:pPr>
      <w:r>
        <w:rPr>
          <w:rFonts w:ascii="Times New Roman" w:eastAsia="方正小标宋简体" w:hint="eastAsia"/>
          <w:kern w:val="2"/>
          <w:sz w:val="44"/>
          <w:szCs w:val="44"/>
        </w:rPr>
        <w:t>攀枝花市社会体育指导中心决算</w:t>
      </w:r>
    </w:p>
    <w:p w:rsidR="00D57A2A" w:rsidRDefault="00056866">
      <w:pPr>
        <w:spacing w:line="600" w:lineRule="exact"/>
        <w:jc w:val="center"/>
        <w:outlineLvl w:val="0"/>
        <w:rPr>
          <w:rFonts w:eastAsia="方正小标宋简体"/>
          <w:sz w:val="72"/>
          <w:szCs w:val="72"/>
        </w:rPr>
      </w:pPr>
      <w:r>
        <w:rPr>
          <w:rFonts w:eastAsia="方正小标宋简体" w:hint="eastAsia"/>
          <w:sz w:val="44"/>
          <w:szCs w:val="44"/>
        </w:rPr>
        <w:t>公开编制说明</w:t>
      </w:r>
    </w:p>
    <w:p w:rsidR="00D57A2A" w:rsidRDefault="00D57A2A">
      <w:pPr>
        <w:pStyle w:val="5"/>
        <w:rPr>
          <w:rFonts w:ascii="Times New Roman" w:hAnsi="Times New Roman"/>
        </w:rPr>
        <w:sectPr w:rsidR="00D57A2A">
          <w:headerReference w:type="default" r:id="rId9"/>
          <w:footerReference w:type="default" r:id="rId10"/>
          <w:footerReference w:type="first" r:id="rId11"/>
          <w:pgSz w:w="11906" w:h="16838"/>
          <w:pgMar w:top="1440" w:right="1800" w:bottom="1440" w:left="1800" w:header="851" w:footer="992" w:gutter="0"/>
          <w:pgNumType w:start="1"/>
          <w:cols w:space="425"/>
          <w:docGrid w:type="lines" w:linePitch="312"/>
        </w:sectPr>
      </w:pPr>
    </w:p>
    <w:p w:rsidR="00D57A2A" w:rsidRDefault="00D57A2A"/>
    <w:p w:rsidR="00D57A2A" w:rsidRDefault="00D57A2A" w:rsidP="006130B2">
      <w:pPr>
        <w:pStyle w:val="a0"/>
        <w:spacing w:before="93"/>
        <w:jc w:val="center"/>
        <w:rPr>
          <w:rFonts w:ascii="Times New Roman" w:eastAsia="方正小标宋简体"/>
          <w:kern w:val="2"/>
          <w:sz w:val="44"/>
          <w:szCs w:val="44"/>
        </w:rPr>
      </w:pPr>
    </w:p>
    <w:p w:rsidR="00D57A2A" w:rsidRDefault="00D57A2A" w:rsidP="006130B2">
      <w:pPr>
        <w:pStyle w:val="a0"/>
        <w:spacing w:before="93"/>
        <w:jc w:val="center"/>
        <w:rPr>
          <w:rFonts w:ascii="Times New Roman" w:eastAsia="方正小标宋简体"/>
          <w:kern w:val="2"/>
          <w:sz w:val="44"/>
          <w:szCs w:val="44"/>
        </w:rPr>
      </w:pPr>
    </w:p>
    <w:p w:rsidR="00D57A2A" w:rsidRDefault="00D57A2A" w:rsidP="006130B2">
      <w:pPr>
        <w:pStyle w:val="a0"/>
        <w:spacing w:before="93"/>
        <w:jc w:val="center"/>
        <w:rPr>
          <w:rFonts w:ascii="Times New Roman" w:eastAsia="方正小标宋简体"/>
          <w:kern w:val="2"/>
          <w:sz w:val="44"/>
          <w:szCs w:val="44"/>
        </w:rPr>
      </w:pPr>
    </w:p>
    <w:p w:rsidR="00D57A2A" w:rsidRDefault="00D57A2A" w:rsidP="006130B2">
      <w:pPr>
        <w:pStyle w:val="a0"/>
        <w:spacing w:before="93"/>
        <w:jc w:val="center"/>
        <w:rPr>
          <w:rFonts w:ascii="Times New Roman" w:eastAsia="方正小标宋简体"/>
          <w:kern w:val="2"/>
          <w:sz w:val="44"/>
          <w:szCs w:val="44"/>
        </w:rPr>
      </w:pPr>
    </w:p>
    <w:p w:rsidR="00D57A2A" w:rsidRDefault="00056866" w:rsidP="006130B2">
      <w:pPr>
        <w:pStyle w:val="a0"/>
        <w:spacing w:before="93"/>
        <w:jc w:val="center"/>
        <w:rPr>
          <w:rFonts w:ascii="Times New Roman" w:eastAsia="方正小标宋简体"/>
          <w:kern w:val="2"/>
          <w:sz w:val="44"/>
          <w:szCs w:val="44"/>
        </w:rPr>
      </w:pPr>
      <w:bookmarkStart w:id="6" w:name="_Toc15396598"/>
      <w:bookmarkStart w:id="7" w:name="_Toc15396476"/>
      <w:bookmarkStart w:id="8" w:name="_Toc15377426"/>
      <w:bookmarkStart w:id="9" w:name="_Toc15378442"/>
      <w:bookmarkStart w:id="10" w:name="_Toc15377194"/>
      <w:bookmarkEnd w:id="0"/>
      <w:bookmarkEnd w:id="1"/>
      <w:bookmarkEnd w:id="2"/>
      <w:bookmarkEnd w:id="3"/>
      <w:bookmarkEnd w:id="4"/>
      <w:r>
        <w:rPr>
          <w:rFonts w:ascii="Times New Roman" w:eastAsia="方正小标宋简体" w:hint="eastAsia"/>
          <w:kern w:val="2"/>
          <w:sz w:val="44"/>
          <w:szCs w:val="44"/>
        </w:rPr>
        <w:t>2025</w:t>
      </w:r>
      <w:r>
        <w:rPr>
          <w:rFonts w:ascii="Times New Roman" w:eastAsia="方正小标宋简体" w:hint="eastAsia"/>
          <w:kern w:val="2"/>
          <w:sz w:val="44"/>
          <w:szCs w:val="44"/>
        </w:rPr>
        <w:t>年度</w:t>
      </w:r>
      <w:r>
        <w:rPr>
          <w:rFonts w:ascii="Times New Roman" w:eastAsia="方正小标宋简体" w:hint="eastAsia"/>
          <w:kern w:val="2"/>
          <w:sz w:val="44"/>
          <w:szCs w:val="44"/>
        </w:rPr>
        <w:t>四川省</w:t>
      </w:r>
      <w:bookmarkStart w:id="11" w:name="_Toc15306268"/>
      <w:bookmarkEnd w:id="5"/>
    </w:p>
    <w:p w:rsidR="00D57A2A" w:rsidRDefault="00056866" w:rsidP="006130B2">
      <w:pPr>
        <w:pStyle w:val="a0"/>
        <w:spacing w:before="93"/>
        <w:jc w:val="center"/>
        <w:rPr>
          <w:rFonts w:ascii="Times New Roman" w:eastAsia="方正小标宋简体"/>
          <w:kern w:val="2"/>
          <w:sz w:val="44"/>
          <w:szCs w:val="44"/>
        </w:rPr>
      </w:pPr>
      <w:r>
        <w:rPr>
          <w:rFonts w:ascii="Times New Roman" w:eastAsia="方正小标宋简体" w:hint="eastAsia"/>
          <w:kern w:val="2"/>
          <w:sz w:val="44"/>
          <w:szCs w:val="44"/>
        </w:rPr>
        <w:t>攀枝花市社会体育指导中心</w:t>
      </w:r>
      <w:r>
        <w:rPr>
          <w:rFonts w:ascii="Times New Roman" w:eastAsia="方正小标宋简体" w:hint="eastAsia"/>
          <w:kern w:val="2"/>
          <w:sz w:val="44"/>
          <w:szCs w:val="44"/>
        </w:rPr>
        <w:t>部门决算</w:t>
      </w:r>
      <w:bookmarkEnd w:id="6"/>
      <w:bookmarkEnd w:id="7"/>
      <w:bookmarkEnd w:id="8"/>
      <w:bookmarkEnd w:id="9"/>
      <w:bookmarkEnd w:id="10"/>
      <w:bookmarkEnd w:id="11"/>
    </w:p>
    <w:p w:rsidR="00D57A2A" w:rsidRDefault="00D57A2A">
      <w:pPr>
        <w:pStyle w:val="21"/>
        <w:adjustRightInd w:val="0"/>
        <w:snapToGrid w:val="0"/>
        <w:spacing w:line="560" w:lineRule="exact"/>
        <w:jc w:val="left"/>
        <w:rPr>
          <w:rFonts w:eastAsia="仿宋_GB2312" w:cs="仿宋_GB2312"/>
          <w:sz w:val="32"/>
          <w:szCs w:val="32"/>
        </w:rPr>
      </w:pPr>
    </w:p>
    <w:p w:rsidR="00D57A2A" w:rsidRPr="006130B2" w:rsidRDefault="00D57A2A">
      <w:pPr>
        <w:widowControl/>
        <w:jc w:val="center"/>
        <w:rPr>
          <w:rFonts w:eastAsia="黑体"/>
          <w:sz w:val="48"/>
          <w:szCs w:val="48"/>
        </w:rPr>
        <w:sectPr w:rsidR="00D57A2A" w:rsidRPr="006130B2">
          <w:footerReference w:type="default" r:id="rId12"/>
          <w:footerReference w:type="first" r:id="rId13"/>
          <w:pgSz w:w="11906" w:h="16838"/>
          <w:pgMar w:top="1440" w:right="1800" w:bottom="1440" w:left="1800" w:header="851" w:footer="992" w:gutter="0"/>
          <w:pgNumType w:start="1"/>
          <w:cols w:space="425"/>
          <w:titlePg/>
          <w:docGrid w:type="lines" w:linePitch="312"/>
        </w:sectPr>
      </w:pPr>
      <w:bookmarkStart w:id="12" w:name="_GoBack"/>
      <w:bookmarkEnd w:id="12"/>
    </w:p>
    <w:p w:rsidR="00D57A2A" w:rsidRDefault="00056866">
      <w:pPr>
        <w:widowControl/>
        <w:jc w:val="center"/>
        <w:rPr>
          <w:rFonts w:eastAsia="黑体"/>
          <w:sz w:val="48"/>
          <w:szCs w:val="48"/>
        </w:rPr>
      </w:pPr>
      <w:r>
        <w:rPr>
          <w:rFonts w:eastAsia="黑体" w:hint="eastAsia"/>
          <w:sz w:val="48"/>
          <w:szCs w:val="48"/>
        </w:rPr>
        <w:lastRenderedPageBreak/>
        <w:t>目录</w:t>
      </w:r>
    </w:p>
    <w:p w:rsidR="00D57A2A" w:rsidRDefault="00D57A2A">
      <w:pPr>
        <w:widowControl/>
        <w:jc w:val="center"/>
        <w:rPr>
          <w:rFonts w:eastAsia="黑体" w:cstheme="minorBidi"/>
          <w:sz w:val="28"/>
          <w:szCs w:val="28"/>
        </w:rPr>
      </w:pPr>
    </w:p>
    <w:p w:rsidR="00D57A2A" w:rsidRDefault="00056866">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w:t>
      </w:r>
      <w:r>
        <w:rPr>
          <w:rFonts w:ascii="Times New Roman" w:eastAsia="仿宋_GB2312" w:hAnsi="Times New Roman" w:cs="仿宋_GB2312" w:hint="eastAsia"/>
          <w:sz w:val="32"/>
          <w:szCs w:val="32"/>
        </w:rPr>
        <w:t>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 xml:space="preserve">  </w:t>
      </w:r>
      <w:r>
        <w:rPr>
          <w:rFonts w:ascii="Times New Roman" w:eastAsia="仿宋_GB2312" w:hAnsi="Times New Roman" w:cs="仿宋_GB2312"/>
          <w:sz w:val="32"/>
          <w:szCs w:val="32"/>
          <w:lang w:val="en"/>
        </w:rPr>
        <w:t>9</w:t>
      </w:r>
      <w:r>
        <w:rPr>
          <w:rFonts w:ascii="Times New Roman" w:eastAsia="仿宋_GB2312" w:hAnsi="Times New Roman" w:cs="仿宋_GB2312" w:hint="eastAsia"/>
          <w:sz w:val="32"/>
          <w:szCs w:val="32"/>
        </w:rPr>
        <w:t>月</w:t>
      </w:r>
      <w:r>
        <w:rPr>
          <w:rFonts w:ascii="Times New Roman" w:eastAsia="仿宋_GB2312" w:hAnsi="Times New Roman" w:cs="仿宋_GB2312"/>
          <w:sz w:val="32"/>
          <w:szCs w:val="32"/>
          <w:lang w:val="en"/>
        </w:rPr>
        <w:t>11</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日</w:t>
      </w:r>
    </w:p>
    <w:p w:rsidR="00D57A2A" w:rsidRDefault="00D57A2A"/>
    <w:p w:rsidR="00D57A2A" w:rsidRDefault="00056866">
      <w:pPr>
        <w:pStyle w:val="10"/>
        <w:adjustRightInd w:val="0"/>
        <w:snapToGrid w:val="0"/>
        <w:spacing w:before="0" w:line="560" w:lineRule="exact"/>
        <w:jc w:val="left"/>
        <w:rPr>
          <w:rFonts w:ascii="Times New Roman" w:eastAsia="黑体" w:hAnsi="Times New Roman" w:cs="黑体"/>
          <w:sz w:val="32"/>
          <w:szCs w:val="32"/>
          <w:lang w:val="en"/>
        </w:rPr>
      </w:pPr>
      <w:r>
        <w:rPr>
          <w:rFonts w:ascii="Times New Roman" w:eastAsia="黑体" w:hAnsi="Times New Roman" w:cs="黑体" w:hint="eastAsia"/>
          <w:sz w:val="32"/>
          <w:szCs w:val="32"/>
        </w:rPr>
        <w:t>第一部分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部门概况</w:t>
      </w:r>
      <w:r>
        <w:rPr>
          <w:rFonts w:ascii="Times New Roman" w:eastAsia="仿宋_GB2312" w:hAnsi="Times New Roman" w:cs="仿宋_GB2312" w:hint="eastAsia"/>
          <w:sz w:val="32"/>
          <w:szCs w:val="32"/>
        </w:rPr>
        <w:tab/>
      </w:r>
      <w:r>
        <w:rPr>
          <w:rFonts w:ascii="Times New Roman" w:eastAsia="仿宋_GB2312" w:hAnsi="Times New Roman" w:cs="仿宋_GB2312"/>
          <w:sz w:val="32"/>
          <w:szCs w:val="32"/>
          <w:lang w:val="en"/>
        </w:rPr>
        <w:t>1</w:t>
      </w:r>
    </w:p>
    <w:p w:rsidR="00D57A2A" w:rsidRDefault="00056866">
      <w:pPr>
        <w:pStyle w:val="21"/>
        <w:adjustRightInd w:val="0"/>
        <w:snapToGrid w:val="0"/>
        <w:spacing w:line="560" w:lineRule="exact"/>
        <w:ind w:leftChars="0" w:left="0" w:firstLineChars="200" w:firstLine="640"/>
        <w:jc w:val="left"/>
        <w:rPr>
          <w:lang w:val="en"/>
        </w:rPr>
      </w:pPr>
      <w:r>
        <w:rPr>
          <w:rFonts w:eastAsia="仿宋_GB2312" w:cs="仿宋_GB2312" w:hint="eastAsia"/>
          <w:sz w:val="32"/>
          <w:szCs w:val="32"/>
        </w:rPr>
        <w:t>一、</w:t>
      </w:r>
      <w:r>
        <w:rPr>
          <w:rFonts w:eastAsia="仿宋_GB2312" w:cs="仿宋_GB2312" w:hint="eastAsia"/>
          <w:sz w:val="32"/>
          <w:szCs w:val="32"/>
        </w:rPr>
        <w:t>部门职责</w:t>
      </w:r>
      <w:r>
        <w:rPr>
          <w:rFonts w:eastAsia="仿宋_GB2312" w:cs="仿宋_GB2312" w:hint="eastAsia"/>
          <w:sz w:val="32"/>
          <w:szCs w:val="32"/>
        </w:rPr>
        <w:tab/>
      </w:r>
      <w:r>
        <w:rPr>
          <w:rFonts w:eastAsia="仿宋_GB2312" w:cs="仿宋_GB2312"/>
          <w:sz w:val="32"/>
          <w:szCs w:val="32"/>
          <w:lang w:val="en"/>
        </w:rPr>
        <w:t>1</w:t>
      </w:r>
    </w:p>
    <w:p w:rsidR="00D57A2A" w:rsidRDefault="00056866">
      <w:pPr>
        <w:pStyle w:val="21"/>
        <w:adjustRightInd w:val="0"/>
        <w:snapToGrid w:val="0"/>
        <w:spacing w:line="560" w:lineRule="exact"/>
        <w:ind w:leftChars="0" w:left="0" w:firstLineChars="200" w:firstLine="640"/>
        <w:jc w:val="left"/>
        <w:rPr>
          <w:lang w:val="en"/>
        </w:rPr>
      </w:pPr>
      <w:r>
        <w:rPr>
          <w:rFonts w:eastAsia="仿宋_GB2312" w:cs="仿宋_GB2312" w:hint="eastAsia"/>
          <w:sz w:val="32"/>
          <w:szCs w:val="32"/>
        </w:rPr>
        <w:t>二、机构设置</w:t>
      </w:r>
      <w:r>
        <w:rPr>
          <w:rFonts w:eastAsia="仿宋_GB2312" w:cs="仿宋_GB2312" w:hint="eastAsia"/>
          <w:sz w:val="32"/>
          <w:szCs w:val="32"/>
        </w:rPr>
        <w:tab/>
      </w:r>
      <w:r>
        <w:rPr>
          <w:rFonts w:eastAsia="仿宋_GB2312" w:cs="仿宋_GB2312"/>
          <w:sz w:val="32"/>
          <w:szCs w:val="32"/>
          <w:lang w:val="en"/>
        </w:rPr>
        <w:t>1</w:t>
      </w:r>
    </w:p>
    <w:p w:rsidR="00D57A2A" w:rsidRDefault="00056866">
      <w:pPr>
        <w:pStyle w:val="10"/>
        <w:adjustRightInd w:val="0"/>
        <w:snapToGrid w:val="0"/>
        <w:spacing w:before="0" w:line="560" w:lineRule="exact"/>
        <w:jc w:val="left"/>
        <w:rPr>
          <w:lang w:val="en"/>
        </w:rPr>
      </w:pPr>
      <w:r>
        <w:rPr>
          <w:rFonts w:ascii="Times New Roman" w:eastAsia="黑体" w:hAnsi="Times New Roman" w:cs="黑体" w:hint="eastAsia"/>
          <w:sz w:val="32"/>
          <w:szCs w:val="32"/>
        </w:rPr>
        <w:t>第二部分</w:t>
      </w:r>
      <w:r>
        <w:rPr>
          <w:rFonts w:ascii="Times New Roman" w:eastAsia="黑体" w:hAnsi="Times New Roman" w:cs="黑体" w:hint="eastAsia"/>
          <w:sz w:val="32"/>
          <w:szCs w:val="32"/>
        </w:rPr>
        <w:t xml:space="preserve"> 2025</w:t>
      </w:r>
      <w:r>
        <w:rPr>
          <w:rFonts w:ascii="Times New Roman" w:eastAsia="黑体" w:hAnsi="Times New Roman" w:cs="黑体" w:hint="eastAsia"/>
          <w:sz w:val="32"/>
          <w:szCs w:val="32"/>
        </w:rPr>
        <w:t>年度</w:t>
      </w:r>
      <w:r>
        <w:rPr>
          <w:rFonts w:ascii="Times New Roman" w:eastAsia="黑体" w:hAnsi="Times New Roman" w:cs="黑体" w:hint="eastAsia"/>
          <w:sz w:val="32"/>
          <w:szCs w:val="32"/>
        </w:rPr>
        <w:t>部门决算情况说明</w:t>
      </w:r>
      <w:r>
        <w:rPr>
          <w:rFonts w:ascii="Times New Roman" w:eastAsia="仿宋_GB2312" w:hAnsi="Times New Roman" w:cs="仿宋_GB2312" w:hint="eastAsia"/>
          <w:sz w:val="32"/>
          <w:szCs w:val="32"/>
        </w:rPr>
        <w:tab/>
      </w:r>
      <w:r>
        <w:rPr>
          <w:rFonts w:ascii="Times New Roman" w:eastAsia="仿宋_GB2312" w:hAnsi="Times New Roman" w:cs="仿宋_GB2312"/>
          <w:sz w:val="32"/>
          <w:szCs w:val="32"/>
          <w:lang w:val="en"/>
        </w:rPr>
        <w:t>2</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一、收入支出决算总体情况说明</w:t>
      </w:r>
      <w:r>
        <w:rPr>
          <w:rFonts w:eastAsia="仿宋_GB2312" w:cs="仿宋_GB2312" w:hint="eastAsia"/>
          <w:sz w:val="32"/>
          <w:szCs w:val="32"/>
        </w:rPr>
        <w:tab/>
      </w:r>
      <w:r>
        <w:rPr>
          <w:rFonts w:eastAsia="仿宋_GB2312" w:cs="仿宋_GB2312"/>
          <w:sz w:val="32"/>
          <w:szCs w:val="32"/>
          <w:lang w:val="en"/>
        </w:rPr>
        <w:t>2</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二、收入决算情况说明</w:t>
      </w:r>
      <w:r>
        <w:rPr>
          <w:rFonts w:eastAsia="仿宋_GB2312" w:cs="仿宋_GB2312" w:hint="eastAsia"/>
          <w:sz w:val="32"/>
          <w:szCs w:val="32"/>
        </w:rPr>
        <w:tab/>
      </w:r>
      <w:r>
        <w:rPr>
          <w:rFonts w:eastAsia="仿宋_GB2312" w:cs="仿宋_GB2312"/>
          <w:sz w:val="32"/>
          <w:szCs w:val="32"/>
          <w:lang w:val="en"/>
        </w:rPr>
        <w:t>2</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三、支出决算情况说明</w:t>
      </w:r>
      <w:r>
        <w:rPr>
          <w:rFonts w:eastAsia="仿宋_GB2312" w:cs="仿宋_GB2312" w:hint="eastAsia"/>
          <w:sz w:val="32"/>
          <w:szCs w:val="32"/>
        </w:rPr>
        <w:tab/>
      </w:r>
      <w:r>
        <w:rPr>
          <w:rFonts w:eastAsia="仿宋_GB2312" w:cs="仿宋_GB2312"/>
          <w:sz w:val="32"/>
          <w:szCs w:val="32"/>
          <w:lang w:val="en"/>
        </w:rPr>
        <w:t>3</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四、财政拨款收入支出决算总体情况说明</w:t>
      </w:r>
      <w:r>
        <w:rPr>
          <w:rFonts w:eastAsia="仿宋_GB2312" w:cs="仿宋_GB2312" w:hint="eastAsia"/>
          <w:sz w:val="32"/>
          <w:szCs w:val="32"/>
        </w:rPr>
        <w:tab/>
      </w:r>
      <w:r>
        <w:rPr>
          <w:rFonts w:eastAsia="仿宋_GB2312" w:cs="仿宋_GB2312"/>
          <w:sz w:val="32"/>
          <w:szCs w:val="32"/>
          <w:lang w:val="en"/>
        </w:rPr>
        <w:t>4</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五、一般公共预算财政拨款支出决算情况说明</w:t>
      </w:r>
      <w:r>
        <w:rPr>
          <w:rFonts w:eastAsia="仿宋_GB2312" w:cs="仿宋_GB2312" w:hint="eastAsia"/>
          <w:sz w:val="32"/>
          <w:szCs w:val="32"/>
        </w:rPr>
        <w:tab/>
      </w:r>
      <w:r>
        <w:rPr>
          <w:rFonts w:eastAsia="仿宋_GB2312" w:cs="仿宋_GB2312"/>
          <w:sz w:val="32"/>
          <w:szCs w:val="32"/>
          <w:lang w:val="en"/>
        </w:rPr>
        <w:t>5</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六、一般公共预算财政拨款基本支出决算情况说明</w:t>
      </w:r>
      <w:r>
        <w:rPr>
          <w:rFonts w:eastAsia="仿宋_GB2312" w:cs="仿宋_GB2312" w:hint="eastAsia"/>
          <w:sz w:val="32"/>
          <w:szCs w:val="32"/>
        </w:rPr>
        <w:tab/>
      </w:r>
      <w:r>
        <w:rPr>
          <w:rFonts w:eastAsia="仿宋_GB2312" w:cs="仿宋_GB2312"/>
          <w:sz w:val="32"/>
          <w:szCs w:val="32"/>
          <w:lang w:val="en"/>
        </w:rPr>
        <w:t>7</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七、财政拨款</w:t>
      </w:r>
      <w:r>
        <w:rPr>
          <w:rFonts w:eastAsia="仿宋_GB2312" w:cs="仿宋_GB2312" w:hint="eastAsia"/>
          <w:sz w:val="32"/>
          <w:szCs w:val="32"/>
        </w:rPr>
        <w:t>“</w:t>
      </w:r>
      <w:r>
        <w:rPr>
          <w:rFonts w:eastAsia="仿宋_GB2312" w:cs="仿宋_GB2312" w:hint="eastAsia"/>
          <w:sz w:val="32"/>
          <w:szCs w:val="32"/>
        </w:rPr>
        <w:t>三公”经费支出决算情况说明</w:t>
      </w:r>
      <w:r>
        <w:rPr>
          <w:rFonts w:eastAsia="仿宋_GB2312" w:cs="仿宋_GB2312" w:hint="eastAsia"/>
          <w:sz w:val="32"/>
          <w:szCs w:val="32"/>
        </w:rPr>
        <w:tab/>
      </w:r>
      <w:r>
        <w:rPr>
          <w:rFonts w:eastAsia="仿宋_GB2312" w:cs="仿宋_GB2312"/>
          <w:sz w:val="32"/>
          <w:szCs w:val="32"/>
          <w:lang w:val="en"/>
        </w:rPr>
        <w:t>8</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八、政府性基金预算支出决算情况说明</w:t>
      </w:r>
      <w:r>
        <w:rPr>
          <w:rFonts w:eastAsia="仿宋_GB2312" w:cs="仿宋_GB2312" w:hint="eastAsia"/>
          <w:sz w:val="32"/>
          <w:szCs w:val="32"/>
        </w:rPr>
        <w:tab/>
      </w:r>
      <w:r>
        <w:rPr>
          <w:rFonts w:eastAsia="仿宋_GB2312" w:cs="仿宋_GB2312"/>
          <w:sz w:val="32"/>
          <w:szCs w:val="32"/>
          <w:lang w:val="en"/>
        </w:rPr>
        <w:t>9</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九、</w:t>
      </w:r>
      <w:r>
        <w:rPr>
          <w:rFonts w:eastAsia="仿宋_GB2312" w:cs="仿宋_GB2312" w:hint="eastAsia"/>
          <w:sz w:val="32"/>
          <w:szCs w:val="32"/>
        </w:rPr>
        <w:t>国</w:t>
      </w:r>
      <w:r>
        <w:rPr>
          <w:rFonts w:eastAsia="仿宋_GB2312" w:cs="仿宋_GB2312" w:hint="eastAsia"/>
          <w:sz w:val="32"/>
          <w:szCs w:val="32"/>
        </w:rPr>
        <w:t>有资本经营预算支出决算情况说明</w:t>
      </w:r>
      <w:r>
        <w:rPr>
          <w:rFonts w:eastAsia="仿宋_GB2312" w:cs="仿宋_GB2312" w:hint="eastAsia"/>
          <w:sz w:val="32"/>
          <w:szCs w:val="32"/>
        </w:rPr>
        <w:tab/>
      </w:r>
      <w:r>
        <w:rPr>
          <w:rFonts w:eastAsia="仿宋_GB2312" w:cs="仿宋_GB2312"/>
          <w:sz w:val="32"/>
          <w:szCs w:val="32"/>
          <w:lang w:val="en"/>
        </w:rPr>
        <w:t>9</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十</w:t>
      </w:r>
      <w:r>
        <w:rPr>
          <w:rFonts w:eastAsia="仿宋_GB2312" w:cs="仿宋_GB2312" w:hint="eastAsia"/>
          <w:sz w:val="32"/>
          <w:szCs w:val="32"/>
        </w:rPr>
        <w:t>、其他重要事项的情况说明</w:t>
      </w:r>
      <w:r>
        <w:rPr>
          <w:rFonts w:eastAsia="仿宋_GB2312" w:cs="仿宋_GB2312" w:hint="eastAsia"/>
          <w:sz w:val="32"/>
          <w:szCs w:val="32"/>
        </w:rPr>
        <w:tab/>
      </w:r>
      <w:r>
        <w:rPr>
          <w:rFonts w:eastAsia="仿宋_GB2312" w:cs="仿宋_GB2312"/>
          <w:sz w:val="32"/>
          <w:szCs w:val="32"/>
          <w:lang w:val="en"/>
        </w:rPr>
        <w:t>10</w:t>
      </w:r>
    </w:p>
    <w:p w:rsidR="00D57A2A" w:rsidRDefault="00056866">
      <w:pPr>
        <w:pStyle w:val="10"/>
        <w:adjustRightInd w:val="0"/>
        <w:snapToGrid w:val="0"/>
        <w:spacing w:before="0" w:line="560" w:lineRule="exact"/>
        <w:jc w:val="left"/>
        <w:rPr>
          <w:rFonts w:ascii="Times New Roman" w:eastAsia="黑体" w:hAnsi="Times New Roman" w:cs="黑体"/>
          <w:sz w:val="32"/>
          <w:szCs w:val="32"/>
          <w:lang w:val="en"/>
        </w:rPr>
      </w:pPr>
      <w:r>
        <w:rPr>
          <w:rFonts w:ascii="Times New Roman" w:eastAsia="黑体" w:hAnsi="Times New Roman" w:cs="黑体" w:hint="eastAsia"/>
          <w:sz w:val="32"/>
          <w:szCs w:val="32"/>
        </w:rPr>
        <w:t>第三部分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名词解释</w:t>
      </w:r>
      <w:r>
        <w:rPr>
          <w:rFonts w:ascii="Times New Roman" w:eastAsia="仿宋_GB2312" w:hAnsi="Times New Roman" w:cs="仿宋_GB2312" w:hint="eastAsia"/>
          <w:sz w:val="32"/>
          <w:szCs w:val="32"/>
        </w:rPr>
        <w:tab/>
      </w:r>
      <w:r>
        <w:rPr>
          <w:rFonts w:ascii="Times New Roman" w:eastAsia="仿宋_GB2312" w:hAnsi="Times New Roman" w:cs="仿宋_GB2312"/>
          <w:sz w:val="32"/>
          <w:szCs w:val="32"/>
          <w:lang w:val="en"/>
        </w:rPr>
        <w:t>11</w:t>
      </w:r>
    </w:p>
    <w:p w:rsidR="00D57A2A" w:rsidRDefault="00056866">
      <w:pPr>
        <w:pStyle w:val="10"/>
        <w:adjustRightInd w:val="0"/>
        <w:snapToGrid w:val="0"/>
        <w:spacing w:before="0" w:line="560" w:lineRule="exact"/>
        <w:jc w:val="left"/>
        <w:rPr>
          <w:rFonts w:ascii="Times New Roman" w:eastAsia="黑体" w:hAnsi="Times New Roman" w:cs="黑体"/>
          <w:sz w:val="32"/>
          <w:szCs w:val="32"/>
          <w:lang w:val="en"/>
        </w:rPr>
      </w:pPr>
      <w:r>
        <w:rPr>
          <w:rFonts w:ascii="Times New Roman" w:eastAsia="黑体" w:hAnsi="Times New Roman" w:cs="黑体" w:hint="eastAsia"/>
          <w:sz w:val="32"/>
          <w:szCs w:val="32"/>
        </w:rPr>
        <w:t>第四部分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附件</w:t>
      </w:r>
      <w:r>
        <w:rPr>
          <w:rFonts w:ascii="Times New Roman" w:eastAsia="仿宋_GB2312" w:hAnsi="Times New Roman" w:cs="仿宋_GB2312" w:hint="eastAsia"/>
          <w:sz w:val="32"/>
          <w:szCs w:val="32"/>
        </w:rPr>
        <w:tab/>
      </w:r>
      <w:r>
        <w:rPr>
          <w:rFonts w:ascii="Times New Roman" w:eastAsia="仿宋_GB2312" w:hAnsi="Times New Roman" w:cs="仿宋_GB2312"/>
          <w:sz w:val="32"/>
          <w:szCs w:val="32"/>
          <w:lang w:val="en"/>
        </w:rPr>
        <w:t>13</w:t>
      </w:r>
    </w:p>
    <w:p w:rsidR="00D57A2A" w:rsidRDefault="00056866">
      <w:pPr>
        <w:pStyle w:val="10"/>
        <w:adjustRightInd w:val="0"/>
        <w:snapToGrid w:val="0"/>
        <w:spacing w:before="0" w:line="560" w:lineRule="exact"/>
        <w:jc w:val="left"/>
        <w:rPr>
          <w:rFonts w:ascii="Times New Roman" w:eastAsia="黑体" w:hAnsi="Times New Roman" w:cs="黑体"/>
          <w:sz w:val="32"/>
          <w:szCs w:val="32"/>
          <w:lang w:val="en"/>
        </w:rPr>
      </w:pPr>
      <w:r>
        <w:rPr>
          <w:rFonts w:ascii="Times New Roman" w:eastAsia="黑体" w:hAnsi="Times New Roman" w:cs="黑体" w:hint="eastAsia"/>
          <w:sz w:val="32"/>
          <w:szCs w:val="32"/>
        </w:rPr>
        <w:t>第五部分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附表</w:t>
      </w:r>
      <w:r>
        <w:rPr>
          <w:rFonts w:ascii="Times New Roman" w:eastAsia="仿宋_GB2312" w:hAnsi="Times New Roman" w:cs="仿宋_GB2312" w:hint="eastAsia"/>
          <w:sz w:val="32"/>
          <w:szCs w:val="32"/>
        </w:rPr>
        <w:tab/>
      </w:r>
      <w:r>
        <w:rPr>
          <w:rFonts w:ascii="Times New Roman" w:eastAsia="仿宋_GB2312" w:hAnsi="Times New Roman" w:cs="仿宋_GB2312"/>
          <w:sz w:val="32"/>
          <w:szCs w:val="32"/>
          <w:lang w:val="en"/>
        </w:rPr>
        <w:t>13</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一、收入支出决算总表</w:t>
      </w:r>
      <w:r>
        <w:rPr>
          <w:rFonts w:eastAsia="仿宋_GB2312" w:cs="仿宋_GB2312" w:hint="eastAsia"/>
          <w:sz w:val="32"/>
          <w:szCs w:val="32"/>
        </w:rPr>
        <w:tab/>
      </w:r>
      <w:r>
        <w:rPr>
          <w:rFonts w:eastAsia="仿宋_GB2312" w:cs="仿宋_GB2312"/>
          <w:sz w:val="32"/>
          <w:szCs w:val="32"/>
          <w:lang w:val="en"/>
        </w:rPr>
        <w:t>13</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二、收入决算表</w:t>
      </w:r>
      <w:r>
        <w:rPr>
          <w:rFonts w:eastAsia="仿宋_GB2312" w:cs="仿宋_GB2312" w:hint="eastAsia"/>
          <w:sz w:val="32"/>
          <w:szCs w:val="32"/>
        </w:rPr>
        <w:tab/>
      </w:r>
      <w:r>
        <w:rPr>
          <w:rFonts w:eastAsia="仿宋_GB2312" w:cs="仿宋_GB2312"/>
          <w:sz w:val="32"/>
          <w:szCs w:val="32"/>
          <w:lang w:val="en"/>
        </w:rPr>
        <w:t>13</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sectPr w:rsidR="00D57A2A">
          <w:footerReference w:type="default" r:id="rId14"/>
          <w:footerReference w:type="first" r:id="rId15"/>
          <w:pgSz w:w="11906" w:h="16838"/>
          <w:pgMar w:top="1440" w:right="1800" w:bottom="1440" w:left="1800" w:header="851" w:footer="992" w:gutter="0"/>
          <w:cols w:space="425"/>
          <w:docGrid w:type="lines" w:linePitch="312"/>
        </w:sectPr>
      </w:pPr>
      <w:r>
        <w:rPr>
          <w:rFonts w:eastAsia="仿宋_GB2312" w:cs="仿宋_GB2312" w:hint="eastAsia"/>
          <w:sz w:val="32"/>
          <w:szCs w:val="32"/>
        </w:rPr>
        <w:t>三、支出决算表</w:t>
      </w:r>
      <w:r>
        <w:rPr>
          <w:rFonts w:eastAsia="仿宋_GB2312" w:cs="仿宋_GB2312" w:hint="eastAsia"/>
          <w:sz w:val="32"/>
          <w:szCs w:val="32"/>
        </w:rPr>
        <w:tab/>
      </w:r>
      <w:r>
        <w:rPr>
          <w:rFonts w:eastAsia="仿宋_GB2312" w:cs="仿宋_GB2312"/>
          <w:sz w:val="32"/>
          <w:szCs w:val="32"/>
          <w:lang w:val="en"/>
        </w:rPr>
        <w:t>13</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lastRenderedPageBreak/>
        <w:t>四、财政拨款收入支出决算总表</w:t>
      </w:r>
      <w:r>
        <w:rPr>
          <w:rFonts w:eastAsia="仿宋_GB2312" w:cs="仿宋_GB2312" w:hint="eastAsia"/>
          <w:sz w:val="32"/>
          <w:szCs w:val="32"/>
        </w:rPr>
        <w:tab/>
      </w:r>
      <w:r>
        <w:rPr>
          <w:rFonts w:eastAsia="仿宋_GB2312" w:cs="仿宋_GB2312"/>
          <w:sz w:val="32"/>
          <w:szCs w:val="32"/>
          <w:lang w:val="en"/>
        </w:rPr>
        <w:t>13</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五、财政拨款支出决算明细表</w:t>
      </w:r>
      <w:r>
        <w:rPr>
          <w:rFonts w:eastAsia="仿宋_GB2312" w:cs="仿宋_GB2312" w:hint="eastAsia"/>
          <w:sz w:val="32"/>
          <w:szCs w:val="32"/>
        </w:rPr>
        <w:tab/>
      </w:r>
      <w:r>
        <w:rPr>
          <w:rFonts w:eastAsia="仿宋_GB2312" w:cs="仿宋_GB2312"/>
          <w:sz w:val="32"/>
          <w:szCs w:val="32"/>
          <w:lang w:val="en"/>
        </w:rPr>
        <w:t>13</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六、一般公共预算财政拨款支出决算表</w:t>
      </w:r>
      <w:r>
        <w:rPr>
          <w:rFonts w:eastAsia="仿宋_GB2312" w:cs="仿宋_GB2312" w:hint="eastAsia"/>
          <w:sz w:val="32"/>
          <w:szCs w:val="32"/>
        </w:rPr>
        <w:tab/>
      </w:r>
      <w:r>
        <w:rPr>
          <w:rFonts w:eastAsia="仿宋_GB2312" w:cs="仿宋_GB2312"/>
          <w:sz w:val="32"/>
          <w:szCs w:val="32"/>
          <w:lang w:val="en"/>
        </w:rPr>
        <w:t>13</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七、一般公共预算财政拨款支出决算明细表</w:t>
      </w:r>
      <w:r>
        <w:rPr>
          <w:rFonts w:eastAsia="仿宋_GB2312" w:cs="仿宋_GB2312" w:hint="eastAsia"/>
          <w:sz w:val="32"/>
          <w:szCs w:val="32"/>
        </w:rPr>
        <w:tab/>
      </w:r>
      <w:r>
        <w:rPr>
          <w:rFonts w:eastAsia="仿宋_GB2312" w:cs="仿宋_GB2312"/>
          <w:sz w:val="32"/>
          <w:szCs w:val="32"/>
          <w:lang w:val="en"/>
        </w:rPr>
        <w:t>13</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八、一般公共预算财政拨款基本支出决算</w:t>
      </w:r>
      <w:r>
        <w:rPr>
          <w:rFonts w:eastAsia="仿宋_GB2312" w:cs="仿宋_GB2312" w:hint="eastAsia"/>
          <w:sz w:val="32"/>
          <w:szCs w:val="32"/>
        </w:rPr>
        <w:t>明细</w:t>
      </w:r>
      <w:r>
        <w:rPr>
          <w:rFonts w:eastAsia="仿宋_GB2312" w:cs="仿宋_GB2312" w:hint="eastAsia"/>
          <w:sz w:val="32"/>
          <w:szCs w:val="32"/>
        </w:rPr>
        <w:t>表</w:t>
      </w:r>
      <w:r>
        <w:rPr>
          <w:rFonts w:eastAsia="仿宋_GB2312" w:cs="仿宋_GB2312" w:hint="eastAsia"/>
          <w:sz w:val="32"/>
          <w:szCs w:val="32"/>
        </w:rPr>
        <w:tab/>
      </w:r>
      <w:r>
        <w:rPr>
          <w:rFonts w:eastAsia="仿宋_GB2312" w:cs="仿宋_GB2312"/>
          <w:sz w:val="32"/>
          <w:szCs w:val="32"/>
          <w:lang w:val="en"/>
        </w:rPr>
        <w:t>13</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九、一般公共预算财政拨款项目支出决算表</w:t>
      </w:r>
      <w:r>
        <w:rPr>
          <w:rFonts w:eastAsia="仿宋_GB2312" w:cs="仿宋_GB2312" w:hint="eastAsia"/>
          <w:sz w:val="32"/>
          <w:szCs w:val="32"/>
        </w:rPr>
        <w:tab/>
      </w:r>
      <w:r>
        <w:rPr>
          <w:rFonts w:eastAsia="仿宋_GB2312" w:cs="仿宋_GB2312"/>
          <w:sz w:val="32"/>
          <w:szCs w:val="32"/>
          <w:lang w:val="en"/>
        </w:rPr>
        <w:t>13</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十、政府性基金预算财政拨款收入支出决算表</w:t>
      </w:r>
      <w:r>
        <w:rPr>
          <w:rFonts w:eastAsia="仿宋_GB2312" w:cs="仿宋_GB2312" w:hint="eastAsia"/>
          <w:sz w:val="32"/>
          <w:szCs w:val="32"/>
        </w:rPr>
        <w:tab/>
      </w:r>
      <w:r>
        <w:rPr>
          <w:rFonts w:eastAsia="仿宋_GB2312" w:cs="仿宋_GB2312"/>
          <w:sz w:val="32"/>
          <w:szCs w:val="32"/>
          <w:lang w:val="en"/>
        </w:rPr>
        <w:t>14</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十一、国有资本经营预算财政拨款收入支出决算表</w:t>
      </w:r>
      <w:r>
        <w:rPr>
          <w:rFonts w:eastAsia="仿宋_GB2312" w:cs="仿宋_GB2312" w:hint="eastAsia"/>
          <w:sz w:val="32"/>
          <w:szCs w:val="32"/>
        </w:rPr>
        <w:tab/>
      </w:r>
      <w:r>
        <w:rPr>
          <w:rFonts w:eastAsia="仿宋_GB2312" w:cs="仿宋_GB2312"/>
          <w:sz w:val="32"/>
          <w:szCs w:val="32"/>
          <w:lang w:val="en"/>
        </w:rPr>
        <w:t>14</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十二、</w:t>
      </w:r>
      <w:r>
        <w:rPr>
          <w:rFonts w:eastAsia="仿宋_GB2312" w:cs="仿宋_GB2312" w:hint="eastAsia"/>
          <w:sz w:val="32"/>
          <w:szCs w:val="32"/>
        </w:rPr>
        <w:t>国有资本经营预算财政拨款支出决算表</w:t>
      </w:r>
      <w:r>
        <w:rPr>
          <w:rFonts w:eastAsia="仿宋_GB2312" w:cs="仿宋_GB2312" w:hint="eastAsia"/>
          <w:sz w:val="32"/>
          <w:szCs w:val="32"/>
        </w:rPr>
        <w:tab/>
      </w:r>
      <w:r>
        <w:rPr>
          <w:rFonts w:eastAsia="仿宋_GB2312" w:cs="仿宋_GB2312"/>
          <w:sz w:val="32"/>
          <w:szCs w:val="32"/>
          <w:lang w:val="en"/>
        </w:rPr>
        <w:t>14</w:t>
      </w:r>
    </w:p>
    <w:p w:rsidR="00D57A2A" w:rsidRDefault="00056866">
      <w:pPr>
        <w:pStyle w:val="21"/>
        <w:adjustRightInd w:val="0"/>
        <w:snapToGrid w:val="0"/>
        <w:spacing w:line="560" w:lineRule="exact"/>
        <w:ind w:leftChars="0" w:left="0" w:firstLineChars="200" w:firstLine="640"/>
        <w:jc w:val="left"/>
        <w:rPr>
          <w:rFonts w:eastAsia="仿宋_GB2312" w:cs="仿宋_GB2312"/>
          <w:sz w:val="32"/>
          <w:szCs w:val="32"/>
          <w:lang w:val="en"/>
        </w:rPr>
      </w:pPr>
      <w:r>
        <w:rPr>
          <w:rFonts w:eastAsia="仿宋_GB2312" w:cs="仿宋_GB2312" w:hint="eastAsia"/>
          <w:sz w:val="32"/>
          <w:szCs w:val="32"/>
        </w:rPr>
        <w:t>十三、财政拨款“三公”经费支出决算表</w:t>
      </w:r>
      <w:r>
        <w:rPr>
          <w:rFonts w:eastAsia="仿宋_GB2312" w:cs="仿宋_GB2312" w:hint="eastAsia"/>
          <w:sz w:val="32"/>
          <w:szCs w:val="32"/>
        </w:rPr>
        <w:tab/>
      </w:r>
      <w:r>
        <w:rPr>
          <w:rFonts w:eastAsia="仿宋_GB2312" w:cs="仿宋_GB2312"/>
          <w:sz w:val="32"/>
          <w:szCs w:val="32"/>
          <w:lang w:val="en"/>
        </w:rPr>
        <w:t>14</w:t>
      </w:r>
    </w:p>
    <w:p w:rsidR="00D57A2A" w:rsidRDefault="00D57A2A">
      <w:pPr>
        <w:pStyle w:val="1"/>
        <w:jc w:val="center"/>
        <w:rPr>
          <w:rFonts w:eastAsia="方正小标宋简体" w:cs="方正小标宋简体"/>
          <w:b w:val="0"/>
        </w:rPr>
        <w:sectPr w:rsidR="00D57A2A">
          <w:footerReference w:type="default" r:id="rId16"/>
          <w:pgSz w:w="11906" w:h="16838"/>
          <w:pgMar w:top="1440" w:right="1800" w:bottom="1440" w:left="1800" w:header="851" w:footer="992" w:gutter="0"/>
          <w:cols w:space="425"/>
          <w:docGrid w:type="lines" w:linePitch="312"/>
        </w:sectPr>
      </w:pPr>
      <w:bookmarkStart w:id="13" w:name="_Toc15396599"/>
      <w:bookmarkStart w:id="14" w:name="_Toc15377196"/>
    </w:p>
    <w:p w:rsidR="00D57A2A" w:rsidRDefault="00056866">
      <w:pPr>
        <w:pStyle w:val="1"/>
        <w:jc w:val="center"/>
        <w:rPr>
          <w:rFonts w:eastAsia="黑体"/>
          <w:sz w:val="32"/>
          <w:szCs w:val="32"/>
        </w:rPr>
      </w:pPr>
      <w:r>
        <w:rPr>
          <w:rFonts w:eastAsia="方正小标宋简体" w:cs="方正小标宋简体" w:hint="eastAsia"/>
          <w:b w:val="0"/>
        </w:rPr>
        <w:lastRenderedPageBreak/>
        <w:t>第一部分</w:t>
      </w:r>
      <w:r>
        <w:rPr>
          <w:rFonts w:eastAsia="方正小标宋简体" w:cs="方正小标宋简体" w:hint="eastAsia"/>
          <w:b w:val="0"/>
        </w:rPr>
        <w:t xml:space="preserve"> </w:t>
      </w:r>
      <w:r>
        <w:rPr>
          <w:rFonts w:eastAsia="方正小标宋简体" w:cs="方正小标宋简体" w:hint="eastAsia"/>
          <w:b w:val="0"/>
        </w:rPr>
        <w:t xml:space="preserve"> </w:t>
      </w:r>
      <w:r>
        <w:rPr>
          <w:rStyle w:val="1Char"/>
          <w:rFonts w:eastAsia="方正小标宋简体" w:cs="方正小标宋简体" w:hint="eastAsia"/>
        </w:rPr>
        <w:t>部门概况</w:t>
      </w:r>
      <w:bookmarkEnd w:id="13"/>
      <w:bookmarkEnd w:id="14"/>
    </w:p>
    <w:p w:rsidR="00D57A2A" w:rsidRDefault="00056866">
      <w:pPr>
        <w:pStyle w:val="2"/>
        <w:numPr>
          <w:ilvl w:val="0"/>
          <w:numId w:val="1"/>
        </w:numPr>
        <w:rPr>
          <w:rFonts w:ascii="Times New Roman" w:eastAsia="黑体" w:hAnsi="Times New Roman"/>
          <w:b w:val="0"/>
        </w:rPr>
      </w:pPr>
      <w:r>
        <w:rPr>
          <w:rFonts w:ascii="Times New Roman" w:eastAsia="黑体" w:hAnsi="Times New Roman" w:hint="eastAsia"/>
          <w:b w:val="0"/>
        </w:rPr>
        <w:t>部门职责</w:t>
      </w:r>
    </w:p>
    <w:p w:rsidR="00D57A2A" w:rsidRDefault="00056866">
      <w:pPr>
        <w:ind w:firstLineChars="200" w:firstLine="640"/>
      </w:pPr>
      <w:r>
        <w:rPr>
          <w:rFonts w:ascii="仿宋" w:eastAsia="仿宋" w:hAnsi="仿宋" w:hint="eastAsia"/>
          <w:sz w:val="32"/>
          <w:szCs w:val="32"/>
        </w:rPr>
        <w:t>攀枝花市社会体育指导中心</w:t>
      </w:r>
      <w:r>
        <w:rPr>
          <w:rFonts w:ascii="仿宋_GB2312" w:eastAsia="仿宋_GB2312" w:hint="eastAsia"/>
          <w:kern w:val="0"/>
          <w:sz w:val="32"/>
          <w:szCs w:val="32"/>
        </w:rPr>
        <w:t>是市教育和体育局直属的独立核算二级预算单位，主要职责</w:t>
      </w:r>
      <w:r>
        <w:rPr>
          <w:rFonts w:ascii="仿宋" w:eastAsia="仿宋" w:hAnsi="仿宋" w:hint="eastAsia"/>
          <w:sz w:val="32"/>
          <w:szCs w:val="32"/>
        </w:rPr>
        <w:t>是组织实施《全民健身条例》，推动全民健身计划的开展；负责社会体育具体工作的开展和项目骨干的培训、技术指导等事务性工作，推动体育项目的普及和运动技术水平提高；按照市教育和体育局社会体育赛事、活动计划组织开展各级各类群众性体育活动，为全市各系统行业单位体育活动提供全方位支持，推动社会体育发展；制定攀枝花市国民体质测试具体实施方案，组织实施国民体质测试，对测试者出据运动处方，对市民健身效果进行评价，为攀枝花市全民健身活动的开展提供科学指导；每五年为国家体育总局、四川省体育局提供国民体质监测样本，为体育科学研究和相</w:t>
      </w:r>
      <w:r>
        <w:rPr>
          <w:rFonts w:ascii="仿宋" w:eastAsia="仿宋" w:hAnsi="仿宋" w:hint="eastAsia"/>
          <w:sz w:val="32"/>
          <w:szCs w:val="32"/>
        </w:rPr>
        <w:t>关部门决策提供依据。</w:t>
      </w:r>
    </w:p>
    <w:p w:rsidR="00D57A2A" w:rsidRDefault="00056866">
      <w:pPr>
        <w:pStyle w:val="2"/>
        <w:rPr>
          <w:rStyle w:val="2Char"/>
          <w:rFonts w:ascii="Times New Roman" w:hAnsi="Times New Roman"/>
        </w:rPr>
      </w:pPr>
      <w:bookmarkStart w:id="15" w:name="_Toc15396601"/>
      <w:bookmarkStart w:id="16" w:name="_Toc15377200"/>
      <w:r>
        <w:rPr>
          <w:rFonts w:ascii="Times New Roman" w:eastAsia="黑体" w:hAnsi="Times New Roman" w:hint="eastAsia"/>
          <w:b w:val="0"/>
        </w:rPr>
        <w:t>二、机</w:t>
      </w:r>
      <w:r>
        <w:rPr>
          <w:rStyle w:val="2Char"/>
          <w:rFonts w:ascii="Times New Roman" w:eastAsia="黑体" w:hAnsi="Times New Roman" w:hint="eastAsia"/>
        </w:rPr>
        <w:t>构设置</w:t>
      </w:r>
      <w:bookmarkEnd w:id="15"/>
      <w:bookmarkEnd w:id="16"/>
    </w:p>
    <w:p w:rsidR="00D57A2A" w:rsidRDefault="00056866">
      <w:pPr>
        <w:ind w:firstLineChars="200" w:firstLine="640"/>
        <w:rPr>
          <w:rFonts w:eastAsia="仿宋"/>
          <w:kern w:val="0"/>
          <w:sz w:val="32"/>
          <w:szCs w:val="32"/>
        </w:rPr>
      </w:pPr>
      <w:r>
        <w:rPr>
          <w:rFonts w:ascii="仿宋" w:eastAsia="仿宋" w:hAnsi="仿宋" w:hint="eastAsia"/>
          <w:sz w:val="32"/>
          <w:szCs w:val="32"/>
        </w:rPr>
        <w:t>攀枝花市社会体育指导中心是市教育和体育局下属独立核算全额拨款事业单位，单位事业编制</w:t>
      </w:r>
      <w:r>
        <w:rPr>
          <w:rFonts w:ascii="仿宋" w:eastAsia="仿宋" w:hAnsi="仿宋"/>
          <w:sz w:val="32"/>
          <w:szCs w:val="32"/>
          <w:lang w:val="en"/>
        </w:rPr>
        <w:t>10</w:t>
      </w:r>
      <w:r>
        <w:rPr>
          <w:rFonts w:ascii="仿宋" w:eastAsia="仿宋" w:hAnsi="仿宋" w:hint="eastAsia"/>
          <w:sz w:val="32"/>
          <w:szCs w:val="32"/>
        </w:rPr>
        <w:t>个，内设机构</w:t>
      </w:r>
      <w:r>
        <w:rPr>
          <w:rFonts w:ascii="仿宋" w:eastAsia="仿宋" w:hAnsi="仿宋" w:hint="eastAsia"/>
          <w:sz w:val="32"/>
          <w:szCs w:val="32"/>
        </w:rPr>
        <w:t>0</w:t>
      </w:r>
      <w:r>
        <w:rPr>
          <w:rFonts w:ascii="仿宋" w:eastAsia="仿宋" w:hAnsi="仿宋" w:hint="eastAsia"/>
          <w:sz w:val="32"/>
          <w:szCs w:val="32"/>
        </w:rPr>
        <w:t>个。</w:t>
      </w:r>
    </w:p>
    <w:p w:rsidR="00D57A2A" w:rsidRDefault="00056866">
      <w:pPr>
        <w:pStyle w:val="1"/>
        <w:jc w:val="center"/>
        <w:rPr>
          <w:rFonts w:eastAsia="方正小标宋简体" w:cs="方正小标宋简体"/>
          <w:b w:val="0"/>
        </w:rPr>
      </w:pPr>
      <w:bookmarkStart w:id="17" w:name="_Toc15396602"/>
      <w:bookmarkStart w:id="18" w:name="_Toc15377204"/>
      <w:r>
        <w:rPr>
          <w:rFonts w:eastAsia="方正小标宋简体" w:cs="方正小标宋简体" w:hint="eastAsia"/>
          <w:b w:val="0"/>
        </w:rPr>
        <w:lastRenderedPageBreak/>
        <w:t>第二部分</w:t>
      </w:r>
      <w:r>
        <w:rPr>
          <w:rFonts w:eastAsia="方正小标宋简体" w:cs="方正小标宋简体" w:hint="eastAsia"/>
          <w:b w:val="0"/>
        </w:rPr>
        <w:t xml:space="preserve"> </w:t>
      </w:r>
      <w:r>
        <w:rPr>
          <w:rFonts w:eastAsia="方正小标宋简体" w:cs="方正小标宋简体" w:hint="eastAsia"/>
          <w:b w:val="0"/>
        </w:rPr>
        <w:t xml:space="preserve"> </w:t>
      </w:r>
      <w:r>
        <w:rPr>
          <w:rFonts w:eastAsia="方正小标宋简体" w:cs="方正小标宋简体" w:hint="eastAsia"/>
          <w:b w:val="0"/>
        </w:rPr>
        <w:t>2025</w:t>
      </w:r>
      <w:r>
        <w:rPr>
          <w:rFonts w:eastAsia="方正小标宋简体" w:cs="方正小标宋简体" w:hint="eastAsia"/>
          <w:b w:val="0"/>
        </w:rPr>
        <w:t>年度</w:t>
      </w:r>
      <w:r>
        <w:rPr>
          <w:rFonts w:eastAsia="方正小标宋简体" w:cs="方正小标宋简体" w:hint="eastAsia"/>
          <w:b w:val="0"/>
        </w:rPr>
        <w:t>部门决算情况说明</w:t>
      </w:r>
      <w:bookmarkEnd w:id="17"/>
      <w:bookmarkEnd w:id="18"/>
    </w:p>
    <w:p w:rsidR="00D57A2A" w:rsidRDefault="00D57A2A"/>
    <w:p w:rsidR="00D57A2A" w:rsidRDefault="00056866">
      <w:pPr>
        <w:pStyle w:val="ab"/>
        <w:ind w:firstLine="640"/>
        <w:outlineLvl w:val="1"/>
        <w:rPr>
          <w:rStyle w:val="2Char"/>
          <w:rFonts w:ascii="Times New Roman" w:eastAsia="黑体" w:hAnsi="Times New Roman"/>
          <w:b w:val="0"/>
        </w:rPr>
      </w:pPr>
      <w:bookmarkStart w:id="19" w:name="_Toc15377205"/>
      <w:bookmarkStart w:id="20" w:name="_Toc15396603"/>
      <w:r>
        <w:rPr>
          <w:rFonts w:eastAsia="黑体" w:hint="eastAsia"/>
          <w:sz w:val="32"/>
          <w:szCs w:val="32"/>
        </w:rPr>
        <w:t>一、</w:t>
      </w:r>
      <w:r>
        <w:rPr>
          <w:rFonts w:eastAsia="黑体" w:hint="eastAsia"/>
          <w:sz w:val="32"/>
          <w:szCs w:val="32"/>
        </w:rPr>
        <w:t>收</w:t>
      </w:r>
      <w:r>
        <w:rPr>
          <w:rStyle w:val="2Char"/>
          <w:rFonts w:ascii="Times New Roman" w:eastAsia="黑体" w:hAnsi="Times New Roman" w:hint="eastAsia"/>
          <w:b w:val="0"/>
        </w:rPr>
        <w:t>入支出决算总体情况说明</w:t>
      </w:r>
      <w:bookmarkEnd w:id="19"/>
      <w:bookmarkEnd w:id="20"/>
    </w:p>
    <w:p w:rsidR="00D57A2A" w:rsidRDefault="00056866">
      <w:pPr>
        <w:pStyle w:val="ab"/>
        <w:spacing w:line="360" w:lineRule="auto"/>
        <w:ind w:firstLine="640"/>
        <w:outlineLvl w:val="1"/>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总计</w:t>
      </w:r>
      <w:r>
        <w:rPr>
          <w:rFonts w:eastAsia="仿宋_GB2312" w:cs="仿宋_GB2312" w:hint="eastAsia"/>
          <w:sz w:val="32"/>
          <w:szCs w:val="32"/>
        </w:rPr>
        <w:t>均为</w:t>
      </w:r>
      <w:r>
        <w:rPr>
          <w:rFonts w:ascii="仿宋_GB2312" w:eastAsia="仿宋_GB2312" w:hAnsi="仿宋_GB2312" w:cs="仿宋_GB2312" w:hint="eastAsia"/>
          <w:sz w:val="32"/>
          <w:szCs w:val="32"/>
        </w:rPr>
        <w:t>401.64</w:t>
      </w:r>
      <w:r>
        <w:rPr>
          <w:rFonts w:eastAsia="仿宋_GB2312" w:cs="仿宋_GB2312" w:hint="eastAsia"/>
          <w:sz w:val="32"/>
          <w:szCs w:val="32"/>
        </w:rPr>
        <w:t>万元。与</w:t>
      </w:r>
      <w:r>
        <w:rPr>
          <w:rFonts w:eastAsia="仿宋_GB2312" w:cs="仿宋_GB2312" w:hint="eastAsia"/>
          <w:sz w:val="32"/>
          <w:szCs w:val="32"/>
        </w:rPr>
        <w:t>上</w:t>
      </w:r>
      <w:r>
        <w:rPr>
          <w:rFonts w:eastAsia="仿宋_GB2312" w:cs="仿宋_GB2312" w:hint="eastAsia"/>
          <w:sz w:val="32"/>
          <w:szCs w:val="32"/>
        </w:rPr>
        <w:t>年</w:t>
      </w:r>
      <w:r>
        <w:rPr>
          <w:rFonts w:eastAsia="仿宋_GB2312" w:cs="仿宋_GB2312" w:hint="eastAsia"/>
          <w:sz w:val="32"/>
          <w:szCs w:val="32"/>
        </w:rPr>
        <w:t>度</w:t>
      </w:r>
      <w:r>
        <w:rPr>
          <w:rFonts w:eastAsia="仿宋_GB2312" w:cs="仿宋_GB2312" w:hint="eastAsia"/>
          <w:sz w:val="32"/>
          <w:szCs w:val="32"/>
        </w:rPr>
        <w:t>相比，</w:t>
      </w:r>
      <w:r>
        <w:rPr>
          <w:rFonts w:eastAsia="仿宋_GB2312" w:cs="仿宋_GB2312" w:hint="eastAsia"/>
          <w:sz w:val="32"/>
          <w:szCs w:val="32"/>
        </w:rPr>
        <w:t>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总计各增加</w:t>
      </w:r>
      <w:r>
        <w:rPr>
          <w:rFonts w:eastAsia="仿宋_GB2312" w:cs="仿宋_GB2312" w:hint="eastAsia"/>
          <w:sz w:val="32"/>
          <w:szCs w:val="32"/>
        </w:rPr>
        <w:t>107.47</w:t>
      </w:r>
      <w:r>
        <w:rPr>
          <w:rFonts w:eastAsia="仿宋_GB2312" w:cs="仿宋_GB2312" w:hint="eastAsia"/>
          <w:sz w:val="32"/>
          <w:szCs w:val="32"/>
        </w:rPr>
        <w:t>万元，增长</w:t>
      </w:r>
      <w:r>
        <w:rPr>
          <w:rFonts w:eastAsia="仿宋_GB2312" w:cs="仿宋_GB2312" w:hint="eastAsia"/>
          <w:sz w:val="32"/>
          <w:szCs w:val="32"/>
        </w:rPr>
        <w:t>36.53</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2025</w:t>
      </w:r>
      <w:r>
        <w:rPr>
          <w:rFonts w:eastAsia="仿宋_GB2312" w:cs="仿宋_GB2312" w:hint="eastAsia"/>
          <w:sz w:val="32"/>
          <w:szCs w:val="32"/>
        </w:rPr>
        <w:t>年度项目资金比</w:t>
      </w:r>
      <w:r>
        <w:rPr>
          <w:rFonts w:eastAsia="仿宋_GB2312" w:cs="仿宋_GB2312" w:hint="eastAsia"/>
          <w:sz w:val="32"/>
          <w:szCs w:val="32"/>
        </w:rPr>
        <w:t>2024</w:t>
      </w:r>
      <w:r>
        <w:rPr>
          <w:rFonts w:eastAsia="仿宋_GB2312" w:cs="仿宋_GB2312" w:hint="eastAsia"/>
          <w:sz w:val="32"/>
          <w:szCs w:val="32"/>
        </w:rPr>
        <w:t>年度多。</w:t>
      </w:r>
    </w:p>
    <w:p w:rsidR="00D57A2A" w:rsidRDefault="00056866">
      <w:pPr>
        <w:pStyle w:val="ab"/>
        <w:spacing w:line="360" w:lineRule="auto"/>
        <w:ind w:firstLineChars="0" w:firstLine="0"/>
        <w:outlineLvl w:val="1"/>
        <w:rPr>
          <w:rFonts w:eastAsia="仿宋_GB2312" w:cs="仿宋_GB2312"/>
          <w:sz w:val="32"/>
          <w:szCs w:val="32"/>
        </w:rPr>
      </w:pPr>
      <w:r>
        <w:rPr>
          <w:rFonts w:hint="eastAsia"/>
          <w:noProof/>
          <w:sz w:val="32"/>
          <w:szCs w:val="32"/>
        </w:rPr>
        <w:drawing>
          <wp:inline distT="0" distB="0" distL="114300" distR="114300">
            <wp:extent cx="5080000" cy="3675380"/>
            <wp:effectExtent l="4445" t="4445" r="20955" b="1587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57A2A" w:rsidRDefault="00056866">
      <w:pPr>
        <w:pStyle w:val="ab"/>
        <w:ind w:firstLine="640"/>
        <w:outlineLvl w:val="1"/>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1</w:t>
      </w:r>
      <w:r>
        <w:rPr>
          <w:rFonts w:eastAsia="仿宋_GB2312" w:cs="仿宋_GB2312" w:hint="eastAsia"/>
          <w:sz w:val="32"/>
          <w:szCs w:val="32"/>
        </w:rPr>
        <w:t>：</w:t>
      </w:r>
      <w:r>
        <w:rPr>
          <w:rFonts w:eastAsia="仿宋_GB2312" w:cs="仿宋_GB2312" w:hint="eastAsia"/>
          <w:sz w:val="32"/>
          <w:szCs w:val="32"/>
        </w:rPr>
        <w:t>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决算总计变动情况图）（柱状图）</w:t>
      </w:r>
    </w:p>
    <w:p w:rsidR="00D57A2A" w:rsidRDefault="00D57A2A">
      <w:pPr>
        <w:pStyle w:val="ab"/>
        <w:ind w:firstLine="640"/>
        <w:outlineLvl w:val="1"/>
        <w:rPr>
          <w:rFonts w:eastAsia="仿宋_GB2312" w:cs="仿宋_GB2312"/>
          <w:sz w:val="32"/>
          <w:szCs w:val="32"/>
        </w:rPr>
      </w:pPr>
    </w:p>
    <w:p w:rsidR="00D57A2A" w:rsidRDefault="00056866">
      <w:pPr>
        <w:pStyle w:val="ab"/>
        <w:ind w:firstLine="640"/>
        <w:outlineLvl w:val="1"/>
        <w:rPr>
          <w:rFonts w:eastAsia="黑体"/>
          <w:sz w:val="32"/>
          <w:szCs w:val="32"/>
        </w:rPr>
      </w:pPr>
      <w:bookmarkStart w:id="21" w:name="_Toc15396604"/>
      <w:bookmarkStart w:id="22" w:name="_Toc15377206"/>
      <w:r>
        <w:rPr>
          <w:rFonts w:eastAsia="黑体" w:hint="eastAsia"/>
          <w:sz w:val="32"/>
          <w:szCs w:val="32"/>
        </w:rPr>
        <w:t>二、收入决算情况说明</w:t>
      </w:r>
      <w:bookmarkEnd w:id="21"/>
      <w:bookmarkEnd w:id="22"/>
    </w:p>
    <w:p w:rsidR="00D57A2A" w:rsidRDefault="00056866">
      <w:pPr>
        <w:pStyle w:val="ab"/>
        <w:ind w:firstLine="640"/>
        <w:outlineLvl w:val="1"/>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本年收入合计</w:t>
      </w:r>
      <w:r>
        <w:rPr>
          <w:rFonts w:ascii="仿宋_GB2312" w:eastAsia="仿宋_GB2312" w:hAnsi="仿宋_GB2312" w:cs="仿宋_GB2312" w:hint="eastAsia"/>
          <w:sz w:val="32"/>
          <w:szCs w:val="32"/>
        </w:rPr>
        <w:t>401.64</w:t>
      </w:r>
      <w:r>
        <w:rPr>
          <w:rFonts w:eastAsia="仿宋_GB2312" w:cs="仿宋_GB2312" w:hint="eastAsia"/>
          <w:sz w:val="32"/>
          <w:szCs w:val="32"/>
        </w:rPr>
        <w:t>万元，其中：一般公共预算财政拨款收入</w:t>
      </w:r>
      <w:r>
        <w:rPr>
          <w:rFonts w:ascii="仿宋_GB2312" w:eastAsia="仿宋_GB2312" w:hAnsi="仿宋_GB2312" w:cs="仿宋_GB2312" w:hint="eastAsia"/>
          <w:sz w:val="32"/>
          <w:szCs w:val="32"/>
        </w:rPr>
        <w:t>182.88</w:t>
      </w:r>
      <w:r>
        <w:rPr>
          <w:rFonts w:eastAsia="仿宋_GB2312" w:cs="仿宋_GB2312" w:hint="eastAsia"/>
          <w:sz w:val="32"/>
          <w:szCs w:val="32"/>
        </w:rPr>
        <w:t>万元，占</w:t>
      </w:r>
      <w:r>
        <w:rPr>
          <w:rFonts w:ascii="仿宋_GB2312" w:eastAsia="仿宋_GB2312" w:hAnsi="仿宋_GB2312" w:cs="仿宋_GB2312" w:hint="eastAsia"/>
          <w:sz w:val="32"/>
          <w:szCs w:val="32"/>
        </w:rPr>
        <w:t>45.53</w:t>
      </w:r>
      <w:r>
        <w:rPr>
          <w:rFonts w:eastAsia="仿宋_GB2312" w:cs="仿宋_GB2312" w:hint="eastAsia"/>
          <w:sz w:val="32"/>
          <w:szCs w:val="32"/>
        </w:rPr>
        <w:t>%</w:t>
      </w:r>
      <w:r>
        <w:rPr>
          <w:rFonts w:eastAsia="仿宋_GB2312" w:cs="仿宋_GB2312" w:hint="eastAsia"/>
          <w:sz w:val="32"/>
          <w:szCs w:val="32"/>
        </w:rPr>
        <w:t>；政府性基金预算财政拨款收入</w:t>
      </w:r>
      <w:r>
        <w:rPr>
          <w:rFonts w:ascii="仿宋_GB2312" w:eastAsia="仿宋_GB2312" w:hAnsi="仿宋_GB2312" w:cs="仿宋_GB2312" w:hint="eastAsia"/>
          <w:sz w:val="32"/>
          <w:szCs w:val="32"/>
        </w:rPr>
        <w:t>218.76</w:t>
      </w:r>
      <w:r>
        <w:rPr>
          <w:rFonts w:eastAsia="仿宋_GB2312" w:cs="仿宋_GB2312" w:hint="eastAsia"/>
          <w:sz w:val="32"/>
          <w:szCs w:val="32"/>
        </w:rPr>
        <w:t>万元，占</w:t>
      </w:r>
      <w:r>
        <w:rPr>
          <w:rFonts w:ascii="仿宋_GB2312" w:eastAsia="仿宋_GB2312" w:hAnsi="仿宋_GB2312" w:cs="仿宋_GB2312" w:hint="eastAsia"/>
          <w:sz w:val="32"/>
          <w:szCs w:val="32"/>
        </w:rPr>
        <w:t>54.4</w:t>
      </w:r>
      <w:r>
        <w:rPr>
          <w:rFonts w:ascii="仿宋_GB2312" w:eastAsia="仿宋_GB2312" w:hAnsi="仿宋_GB2312" w:cs="仿宋_GB2312"/>
          <w:sz w:val="32"/>
          <w:szCs w:val="32"/>
          <w:lang w:val="en"/>
        </w:rPr>
        <w:t>7</w:t>
      </w:r>
      <w:r>
        <w:rPr>
          <w:rFonts w:eastAsia="仿宋_GB2312" w:cs="仿宋_GB2312" w:hint="eastAsia"/>
          <w:sz w:val="32"/>
          <w:szCs w:val="32"/>
        </w:rPr>
        <w:t>%</w:t>
      </w:r>
      <w:r>
        <w:rPr>
          <w:rFonts w:eastAsia="仿宋_GB2312" w:cs="仿宋_GB2312" w:hint="eastAsia"/>
          <w:sz w:val="32"/>
          <w:szCs w:val="32"/>
        </w:rPr>
        <w:t>；国有资本经营预</w:t>
      </w:r>
      <w:r>
        <w:rPr>
          <w:rFonts w:eastAsia="仿宋_GB2312" w:cs="仿宋_GB2312" w:hint="eastAsia"/>
          <w:sz w:val="32"/>
          <w:szCs w:val="32"/>
        </w:rPr>
        <w:lastRenderedPageBreak/>
        <w:t>算财政拨款收入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；上级补助收入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；事业收入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；经营收入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；附属单位上缴收入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；其他收入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w:t>
      </w:r>
    </w:p>
    <w:p w:rsidR="00D57A2A" w:rsidRDefault="00056866">
      <w:pPr>
        <w:pStyle w:val="ab"/>
        <w:ind w:firstLineChars="0" w:firstLine="0"/>
        <w:outlineLvl w:val="1"/>
        <w:rPr>
          <w:rFonts w:eastAsia="仿宋_GB2312" w:cs="仿宋_GB2312"/>
          <w:b/>
          <w:bCs/>
          <w:sz w:val="32"/>
          <w:szCs w:val="32"/>
        </w:rPr>
      </w:pPr>
      <w:r>
        <w:rPr>
          <w:rFonts w:ascii="仿宋" w:eastAsia="仿宋" w:hAnsi="仿宋" w:hint="eastAsia"/>
          <w:b/>
          <w:noProof/>
          <w:sz w:val="32"/>
          <w:szCs w:val="32"/>
        </w:rPr>
        <w:drawing>
          <wp:inline distT="0" distB="0" distL="114300" distR="114300">
            <wp:extent cx="5416550" cy="3700145"/>
            <wp:effectExtent l="4445" t="4445" r="8255" b="1016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57A2A" w:rsidRDefault="00056866">
      <w:pPr>
        <w:pStyle w:val="ab"/>
        <w:spacing w:line="600" w:lineRule="exact"/>
        <w:ind w:firstLine="640"/>
        <w:outlineLvl w:val="1"/>
        <w:rPr>
          <w:rFonts w:eastAsia="仿宋_GB2312" w:cs="仿宋_GB2312"/>
          <w:sz w:val="32"/>
          <w:szCs w:val="32"/>
        </w:rPr>
      </w:pPr>
      <w:r>
        <w:rPr>
          <w:rFonts w:eastAsia="仿宋_GB2312" w:cs="仿宋_GB2312" w:hint="eastAsia"/>
          <w:sz w:val="32"/>
          <w:szCs w:val="32"/>
        </w:rPr>
        <w:t xml:space="preserve">    </w:t>
      </w:r>
      <w:r>
        <w:rPr>
          <w:rFonts w:eastAsia="仿宋_GB2312" w:cs="仿宋_GB2312" w:hint="eastAsia"/>
          <w:sz w:val="32"/>
          <w:szCs w:val="32"/>
        </w:rPr>
        <w:t>（图</w:t>
      </w:r>
      <w:r>
        <w:rPr>
          <w:rFonts w:eastAsia="仿宋_GB2312" w:cs="仿宋_GB2312" w:hint="eastAsia"/>
          <w:sz w:val="32"/>
          <w:szCs w:val="32"/>
        </w:rPr>
        <w:t>2</w:t>
      </w:r>
      <w:r>
        <w:rPr>
          <w:rFonts w:eastAsia="仿宋_GB2312" w:cs="仿宋_GB2312" w:hint="eastAsia"/>
          <w:sz w:val="32"/>
          <w:szCs w:val="32"/>
        </w:rPr>
        <w:t>：收入决算结构图）（饼状图）</w:t>
      </w:r>
    </w:p>
    <w:p w:rsidR="00D57A2A" w:rsidRDefault="00D57A2A">
      <w:pPr>
        <w:pStyle w:val="ab"/>
        <w:spacing w:line="600" w:lineRule="exact"/>
        <w:ind w:firstLine="640"/>
        <w:outlineLvl w:val="1"/>
        <w:rPr>
          <w:rFonts w:eastAsia="仿宋_GB2312" w:cs="仿宋_GB2312"/>
          <w:sz w:val="32"/>
          <w:szCs w:val="32"/>
        </w:rPr>
      </w:pPr>
    </w:p>
    <w:p w:rsidR="00D57A2A" w:rsidRDefault="00056866">
      <w:pPr>
        <w:pStyle w:val="ab"/>
        <w:spacing w:line="600" w:lineRule="exact"/>
        <w:ind w:firstLine="640"/>
        <w:outlineLvl w:val="1"/>
        <w:rPr>
          <w:rStyle w:val="2Char"/>
          <w:rFonts w:ascii="Times New Roman" w:eastAsia="黑体" w:hAnsi="Times New Roman"/>
          <w:b w:val="0"/>
        </w:rPr>
      </w:pPr>
      <w:bookmarkStart w:id="23" w:name="_Toc15396605"/>
      <w:bookmarkStart w:id="24" w:name="_Toc15377207"/>
      <w:r>
        <w:rPr>
          <w:rFonts w:eastAsia="黑体" w:hint="eastAsia"/>
          <w:sz w:val="32"/>
          <w:szCs w:val="32"/>
        </w:rPr>
        <w:t>三、</w:t>
      </w:r>
      <w:r>
        <w:rPr>
          <w:rFonts w:eastAsia="黑体" w:hint="eastAsia"/>
          <w:sz w:val="32"/>
          <w:szCs w:val="32"/>
        </w:rPr>
        <w:t>支</w:t>
      </w:r>
      <w:r>
        <w:rPr>
          <w:rStyle w:val="2Char"/>
          <w:rFonts w:ascii="Times New Roman" w:eastAsia="黑体" w:hAnsi="Times New Roman" w:hint="eastAsia"/>
          <w:b w:val="0"/>
        </w:rPr>
        <w:t>出决算情况说明</w:t>
      </w:r>
      <w:bookmarkEnd w:id="23"/>
      <w:bookmarkEnd w:id="24"/>
    </w:p>
    <w:p w:rsidR="00D57A2A" w:rsidRDefault="00056866">
      <w:pPr>
        <w:pStyle w:val="ab"/>
        <w:spacing w:line="600" w:lineRule="exact"/>
        <w:ind w:firstLine="640"/>
        <w:outlineLvl w:val="1"/>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本年支出合计</w:t>
      </w:r>
      <w:r>
        <w:rPr>
          <w:rFonts w:ascii="仿宋_GB2312" w:eastAsia="仿宋_GB2312" w:hAnsi="仿宋_GB2312" w:cs="仿宋_GB2312" w:hint="eastAsia"/>
          <w:sz w:val="32"/>
          <w:szCs w:val="32"/>
        </w:rPr>
        <w:t>401.64</w:t>
      </w:r>
      <w:r>
        <w:rPr>
          <w:rFonts w:eastAsia="仿宋_GB2312" w:cs="仿宋_GB2312" w:hint="eastAsia"/>
          <w:sz w:val="32"/>
          <w:szCs w:val="32"/>
        </w:rPr>
        <w:t>万元，其中：基本支出</w:t>
      </w:r>
      <w:r>
        <w:rPr>
          <w:rFonts w:ascii="仿宋_GB2312" w:eastAsia="仿宋_GB2312" w:hAnsi="仿宋_GB2312" w:cs="仿宋_GB2312" w:hint="eastAsia"/>
          <w:sz w:val="32"/>
          <w:szCs w:val="32"/>
        </w:rPr>
        <w:t>182.88</w:t>
      </w:r>
      <w:r>
        <w:rPr>
          <w:rFonts w:eastAsia="仿宋_GB2312" w:cs="仿宋_GB2312" w:hint="eastAsia"/>
          <w:sz w:val="32"/>
          <w:szCs w:val="32"/>
        </w:rPr>
        <w:t>万元，占</w:t>
      </w:r>
      <w:r>
        <w:rPr>
          <w:rFonts w:ascii="仿宋_GB2312" w:eastAsia="仿宋_GB2312" w:hAnsi="仿宋_GB2312" w:cs="仿宋_GB2312" w:hint="eastAsia"/>
          <w:sz w:val="32"/>
          <w:szCs w:val="32"/>
        </w:rPr>
        <w:t>45.53</w:t>
      </w:r>
      <w:r>
        <w:rPr>
          <w:rFonts w:eastAsia="仿宋_GB2312" w:cs="仿宋_GB2312" w:hint="eastAsia"/>
          <w:sz w:val="32"/>
          <w:szCs w:val="32"/>
        </w:rPr>
        <w:t>%</w:t>
      </w:r>
      <w:r>
        <w:rPr>
          <w:rFonts w:eastAsia="仿宋_GB2312" w:cs="仿宋_GB2312" w:hint="eastAsia"/>
          <w:sz w:val="32"/>
          <w:szCs w:val="32"/>
        </w:rPr>
        <w:t>；项目支出</w:t>
      </w:r>
      <w:r>
        <w:rPr>
          <w:rFonts w:ascii="仿宋_GB2312" w:eastAsia="仿宋_GB2312" w:hAnsi="仿宋_GB2312" w:cs="仿宋_GB2312" w:hint="eastAsia"/>
          <w:sz w:val="32"/>
          <w:szCs w:val="32"/>
        </w:rPr>
        <w:t>218.76</w:t>
      </w:r>
      <w:r>
        <w:rPr>
          <w:rFonts w:eastAsia="仿宋_GB2312" w:cs="仿宋_GB2312" w:hint="eastAsia"/>
          <w:sz w:val="32"/>
          <w:szCs w:val="32"/>
        </w:rPr>
        <w:t>万元，占</w:t>
      </w:r>
      <w:r>
        <w:rPr>
          <w:rFonts w:ascii="仿宋_GB2312" w:eastAsia="仿宋_GB2312" w:hAnsi="仿宋_GB2312" w:cs="仿宋_GB2312" w:hint="eastAsia"/>
          <w:sz w:val="32"/>
          <w:szCs w:val="32"/>
        </w:rPr>
        <w:t>54.4</w:t>
      </w:r>
      <w:r>
        <w:rPr>
          <w:rFonts w:ascii="仿宋_GB2312" w:eastAsia="仿宋_GB2312" w:hAnsi="仿宋_GB2312" w:cs="仿宋_GB2312"/>
          <w:sz w:val="32"/>
          <w:szCs w:val="32"/>
          <w:lang w:val="en"/>
        </w:rPr>
        <w:t>7</w:t>
      </w:r>
      <w:r>
        <w:rPr>
          <w:rFonts w:eastAsia="仿宋_GB2312" w:cs="仿宋_GB2312" w:hint="eastAsia"/>
          <w:sz w:val="32"/>
          <w:szCs w:val="32"/>
        </w:rPr>
        <w:t>%</w:t>
      </w:r>
      <w:r>
        <w:rPr>
          <w:rFonts w:eastAsia="仿宋_GB2312" w:cs="仿宋_GB2312" w:hint="eastAsia"/>
          <w:sz w:val="32"/>
          <w:szCs w:val="32"/>
        </w:rPr>
        <w:t>；上缴上级支出</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；经营支出</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；对附属单位补助支出</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w:t>
      </w:r>
    </w:p>
    <w:p w:rsidR="00D57A2A" w:rsidRDefault="00D57A2A">
      <w:pPr>
        <w:pStyle w:val="ab"/>
        <w:spacing w:line="600" w:lineRule="exact"/>
        <w:ind w:firstLineChars="0" w:firstLine="0"/>
        <w:outlineLvl w:val="1"/>
        <w:rPr>
          <w:rFonts w:eastAsia="仿宋_GB2312" w:cs="仿宋_GB2312"/>
          <w:b/>
          <w:bCs/>
          <w:sz w:val="32"/>
          <w:szCs w:val="32"/>
        </w:rPr>
      </w:pPr>
    </w:p>
    <w:p w:rsidR="00D57A2A" w:rsidRDefault="00D57A2A">
      <w:pPr>
        <w:pStyle w:val="ab"/>
        <w:spacing w:line="600" w:lineRule="exact"/>
        <w:ind w:firstLineChars="0" w:firstLine="0"/>
        <w:outlineLvl w:val="1"/>
        <w:rPr>
          <w:rFonts w:eastAsia="仿宋_GB2312" w:cs="仿宋_GB2312"/>
          <w:b/>
          <w:bCs/>
          <w:sz w:val="32"/>
          <w:szCs w:val="32"/>
        </w:rPr>
      </w:pPr>
    </w:p>
    <w:p w:rsidR="00D57A2A" w:rsidRDefault="00D57A2A">
      <w:pPr>
        <w:pStyle w:val="ab"/>
        <w:spacing w:line="600" w:lineRule="exact"/>
        <w:ind w:firstLineChars="0" w:firstLine="0"/>
        <w:outlineLvl w:val="1"/>
        <w:rPr>
          <w:rFonts w:eastAsia="仿宋_GB2312" w:cs="仿宋_GB2312"/>
          <w:b/>
          <w:bCs/>
          <w:sz w:val="32"/>
          <w:szCs w:val="32"/>
        </w:rPr>
      </w:pPr>
    </w:p>
    <w:p w:rsidR="00D57A2A" w:rsidRDefault="00056866">
      <w:pPr>
        <w:pStyle w:val="ab"/>
        <w:ind w:firstLineChars="0" w:firstLine="0"/>
        <w:outlineLvl w:val="1"/>
        <w:rPr>
          <w:rFonts w:eastAsia="仿宋_GB2312" w:cs="仿宋_GB2312"/>
          <w:b/>
          <w:bCs/>
          <w:sz w:val="32"/>
          <w:szCs w:val="32"/>
        </w:rPr>
      </w:pPr>
      <w:r>
        <w:rPr>
          <w:rFonts w:ascii="仿宋" w:eastAsia="仿宋" w:hAnsi="仿宋" w:hint="eastAsia"/>
          <w:b/>
          <w:noProof/>
          <w:sz w:val="32"/>
          <w:szCs w:val="32"/>
        </w:rPr>
        <w:lastRenderedPageBreak/>
        <w:drawing>
          <wp:inline distT="0" distB="0" distL="114300" distR="114300">
            <wp:extent cx="5082540" cy="2815590"/>
            <wp:effectExtent l="4445" t="4445" r="18415" b="1841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57A2A" w:rsidRDefault="00056866">
      <w:pPr>
        <w:pStyle w:val="ab"/>
        <w:spacing w:line="600" w:lineRule="exact"/>
        <w:ind w:firstLine="640"/>
        <w:outlineLvl w:val="1"/>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：支出决算结构图）（饼状图）</w:t>
      </w:r>
    </w:p>
    <w:p w:rsidR="00D57A2A" w:rsidRDefault="00D57A2A">
      <w:pPr>
        <w:pStyle w:val="ab"/>
        <w:spacing w:line="600" w:lineRule="exact"/>
        <w:ind w:firstLine="640"/>
        <w:outlineLvl w:val="1"/>
        <w:rPr>
          <w:rFonts w:eastAsia="仿宋_GB2312" w:cs="仿宋_GB2312"/>
          <w:sz w:val="32"/>
          <w:szCs w:val="32"/>
        </w:rPr>
      </w:pPr>
    </w:p>
    <w:p w:rsidR="00D57A2A" w:rsidRDefault="00056866">
      <w:pPr>
        <w:spacing w:line="600" w:lineRule="exact"/>
        <w:ind w:firstLineChars="200" w:firstLine="640"/>
        <w:outlineLvl w:val="1"/>
        <w:rPr>
          <w:rStyle w:val="2Char"/>
          <w:rFonts w:ascii="Times New Roman" w:eastAsia="黑体" w:hAnsi="Times New Roman"/>
          <w:b w:val="0"/>
        </w:rPr>
      </w:pPr>
      <w:bookmarkStart w:id="25" w:name="_Toc15377208"/>
      <w:bookmarkStart w:id="26" w:name="_Toc15396606"/>
      <w:r>
        <w:rPr>
          <w:rFonts w:eastAsia="黑体" w:hint="eastAsia"/>
          <w:sz w:val="32"/>
          <w:szCs w:val="32"/>
        </w:rPr>
        <w:t>四、财</w:t>
      </w:r>
      <w:r>
        <w:rPr>
          <w:rStyle w:val="2Char"/>
          <w:rFonts w:ascii="Times New Roman" w:eastAsia="黑体" w:hAnsi="Times New Roman" w:hint="eastAsia"/>
          <w:b w:val="0"/>
        </w:rPr>
        <w:t>政拨款收入支出决算总体情况说明</w:t>
      </w:r>
      <w:bookmarkEnd w:id="25"/>
      <w:bookmarkEnd w:id="26"/>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财政拨款收入、支出总计均为</w:t>
      </w:r>
      <w:r>
        <w:rPr>
          <w:rFonts w:ascii="仿宋_GB2312" w:eastAsia="仿宋_GB2312" w:hAnsi="仿宋_GB2312" w:cs="仿宋_GB2312" w:hint="eastAsia"/>
          <w:sz w:val="32"/>
          <w:szCs w:val="32"/>
        </w:rPr>
        <w:t>401.64</w:t>
      </w:r>
      <w:r>
        <w:rPr>
          <w:rFonts w:eastAsia="仿宋_GB2312" w:cs="仿宋_GB2312" w:hint="eastAsia"/>
          <w:sz w:val="32"/>
          <w:szCs w:val="32"/>
        </w:rPr>
        <w:t>万元。与</w:t>
      </w:r>
      <w:r>
        <w:rPr>
          <w:rFonts w:eastAsia="仿宋_GB2312" w:cs="仿宋_GB2312" w:hint="eastAsia"/>
          <w:sz w:val="32"/>
          <w:szCs w:val="32"/>
        </w:rPr>
        <w:t>上</w:t>
      </w:r>
      <w:r>
        <w:rPr>
          <w:rFonts w:eastAsia="仿宋_GB2312" w:cs="仿宋_GB2312" w:hint="eastAsia"/>
          <w:sz w:val="32"/>
          <w:szCs w:val="32"/>
        </w:rPr>
        <w:t>年度相比，财政拨款收入、支出总计各增加</w:t>
      </w:r>
      <w:r>
        <w:rPr>
          <w:rFonts w:eastAsia="仿宋_GB2312" w:cs="仿宋_GB2312"/>
          <w:sz w:val="32"/>
          <w:szCs w:val="32"/>
          <w:lang w:val="en"/>
        </w:rPr>
        <w:t>107.47</w:t>
      </w:r>
      <w:r>
        <w:rPr>
          <w:rFonts w:eastAsia="仿宋_GB2312" w:cs="仿宋_GB2312" w:hint="eastAsia"/>
          <w:sz w:val="32"/>
          <w:szCs w:val="32"/>
        </w:rPr>
        <w:t>万元，增长</w:t>
      </w:r>
      <w:r>
        <w:rPr>
          <w:rFonts w:eastAsia="仿宋_GB2312" w:cs="仿宋_GB2312"/>
          <w:sz w:val="32"/>
          <w:szCs w:val="32"/>
          <w:lang w:val="en"/>
        </w:rPr>
        <w:t>36.53</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2025</w:t>
      </w:r>
      <w:r>
        <w:rPr>
          <w:rFonts w:eastAsia="仿宋_GB2312" w:cs="仿宋_GB2312" w:hint="eastAsia"/>
          <w:sz w:val="32"/>
          <w:szCs w:val="32"/>
        </w:rPr>
        <w:t>年度项目资金比</w:t>
      </w:r>
      <w:r>
        <w:rPr>
          <w:rFonts w:eastAsia="仿宋_GB2312" w:cs="仿宋_GB2312" w:hint="eastAsia"/>
          <w:sz w:val="32"/>
          <w:szCs w:val="32"/>
        </w:rPr>
        <w:t>2024</w:t>
      </w:r>
      <w:r>
        <w:rPr>
          <w:rFonts w:eastAsia="仿宋_GB2312" w:cs="仿宋_GB2312" w:hint="eastAsia"/>
          <w:sz w:val="32"/>
          <w:szCs w:val="32"/>
        </w:rPr>
        <w:t>年度多</w:t>
      </w:r>
    </w:p>
    <w:p w:rsidR="00D57A2A" w:rsidRDefault="00056866" w:rsidP="006130B2">
      <w:pPr>
        <w:pStyle w:val="a0"/>
        <w:spacing w:before="93"/>
        <w:rPr>
          <w:rFonts w:cs="仿宋_GB2312"/>
          <w:sz w:val="32"/>
          <w:szCs w:val="32"/>
        </w:rPr>
      </w:pPr>
      <w:r>
        <w:rPr>
          <w:rFonts w:hint="eastAsia"/>
          <w:noProof/>
          <w:sz w:val="32"/>
          <w:szCs w:val="32"/>
        </w:rPr>
        <w:drawing>
          <wp:inline distT="0" distB="0" distL="114300" distR="114300">
            <wp:extent cx="5080000" cy="2914015"/>
            <wp:effectExtent l="4445" t="4445" r="20955" b="1524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57A2A" w:rsidRDefault="00056866">
      <w:pPr>
        <w:spacing w:line="600" w:lineRule="exact"/>
        <w:rPr>
          <w:rFonts w:eastAsia="仿宋_GB2312" w:cs="仿宋_GB2312"/>
          <w:sz w:val="32"/>
          <w:szCs w:val="32"/>
        </w:rPr>
      </w:pPr>
      <w:r>
        <w:rPr>
          <w:rFonts w:eastAsia="仿宋_GB2312" w:cs="仿宋_GB2312"/>
          <w:sz w:val="32"/>
          <w:szCs w:val="32"/>
          <w:lang w:val="en"/>
        </w:rPr>
        <w:lastRenderedPageBreak/>
        <w:t xml:space="preserve">    </w:t>
      </w: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：财政拨款收、支决算总计变动情况）（柱状图）</w:t>
      </w:r>
    </w:p>
    <w:p w:rsidR="00D57A2A" w:rsidRDefault="00D57A2A">
      <w:pPr>
        <w:spacing w:line="600" w:lineRule="exact"/>
        <w:ind w:firstLine="640"/>
        <w:rPr>
          <w:rFonts w:eastAsia="仿宋_GB2312" w:cs="仿宋_GB2312"/>
          <w:sz w:val="32"/>
          <w:szCs w:val="32"/>
        </w:rPr>
      </w:pPr>
    </w:p>
    <w:p w:rsidR="00D57A2A" w:rsidRDefault="00056866">
      <w:pPr>
        <w:spacing w:line="600" w:lineRule="exact"/>
        <w:ind w:firstLineChars="200" w:firstLine="640"/>
        <w:outlineLvl w:val="1"/>
        <w:rPr>
          <w:rStyle w:val="2Char"/>
          <w:rFonts w:ascii="Times New Roman" w:eastAsia="黑体" w:hAnsi="Times New Roman"/>
          <w:b w:val="0"/>
        </w:rPr>
      </w:pPr>
      <w:bookmarkStart w:id="27" w:name="_Toc15377209"/>
      <w:bookmarkStart w:id="28" w:name="_Toc15396607"/>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27"/>
      <w:bookmarkEnd w:id="28"/>
    </w:p>
    <w:p w:rsidR="00D57A2A" w:rsidRDefault="00056866" w:rsidP="006130B2">
      <w:pPr>
        <w:spacing w:line="600" w:lineRule="exact"/>
        <w:ind w:firstLineChars="200" w:firstLine="643"/>
        <w:outlineLvl w:val="2"/>
        <w:rPr>
          <w:rFonts w:eastAsia="楷体_GB2312" w:cs="楷体_GB2312"/>
          <w:b/>
          <w:sz w:val="32"/>
          <w:szCs w:val="32"/>
        </w:rPr>
      </w:pPr>
      <w:bookmarkStart w:id="29" w:name="_Toc15377210"/>
      <w:r>
        <w:rPr>
          <w:rFonts w:eastAsia="楷体_GB2312" w:cs="楷体_GB2312" w:hint="eastAsia"/>
          <w:b/>
          <w:sz w:val="32"/>
          <w:szCs w:val="32"/>
        </w:rPr>
        <w:t>（一）一般公共预算财政拨款支出决算总体情况</w:t>
      </w:r>
      <w:bookmarkEnd w:id="29"/>
    </w:p>
    <w:p w:rsidR="00D57A2A" w:rsidRDefault="00056866">
      <w:pPr>
        <w:spacing w:line="600" w:lineRule="exact"/>
        <w:ind w:firstLine="640"/>
        <w:rPr>
          <w:rFonts w:ascii="仿宋_GB2312" w:eastAsia="仿宋_GB2312" w:hAnsi="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一般公共预算财政拨款支出</w:t>
      </w:r>
      <w:r>
        <w:rPr>
          <w:rFonts w:ascii="仿宋_GB2312" w:eastAsia="仿宋_GB2312" w:hAnsi="仿宋_GB2312" w:cs="仿宋_GB2312" w:hint="eastAsia"/>
          <w:sz w:val="32"/>
          <w:szCs w:val="32"/>
        </w:rPr>
        <w:t>182.88</w:t>
      </w:r>
      <w:r>
        <w:rPr>
          <w:rFonts w:eastAsia="仿宋_GB2312" w:cs="仿宋_GB2312" w:hint="eastAsia"/>
          <w:sz w:val="32"/>
          <w:szCs w:val="32"/>
        </w:rPr>
        <w:t>万元，占本年支出合计的</w:t>
      </w:r>
      <w:r>
        <w:rPr>
          <w:rFonts w:ascii="仿宋_GB2312" w:eastAsia="仿宋_GB2312" w:hAnsi="仿宋_GB2312" w:cs="仿宋_GB2312" w:hint="eastAsia"/>
          <w:sz w:val="32"/>
          <w:szCs w:val="32"/>
        </w:rPr>
        <w:t>45.53</w:t>
      </w:r>
      <w:r>
        <w:rPr>
          <w:rFonts w:eastAsia="仿宋_GB2312" w:cs="仿宋_GB2312" w:hint="eastAsia"/>
          <w:sz w:val="32"/>
          <w:szCs w:val="32"/>
        </w:rPr>
        <w:t>%</w:t>
      </w:r>
      <w:r>
        <w:rPr>
          <w:rFonts w:eastAsia="仿宋_GB2312" w:cs="仿宋_GB2312" w:hint="eastAsia"/>
          <w:sz w:val="32"/>
          <w:szCs w:val="32"/>
        </w:rPr>
        <w:t>。与</w:t>
      </w:r>
      <w:r>
        <w:rPr>
          <w:rFonts w:eastAsia="仿宋_GB2312" w:cs="仿宋_GB2312" w:hint="eastAsia"/>
          <w:sz w:val="32"/>
          <w:szCs w:val="32"/>
        </w:rPr>
        <w:t>上</w:t>
      </w:r>
      <w:r>
        <w:rPr>
          <w:rFonts w:eastAsia="仿宋_GB2312" w:cs="仿宋_GB2312" w:hint="eastAsia"/>
          <w:sz w:val="32"/>
          <w:szCs w:val="32"/>
        </w:rPr>
        <w:t>年度相比，一般公共预算财政拨款支出减少</w:t>
      </w:r>
      <w:r>
        <w:rPr>
          <w:rFonts w:eastAsia="仿宋_GB2312" w:cs="仿宋_GB2312" w:hint="eastAsia"/>
          <w:sz w:val="32"/>
          <w:szCs w:val="32"/>
        </w:rPr>
        <w:t>8.52</w:t>
      </w:r>
      <w:r>
        <w:rPr>
          <w:rFonts w:eastAsia="仿宋_GB2312" w:cs="仿宋_GB2312" w:hint="eastAsia"/>
          <w:sz w:val="32"/>
          <w:szCs w:val="32"/>
        </w:rPr>
        <w:t>万元，下降</w:t>
      </w:r>
      <w:r>
        <w:rPr>
          <w:rFonts w:eastAsia="仿宋_GB2312" w:cs="仿宋_GB2312" w:hint="eastAsia"/>
          <w:sz w:val="32"/>
          <w:szCs w:val="32"/>
        </w:rPr>
        <w:t>4.45</w:t>
      </w:r>
      <w:r>
        <w:rPr>
          <w:rFonts w:eastAsia="仿宋_GB2312" w:cs="仿宋_GB2312" w:hint="eastAsia"/>
          <w:sz w:val="32"/>
          <w:szCs w:val="32"/>
        </w:rPr>
        <w:t>%</w:t>
      </w:r>
      <w:r>
        <w:rPr>
          <w:rFonts w:eastAsia="仿宋_GB2312" w:cs="仿宋_GB2312" w:hint="eastAsia"/>
          <w:sz w:val="32"/>
          <w:szCs w:val="32"/>
        </w:rPr>
        <w:t>。主要变动原因是</w:t>
      </w:r>
      <w:r>
        <w:rPr>
          <w:rFonts w:ascii="仿宋_GB2312" w:eastAsia="仿宋_GB2312" w:hAnsi="仿宋_GB2312" w:cs="仿宋_GB2312" w:hint="eastAsia"/>
          <w:sz w:val="32"/>
          <w:szCs w:val="32"/>
        </w:rPr>
        <w:t>比上年度</w:t>
      </w:r>
      <w:r>
        <w:rPr>
          <w:rFonts w:ascii="仿宋_GB2312" w:eastAsia="仿宋_GB2312" w:hAnsi="仿宋_GB2312" w:cs="仿宋_GB2312" w:hint="eastAsia"/>
          <w:sz w:val="32"/>
          <w:szCs w:val="32"/>
        </w:rPr>
        <w:t>减少</w:t>
      </w:r>
      <w:r>
        <w:rPr>
          <w:rFonts w:ascii="仿宋_GB2312" w:eastAsia="仿宋_GB2312" w:hAnsi="仿宋_GB2312" w:cs="仿宋_GB2312" w:hint="eastAsia"/>
          <w:sz w:val="32"/>
          <w:szCs w:val="32"/>
        </w:rPr>
        <w:t>了省十四届</w:t>
      </w:r>
      <w:r>
        <w:rPr>
          <w:rFonts w:ascii="仿宋_GB2312" w:eastAsia="仿宋_GB2312" w:hAnsi="仿宋_GB2312" w:cs="仿宋_GB2312" w:hint="eastAsia"/>
          <w:sz w:val="32"/>
          <w:szCs w:val="32"/>
        </w:rPr>
        <w:t>运动会</w:t>
      </w:r>
      <w:r>
        <w:rPr>
          <w:rFonts w:ascii="仿宋_GB2312" w:eastAsia="仿宋_GB2312" w:hAnsi="仿宋_GB2312" w:cs="仿宋_GB2312" w:hint="eastAsia"/>
          <w:sz w:val="32"/>
          <w:szCs w:val="32"/>
        </w:rPr>
        <w:t>运动员奖励经费</w:t>
      </w:r>
      <w:r>
        <w:rPr>
          <w:rFonts w:ascii="仿宋_GB2312" w:eastAsia="仿宋_GB2312" w:hAnsi="仿宋_GB2312" w:cs="仿宋_GB2312" w:hint="eastAsia"/>
          <w:sz w:val="32"/>
          <w:szCs w:val="32"/>
        </w:rPr>
        <w:t>。</w:t>
      </w:r>
    </w:p>
    <w:p w:rsidR="00D57A2A" w:rsidRDefault="00056866" w:rsidP="006130B2">
      <w:pPr>
        <w:pStyle w:val="a0"/>
        <w:spacing w:before="93"/>
        <w:rPr>
          <w:rFonts w:hAnsi="仿宋_GB2312" w:cs="仿宋_GB2312"/>
          <w:sz w:val="32"/>
          <w:szCs w:val="32"/>
        </w:rPr>
      </w:pPr>
      <w:r>
        <w:rPr>
          <w:rFonts w:hint="eastAsia"/>
          <w:noProof/>
          <w:sz w:val="32"/>
          <w:szCs w:val="32"/>
        </w:rPr>
        <w:drawing>
          <wp:inline distT="0" distB="0" distL="114300" distR="114300">
            <wp:extent cx="5080000" cy="3802380"/>
            <wp:effectExtent l="4445" t="4445" r="20955" b="222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：一般公共预算财政拨款支出决算变动情况）（柱状图）</w:t>
      </w:r>
    </w:p>
    <w:p w:rsidR="00D57A2A" w:rsidRDefault="00D57A2A">
      <w:pPr>
        <w:spacing w:line="600" w:lineRule="exact"/>
        <w:ind w:firstLine="640"/>
        <w:rPr>
          <w:rFonts w:eastAsia="仿宋_GB2312" w:cs="仿宋_GB2312"/>
          <w:sz w:val="32"/>
          <w:szCs w:val="32"/>
        </w:rPr>
      </w:pPr>
    </w:p>
    <w:p w:rsidR="00D57A2A" w:rsidRDefault="00056866" w:rsidP="006130B2">
      <w:pPr>
        <w:spacing w:line="600" w:lineRule="exact"/>
        <w:ind w:firstLineChars="200" w:firstLine="643"/>
        <w:outlineLvl w:val="2"/>
        <w:rPr>
          <w:rFonts w:eastAsia="楷体_GB2312" w:cs="楷体_GB2312"/>
          <w:b/>
          <w:sz w:val="32"/>
          <w:szCs w:val="32"/>
        </w:rPr>
      </w:pPr>
      <w:bookmarkStart w:id="30" w:name="_Toc15377211"/>
      <w:r>
        <w:rPr>
          <w:rFonts w:eastAsia="楷体_GB2312" w:cs="楷体_GB2312" w:hint="eastAsia"/>
          <w:b/>
          <w:sz w:val="32"/>
          <w:szCs w:val="32"/>
        </w:rPr>
        <w:t>（二）一般公共预算财政拨款支出决算结构情况</w:t>
      </w:r>
      <w:bookmarkEnd w:id="30"/>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lastRenderedPageBreak/>
        <w:t>2025</w:t>
      </w:r>
      <w:r>
        <w:rPr>
          <w:rFonts w:eastAsia="仿宋_GB2312" w:cs="仿宋_GB2312" w:hint="eastAsia"/>
          <w:sz w:val="32"/>
          <w:szCs w:val="32"/>
        </w:rPr>
        <w:t>年度</w:t>
      </w:r>
      <w:r>
        <w:rPr>
          <w:rFonts w:eastAsia="仿宋_GB2312" w:cs="仿宋_GB2312" w:hint="eastAsia"/>
          <w:sz w:val="32"/>
          <w:szCs w:val="32"/>
        </w:rPr>
        <w:t>一般公共预算财政拨款支出</w:t>
      </w:r>
      <w:r>
        <w:rPr>
          <w:rFonts w:ascii="仿宋_GB2312" w:eastAsia="仿宋_GB2312" w:hAnsi="仿宋_GB2312" w:cs="仿宋_GB2312" w:hint="eastAsia"/>
          <w:sz w:val="32"/>
          <w:szCs w:val="32"/>
        </w:rPr>
        <w:t>182.88</w:t>
      </w:r>
      <w:r>
        <w:rPr>
          <w:rFonts w:eastAsia="仿宋_GB2312" w:cs="仿宋_GB2312" w:hint="eastAsia"/>
          <w:sz w:val="32"/>
          <w:szCs w:val="32"/>
        </w:rPr>
        <w:t>万元，主要用于以下方面</w:t>
      </w:r>
      <w:r>
        <w:rPr>
          <w:rFonts w:eastAsia="仿宋_GB2312" w:cs="仿宋_GB2312" w:hint="eastAsia"/>
          <w:sz w:val="32"/>
          <w:szCs w:val="32"/>
        </w:rPr>
        <w:t>：</w:t>
      </w:r>
      <w:r>
        <w:rPr>
          <w:rFonts w:eastAsia="仿宋_GB2312" w:cs="仿宋_GB2312" w:hint="eastAsia"/>
          <w:sz w:val="32"/>
          <w:szCs w:val="32"/>
        </w:rPr>
        <w:t>一般公共服务支出</w:t>
      </w:r>
      <w:r>
        <w:rPr>
          <w:rFonts w:eastAsia="仿宋_GB2312" w:cs="仿宋_GB2312"/>
          <w:sz w:val="32"/>
          <w:szCs w:val="32"/>
          <w:lang w:val="en"/>
        </w:rPr>
        <w:t>0</w:t>
      </w:r>
      <w:r>
        <w:rPr>
          <w:rFonts w:eastAsia="仿宋_GB2312" w:cs="仿宋_GB2312" w:hint="eastAsia"/>
          <w:sz w:val="32"/>
          <w:szCs w:val="32"/>
        </w:rPr>
        <w:t>万元，占</w:t>
      </w:r>
      <w:r>
        <w:rPr>
          <w:rFonts w:eastAsia="仿宋_GB2312" w:cs="仿宋_GB2312"/>
          <w:sz w:val="32"/>
          <w:szCs w:val="32"/>
          <w:lang w:val="en"/>
        </w:rPr>
        <w:t>0</w:t>
      </w:r>
      <w:r>
        <w:rPr>
          <w:rFonts w:eastAsia="仿宋_GB2312" w:cs="仿宋_GB2312" w:hint="eastAsia"/>
          <w:sz w:val="32"/>
          <w:szCs w:val="32"/>
        </w:rPr>
        <w:t>%</w:t>
      </w:r>
      <w:r>
        <w:rPr>
          <w:rFonts w:eastAsia="仿宋_GB2312" w:cs="仿宋_GB2312" w:hint="eastAsia"/>
          <w:sz w:val="32"/>
          <w:szCs w:val="32"/>
        </w:rPr>
        <w:t>；教育支出</w:t>
      </w:r>
      <w:r>
        <w:rPr>
          <w:rFonts w:eastAsia="仿宋_GB2312" w:cs="仿宋_GB2312"/>
          <w:sz w:val="32"/>
          <w:szCs w:val="32"/>
          <w:lang w:val="en"/>
        </w:rPr>
        <w:t>0</w:t>
      </w:r>
      <w:r>
        <w:rPr>
          <w:rFonts w:eastAsia="仿宋_GB2312" w:cs="仿宋_GB2312" w:hint="eastAsia"/>
          <w:sz w:val="32"/>
          <w:szCs w:val="32"/>
        </w:rPr>
        <w:t>万元，占</w:t>
      </w:r>
      <w:r>
        <w:rPr>
          <w:rFonts w:eastAsia="仿宋_GB2312" w:cs="仿宋_GB2312"/>
          <w:sz w:val="32"/>
          <w:szCs w:val="32"/>
          <w:lang w:val="en"/>
        </w:rPr>
        <w:t>0</w:t>
      </w:r>
      <w:r>
        <w:rPr>
          <w:rFonts w:eastAsia="仿宋_GB2312" w:cs="仿宋_GB2312" w:hint="eastAsia"/>
          <w:sz w:val="32"/>
          <w:szCs w:val="32"/>
        </w:rPr>
        <w:t>%</w:t>
      </w:r>
      <w:r>
        <w:rPr>
          <w:rFonts w:eastAsia="仿宋_GB2312" w:cs="仿宋_GB2312" w:hint="eastAsia"/>
          <w:sz w:val="32"/>
          <w:szCs w:val="32"/>
        </w:rPr>
        <w:t>；科学技术支出</w:t>
      </w:r>
      <w:r>
        <w:rPr>
          <w:rFonts w:eastAsia="仿宋_GB2312" w:cs="仿宋_GB2312"/>
          <w:sz w:val="32"/>
          <w:szCs w:val="32"/>
          <w:lang w:val="en"/>
        </w:rPr>
        <w:t>0</w:t>
      </w:r>
      <w:r>
        <w:rPr>
          <w:rFonts w:eastAsia="仿宋_GB2312" w:cs="仿宋_GB2312" w:hint="eastAsia"/>
          <w:sz w:val="32"/>
          <w:szCs w:val="32"/>
        </w:rPr>
        <w:t>万元，占</w:t>
      </w:r>
      <w:r>
        <w:rPr>
          <w:rFonts w:eastAsia="仿宋_GB2312" w:cs="仿宋_GB2312"/>
          <w:sz w:val="32"/>
          <w:szCs w:val="32"/>
          <w:lang w:val="en"/>
        </w:rPr>
        <w:t>0</w:t>
      </w:r>
      <w:r>
        <w:rPr>
          <w:rFonts w:eastAsia="仿宋_GB2312" w:cs="仿宋_GB2312" w:hint="eastAsia"/>
          <w:sz w:val="32"/>
          <w:szCs w:val="32"/>
        </w:rPr>
        <w:t>%</w:t>
      </w:r>
      <w:r>
        <w:rPr>
          <w:rFonts w:eastAsia="仿宋_GB2312" w:cs="仿宋_GB2312" w:hint="eastAsia"/>
          <w:sz w:val="32"/>
          <w:szCs w:val="32"/>
        </w:rPr>
        <w:t>；文化旅游体育与传媒支出</w:t>
      </w:r>
      <w:r>
        <w:rPr>
          <w:rFonts w:eastAsia="仿宋_GB2312" w:cs="仿宋_GB2312"/>
          <w:sz w:val="32"/>
          <w:szCs w:val="32"/>
          <w:lang w:val="en"/>
        </w:rPr>
        <w:t>134.52</w:t>
      </w:r>
      <w:r>
        <w:rPr>
          <w:rFonts w:eastAsia="仿宋_GB2312" w:cs="仿宋_GB2312" w:hint="eastAsia"/>
          <w:sz w:val="32"/>
          <w:szCs w:val="32"/>
        </w:rPr>
        <w:t>万元，占</w:t>
      </w:r>
      <w:r>
        <w:rPr>
          <w:rFonts w:eastAsia="仿宋_GB2312" w:cs="仿宋_GB2312"/>
          <w:sz w:val="32"/>
          <w:szCs w:val="32"/>
          <w:lang w:val="en"/>
        </w:rPr>
        <w:t>73.56</w:t>
      </w:r>
      <w:r>
        <w:rPr>
          <w:rFonts w:eastAsia="仿宋_GB2312" w:cs="仿宋_GB2312" w:hint="eastAsia"/>
          <w:sz w:val="32"/>
          <w:szCs w:val="32"/>
        </w:rPr>
        <w:t>%</w:t>
      </w:r>
      <w:r>
        <w:rPr>
          <w:rFonts w:eastAsia="仿宋_GB2312" w:cs="仿宋_GB2312" w:hint="eastAsia"/>
          <w:sz w:val="32"/>
          <w:szCs w:val="32"/>
        </w:rPr>
        <w:t>；社会保障和就业支出</w:t>
      </w:r>
      <w:r>
        <w:rPr>
          <w:rFonts w:eastAsia="仿宋_GB2312" w:cs="仿宋_GB2312"/>
          <w:sz w:val="32"/>
          <w:szCs w:val="32"/>
          <w:lang w:val="en"/>
        </w:rPr>
        <w:t>25.86</w:t>
      </w:r>
      <w:r>
        <w:rPr>
          <w:rFonts w:eastAsia="仿宋_GB2312" w:cs="仿宋_GB2312" w:hint="eastAsia"/>
          <w:sz w:val="32"/>
          <w:szCs w:val="32"/>
        </w:rPr>
        <w:t>万元，占</w:t>
      </w:r>
      <w:r>
        <w:rPr>
          <w:rFonts w:eastAsia="仿宋_GB2312" w:cs="仿宋_GB2312"/>
          <w:sz w:val="32"/>
          <w:szCs w:val="32"/>
          <w:lang w:val="en"/>
        </w:rPr>
        <w:t>14.14</w:t>
      </w:r>
      <w:r>
        <w:rPr>
          <w:rFonts w:eastAsia="仿宋_GB2312" w:cs="仿宋_GB2312" w:hint="eastAsia"/>
          <w:sz w:val="32"/>
          <w:szCs w:val="32"/>
        </w:rPr>
        <w:t>%</w:t>
      </w:r>
      <w:r>
        <w:rPr>
          <w:rFonts w:eastAsia="仿宋_GB2312" w:cs="仿宋_GB2312" w:hint="eastAsia"/>
          <w:sz w:val="32"/>
          <w:szCs w:val="32"/>
        </w:rPr>
        <w:t>；卫生健康支出</w:t>
      </w:r>
      <w:r>
        <w:rPr>
          <w:rFonts w:eastAsia="仿宋_GB2312" w:cs="仿宋_GB2312"/>
          <w:sz w:val="32"/>
          <w:szCs w:val="32"/>
          <w:lang w:val="en"/>
        </w:rPr>
        <w:t>9.59</w:t>
      </w:r>
      <w:r>
        <w:rPr>
          <w:rFonts w:eastAsia="仿宋_GB2312" w:cs="仿宋_GB2312" w:hint="eastAsia"/>
          <w:sz w:val="32"/>
          <w:szCs w:val="32"/>
        </w:rPr>
        <w:t>万元，占</w:t>
      </w:r>
      <w:r>
        <w:rPr>
          <w:rFonts w:eastAsia="仿宋_GB2312" w:cs="仿宋_GB2312"/>
          <w:sz w:val="32"/>
          <w:szCs w:val="32"/>
          <w:lang w:val="en"/>
        </w:rPr>
        <w:t>5.24</w:t>
      </w:r>
      <w:r>
        <w:rPr>
          <w:rFonts w:eastAsia="仿宋_GB2312" w:cs="仿宋_GB2312" w:hint="eastAsia"/>
          <w:sz w:val="32"/>
          <w:szCs w:val="32"/>
        </w:rPr>
        <w:t>%</w:t>
      </w:r>
      <w:r>
        <w:rPr>
          <w:rFonts w:eastAsia="仿宋_GB2312" w:cs="仿宋_GB2312" w:hint="eastAsia"/>
          <w:sz w:val="32"/>
          <w:szCs w:val="32"/>
        </w:rPr>
        <w:t>；住房保障支出</w:t>
      </w:r>
      <w:r>
        <w:rPr>
          <w:rFonts w:eastAsia="仿宋_GB2312" w:cs="仿宋_GB2312"/>
          <w:sz w:val="32"/>
          <w:szCs w:val="32"/>
          <w:lang w:val="en"/>
        </w:rPr>
        <w:t>12.92</w:t>
      </w:r>
      <w:r>
        <w:rPr>
          <w:rFonts w:eastAsia="仿宋_GB2312" w:cs="仿宋_GB2312" w:hint="eastAsia"/>
          <w:sz w:val="32"/>
          <w:szCs w:val="32"/>
        </w:rPr>
        <w:t>万元，占</w:t>
      </w:r>
      <w:r>
        <w:rPr>
          <w:rFonts w:eastAsia="仿宋_GB2312" w:cs="仿宋_GB2312"/>
          <w:sz w:val="32"/>
          <w:szCs w:val="32"/>
          <w:lang w:val="en"/>
        </w:rPr>
        <w:t>7.06</w:t>
      </w:r>
      <w:r>
        <w:rPr>
          <w:rFonts w:eastAsia="仿宋_GB2312" w:cs="仿宋_GB2312" w:hint="eastAsia"/>
          <w:sz w:val="32"/>
          <w:szCs w:val="32"/>
        </w:rPr>
        <w:t>%</w:t>
      </w:r>
      <w:r>
        <w:rPr>
          <w:rFonts w:eastAsia="仿宋_GB2312" w:cs="仿宋_GB2312" w:hint="eastAsia"/>
          <w:sz w:val="32"/>
          <w:szCs w:val="32"/>
        </w:rPr>
        <w:t>。</w:t>
      </w:r>
    </w:p>
    <w:p w:rsidR="00D57A2A" w:rsidRDefault="00056866" w:rsidP="006130B2">
      <w:pPr>
        <w:pStyle w:val="a0"/>
        <w:spacing w:before="93"/>
        <w:rPr>
          <w:rFonts w:ascii="Times New Roman" w:cs="仿宋_GB2312"/>
          <w:kern w:val="2"/>
          <w:sz w:val="32"/>
          <w:szCs w:val="32"/>
        </w:rPr>
      </w:pPr>
      <w:r>
        <w:rPr>
          <w:rFonts w:ascii="仿宋" w:eastAsia="仿宋" w:hAnsi="仿宋" w:hint="eastAsia"/>
          <w:noProof/>
          <w:sz w:val="32"/>
          <w:szCs w:val="32"/>
        </w:rPr>
        <w:drawing>
          <wp:inline distT="0" distB="0" distL="114300" distR="114300">
            <wp:extent cx="5074920" cy="3036570"/>
            <wp:effectExtent l="4445" t="4445" r="6985" b="698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57A2A" w:rsidRDefault="00056866">
      <w:pPr>
        <w:spacing w:line="600" w:lineRule="exact"/>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：一般公共预算财政拨款支出决算结构）（饼状图）</w:t>
      </w:r>
    </w:p>
    <w:p w:rsidR="00D57A2A" w:rsidRDefault="00D57A2A">
      <w:pPr>
        <w:spacing w:line="600" w:lineRule="exact"/>
        <w:ind w:firstLine="640"/>
        <w:rPr>
          <w:rFonts w:eastAsia="仿宋_GB2312" w:cs="仿宋_GB2312"/>
          <w:sz w:val="32"/>
          <w:szCs w:val="32"/>
        </w:rPr>
      </w:pPr>
    </w:p>
    <w:p w:rsidR="00D57A2A" w:rsidRDefault="00056866" w:rsidP="006130B2">
      <w:pPr>
        <w:spacing w:line="600" w:lineRule="exact"/>
        <w:ind w:firstLineChars="200" w:firstLine="643"/>
        <w:outlineLvl w:val="2"/>
        <w:rPr>
          <w:rFonts w:eastAsia="楷体_GB2312" w:cs="楷体_GB2312"/>
          <w:b/>
          <w:sz w:val="32"/>
          <w:szCs w:val="32"/>
        </w:rPr>
      </w:pPr>
      <w:bookmarkStart w:id="31" w:name="_Toc15377212"/>
      <w:r>
        <w:rPr>
          <w:rFonts w:eastAsia="楷体_GB2312" w:cs="楷体_GB2312" w:hint="eastAsia"/>
          <w:b/>
          <w:sz w:val="32"/>
          <w:szCs w:val="32"/>
        </w:rPr>
        <w:t>（三）一般公共预算财政拨款支出决算具体情况</w:t>
      </w:r>
      <w:bookmarkEnd w:id="31"/>
    </w:p>
    <w:p w:rsidR="00D57A2A" w:rsidRDefault="00056866">
      <w:pPr>
        <w:spacing w:line="600" w:lineRule="exact"/>
        <w:ind w:firstLine="640"/>
        <w:rPr>
          <w:rFonts w:eastAsia="仿宋_GB2312" w:cs="仿宋_GB2312"/>
          <w:sz w:val="32"/>
          <w:szCs w:val="32"/>
        </w:rPr>
      </w:pPr>
      <w:bookmarkStart w:id="32" w:name="_Toc15378460"/>
      <w:bookmarkStart w:id="33" w:name="_Toc15377444"/>
      <w:bookmarkStart w:id="34" w:name="_Toc15377213"/>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一般公共预算支出决算数为</w:t>
      </w:r>
      <w:r>
        <w:rPr>
          <w:rFonts w:ascii="仿宋_GB2312" w:eastAsia="仿宋_GB2312" w:hAnsi="仿宋_GB2312" w:cs="仿宋_GB2312" w:hint="eastAsia"/>
          <w:sz w:val="32"/>
          <w:szCs w:val="32"/>
        </w:rPr>
        <w:t>182.88</w:t>
      </w:r>
      <w:r>
        <w:rPr>
          <w:rFonts w:eastAsia="仿宋_GB2312" w:cs="仿宋_GB2312" w:hint="eastAsia"/>
          <w:sz w:val="32"/>
          <w:szCs w:val="32"/>
        </w:rPr>
        <w:t>，完成预算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。其中：</w:t>
      </w:r>
      <w:bookmarkEnd w:id="32"/>
      <w:bookmarkEnd w:id="33"/>
      <w:bookmarkEnd w:id="34"/>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文化旅游体育与传媒支出（类）体育（款）其他体育支出（项）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134.52</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，决算数等于预算数。</w:t>
      </w:r>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lastRenderedPageBreak/>
        <w:t>2.</w:t>
      </w:r>
      <w:r>
        <w:rPr>
          <w:rFonts w:eastAsia="仿宋_GB2312" w:cs="仿宋_GB2312" w:hint="eastAsia"/>
          <w:sz w:val="32"/>
          <w:szCs w:val="32"/>
        </w:rPr>
        <w:t>社会保障和就业支出（类）行政事业单位养老支出（款）事业单位离退休（项）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8.25</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，决算数等于预算数。</w:t>
      </w:r>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3.</w:t>
      </w:r>
      <w:r>
        <w:rPr>
          <w:rFonts w:eastAsia="仿宋_GB2312" w:cs="仿宋_GB2312" w:hint="eastAsia"/>
          <w:sz w:val="32"/>
          <w:szCs w:val="32"/>
        </w:rPr>
        <w:t>社会保障和就业支出（类）行政事业单位养老支出（款）机关事业单位基本养老保险缴费支出（项）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17.61</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，决算数等于预算数。</w:t>
      </w:r>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4</w:t>
      </w:r>
      <w:r>
        <w:rPr>
          <w:rFonts w:eastAsia="仿宋_GB2312" w:cs="仿宋_GB2312" w:hint="eastAsia"/>
          <w:sz w:val="32"/>
          <w:szCs w:val="32"/>
        </w:rPr>
        <w:t>.</w:t>
      </w:r>
      <w:r>
        <w:rPr>
          <w:rFonts w:eastAsia="仿宋_GB2312" w:cs="仿宋_GB2312" w:hint="eastAsia"/>
          <w:sz w:val="32"/>
          <w:szCs w:val="32"/>
        </w:rPr>
        <w:t>卫生健康支出（类）行政事业单位医疗（款）事业单位医疗（项）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8.</w:t>
      </w:r>
      <w:r>
        <w:rPr>
          <w:rFonts w:eastAsia="仿宋_GB2312" w:cs="仿宋_GB2312" w:hint="eastAsia"/>
          <w:sz w:val="32"/>
          <w:szCs w:val="32"/>
        </w:rPr>
        <w:t>51</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，决算数等于预算数。</w:t>
      </w:r>
      <w:r>
        <w:rPr>
          <w:rFonts w:eastAsia="仿宋_GB2312" w:cs="仿宋_GB2312" w:hint="eastAsia"/>
          <w:sz w:val="32"/>
          <w:szCs w:val="32"/>
        </w:rPr>
        <w:t xml:space="preserve"> </w:t>
      </w:r>
    </w:p>
    <w:p w:rsidR="00D57A2A" w:rsidRDefault="00056866">
      <w:pPr>
        <w:spacing w:line="600" w:lineRule="exact"/>
        <w:rPr>
          <w:rFonts w:eastAsia="仿宋_GB2312" w:cs="仿宋_GB2312"/>
          <w:sz w:val="32"/>
          <w:szCs w:val="32"/>
        </w:rPr>
      </w:pPr>
      <w:r>
        <w:rPr>
          <w:rFonts w:eastAsia="仿宋_GB2312" w:cs="仿宋_GB2312" w:hint="eastAsia"/>
          <w:sz w:val="32"/>
          <w:szCs w:val="32"/>
        </w:rPr>
        <w:t xml:space="preserve">    6.</w:t>
      </w:r>
      <w:r>
        <w:rPr>
          <w:rFonts w:eastAsia="仿宋_GB2312" w:cs="仿宋_GB2312" w:hint="eastAsia"/>
          <w:sz w:val="32"/>
          <w:szCs w:val="32"/>
        </w:rPr>
        <w:t>卫生健康支出（类）行政事业单位医疗（款）公务员医疗补助（项）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1.</w:t>
      </w:r>
      <w:r>
        <w:rPr>
          <w:rFonts w:eastAsia="仿宋_GB2312" w:cs="仿宋_GB2312" w:hint="eastAsia"/>
          <w:sz w:val="32"/>
          <w:szCs w:val="32"/>
        </w:rPr>
        <w:t>08</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，决算数等于预算数。</w:t>
      </w:r>
      <w:r>
        <w:rPr>
          <w:rFonts w:eastAsia="仿宋_GB2312" w:cs="仿宋_GB2312" w:hint="eastAsia"/>
          <w:sz w:val="32"/>
          <w:szCs w:val="32"/>
        </w:rPr>
        <w:t xml:space="preserve"> </w:t>
      </w:r>
    </w:p>
    <w:p w:rsidR="00D57A2A" w:rsidRDefault="00056866">
      <w:pPr>
        <w:spacing w:line="600" w:lineRule="exact"/>
        <w:rPr>
          <w:rFonts w:eastAsia="仿宋_GB2312" w:cs="仿宋_GB2312"/>
          <w:sz w:val="32"/>
          <w:szCs w:val="32"/>
        </w:rPr>
      </w:pPr>
      <w:r>
        <w:rPr>
          <w:rFonts w:eastAsia="仿宋_GB2312" w:cs="仿宋_GB2312" w:hint="eastAsia"/>
          <w:sz w:val="32"/>
          <w:szCs w:val="32"/>
        </w:rPr>
        <w:t xml:space="preserve">    7.</w:t>
      </w:r>
      <w:r>
        <w:rPr>
          <w:rFonts w:eastAsia="仿宋_GB2312" w:cs="仿宋_GB2312" w:hint="eastAsia"/>
          <w:sz w:val="32"/>
          <w:szCs w:val="32"/>
        </w:rPr>
        <w:t>住房保障支出（类）住房改革支出（款）住房公积金（项）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12.92</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，决算数等于预算数。</w:t>
      </w:r>
    </w:p>
    <w:p w:rsidR="00D57A2A" w:rsidRDefault="00D57A2A">
      <w:pPr>
        <w:spacing w:line="600" w:lineRule="exact"/>
        <w:ind w:firstLine="640"/>
        <w:rPr>
          <w:rFonts w:eastAsia="仿宋_GB2312" w:cs="仿宋_GB2312"/>
          <w:sz w:val="32"/>
          <w:szCs w:val="32"/>
        </w:rPr>
      </w:pPr>
    </w:p>
    <w:p w:rsidR="00D57A2A" w:rsidRDefault="00056866">
      <w:pPr>
        <w:tabs>
          <w:tab w:val="right" w:pos="8306"/>
        </w:tabs>
        <w:spacing w:line="600" w:lineRule="exact"/>
        <w:ind w:firstLine="640"/>
        <w:outlineLvl w:val="1"/>
        <w:rPr>
          <w:rStyle w:val="2Char"/>
          <w:rFonts w:ascii="Times New Roman" w:hAnsi="Times New Roman"/>
        </w:rPr>
      </w:pPr>
      <w:bookmarkStart w:id="35" w:name="_Toc15396608"/>
      <w:bookmarkStart w:id="36" w:name="_Toc15377214"/>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35"/>
      <w:bookmarkEnd w:id="36"/>
      <w:r>
        <w:rPr>
          <w:rStyle w:val="2Char"/>
          <w:rFonts w:ascii="Times New Roman" w:eastAsia="黑体" w:hAnsi="Times New Roman"/>
          <w:b w:val="0"/>
        </w:rPr>
        <w:tab/>
      </w:r>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一般公共预算财政拨款基本支出</w:t>
      </w:r>
      <w:r>
        <w:rPr>
          <w:rFonts w:ascii="仿宋_GB2312" w:eastAsia="仿宋_GB2312" w:hAnsi="仿宋_GB2312" w:cs="仿宋_GB2312" w:hint="eastAsia"/>
          <w:sz w:val="32"/>
          <w:szCs w:val="32"/>
        </w:rPr>
        <w:t>182.88</w:t>
      </w:r>
      <w:r>
        <w:rPr>
          <w:rFonts w:eastAsia="仿宋_GB2312" w:cs="仿宋_GB2312" w:hint="eastAsia"/>
          <w:sz w:val="32"/>
          <w:szCs w:val="32"/>
        </w:rPr>
        <w:t>万元，其中：</w:t>
      </w:r>
    </w:p>
    <w:p w:rsidR="00D57A2A" w:rsidRDefault="00056866">
      <w:pPr>
        <w:spacing w:line="600" w:lineRule="exact"/>
        <w:ind w:firstLine="640"/>
        <w:rPr>
          <w:rFonts w:eastAsia="仿宋_GB2312" w:cs="仿宋_GB2312"/>
          <w:b/>
          <w:bCs/>
          <w:sz w:val="32"/>
          <w:szCs w:val="32"/>
        </w:rPr>
      </w:pPr>
      <w:r>
        <w:rPr>
          <w:rFonts w:eastAsia="仿宋_GB2312" w:cs="仿宋_GB2312" w:hint="eastAsia"/>
          <w:sz w:val="32"/>
          <w:szCs w:val="32"/>
        </w:rPr>
        <w:t>人员经费</w:t>
      </w:r>
      <w:r>
        <w:rPr>
          <w:rFonts w:ascii="仿宋_GB2312" w:eastAsia="仿宋_GB2312" w:hAnsi="仿宋_GB2312" w:cs="仿宋_GB2312" w:hint="eastAsia"/>
          <w:sz w:val="32"/>
          <w:szCs w:val="32"/>
        </w:rPr>
        <w:t>171.43</w:t>
      </w:r>
      <w:r>
        <w:rPr>
          <w:rFonts w:eastAsia="仿宋_GB2312" w:cs="仿宋_GB2312" w:hint="eastAsia"/>
          <w:sz w:val="32"/>
          <w:szCs w:val="32"/>
        </w:rPr>
        <w:t>万元，主要包括：基本工资、津贴补贴、奖金、伙食补助费、绩效工资、机关事业单位基本养老保险缴费、职业年金缴费、其他社会保障缴费、其他工资福利支出、生活补助、医疗费补助、奖励金、住房公积金</w:t>
      </w:r>
      <w:r>
        <w:rPr>
          <w:rFonts w:eastAsia="仿宋_GB2312" w:cs="仿宋_GB2312" w:hint="eastAsia"/>
          <w:sz w:val="32"/>
          <w:szCs w:val="32"/>
        </w:rPr>
        <w:t>等</w:t>
      </w:r>
      <w:r>
        <w:rPr>
          <w:rFonts w:eastAsia="仿宋_GB2312" w:cs="仿宋_GB2312" w:hint="eastAsia"/>
          <w:sz w:val="32"/>
          <w:szCs w:val="32"/>
        </w:rPr>
        <w:t>。</w:t>
      </w:r>
      <w:r>
        <w:rPr>
          <w:rFonts w:eastAsia="仿宋_GB2312" w:cs="仿宋_GB2312" w:hint="eastAsia"/>
          <w:sz w:val="32"/>
          <w:szCs w:val="32"/>
        </w:rPr>
        <w:br/>
      </w:r>
      <w:r>
        <w:rPr>
          <w:rFonts w:eastAsia="仿宋_GB2312" w:cs="仿宋_GB2312" w:hint="eastAsia"/>
          <w:sz w:val="32"/>
          <w:szCs w:val="32"/>
        </w:rPr>
        <w:lastRenderedPageBreak/>
        <w:t xml:space="preserve">　　公用经费</w:t>
      </w:r>
      <w:r>
        <w:rPr>
          <w:rFonts w:ascii="仿宋_GB2312" w:eastAsia="仿宋_GB2312" w:hAnsi="仿宋_GB2312" w:cs="仿宋_GB2312" w:hint="eastAsia"/>
          <w:sz w:val="32"/>
          <w:szCs w:val="32"/>
        </w:rPr>
        <w:t>11.45</w:t>
      </w:r>
      <w:r>
        <w:rPr>
          <w:rFonts w:eastAsia="仿宋_GB2312" w:cs="仿宋_GB2312" w:hint="eastAsia"/>
          <w:sz w:val="32"/>
          <w:szCs w:val="32"/>
        </w:rPr>
        <w:t>万元，主要包括：办公费、水费、电费、邮电费、差旅费、维修（护）费、工会经费、福利费、其他商品和服务支出</w:t>
      </w:r>
      <w:r>
        <w:rPr>
          <w:rFonts w:eastAsia="仿宋_GB2312" w:cs="仿宋_GB2312" w:hint="eastAsia"/>
          <w:sz w:val="32"/>
          <w:szCs w:val="32"/>
        </w:rPr>
        <w:t>等。</w:t>
      </w:r>
    </w:p>
    <w:p w:rsidR="00D57A2A" w:rsidRDefault="00D57A2A">
      <w:pPr>
        <w:spacing w:line="600" w:lineRule="exact"/>
        <w:ind w:firstLine="640"/>
        <w:rPr>
          <w:rFonts w:eastAsia="仿宋_GB2312" w:cs="仿宋_GB2312"/>
          <w:sz w:val="32"/>
          <w:szCs w:val="32"/>
        </w:rPr>
      </w:pPr>
    </w:p>
    <w:p w:rsidR="00D57A2A" w:rsidRDefault="00056866">
      <w:pPr>
        <w:spacing w:line="600" w:lineRule="exact"/>
        <w:ind w:firstLine="640"/>
        <w:outlineLvl w:val="1"/>
        <w:rPr>
          <w:rStyle w:val="2Char"/>
          <w:rFonts w:ascii="Times New Roman" w:eastAsia="黑体" w:hAnsi="Times New Roman"/>
          <w:b w:val="0"/>
        </w:rPr>
      </w:pPr>
      <w:bookmarkStart w:id="37" w:name="_Toc15396609"/>
      <w:bookmarkStart w:id="38" w:name="_Toc15377215"/>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37"/>
      <w:bookmarkEnd w:id="38"/>
    </w:p>
    <w:p w:rsidR="00D57A2A" w:rsidRDefault="00056866" w:rsidP="006130B2">
      <w:pPr>
        <w:spacing w:line="600" w:lineRule="exact"/>
        <w:ind w:firstLineChars="200" w:firstLine="643"/>
        <w:outlineLvl w:val="2"/>
        <w:rPr>
          <w:rFonts w:eastAsia="楷体_GB2312" w:cs="楷体_GB2312"/>
          <w:b/>
          <w:sz w:val="32"/>
          <w:szCs w:val="32"/>
        </w:rPr>
      </w:pPr>
      <w:bookmarkStart w:id="39" w:name="_Toc15377216"/>
      <w:r>
        <w:rPr>
          <w:rFonts w:eastAsia="楷体_GB2312" w:cs="楷体_GB2312" w:hint="eastAsia"/>
          <w:b/>
          <w:sz w:val="32"/>
          <w:szCs w:val="32"/>
        </w:rPr>
        <w:t>（一）财政拨款“三公”经费支出决算总体情况说明</w:t>
      </w:r>
      <w:bookmarkEnd w:id="39"/>
    </w:p>
    <w:p w:rsidR="00D57A2A" w:rsidRDefault="00056866">
      <w:pPr>
        <w:spacing w:line="600" w:lineRule="exact"/>
        <w:ind w:firstLine="640"/>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财政拨款“三公”经费支出决算为</w:t>
      </w:r>
      <w:r>
        <w:rPr>
          <w:rFonts w:ascii="仿宋_GB2312" w:eastAsia="仿宋_GB2312" w:hAnsi="仿宋_GB2312" w:cs="仿宋_GB2312" w:hint="eastAsia"/>
          <w:sz w:val="32"/>
          <w:szCs w:val="32"/>
        </w:rPr>
        <w:t>0</w:t>
      </w:r>
      <w:r>
        <w:rPr>
          <w:rFonts w:eastAsia="仿宋_GB2312" w:cs="仿宋_GB2312" w:hint="eastAsia"/>
          <w:sz w:val="32"/>
          <w:szCs w:val="32"/>
        </w:rPr>
        <w:t>万元，完成预算</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，较上年度增加</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决算数预算数持平。</w:t>
      </w:r>
    </w:p>
    <w:p w:rsidR="00D57A2A" w:rsidRDefault="00056866" w:rsidP="006130B2">
      <w:pPr>
        <w:spacing w:line="600" w:lineRule="exact"/>
        <w:ind w:firstLineChars="200" w:firstLine="643"/>
        <w:outlineLvl w:val="2"/>
        <w:rPr>
          <w:rFonts w:eastAsia="楷体_GB2312" w:cs="楷体_GB2312"/>
          <w:b/>
          <w:sz w:val="32"/>
          <w:szCs w:val="32"/>
        </w:rPr>
      </w:pPr>
      <w:bookmarkStart w:id="40" w:name="_Toc15377217"/>
      <w:r>
        <w:rPr>
          <w:rFonts w:eastAsia="楷体_GB2312" w:cs="楷体_GB2312" w:hint="eastAsia"/>
          <w:b/>
          <w:sz w:val="32"/>
          <w:szCs w:val="32"/>
        </w:rPr>
        <w:t>（二）财政拨款“三公”经费支出决算具体情况说明</w:t>
      </w:r>
      <w:bookmarkEnd w:id="40"/>
    </w:p>
    <w:p w:rsidR="00D57A2A" w:rsidRDefault="00056866">
      <w:pPr>
        <w:ind w:firstLine="640"/>
        <w:jc w:val="left"/>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财政拨款“三公”经费支出决算中，因公出国（境）费支出决算</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eastAsia="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；公务用车购置及运行维护费支出决算</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eastAsia="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；公务接待费支出决算</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eastAsia="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。具体情况如下：</w:t>
      </w:r>
      <w:r>
        <w:rPr>
          <w:rFonts w:hint="eastAsia"/>
          <w:noProof/>
        </w:rPr>
        <w:drawing>
          <wp:inline distT="0" distB="0" distL="0" distR="0">
            <wp:extent cx="5280660" cy="2607945"/>
            <wp:effectExtent l="4445" t="4445" r="10795" b="1651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7</w:t>
      </w:r>
      <w:r>
        <w:rPr>
          <w:rFonts w:eastAsia="仿宋_GB2312" w:cs="仿宋_GB2312" w:hint="eastAsia"/>
          <w:sz w:val="32"/>
          <w:szCs w:val="32"/>
        </w:rPr>
        <w:t>：财政拨款“三公”经费支出结构）（饼状图）</w:t>
      </w:r>
    </w:p>
    <w:p w:rsidR="00D57A2A" w:rsidRDefault="00056866">
      <w:pPr>
        <w:spacing w:line="600" w:lineRule="exact"/>
        <w:ind w:firstLine="640"/>
        <w:rPr>
          <w:rFonts w:eastAsia="仿宋_GB2312" w:cs="仿宋_GB2312"/>
          <w:sz w:val="32"/>
          <w:szCs w:val="32"/>
        </w:rPr>
      </w:pPr>
      <w:r>
        <w:rPr>
          <w:rFonts w:eastAsia="仿宋_GB2312" w:cs="仿宋_GB2312" w:hint="eastAsia"/>
          <w:b/>
          <w:bCs/>
          <w:sz w:val="32"/>
          <w:szCs w:val="32"/>
        </w:rPr>
        <w:lastRenderedPageBreak/>
        <w:t>1.</w:t>
      </w:r>
      <w:r>
        <w:rPr>
          <w:rFonts w:eastAsia="仿宋_GB2312" w:cs="仿宋_GB2312" w:hint="eastAsia"/>
          <w:b/>
          <w:bCs/>
          <w:sz w:val="32"/>
          <w:szCs w:val="32"/>
        </w:rPr>
        <w:t>因公出国（境）经费支出</w:t>
      </w:r>
      <w:r>
        <w:rPr>
          <w:rFonts w:ascii="仿宋_GB2312" w:eastAsia="仿宋_GB2312" w:hAnsi="仿宋_GB2312" w:cs="仿宋_GB2312" w:hint="eastAsia"/>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全年安排因公出国（境）团组</w:t>
      </w:r>
      <w:r>
        <w:rPr>
          <w:rFonts w:ascii="仿宋_GB2312" w:eastAsia="仿宋_GB2312" w:hAnsi="仿宋_GB2312" w:cs="仿宋_GB2312" w:hint="eastAsia"/>
          <w:sz w:val="32"/>
          <w:szCs w:val="32"/>
        </w:rPr>
        <w:t>0</w:t>
      </w:r>
      <w:r>
        <w:rPr>
          <w:rFonts w:eastAsia="仿宋_GB2312" w:cs="仿宋_GB2312" w:hint="eastAsia"/>
          <w:sz w:val="32"/>
          <w:szCs w:val="32"/>
        </w:rPr>
        <w:t>次，出国（境）</w:t>
      </w:r>
      <w:r>
        <w:rPr>
          <w:rFonts w:ascii="仿宋_GB2312" w:eastAsia="仿宋_GB2312" w:hAnsi="仿宋_GB2312" w:cs="仿宋_GB2312" w:hint="eastAsia"/>
          <w:sz w:val="32"/>
          <w:szCs w:val="32"/>
        </w:rPr>
        <w:t>0</w:t>
      </w:r>
      <w:r>
        <w:rPr>
          <w:rFonts w:eastAsia="仿宋_GB2312" w:cs="仿宋_GB2312" w:hint="eastAsia"/>
          <w:sz w:val="32"/>
          <w:szCs w:val="32"/>
        </w:rPr>
        <w:t>人。因公出国（境）支出决算比</w:t>
      </w:r>
      <w:r>
        <w:rPr>
          <w:rFonts w:eastAsia="仿宋_GB2312" w:cs="仿宋_GB2312" w:hint="eastAsia"/>
          <w:sz w:val="32"/>
          <w:szCs w:val="32"/>
        </w:rPr>
        <w:t>上年度</w:t>
      </w:r>
      <w:r>
        <w:rPr>
          <w:rFonts w:eastAsia="仿宋_GB2312" w:cs="仿宋_GB2312" w:hint="eastAsia"/>
          <w:sz w:val="32"/>
          <w:szCs w:val="32"/>
        </w:rPr>
        <w:t>增加</w:t>
      </w:r>
      <w:r>
        <w:rPr>
          <w:rFonts w:eastAsia="仿宋_GB2312" w:cs="仿宋_GB2312" w:hint="eastAsia"/>
          <w:sz w:val="32"/>
          <w:szCs w:val="32"/>
        </w:rPr>
        <w:t>0</w:t>
      </w:r>
      <w:r>
        <w:rPr>
          <w:rFonts w:eastAsia="仿宋_GB2312" w:cs="仿宋_GB2312" w:hint="eastAsia"/>
          <w:sz w:val="32"/>
          <w:szCs w:val="32"/>
        </w:rPr>
        <w:t>元，增长</w:t>
      </w:r>
      <w:r>
        <w:rPr>
          <w:rFonts w:eastAsia="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w:t>
      </w:r>
    </w:p>
    <w:p w:rsidR="00D57A2A" w:rsidRDefault="00056866">
      <w:pPr>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Pr>
          <w:rFonts w:ascii="仿宋_GB2312" w:eastAsia="仿宋_GB2312" w:hAnsi="仿宋_GB2312" w:cs="仿宋_GB2312" w:hint="eastAsia"/>
          <w:b/>
          <w:bCs/>
          <w:sz w:val="32"/>
          <w:szCs w:val="32"/>
        </w:rPr>
        <w:t>0</w:t>
      </w:r>
      <w:r>
        <w:rPr>
          <w:rFonts w:eastAsia="仿宋_GB2312" w:cs="仿宋_GB2312" w:hint="eastAsia"/>
          <w:b/>
          <w:bCs/>
          <w:sz w:val="32"/>
          <w:szCs w:val="32"/>
        </w:rPr>
        <w:t>万元</w:t>
      </w:r>
      <w:r>
        <w:rPr>
          <w:rFonts w:eastAsia="仿宋_GB2312" w:cs="仿宋_GB2312" w:hint="eastAsia"/>
          <w:b/>
          <w:bCs/>
          <w:sz w:val="32"/>
          <w:szCs w:val="32"/>
        </w:rPr>
        <w:t>，</w:t>
      </w:r>
      <w:r>
        <w:rPr>
          <w:rFonts w:eastAsia="仿宋_GB2312" w:cs="仿宋_GB2312" w:hint="eastAsia"/>
          <w:b/>
          <w:bCs/>
          <w:sz w:val="32"/>
          <w:szCs w:val="32"/>
        </w:rPr>
        <w:t>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公务用车购置及运行维护费支出决算比</w:t>
      </w:r>
      <w:r>
        <w:rPr>
          <w:rFonts w:eastAsia="仿宋_GB2312" w:cs="仿宋_GB2312" w:hint="eastAsia"/>
          <w:sz w:val="32"/>
          <w:szCs w:val="32"/>
        </w:rPr>
        <w:t>上年度</w:t>
      </w:r>
      <w:r>
        <w:rPr>
          <w:rFonts w:eastAsia="仿宋_GB2312" w:cs="仿宋_GB2312" w:hint="eastAsia"/>
          <w:sz w:val="32"/>
          <w:szCs w:val="32"/>
        </w:rPr>
        <w:t>增加</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w:t>
      </w:r>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其中：公务用车购置支出</w:t>
      </w:r>
      <w:r>
        <w:rPr>
          <w:rFonts w:ascii="仿宋_GB2312" w:eastAsia="仿宋_GB2312" w:hAnsi="仿宋_GB2312" w:cs="仿宋_GB2312" w:hint="eastAsia"/>
          <w:sz w:val="32"/>
          <w:szCs w:val="32"/>
        </w:rPr>
        <w:t>0</w:t>
      </w:r>
      <w:r>
        <w:rPr>
          <w:rFonts w:eastAsia="仿宋_GB2312" w:cs="仿宋_GB2312" w:hint="eastAsia"/>
          <w:sz w:val="32"/>
          <w:szCs w:val="32"/>
        </w:rPr>
        <w:t>万元。全年按规定更新购置公务用车</w:t>
      </w:r>
      <w:r>
        <w:rPr>
          <w:rFonts w:eastAsia="仿宋_GB2312" w:cs="仿宋_GB2312" w:hint="eastAsia"/>
          <w:sz w:val="32"/>
          <w:szCs w:val="32"/>
        </w:rPr>
        <w:t>0</w:t>
      </w:r>
      <w:r>
        <w:rPr>
          <w:rFonts w:eastAsia="仿宋_GB2312" w:cs="仿宋_GB2312" w:hint="eastAsia"/>
          <w:sz w:val="32"/>
          <w:szCs w:val="32"/>
        </w:rPr>
        <w:t>辆，其中：轿车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万元，越野车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万元，载客汽车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万元。截至</w:t>
      </w: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Pr>
          <w:rFonts w:eastAsia="仿宋_GB2312" w:cs="仿宋_GB2312" w:hint="eastAsia"/>
          <w:sz w:val="32"/>
          <w:szCs w:val="32"/>
        </w:rPr>
        <w:t>0</w:t>
      </w:r>
      <w:r>
        <w:rPr>
          <w:rFonts w:eastAsia="仿宋_GB2312" w:cs="仿宋_GB2312" w:hint="eastAsia"/>
          <w:sz w:val="32"/>
          <w:szCs w:val="32"/>
        </w:rPr>
        <w:t>辆，其中：轿车</w:t>
      </w:r>
      <w:r>
        <w:rPr>
          <w:rFonts w:eastAsia="仿宋_GB2312" w:cs="仿宋_GB2312" w:hint="eastAsia"/>
          <w:sz w:val="32"/>
          <w:szCs w:val="32"/>
        </w:rPr>
        <w:t>0</w:t>
      </w:r>
      <w:r>
        <w:rPr>
          <w:rFonts w:eastAsia="仿宋_GB2312" w:cs="仿宋_GB2312" w:hint="eastAsia"/>
          <w:sz w:val="32"/>
          <w:szCs w:val="32"/>
        </w:rPr>
        <w:t>辆、越野车</w:t>
      </w:r>
      <w:r>
        <w:rPr>
          <w:rFonts w:eastAsia="仿宋_GB2312" w:cs="仿宋_GB2312" w:hint="eastAsia"/>
          <w:sz w:val="32"/>
          <w:szCs w:val="32"/>
        </w:rPr>
        <w:t>0</w:t>
      </w:r>
      <w:r>
        <w:rPr>
          <w:rFonts w:eastAsia="仿宋_GB2312" w:cs="仿宋_GB2312" w:hint="eastAsia"/>
          <w:sz w:val="32"/>
          <w:szCs w:val="32"/>
        </w:rPr>
        <w:t>辆、载客汽车</w:t>
      </w:r>
      <w:r>
        <w:rPr>
          <w:rFonts w:eastAsia="仿宋_GB2312" w:cs="仿宋_GB2312" w:hint="eastAsia"/>
          <w:sz w:val="32"/>
          <w:szCs w:val="32"/>
        </w:rPr>
        <w:t>0</w:t>
      </w:r>
      <w:r>
        <w:rPr>
          <w:rFonts w:eastAsia="仿宋_GB2312" w:cs="仿宋_GB2312" w:hint="eastAsia"/>
          <w:sz w:val="32"/>
          <w:szCs w:val="32"/>
        </w:rPr>
        <w:t>辆。</w:t>
      </w:r>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公务用车运行维护费支出</w:t>
      </w:r>
      <w:r>
        <w:rPr>
          <w:rFonts w:ascii="仿宋_GB2312" w:eastAsia="仿宋_GB2312" w:hAnsi="仿宋_GB2312" w:cs="仿宋_GB2312" w:hint="eastAsia"/>
          <w:sz w:val="32"/>
          <w:szCs w:val="32"/>
        </w:rPr>
        <w:t>0</w:t>
      </w:r>
      <w:r>
        <w:rPr>
          <w:rFonts w:eastAsia="仿宋_GB2312" w:cs="仿宋_GB2312" w:hint="eastAsia"/>
          <w:sz w:val="32"/>
          <w:szCs w:val="32"/>
        </w:rPr>
        <w:t>万元。</w:t>
      </w:r>
    </w:p>
    <w:p w:rsidR="00D57A2A" w:rsidRDefault="00056866">
      <w:pPr>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ascii="仿宋_GB2312" w:eastAsia="仿宋_GB2312" w:hAnsi="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公务接待费支出决算比</w:t>
      </w:r>
      <w:r>
        <w:rPr>
          <w:rFonts w:eastAsia="仿宋_GB2312" w:cs="仿宋_GB2312" w:hint="eastAsia"/>
          <w:sz w:val="32"/>
          <w:szCs w:val="32"/>
        </w:rPr>
        <w:t>上</w:t>
      </w:r>
      <w:r>
        <w:rPr>
          <w:rFonts w:eastAsia="仿宋_GB2312" w:cs="仿宋_GB2312" w:hint="eastAsia"/>
          <w:sz w:val="32"/>
          <w:szCs w:val="32"/>
        </w:rPr>
        <w:t>年度增加</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w:t>
      </w:r>
    </w:p>
    <w:p w:rsidR="00D57A2A" w:rsidRDefault="00D57A2A">
      <w:pPr>
        <w:spacing w:line="600" w:lineRule="exact"/>
        <w:ind w:firstLine="640"/>
        <w:rPr>
          <w:rFonts w:eastAsia="仿宋_GB2312" w:cs="仿宋_GB2312"/>
          <w:sz w:val="32"/>
          <w:szCs w:val="32"/>
        </w:rPr>
      </w:pPr>
      <w:bookmarkStart w:id="41" w:name="_Toc15396610"/>
      <w:bookmarkStart w:id="42" w:name="_Toc15377218"/>
    </w:p>
    <w:p w:rsidR="00D57A2A" w:rsidRDefault="00056866">
      <w:pPr>
        <w:spacing w:line="600" w:lineRule="exact"/>
        <w:ind w:firstLine="640"/>
        <w:outlineLvl w:val="1"/>
        <w:rPr>
          <w:rStyle w:val="2Char"/>
          <w:rFonts w:ascii="Times New Roman" w:eastAsia="黑体" w:hAnsi="Times New Roman"/>
        </w:rPr>
      </w:pPr>
      <w:r>
        <w:rPr>
          <w:rFonts w:eastAsia="黑体" w:hint="eastAsia"/>
          <w:sz w:val="32"/>
          <w:szCs w:val="32"/>
        </w:rPr>
        <w:t>八、</w:t>
      </w:r>
      <w:r>
        <w:rPr>
          <w:rStyle w:val="2Char"/>
          <w:rFonts w:ascii="Times New Roman" w:eastAsia="黑体" w:hAnsi="Times New Roman" w:hint="eastAsia"/>
          <w:b w:val="0"/>
        </w:rPr>
        <w:t>政府性基金预算支出决算情况说明</w:t>
      </w:r>
      <w:bookmarkEnd w:id="41"/>
      <w:bookmarkEnd w:id="42"/>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政府性基金预算财政拨款支出</w:t>
      </w:r>
      <w:r>
        <w:rPr>
          <w:rFonts w:ascii="仿宋_GB2312" w:eastAsia="仿宋_GB2312" w:hAnsi="仿宋_GB2312" w:cs="仿宋_GB2312" w:hint="eastAsia"/>
          <w:sz w:val="32"/>
          <w:szCs w:val="32"/>
        </w:rPr>
        <w:t>218.76</w:t>
      </w:r>
      <w:r>
        <w:rPr>
          <w:rFonts w:eastAsia="仿宋_GB2312" w:cs="仿宋_GB2312" w:hint="eastAsia"/>
          <w:sz w:val="32"/>
          <w:szCs w:val="32"/>
        </w:rPr>
        <w:t>万元，占本年支出合计的</w:t>
      </w:r>
      <w:r>
        <w:rPr>
          <w:rFonts w:ascii="仿宋_GB2312" w:eastAsia="仿宋_GB2312" w:hAnsi="仿宋_GB2312" w:cs="仿宋_GB2312" w:hint="eastAsia"/>
          <w:sz w:val="32"/>
          <w:szCs w:val="32"/>
        </w:rPr>
        <w:t>54.4</w:t>
      </w:r>
      <w:r>
        <w:rPr>
          <w:rFonts w:ascii="仿宋_GB2312" w:eastAsia="仿宋_GB2312" w:hAnsi="仿宋_GB2312" w:cs="仿宋_GB2312" w:hint="eastAsia"/>
          <w:sz w:val="32"/>
          <w:szCs w:val="32"/>
        </w:rPr>
        <w:t>7</w:t>
      </w:r>
      <w:r>
        <w:rPr>
          <w:rFonts w:eastAsia="仿宋_GB2312" w:cs="仿宋_GB2312" w:hint="eastAsia"/>
          <w:sz w:val="32"/>
          <w:szCs w:val="32"/>
        </w:rPr>
        <w:t>%</w:t>
      </w:r>
      <w:r>
        <w:rPr>
          <w:rFonts w:eastAsia="仿宋_GB2312" w:cs="仿宋_GB2312" w:hint="eastAsia"/>
          <w:sz w:val="32"/>
          <w:szCs w:val="32"/>
        </w:rPr>
        <w:t>。与</w:t>
      </w:r>
      <w:r>
        <w:rPr>
          <w:rFonts w:eastAsia="仿宋_GB2312" w:cs="仿宋_GB2312" w:hint="eastAsia"/>
          <w:sz w:val="32"/>
          <w:szCs w:val="32"/>
        </w:rPr>
        <w:t>上</w:t>
      </w:r>
      <w:r>
        <w:rPr>
          <w:rFonts w:eastAsia="仿宋_GB2312" w:cs="仿宋_GB2312" w:hint="eastAsia"/>
          <w:sz w:val="32"/>
          <w:szCs w:val="32"/>
        </w:rPr>
        <w:t>年度相比，政府性基金预算财政拨款支出增加</w:t>
      </w:r>
      <w:r>
        <w:rPr>
          <w:rFonts w:eastAsia="仿宋_GB2312" w:cs="仿宋_GB2312" w:hint="eastAsia"/>
          <w:sz w:val="32"/>
          <w:szCs w:val="32"/>
        </w:rPr>
        <w:t>116</w:t>
      </w:r>
      <w:r>
        <w:rPr>
          <w:rFonts w:eastAsia="仿宋_GB2312" w:cs="仿宋_GB2312" w:hint="eastAsia"/>
          <w:sz w:val="32"/>
          <w:szCs w:val="32"/>
        </w:rPr>
        <w:t>万元，增长</w:t>
      </w:r>
      <w:r>
        <w:rPr>
          <w:rFonts w:eastAsia="仿宋_GB2312" w:cs="仿宋_GB2312" w:hint="eastAsia"/>
          <w:sz w:val="32"/>
          <w:szCs w:val="32"/>
        </w:rPr>
        <w:t>112.88</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2025</w:t>
      </w:r>
      <w:r>
        <w:rPr>
          <w:rFonts w:eastAsia="仿宋_GB2312" w:cs="仿宋_GB2312" w:hint="eastAsia"/>
          <w:sz w:val="32"/>
          <w:szCs w:val="32"/>
        </w:rPr>
        <w:t>年度付了</w:t>
      </w:r>
      <w:r>
        <w:rPr>
          <w:rFonts w:eastAsia="仿宋_GB2312" w:cs="仿宋_GB2312" w:hint="eastAsia"/>
          <w:sz w:val="32"/>
          <w:szCs w:val="32"/>
        </w:rPr>
        <w:t>2024</w:t>
      </w:r>
      <w:r>
        <w:rPr>
          <w:rFonts w:eastAsia="仿宋_GB2312" w:cs="仿宋_GB2312" w:hint="eastAsia"/>
          <w:sz w:val="32"/>
          <w:szCs w:val="32"/>
        </w:rPr>
        <w:t>年度的未付款。</w:t>
      </w:r>
    </w:p>
    <w:p w:rsidR="00D57A2A" w:rsidRDefault="00D57A2A" w:rsidP="006130B2">
      <w:pPr>
        <w:pStyle w:val="a0"/>
        <w:spacing w:before="93"/>
      </w:pPr>
    </w:p>
    <w:p w:rsidR="00D57A2A" w:rsidRDefault="00056866">
      <w:pPr>
        <w:spacing w:line="600" w:lineRule="exact"/>
        <w:ind w:left="630"/>
        <w:outlineLvl w:val="1"/>
        <w:rPr>
          <w:rStyle w:val="2Char"/>
          <w:rFonts w:ascii="Times New Roman" w:eastAsia="黑体" w:hAnsi="Times New Roman"/>
          <w:b w:val="0"/>
        </w:rPr>
      </w:pPr>
      <w:bookmarkStart w:id="43" w:name="_Toc15396611"/>
      <w:bookmarkStart w:id="44" w:name="_Toc15377219"/>
      <w:r>
        <w:rPr>
          <w:rStyle w:val="2Char"/>
          <w:rFonts w:ascii="Times New Roman" w:eastAsia="黑体" w:hAnsi="Times New Roman" w:hint="eastAsia"/>
          <w:b w:val="0"/>
        </w:rPr>
        <w:t>九、</w:t>
      </w:r>
      <w:r>
        <w:rPr>
          <w:rStyle w:val="2Char"/>
          <w:rFonts w:ascii="Times New Roman" w:eastAsia="黑体" w:hAnsi="Times New Roman" w:hint="eastAsia"/>
          <w:b w:val="0"/>
        </w:rPr>
        <w:t>国有资本经营预算支出决算情况说明</w:t>
      </w:r>
      <w:bookmarkEnd w:id="43"/>
      <w:bookmarkEnd w:id="44"/>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国有资本经营预算财政拨款支出</w:t>
      </w:r>
      <w:r>
        <w:rPr>
          <w:rFonts w:ascii="仿宋_GB2312" w:eastAsia="仿宋_GB2312" w:hAnsi="仿宋_GB2312" w:cs="仿宋_GB2312" w:hint="eastAsia"/>
          <w:sz w:val="32"/>
          <w:szCs w:val="32"/>
        </w:rPr>
        <w:t>0</w:t>
      </w:r>
      <w:r>
        <w:rPr>
          <w:rFonts w:eastAsia="仿宋_GB2312" w:cs="仿宋_GB2312" w:hint="eastAsia"/>
          <w:sz w:val="32"/>
          <w:szCs w:val="32"/>
        </w:rPr>
        <w:t>万元，占本</w:t>
      </w:r>
      <w:r>
        <w:rPr>
          <w:rFonts w:eastAsia="仿宋_GB2312" w:cs="仿宋_GB2312" w:hint="eastAsia"/>
          <w:sz w:val="32"/>
          <w:szCs w:val="32"/>
        </w:rPr>
        <w:lastRenderedPageBreak/>
        <w:t>年支出合计的</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。与</w:t>
      </w:r>
      <w:r>
        <w:rPr>
          <w:rFonts w:eastAsia="仿宋_GB2312" w:cs="仿宋_GB2312" w:hint="eastAsia"/>
          <w:sz w:val="32"/>
          <w:szCs w:val="32"/>
        </w:rPr>
        <w:t>上</w:t>
      </w:r>
      <w:r>
        <w:rPr>
          <w:rFonts w:eastAsia="仿宋_GB2312" w:cs="仿宋_GB2312" w:hint="eastAsia"/>
          <w:sz w:val="32"/>
          <w:szCs w:val="32"/>
        </w:rPr>
        <w:t>年度相比，国有资本经营预算财政拨款支出增加</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w:t>
      </w:r>
    </w:p>
    <w:p w:rsidR="00D57A2A" w:rsidRDefault="00D57A2A" w:rsidP="006130B2">
      <w:pPr>
        <w:pStyle w:val="a0"/>
        <w:spacing w:before="93"/>
      </w:pPr>
    </w:p>
    <w:p w:rsidR="00D57A2A" w:rsidRDefault="00056866">
      <w:pPr>
        <w:spacing w:line="600" w:lineRule="exact"/>
        <w:ind w:left="630"/>
        <w:outlineLvl w:val="1"/>
        <w:rPr>
          <w:rStyle w:val="2Char"/>
          <w:rFonts w:ascii="Times New Roman" w:eastAsia="黑体" w:hAnsi="Times New Roman"/>
          <w:b w:val="0"/>
        </w:rPr>
      </w:pPr>
      <w:bookmarkStart w:id="45" w:name="_Toc15377221"/>
      <w:bookmarkStart w:id="46" w:name="_Toc15396612"/>
      <w:r>
        <w:rPr>
          <w:rStyle w:val="2Char"/>
          <w:rFonts w:ascii="Times New Roman" w:eastAsia="黑体" w:hAnsi="Times New Roman" w:hint="eastAsia"/>
          <w:b w:val="0"/>
        </w:rPr>
        <w:t>十、</w:t>
      </w:r>
      <w:r>
        <w:rPr>
          <w:rStyle w:val="2Char"/>
          <w:rFonts w:ascii="Times New Roman" w:eastAsia="黑体" w:hAnsi="Times New Roman" w:hint="eastAsia"/>
          <w:b w:val="0"/>
        </w:rPr>
        <w:t>其他重要事项的情况说明</w:t>
      </w:r>
      <w:bookmarkEnd w:id="45"/>
      <w:bookmarkEnd w:id="46"/>
    </w:p>
    <w:p w:rsidR="00D57A2A" w:rsidRDefault="00056866" w:rsidP="006130B2">
      <w:pPr>
        <w:spacing w:line="600" w:lineRule="exact"/>
        <w:ind w:firstLineChars="200" w:firstLine="643"/>
        <w:outlineLvl w:val="2"/>
        <w:rPr>
          <w:rFonts w:eastAsia="楷体_GB2312" w:cs="楷体_GB2312"/>
          <w:b/>
          <w:sz w:val="32"/>
          <w:szCs w:val="32"/>
        </w:rPr>
      </w:pPr>
      <w:bookmarkStart w:id="47" w:name="_Toc15377222"/>
      <w:r>
        <w:rPr>
          <w:rFonts w:eastAsia="楷体_GB2312" w:cs="楷体_GB2312" w:hint="eastAsia"/>
          <w:b/>
          <w:sz w:val="32"/>
          <w:szCs w:val="32"/>
        </w:rPr>
        <w:t>（一）机关运行经费支出情况</w:t>
      </w:r>
      <w:bookmarkEnd w:id="47"/>
    </w:p>
    <w:p w:rsidR="00D57A2A" w:rsidRDefault="00056866">
      <w:pPr>
        <w:spacing w:line="600" w:lineRule="exact"/>
        <w:ind w:firstLine="640"/>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w:t>
      </w:r>
      <w:r>
        <w:rPr>
          <w:rFonts w:ascii="仿宋_GB2312" w:eastAsia="仿宋_GB2312" w:hAnsi="仿宋_GB2312" w:cs="仿宋_GB2312" w:hint="eastAsia"/>
          <w:sz w:val="32"/>
          <w:szCs w:val="32"/>
        </w:rPr>
        <w:t>攀枝花市社会体育指导中心</w:t>
      </w:r>
      <w:r>
        <w:rPr>
          <w:rFonts w:eastAsia="仿宋_GB2312" w:cs="仿宋_GB2312" w:hint="eastAsia"/>
          <w:sz w:val="32"/>
          <w:szCs w:val="32"/>
        </w:rPr>
        <w:t>机关运行经费支出</w:t>
      </w:r>
      <w:r>
        <w:rPr>
          <w:rFonts w:ascii="仿宋_GB2312" w:eastAsia="仿宋_GB2312" w:hAnsi="仿宋_GB2312" w:cs="仿宋_GB2312" w:hint="eastAsia"/>
          <w:sz w:val="32"/>
          <w:szCs w:val="32"/>
        </w:rPr>
        <w:t>0</w:t>
      </w:r>
      <w:r>
        <w:rPr>
          <w:rFonts w:eastAsia="仿宋_GB2312" w:cs="仿宋_GB2312" w:hint="eastAsia"/>
          <w:sz w:val="32"/>
          <w:szCs w:val="32"/>
        </w:rPr>
        <w:t>万元，比</w:t>
      </w:r>
      <w:r>
        <w:rPr>
          <w:rFonts w:eastAsia="仿宋_GB2312" w:cs="仿宋_GB2312" w:hint="eastAsia"/>
          <w:sz w:val="32"/>
          <w:szCs w:val="32"/>
        </w:rPr>
        <w:t>上</w:t>
      </w:r>
      <w:r>
        <w:rPr>
          <w:rFonts w:eastAsia="仿宋_GB2312" w:cs="仿宋_GB2312" w:hint="eastAsia"/>
          <w:sz w:val="32"/>
          <w:szCs w:val="32"/>
        </w:rPr>
        <w:t>年度增加</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与</w:t>
      </w:r>
      <w:r>
        <w:rPr>
          <w:rFonts w:eastAsia="仿宋_GB2312" w:cs="仿宋_GB2312" w:hint="eastAsia"/>
          <w:sz w:val="32"/>
          <w:szCs w:val="32"/>
        </w:rPr>
        <w:t>上</w:t>
      </w:r>
      <w:r>
        <w:rPr>
          <w:rFonts w:eastAsia="仿宋_GB2312" w:cs="仿宋_GB2312" w:hint="eastAsia"/>
          <w:sz w:val="32"/>
          <w:szCs w:val="32"/>
        </w:rPr>
        <w:t>年度决算数持平</w:t>
      </w:r>
      <w:r>
        <w:rPr>
          <w:rFonts w:eastAsia="仿宋_GB2312" w:cs="仿宋_GB2312" w:hint="eastAsia"/>
          <w:sz w:val="32"/>
          <w:szCs w:val="32"/>
        </w:rPr>
        <w:t>。</w:t>
      </w:r>
    </w:p>
    <w:p w:rsidR="00D57A2A" w:rsidRDefault="00056866" w:rsidP="006130B2">
      <w:pPr>
        <w:spacing w:line="600" w:lineRule="exact"/>
        <w:ind w:firstLineChars="200" w:firstLine="643"/>
        <w:outlineLvl w:val="2"/>
        <w:rPr>
          <w:rFonts w:eastAsia="楷体_GB2312" w:cs="楷体_GB2312"/>
          <w:b/>
          <w:sz w:val="32"/>
          <w:szCs w:val="32"/>
        </w:rPr>
      </w:pPr>
      <w:bookmarkStart w:id="48" w:name="_Toc15377223"/>
      <w:r>
        <w:rPr>
          <w:rFonts w:eastAsia="楷体_GB2312" w:cs="楷体_GB2312" w:hint="eastAsia"/>
          <w:b/>
          <w:sz w:val="32"/>
          <w:szCs w:val="32"/>
        </w:rPr>
        <w:t>（二）政府采购支出情况</w:t>
      </w:r>
      <w:bookmarkEnd w:id="48"/>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hint="eastAsia"/>
          <w:sz w:val="32"/>
          <w:szCs w:val="32"/>
        </w:rPr>
        <w:t>，</w:t>
      </w:r>
      <w:r>
        <w:rPr>
          <w:rFonts w:ascii="仿宋_GB2312" w:eastAsia="仿宋_GB2312" w:hAnsi="仿宋_GB2312" w:cs="仿宋_GB2312" w:hint="eastAsia"/>
          <w:sz w:val="32"/>
          <w:szCs w:val="32"/>
        </w:rPr>
        <w:t>攀枝花市社会体育指导中心</w:t>
      </w:r>
      <w:r>
        <w:rPr>
          <w:rFonts w:eastAsia="仿宋_GB2312" w:cs="仿宋_GB2312" w:hint="eastAsia"/>
          <w:sz w:val="32"/>
          <w:szCs w:val="32"/>
        </w:rPr>
        <w:t>政府采购支出总额</w:t>
      </w:r>
      <w:r>
        <w:rPr>
          <w:rFonts w:ascii="仿宋_GB2312" w:eastAsia="仿宋_GB2312" w:hAnsi="仿宋_GB2312" w:cs="仿宋_GB2312" w:hint="eastAsia"/>
          <w:sz w:val="32"/>
          <w:szCs w:val="32"/>
        </w:rPr>
        <w:t>168.58</w:t>
      </w:r>
      <w:r>
        <w:rPr>
          <w:rFonts w:eastAsia="仿宋_GB2312" w:cs="仿宋_GB2312" w:hint="eastAsia"/>
          <w:sz w:val="32"/>
          <w:szCs w:val="32"/>
        </w:rPr>
        <w:t>万元，其中：政府采购货物支出</w:t>
      </w:r>
      <w:r>
        <w:rPr>
          <w:rFonts w:ascii="仿宋_GB2312" w:eastAsia="仿宋_GB2312" w:hAnsi="仿宋_GB2312" w:cs="仿宋_GB2312" w:hint="eastAsia"/>
          <w:sz w:val="32"/>
          <w:szCs w:val="32"/>
        </w:rPr>
        <w:t>0</w:t>
      </w:r>
      <w:r>
        <w:rPr>
          <w:rFonts w:eastAsia="仿宋_GB2312" w:cs="仿宋_GB2312" w:hint="eastAsia"/>
          <w:sz w:val="32"/>
          <w:szCs w:val="32"/>
        </w:rPr>
        <w:t>万元、政府采购工程支出</w:t>
      </w:r>
      <w:r>
        <w:rPr>
          <w:rFonts w:ascii="仿宋_GB2312" w:eastAsia="仿宋_GB2312" w:hAnsi="仿宋_GB2312" w:cs="仿宋_GB2312" w:hint="eastAsia"/>
          <w:sz w:val="32"/>
          <w:szCs w:val="32"/>
        </w:rPr>
        <w:t>0</w:t>
      </w:r>
      <w:r>
        <w:rPr>
          <w:rFonts w:eastAsia="仿宋_GB2312" w:cs="仿宋_GB2312" w:hint="eastAsia"/>
          <w:sz w:val="32"/>
          <w:szCs w:val="32"/>
        </w:rPr>
        <w:t>万元、政府采购服务支出</w:t>
      </w:r>
      <w:r>
        <w:rPr>
          <w:rFonts w:ascii="仿宋_GB2312" w:eastAsia="仿宋_GB2312" w:hAnsi="仿宋_GB2312" w:cs="仿宋_GB2312" w:hint="eastAsia"/>
          <w:sz w:val="32"/>
          <w:szCs w:val="32"/>
        </w:rPr>
        <w:t>168.58</w:t>
      </w:r>
      <w:r>
        <w:rPr>
          <w:rFonts w:eastAsia="仿宋_GB2312" w:cs="仿宋_GB2312" w:hint="eastAsia"/>
          <w:sz w:val="32"/>
          <w:szCs w:val="32"/>
        </w:rPr>
        <w:t>万元。主要用于</w:t>
      </w:r>
      <w:r>
        <w:rPr>
          <w:rFonts w:ascii="仿宋_GB2312" w:eastAsia="仿宋_GB2312" w:hAnsi="仿宋_GB2312" w:cs="仿宋_GB2312" w:hint="eastAsia"/>
          <w:sz w:val="32"/>
          <w:szCs w:val="32"/>
        </w:rPr>
        <w:t>国家登山健身步道联赛总决赛办赛服务费。</w:t>
      </w:r>
      <w:r>
        <w:rPr>
          <w:rFonts w:eastAsia="仿宋_GB2312" w:cs="仿宋_GB2312" w:hint="eastAsia"/>
          <w:sz w:val="32"/>
          <w:szCs w:val="32"/>
        </w:rPr>
        <w:t>授予中小企业合同金额</w:t>
      </w:r>
      <w:r>
        <w:rPr>
          <w:rFonts w:ascii="仿宋_GB2312" w:eastAsia="仿宋_GB2312" w:hAnsi="仿宋_GB2312" w:cs="仿宋_GB2312" w:hint="eastAsia"/>
          <w:sz w:val="32"/>
          <w:szCs w:val="32"/>
        </w:rPr>
        <w:t>168.58</w:t>
      </w:r>
      <w:r>
        <w:rPr>
          <w:rFonts w:eastAsia="仿宋_GB2312" w:cs="仿宋_GB2312" w:hint="eastAsia"/>
          <w:sz w:val="32"/>
          <w:szCs w:val="32"/>
        </w:rPr>
        <w:t>万元，占政府采购支出总额的</w:t>
      </w:r>
      <w:r>
        <w:rPr>
          <w:rFonts w:ascii="仿宋_GB2312" w:eastAsia="仿宋_GB2312" w:hAnsi="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，其中：授予小微企业合同金额</w:t>
      </w:r>
      <w:r>
        <w:rPr>
          <w:rFonts w:ascii="仿宋_GB2312" w:eastAsia="仿宋_GB2312" w:hAnsi="仿宋_GB2312" w:cs="仿宋_GB2312" w:hint="eastAsia"/>
          <w:sz w:val="32"/>
          <w:szCs w:val="32"/>
        </w:rPr>
        <w:t>168.58</w:t>
      </w:r>
      <w:r>
        <w:rPr>
          <w:rFonts w:eastAsia="仿宋_GB2312" w:cs="仿宋_GB2312" w:hint="eastAsia"/>
          <w:sz w:val="32"/>
          <w:szCs w:val="32"/>
        </w:rPr>
        <w:t>万元，占政府采购支出总额的</w:t>
      </w:r>
      <w:r>
        <w:rPr>
          <w:rFonts w:ascii="仿宋_GB2312" w:eastAsia="仿宋_GB2312" w:hAnsi="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p>
    <w:p w:rsidR="00D57A2A" w:rsidRDefault="00056866" w:rsidP="006130B2">
      <w:pPr>
        <w:spacing w:line="600" w:lineRule="exact"/>
        <w:ind w:firstLineChars="200" w:firstLine="643"/>
        <w:outlineLvl w:val="2"/>
        <w:rPr>
          <w:rFonts w:eastAsia="楷体_GB2312" w:cs="楷体_GB2312"/>
          <w:b/>
          <w:sz w:val="32"/>
          <w:szCs w:val="32"/>
        </w:rPr>
      </w:pPr>
      <w:bookmarkStart w:id="49" w:name="_Toc15377224"/>
      <w:r>
        <w:rPr>
          <w:rFonts w:eastAsia="楷体_GB2312" w:cs="楷体_GB2312" w:hint="eastAsia"/>
          <w:b/>
          <w:sz w:val="32"/>
          <w:szCs w:val="32"/>
        </w:rPr>
        <w:t>（三）国有资产占有使用情况</w:t>
      </w:r>
      <w:bookmarkEnd w:id="49"/>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截至</w:t>
      </w: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w:t>
      </w:r>
      <w:r>
        <w:rPr>
          <w:rFonts w:ascii="仿宋_GB2312" w:eastAsia="仿宋_GB2312" w:hAnsi="仿宋_GB2312" w:cs="仿宋_GB2312" w:hint="eastAsia"/>
          <w:sz w:val="32"/>
          <w:szCs w:val="32"/>
        </w:rPr>
        <w:t>攀枝花市社会体育指导中心</w:t>
      </w:r>
      <w:r>
        <w:rPr>
          <w:rFonts w:eastAsia="仿宋_GB2312" w:cs="仿宋_GB2312" w:hint="eastAsia"/>
          <w:sz w:val="32"/>
          <w:szCs w:val="32"/>
        </w:rPr>
        <w:t>共有车辆</w:t>
      </w:r>
      <w:r>
        <w:rPr>
          <w:rFonts w:ascii="仿宋_GB2312" w:eastAsia="仿宋_GB2312" w:hAnsi="仿宋_GB2312" w:cs="仿宋_GB2312" w:hint="eastAsia"/>
          <w:sz w:val="32"/>
          <w:szCs w:val="32"/>
        </w:rPr>
        <w:t>0</w:t>
      </w:r>
      <w:r>
        <w:rPr>
          <w:rFonts w:eastAsia="仿宋_GB2312" w:cs="仿宋_GB2312" w:hint="eastAsia"/>
          <w:sz w:val="32"/>
          <w:szCs w:val="32"/>
        </w:rPr>
        <w:t>辆，其中：副部（省）级及以上领导用车</w:t>
      </w:r>
      <w:r>
        <w:rPr>
          <w:rFonts w:ascii="仿宋_GB2312" w:eastAsia="仿宋_GB2312" w:hAnsi="仿宋_GB2312" w:cs="仿宋_GB2312" w:hint="eastAsia"/>
          <w:sz w:val="32"/>
          <w:szCs w:val="32"/>
        </w:rPr>
        <w:t>0</w:t>
      </w:r>
      <w:r>
        <w:rPr>
          <w:rFonts w:eastAsia="仿宋_GB2312" w:cs="仿宋_GB2312" w:hint="eastAsia"/>
          <w:sz w:val="32"/>
          <w:szCs w:val="32"/>
        </w:rPr>
        <w:t>辆、主要</w:t>
      </w:r>
      <w:r>
        <w:rPr>
          <w:rFonts w:eastAsia="仿宋_GB2312" w:cs="仿宋_GB2312" w:hint="eastAsia"/>
          <w:sz w:val="32"/>
          <w:szCs w:val="32"/>
        </w:rPr>
        <w:t>负责人</w:t>
      </w:r>
      <w:r>
        <w:rPr>
          <w:rFonts w:eastAsia="仿宋_GB2312" w:cs="仿宋_GB2312" w:hint="eastAsia"/>
          <w:sz w:val="32"/>
          <w:szCs w:val="32"/>
        </w:rPr>
        <w:t>用车</w:t>
      </w:r>
      <w:r>
        <w:rPr>
          <w:rFonts w:ascii="仿宋_GB2312" w:eastAsia="仿宋_GB2312" w:hAnsi="仿宋_GB2312" w:cs="仿宋_GB2312" w:hint="eastAsia"/>
          <w:sz w:val="32"/>
          <w:szCs w:val="32"/>
        </w:rPr>
        <w:t>0</w:t>
      </w:r>
      <w:r>
        <w:rPr>
          <w:rFonts w:eastAsia="仿宋_GB2312" w:cs="仿宋_GB2312" w:hint="eastAsia"/>
          <w:sz w:val="32"/>
          <w:szCs w:val="32"/>
        </w:rPr>
        <w:t>辆、机要通信用车</w:t>
      </w:r>
      <w:r>
        <w:rPr>
          <w:rFonts w:ascii="仿宋_GB2312" w:eastAsia="仿宋_GB2312" w:hAnsi="仿宋_GB2312" w:cs="仿宋_GB2312" w:hint="eastAsia"/>
          <w:sz w:val="32"/>
          <w:szCs w:val="32"/>
        </w:rPr>
        <w:t>0</w:t>
      </w:r>
      <w:r>
        <w:rPr>
          <w:rFonts w:eastAsia="仿宋_GB2312" w:cs="仿宋_GB2312" w:hint="eastAsia"/>
          <w:sz w:val="32"/>
          <w:szCs w:val="32"/>
        </w:rPr>
        <w:t>辆、应急保障用车</w:t>
      </w:r>
      <w:r>
        <w:rPr>
          <w:rFonts w:ascii="仿宋_GB2312" w:eastAsia="仿宋_GB2312" w:hAnsi="仿宋_GB2312" w:cs="仿宋_GB2312" w:hint="eastAsia"/>
          <w:sz w:val="32"/>
          <w:szCs w:val="32"/>
        </w:rPr>
        <w:t>0</w:t>
      </w:r>
      <w:r>
        <w:rPr>
          <w:rFonts w:eastAsia="仿宋_GB2312" w:cs="仿宋_GB2312" w:hint="eastAsia"/>
          <w:sz w:val="32"/>
          <w:szCs w:val="32"/>
        </w:rPr>
        <w:t>辆、执法执勤用车</w:t>
      </w:r>
      <w:r>
        <w:rPr>
          <w:rFonts w:ascii="仿宋_GB2312" w:eastAsia="仿宋_GB2312" w:hAnsi="仿宋_GB2312" w:cs="仿宋_GB2312" w:hint="eastAsia"/>
          <w:sz w:val="32"/>
          <w:szCs w:val="32"/>
        </w:rPr>
        <w:t>0</w:t>
      </w:r>
      <w:r>
        <w:rPr>
          <w:rFonts w:eastAsia="仿宋_GB2312" w:cs="仿宋_GB2312" w:hint="eastAsia"/>
          <w:sz w:val="32"/>
          <w:szCs w:val="32"/>
        </w:rPr>
        <w:t>辆、特种专业技术用车</w:t>
      </w:r>
      <w:r>
        <w:rPr>
          <w:rFonts w:ascii="仿宋_GB2312" w:eastAsia="仿宋_GB2312" w:hAnsi="仿宋_GB2312" w:cs="仿宋_GB2312" w:hint="eastAsia"/>
          <w:sz w:val="32"/>
          <w:szCs w:val="32"/>
        </w:rPr>
        <w:t>0</w:t>
      </w:r>
      <w:r>
        <w:rPr>
          <w:rFonts w:eastAsia="仿宋_GB2312" w:cs="仿宋_GB2312" w:hint="eastAsia"/>
          <w:sz w:val="32"/>
          <w:szCs w:val="32"/>
        </w:rPr>
        <w:t>辆、离退休干部服务用车</w:t>
      </w:r>
      <w:r>
        <w:rPr>
          <w:rFonts w:ascii="仿宋_GB2312" w:eastAsia="仿宋_GB2312" w:hAnsi="仿宋_GB2312" w:cs="仿宋_GB2312" w:hint="eastAsia"/>
          <w:sz w:val="32"/>
          <w:szCs w:val="32"/>
        </w:rPr>
        <w:t>0</w:t>
      </w:r>
      <w:r>
        <w:rPr>
          <w:rFonts w:eastAsia="仿宋_GB2312" w:cs="仿宋_GB2312" w:hint="eastAsia"/>
          <w:sz w:val="32"/>
          <w:szCs w:val="32"/>
        </w:rPr>
        <w:t>辆、其他用车</w:t>
      </w:r>
      <w:r>
        <w:rPr>
          <w:rFonts w:ascii="仿宋_GB2312" w:eastAsia="仿宋_GB2312" w:hAnsi="仿宋_GB2312" w:cs="仿宋_GB2312" w:hint="eastAsia"/>
          <w:sz w:val="32"/>
          <w:szCs w:val="32"/>
        </w:rPr>
        <w:t>0</w:t>
      </w:r>
      <w:r>
        <w:rPr>
          <w:rFonts w:eastAsia="仿宋_GB2312" w:cs="仿宋_GB2312" w:hint="eastAsia"/>
          <w:sz w:val="32"/>
          <w:szCs w:val="32"/>
        </w:rPr>
        <w:t>辆</w:t>
      </w:r>
      <w:r>
        <w:rPr>
          <w:rFonts w:eastAsia="仿宋_GB2312" w:cs="仿宋_GB2312" w:hint="eastAsia"/>
          <w:sz w:val="32"/>
          <w:szCs w:val="32"/>
        </w:rPr>
        <w:t>。</w:t>
      </w:r>
      <w:r>
        <w:rPr>
          <w:rFonts w:eastAsia="仿宋_GB2312" w:cs="仿宋_GB2312" w:hint="eastAsia"/>
          <w:sz w:val="32"/>
          <w:szCs w:val="32"/>
        </w:rPr>
        <w:t>单价</w:t>
      </w:r>
      <w:r>
        <w:rPr>
          <w:rFonts w:eastAsia="仿宋_GB2312" w:cs="仿宋_GB2312" w:hint="eastAsia"/>
          <w:sz w:val="32"/>
          <w:szCs w:val="32"/>
        </w:rPr>
        <w:t>100</w:t>
      </w:r>
      <w:r>
        <w:rPr>
          <w:rFonts w:eastAsia="仿宋_GB2312" w:cs="仿宋_GB2312" w:hint="eastAsia"/>
          <w:sz w:val="32"/>
          <w:szCs w:val="32"/>
        </w:rPr>
        <w:t>万元</w:t>
      </w:r>
      <w:r>
        <w:rPr>
          <w:rFonts w:eastAsia="仿宋_GB2312" w:cs="仿宋_GB2312" w:hint="eastAsia"/>
          <w:sz w:val="32"/>
          <w:szCs w:val="32"/>
        </w:rPr>
        <w:t>（含）</w:t>
      </w:r>
      <w:r>
        <w:rPr>
          <w:rFonts w:eastAsia="仿宋_GB2312" w:cs="仿宋_GB2312" w:hint="eastAsia"/>
          <w:sz w:val="32"/>
          <w:szCs w:val="32"/>
        </w:rPr>
        <w:t>以上设备（不含车辆）</w:t>
      </w:r>
      <w:r>
        <w:rPr>
          <w:rFonts w:ascii="仿宋_GB2312" w:eastAsia="仿宋_GB2312" w:hAnsi="仿宋_GB2312" w:cs="仿宋_GB2312" w:hint="eastAsia"/>
          <w:sz w:val="32"/>
          <w:szCs w:val="32"/>
        </w:rPr>
        <w:t>0</w:t>
      </w:r>
      <w:r>
        <w:rPr>
          <w:rFonts w:eastAsia="仿宋_GB2312" w:cs="仿宋_GB2312" w:hint="eastAsia"/>
          <w:sz w:val="32"/>
          <w:szCs w:val="32"/>
        </w:rPr>
        <w:t>台（套）。</w:t>
      </w:r>
    </w:p>
    <w:p w:rsidR="00D57A2A" w:rsidRDefault="00D57A2A">
      <w:pPr>
        <w:spacing w:line="600" w:lineRule="exact"/>
        <w:ind w:firstLine="640"/>
        <w:rPr>
          <w:rFonts w:eastAsia="仿宋_GB2312" w:cs="仿宋_GB2312"/>
          <w:sz w:val="32"/>
          <w:szCs w:val="32"/>
        </w:rPr>
      </w:pPr>
    </w:p>
    <w:p w:rsidR="00D57A2A" w:rsidRDefault="00056866" w:rsidP="006130B2">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（四）预算绩效管理情况</w:t>
      </w:r>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根据预算绩效管理要求，</w:t>
      </w:r>
      <w:r>
        <w:rPr>
          <w:rFonts w:eastAsia="仿宋_GB2312" w:cs="仿宋_GB2312" w:hint="eastAsia"/>
          <w:sz w:val="32"/>
          <w:szCs w:val="32"/>
        </w:rPr>
        <w:t>本单位</w:t>
      </w:r>
      <w:r>
        <w:rPr>
          <w:rFonts w:eastAsia="仿宋_GB2312" w:cs="仿宋_GB2312" w:hint="eastAsia"/>
          <w:sz w:val="32"/>
          <w:szCs w:val="32"/>
        </w:rPr>
        <w:t>在</w:t>
      </w:r>
      <w:r>
        <w:rPr>
          <w:rFonts w:eastAsia="仿宋_GB2312" w:cs="仿宋_GB2312" w:hint="eastAsia"/>
          <w:sz w:val="32"/>
          <w:szCs w:val="32"/>
        </w:rPr>
        <w:t>2025</w:t>
      </w:r>
      <w:r>
        <w:rPr>
          <w:rFonts w:eastAsia="仿宋_GB2312" w:cs="仿宋_GB2312" w:hint="eastAsia"/>
          <w:sz w:val="32"/>
          <w:szCs w:val="32"/>
        </w:rPr>
        <w:t>年度，组织对</w:t>
      </w:r>
      <w:r>
        <w:rPr>
          <w:rFonts w:eastAsia="仿宋_GB2312" w:cs="仿宋_GB2312" w:hint="eastAsia"/>
          <w:sz w:val="32"/>
          <w:szCs w:val="32"/>
        </w:rPr>
        <w:t>国家登山健身步道联赛总决赛</w:t>
      </w:r>
      <w:r>
        <w:rPr>
          <w:rFonts w:eastAsia="仿宋_GB2312" w:cs="仿宋_GB2312" w:hint="eastAsia"/>
          <w:sz w:val="32"/>
          <w:szCs w:val="32"/>
        </w:rPr>
        <w:t>等</w:t>
      </w:r>
      <w:r>
        <w:rPr>
          <w:rFonts w:eastAsia="仿宋_GB2312" w:cs="仿宋_GB2312" w:hint="eastAsia"/>
          <w:sz w:val="32"/>
          <w:szCs w:val="32"/>
        </w:rPr>
        <w:t>3</w:t>
      </w:r>
      <w:r>
        <w:rPr>
          <w:rFonts w:eastAsia="仿宋_GB2312" w:cs="仿宋_GB2312" w:hint="eastAsia"/>
          <w:sz w:val="32"/>
          <w:szCs w:val="32"/>
        </w:rPr>
        <w:t>个项目涉及金额</w:t>
      </w:r>
      <w:r>
        <w:rPr>
          <w:rFonts w:eastAsia="仿宋_GB2312" w:cs="仿宋_GB2312" w:hint="eastAsia"/>
          <w:sz w:val="32"/>
          <w:szCs w:val="32"/>
        </w:rPr>
        <w:t>218.76</w:t>
      </w:r>
      <w:r>
        <w:rPr>
          <w:rFonts w:eastAsia="仿宋_GB2312" w:cs="仿宋_GB2312" w:hint="eastAsia"/>
          <w:sz w:val="32"/>
          <w:szCs w:val="32"/>
        </w:rPr>
        <w:t>万元开展了事前绩效评估，对</w:t>
      </w:r>
      <w:r>
        <w:rPr>
          <w:rFonts w:eastAsia="仿宋_GB2312" w:cs="仿宋_GB2312" w:hint="eastAsia"/>
          <w:sz w:val="32"/>
          <w:szCs w:val="32"/>
        </w:rPr>
        <w:t>3</w:t>
      </w:r>
      <w:r>
        <w:rPr>
          <w:rFonts w:eastAsia="仿宋_GB2312" w:cs="仿宋_GB2312" w:hint="eastAsia"/>
          <w:sz w:val="32"/>
          <w:szCs w:val="32"/>
        </w:rPr>
        <w:t>个项目编制了绩效目标，预算执行过程中，选取</w:t>
      </w:r>
      <w:r>
        <w:rPr>
          <w:rFonts w:eastAsia="仿宋_GB2312" w:cs="仿宋_GB2312" w:hint="eastAsia"/>
          <w:sz w:val="32"/>
          <w:szCs w:val="32"/>
        </w:rPr>
        <w:t>3</w:t>
      </w:r>
      <w:r>
        <w:rPr>
          <w:rFonts w:eastAsia="仿宋_GB2312" w:cs="仿宋_GB2312" w:hint="eastAsia"/>
          <w:sz w:val="32"/>
          <w:szCs w:val="32"/>
        </w:rPr>
        <w:t>个项目开展绩效监控。</w:t>
      </w:r>
    </w:p>
    <w:p w:rsidR="00D57A2A" w:rsidRDefault="00D57A2A">
      <w:pPr>
        <w:spacing w:line="600" w:lineRule="exact"/>
        <w:ind w:firstLine="640"/>
        <w:rPr>
          <w:rFonts w:eastAsia="仿宋_GB2312" w:cs="仿宋_GB2312"/>
          <w:sz w:val="32"/>
          <w:szCs w:val="32"/>
        </w:rPr>
      </w:pPr>
    </w:p>
    <w:p w:rsidR="00D57A2A" w:rsidRDefault="00056866">
      <w:pPr>
        <w:spacing w:line="600" w:lineRule="exact"/>
        <w:jc w:val="center"/>
        <w:outlineLvl w:val="0"/>
        <w:rPr>
          <w:rFonts w:eastAsia="黑体"/>
          <w:sz w:val="44"/>
          <w:szCs w:val="44"/>
        </w:rPr>
      </w:pPr>
      <w:bookmarkStart w:id="50" w:name="_Toc15377225"/>
      <w:bookmarkStart w:id="51" w:name="_Toc15396613"/>
      <w:r>
        <w:rPr>
          <w:rFonts w:eastAsia="黑体" w:hint="eastAsia"/>
          <w:sz w:val="44"/>
          <w:szCs w:val="44"/>
        </w:rPr>
        <w:t>第</w:t>
      </w:r>
      <w:r>
        <w:rPr>
          <w:rFonts w:eastAsia="黑体" w:hint="eastAsia"/>
          <w:sz w:val="44"/>
          <w:szCs w:val="44"/>
        </w:rPr>
        <w:t>三</w:t>
      </w:r>
      <w:r>
        <w:rPr>
          <w:rFonts w:eastAsia="黑体" w:hint="eastAsia"/>
          <w:sz w:val="44"/>
          <w:szCs w:val="44"/>
        </w:rPr>
        <w:t>部分</w:t>
      </w:r>
      <w:r>
        <w:rPr>
          <w:rFonts w:eastAsia="黑体" w:hint="eastAsia"/>
          <w:sz w:val="44"/>
          <w:szCs w:val="44"/>
        </w:rPr>
        <w:t xml:space="preserve"> </w:t>
      </w:r>
      <w:r>
        <w:rPr>
          <w:rFonts w:eastAsia="黑体" w:hint="eastAsia"/>
          <w:sz w:val="44"/>
          <w:szCs w:val="44"/>
        </w:rPr>
        <w:t xml:space="preserve"> </w:t>
      </w:r>
      <w:r>
        <w:rPr>
          <w:rFonts w:eastAsia="黑体" w:hint="eastAsia"/>
          <w:sz w:val="44"/>
          <w:szCs w:val="44"/>
        </w:rPr>
        <w:t>名词解释</w:t>
      </w:r>
      <w:bookmarkEnd w:id="50"/>
      <w:bookmarkEnd w:id="51"/>
    </w:p>
    <w:p w:rsidR="00D57A2A" w:rsidRDefault="00D57A2A">
      <w:pPr>
        <w:spacing w:line="600" w:lineRule="exact"/>
        <w:jc w:val="left"/>
        <w:rPr>
          <w:b/>
          <w:sz w:val="44"/>
          <w:szCs w:val="44"/>
        </w:rPr>
      </w:pPr>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财政拨款收入：指单位从同级财政</w:t>
      </w:r>
      <w:r>
        <w:rPr>
          <w:rFonts w:eastAsia="仿宋_GB2312" w:cs="仿宋_GB2312"/>
          <w:sz w:val="32"/>
          <w:szCs w:val="32"/>
        </w:rPr>
        <w:t>单位</w:t>
      </w:r>
      <w:r>
        <w:rPr>
          <w:rFonts w:eastAsia="仿宋_GB2312" w:cs="仿宋_GB2312" w:hint="eastAsia"/>
          <w:sz w:val="32"/>
          <w:szCs w:val="32"/>
        </w:rPr>
        <w:t>取得的财政预算资金。</w:t>
      </w:r>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hint="eastAsia"/>
          <w:sz w:val="32"/>
          <w:szCs w:val="32"/>
        </w:rPr>
        <w:t>年初结转和结余：指以前年度尚未完成、结转到本年按有关规定继续使用的资金。</w:t>
      </w:r>
      <w:r>
        <w:rPr>
          <w:rFonts w:eastAsia="仿宋_GB2312" w:cs="仿宋_GB2312" w:hint="eastAsia"/>
          <w:sz w:val="32"/>
          <w:szCs w:val="32"/>
        </w:rPr>
        <w:t xml:space="preserve"> </w:t>
      </w:r>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3.</w:t>
      </w:r>
      <w:r>
        <w:rPr>
          <w:rFonts w:eastAsia="仿宋_GB2312" w:cs="仿宋_GB2312" w:hint="eastAsia"/>
          <w:sz w:val="32"/>
          <w:szCs w:val="32"/>
        </w:rPr>
        <w:t>年末结转和结余：指单位按有关规定结转到下年或以后年度继续使用的资金。</w:t>
      </w:r>
    </w:p>
    <w:p w:rsidR="00D57A2A" w:rsidRDefault="00056866">
      <w:pPr>
        <w:widowControl/>
        <w:spacing w:line="560" w:lineRule="exact"/>
        <w:ind w:firstLine="660"/>
        <w:rPr>
          <w:rFonts w:ascii="仿宋" w:eastAsia="仿宋" w:cs="仿宋_GB2312"/>
          <w:sz w:val="32"/>
          <w:szCs w:val="32"/>
        </w:rPr>
      </w:pPr>
      <w:r>
        <w:rPr>
          <w:rFonts w:ascii="仿宋" w:eastAsia="仿宋" w:cs="仿宋_GB2312" w:hint="eastAsia"/>
          <w:sz w:val="32"/>
          <w:szCs w:val="32"/>
        </w:rPr>
        <w:t>4</w:t>
      </w:r>
      <w:r>
        <w:rPr>
          <w:rFonts w:ascii="仿宋" w:eastAsia="仿宋" w:cs="仿宋_GB2312"/>
          <w:sz w:val="32"/>
          <w:szCs w:val="32"/>
        </w:rPr>
        <w:t>.</w:t>
      </w:r>
      <w:r>
        <w:rPr>
          <w:rFonts w:eastAsia="仿宋_GB2312" w:cs="仿宋_GB2312" w:hint="eastAsia"/>
          <w:sz w:val="32"/>
          <w:szCs w:val="32"/>
        </w:rPr>
        <w:t>文化旅游体育与传媒支出（类）体育（款）其他体育支出（项）</w:t>
      </w:r>
      <w:r>
        <w:rPr>
          <w:rFonts w:ascii="仿宋" w:eastAsia="仿宋" w:cs="仿宋_GB2312" w:hint="eastAsia"/>
          <w:sz w:val="32"/>
          <w:szCs w:val="32"/>
        </w:rPr>
        <w:t>：指反映除上述项目以外的其他文化旅游体育与传媒方面的支出。</w:t>
      </w:r>
    </w:p>
    <w:p w:rsidR="00D57A2A" w:rsidRDefault="00056866">
      <w:pPr>
        <w:widowControl/>
        <w:spacing w:line="560" w:lineRule="exact"/>
        <w:ind w:firstLine="660"/>
        <w:jc w:val="left"/>
        <w:rPr>
          <w:rFonts w:ascii="仿宋" w:eastAsia="仿宋" w:cs="仿宋_GB2312"/>
          <w:sz w:val="32"/>
          <w:szCs w:val="32"/>
        </w:rPr>
      </w:pPr>
      <w:r>
        <w:rPr>
          <w:rFonts w:ascii="仿宋" w:eastAsia="仿宋" w:cs="仿宋_GB2312" w:hint="eastAsia"/>
          <w:sz w:val="32"/>
          <w:szCs w:val="32"/>
        </w:rPr>
        <w:t>5</w:t>
      </w:r>
      <w:r>
        <w:rPr>
          <w:rFonts w:ascii="仿宋" w:eastAsia="仿宋" w:cs="仿宋_GB2312"/>
          <w:sz w:val="32"/>
          <w:szCs w:val="32"/>
        </w:rPr>
        <w:t>.</w:t>
      </w:r>
      <w:r>
        <w:rPr>
          <w:rFonts w:eastAsia="仿宋_GB2312" w:cs="仿宋_GB2312" w:hint="eastAsia"/>
          <w:sz w:val="32"/>
          <w:szCs w:val="32"/>
        </w:rPr>
        <w:t>社会保障和就业支出（类）行政事业单位养老支出（款）事业单位离退休（项）</w:t>
      </w:r>
      <w:r>
        <w:rPr>
          <w:rFonts w:ascii="仿宋" w:eastAsia="仿宋" w:cs="仿宋_GB2312"/>
          <w:sz w:val="32"/>
          <w:szCs w:val="32"/>
        </w:rPr>
        <w:t>:</w:t>
      </w:r>
      <w:r>
        <w:rPr>
          <w:rFonts w:ascii="仿宋" w:eastAsia="仿宋" w:cs="仿宋_GB2312" w:hint="eastAsia"/>
          <w:sz w:val="32"/>
          <w:szCs w:val="32"/>
        </w:rPr>
        <w:t>反映事业单位开支的离退休经费。</w:t>
      </w:r>
      <w:r>
        <w:rPr>
          <w:rFonts w:ascii="仿宋" w:eastAsia="仿宋" w:cs="仿宋_GB2312"/>
          <w:sz w:val="32"/>
          <w:szCs w:val="32"/>
          <w:lang w:val="en"/>
        </w:rPr>
        <w:t xml:space="preserve">             </w:t>
      </w:r>
      <w:r>
        <w:rPr>
          <w:rFonts w:eastAsia="仿宋_GB2312" w:cs="仿宋_GB2312" w:hint="eastAsia"/>
          <w:sz w:val="32"/>
          <w:szCs w:val="32"/>
        </w:rPr>
        <w:t>社会保障和就业支出（类）行政事业单位养老支出（款）机关事业单位基本养老保险缴费支出（项）</w:t>
      </w:r>
      <w:r>
        <w:rPr>
          <w:rFonts w:ascii="仿宋" w:eastAsia="仿宋" w:cs="仿宋_GB2312" w:hint="eastAsia"/>
          <w:sz w:val="32"/>
          <w:szCs w:val="32"/>
        </w:rPr>
        <w:t>：反映机关事业单位实施养老保险制度由单位缴纳的基本养老保险费支出。</w:t>
      </w:r>
      <w:r>
        <w:rPr>
          <w:rFonts w:eastAsia="仿宋_GB2312" w:cs="仿宋_GB2312" w:hint="eastAsia"/>
          <w:sz w:val="32"/>
          <w:szCs w:val="32"/>
        </w:rPr>
        <w:t>社</w:t>
      </w:r>
      <w:r>
        <w:rPr>
          <w:rFonts w:eastAsia="仿宋_GB2312" w:cs="仿宋_GB2312" w:hint="eastAsia"/>
          <w:sz w:val="32"/>
          <w:szCs w:val="32"/>
        </w:rPr>
        <w:lastRenderedPageBreak/>
        <w:t>会保障和就业支出（类）行政事业单位养老支出（款）机关事业单位职业年金缴费支出（项）：</w:t>
      </w:r>
      <w:r>
        <w:rPr>
          <w:rFonts w:ascii="仿宋" w:eastAsia="仿宋" w:cs="仿宋_GB2312" w:hint="eastAsia"/>
          <w:sz w:val="32"/>
          <w:szCs w:val="32"/>
        </w:rPr>
        <w:t>反映机关事业单位实施养老</w:t>
      </w:r>
      <w:r>
        <w:rPr>
          <w:rFonts w:ascii="仿宋" w:eastAsia="仿宋" w:cs="仿宋_GB2312" w:hint="eastAsia"/>
          <w:sz w:val="32"/>
          <w:szCs w:val="32"/>
        </w:rPr>
        <w:t>保险制度由单位缴纳的职业年金支出。（含职业年金补记支出）。</w:t>
      </w:r>
    </w:p>
    <w:p w:rsidR="00D57A2A" w:rsidRDefault="00056866">
      <w:pPr>
        <w:pStyle w:val="a0"/>
        <w:spacing w:before="93"/>
        <w:rPr>
          <w:rFonts w:ascii="Times New Roman" w:cs="仿宋_GB2312"/>
          <w:kern w:val="2"/>
          <w:sz w:val="32"/>
          <w:szCs w:val="32"/>
        </w:rPr>
      </w:pPr>
      <w:r>
        <w:rPr>
          <w:rFonts w:ascii="Times New Roman" w:cs="仿宋_GB2312" w:hint="eastAsia"/>
          <w:kern w:val="2"/>
          <w:sz w:val="32"/>
          <w:szCs w:val="32"/>
        </w:rPr>
        <w:t xml:space="preserve">     6.</w:t>
      </w:r>
      <w:r>
        <w:rPr>
          <w:rFonts w:ascii="Times New Roman" w:cs="仿宋_GB2312" w:hint="eastAsia"/>
          <w:kern w:val="2"/>
          <w:sz w:val="32"/>
          <w:szCs w:val="32"/>
        </w:rPr>
        <w:t>卫生健康支出（类）行政事业单位医疗（款）事业单位医疗（项）</w:t>
      </w:r>
      <w:r>
        <w:rPr>
          <w:rFonts w:ascii="Times New Roman" w:cs="仿宋_GB2312" w:hint="eastAsia"/>
          <w:kern w:val="2"/>
          <w:sz w:val="32"/>
          <w:szCs w:val="32"/>
        </w:rPr>
        <w:t>:</w:t>
      </w:r>
      <w:r>
        <w:rPr>
          <w:rFonts w:ascii="Times New Roman" w:cs="仿宋_GB2312" w:hint="eastAsia"/>
          <w:kern w:val="2"/>
          <w:sz w:val="32"/>
          <w:szCs w:val="32"/>
        </w:rPr>
        <w:t>反映财政部门安排的事业单位基本医疗保险缴费经费，未参加医疗保险的事业单位的公费医疗经费，按国家规定享受离休人员、红军老战士待遇人员的医疗经费。卫生健康支出（类）行政事业单位医疗（款）公务员医疗补助（项）：反映财政部门安排的公务员医疗补助经费。</w:t>
      </w:r>
    </w:p>
    <w:p w:rsidR="00D57A2A" w:rsidRDefault="00056866">
      <w:pPr>
        <w:widowControl/>
        <w:spacing w:line="560" w:lineRule="exact"/>
        <w:ind w:firstLine="660"/>
        <w:rPr>
          <w:rFonts w:ascii="仿宋" w:eastAsia="仿宋" w:cs="仿宋_GB2312"/>
          <w:sz w:val="32"/>
          <w:szCs w:val="32"/>
        </w:rPr>
      </w:pPr>
      <w:r>
        <w:rPr>
          <w:rFonts w:eastAsia="仿宋_GB2312" w:cs="仿宋_GB2312" w:hint="eastAsia"/>
          <w:sz w:val="32"/>
          <w:szCs w:val="32"/>
        </w:rPr>
        <w:t>7.</w:t>
      </w:r>
      <w:r>
        <w:rPr>
          <w:rFonts w:eastAsia="仿宋_GB2312" w:cs="仿宋_GB2312" w:hint="eastAsia"/>
          <w:sz w:val="32"/>
          <w:szCs w:val="32"/>
        </w:rPr>
        <w:t>住房保障支出（类）住房改革支出（款）住房公积金（项）</w:t>
      </w:r>
      <w:r>
        <w:rPr>
          <w:rFonts w:cs="仿宋_GB2312" w:hint="eastAsia"/>
          <w:sz w:val="32"/>
          <w:szCs w:val="32"/>
        </w:rPr>
        <w:t>：</w:t>
      </w:r>
      <w:r>
        <w:rPr>
          <w:rFonts w:ascii="仿宋" w:eastAsia="仿宋" w:cs="仿宋_GB2312" w:hint="eastAsia"/>
          <w:sz w:val="32"/>
          <w:szCs w:val="32"/>
        </w:rPr>
        <w:t>反映行政事业单位按人力资源和社会保障部、财政部规定的基本工资和津贴补贴以及规定</w:t>
      </w:r>
      <w:r w:rsidR="006130B2">
        <w:rPr>
          <w:rFonts w:ascii="仿宋" w:eastAsia="仿宋" w:cs="仿宋_GB2312" w:hint="eastAsia"/>
          <w:sz w:val="32"/>
          <w:szCs w:val="32"/>
        </w:rPr>
        <w:t>比例为</w:t>
      </w:r>
      <w:r>
        <w:rPr>
          <w:rFonts w:ascii="仿宋" w:eastAsia="仿宋" w:cs="仿宋_GB2312" w:hint="eastAsia"/>
          <w:sz w:val="32"/>
          <w:szCs w:val="32"/>
        </w:rPr>
        <w:t>职工缴纳的住房公积金。</w:t>
      </w:r>
    </w:p>
    <w:p w:rsidR="00D57A2A" w:rsidRDefault="00056866">
      <w:pPr>
        <w:widowControl/>
        <w:spacing w:line="560" w:lineRule="exact"/>
        <w:ind w:firstLine="660"/>
        <w:rPr>
          <w:rFonts w:ascii="仿宋" w:eastAsia="仿宋"/>
          <w:sz w:val="32"/>
          <w:szCs w:val="32"/>
        </w:rPr>
      </w:pPr>
      <w:r>
        <w:rPr>
          <w:rFonts w:ascii="仿宋" w:eastAsia="仿宋" w:cs="仿宋_GB2312"/>
          <w:sz w:val="32"/>
          <w:szCs w:val="32"/>
        </w:rPr>
        <w:t>8.</w:t>
      </w:r>
      <w:r>
        <w:rPr>
          <w:rFonts w:ascii="仿宋" w:eastAsia="仿宋" w:cs="仿宋_GB2312" w:hint="eastAsia"/>
          <w:sz w:val="32"/>
          <w:szCs w:val="32"/>
        </w:rPr>
        <w:t>其他支出（类）彩票公益金及对应专项债务收入安排的支出（款）用于体育事业的彩票公益金支出（项）：反映用于体育事业的彩票公益金支出。</w:t>
      </w:r>
    </w:p>
    <w:p w:rsidR="00D57A2A" w:rsidRDefault="00056866">
      <w:pPr>
        <w:spacing w:line="600" w:lineRule="exact"/>
        <w:rPr>
          <w:rFonts w:eastAsia="仿宋_GB2312" w:cs="仿宋_GB2312"/>
          <w:sz w:val="32"/>
          <w:szCs w:val="32"/>
        </w:rPr>
      </w:pPr>
      <w:r>
        <w:rPr>
          <w:rFonts w:eastAsia="仿宋_GB2312" w:cs="仿宋_GB2312" w:hint="eastAsia"/>
          <w:sz w:val="32"/>
          <w:szCs w:val="32"/>
        </w:rPr>
        <w:t xml:space="preserve">    9.</w:t>
      </w:r>
      <w:r>
        <w:rPr>
          <w:rFonts w:eastAsia="仿宋_GB2312" w:cs="仿宋_GB2312" w:hint="eastAsia"/>
          <w:sz w:val="32"/>
          <w:szCs w:val="32"/>
        </w:rPr>
        <w:t>基本支出：指为保障机构正常运转、完成日常工作任务而发生的人员支出和公用支出。</w:t>
      </w:r>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10.</w:t>
      </w:r>
      <w:r>
        <w:rPr>
          <w:rFonts w:eastAsia="仿宋_GB2312" w:cs="仿宋_GB2312" w:hint="eastAsia"/>
          <w:sz w:val="32"/>
          <w:szCs w:val="32"/>
        </w:rPr>
        <w:t>项目支出：指在基本支出之外为完成特定行政任务和事业发展目标所发生的支出。</w:t>
      </w:r>
      <w:r>
        <w:rPr>
          <w:rFonts w:eastAsia="仿宋_GB2312" w:cs="仿宋_GB2312" w:hint="eastAsia"/>
          <w:sz w:val="32"/>
          <w:szCs w:val="32"/>
        </w:rPr>
        <w:t xml:space="preserve"> </w:t>
      </w:r>
    </w:p>
    <w:p w:rsidR="00D57A2A" w:rsidRDefault="00056866">
      <w:pPr>
        <w:spacing w:line="600" w:lineRule="exact"/>
        <w:ind w:firstLine="640"/>
        <w:rPr>
          <w:rFonts w:eastAsia="仿宋_GB2312" w:cs="仿宋_GB2312"/>
          <w:sz w:val="32"/>
          <w:szCs w:val="32"/>
        </w:rPr>
      </w:pPr>
      <w:r>
        <w:rPr>
          <w:rFonts w:eastAsia="仿宋_GB2312" w:cs="仿宋_GB2312" w:hint="eastAsia"/>
          <w:sz w:val="32"/>
          <w:szCs w:val="32"/>
        </w:rPr>
        <w:t>11.</w:t>
      </w:r>
      <w:r>
        <w:rPr>
          <w:rFonts w:eastAsia="仿宋_GB2312" w:cs="仿宋_GB2312" w:hint="eastAsia"/>
          <w:sz w:val="32"/>
          <w:szCs w:val="32"/>
        </w:rPr>
        <w:t>“三公”经费：指</w:t>
      </w:r>
      <w:r>
        <w:rPr>
          <w:rFonts w:eastAsia="仿宋_GB2312" w:cs="仿宋_GB2312"/>
          <w:sz w:val="32"/>
          <w:szCs w:val="32"/>
        </w:rPr>
        <w:t>单位</w:t>
      </w:r>
      <w:r>
        <w:rPr>
          <w:rFonts w:eastAsia="仿宋_GB2312" w:cs="仿宋_GB2312" w:hint="eastAsia"/>
          <w:sz w:val="32"/>
          <w:szCs w:val="32"/>
        </w:rPr>
        <w:t>用财政拨款安排的因公出国（境）费、公务用车购置及运行费和公务接待费。其中</w:t>
      </w:r>
      <w:r>
        <w:rPr>
          <w:rFonts w:eastAsia="仿宋_GB2312" w:cs="仿宋_GB2312" w:hint="eastAsia"/>
          <w:sz w:val="32"/>
          <w:szCs w:val="32"/>
        </w:rPr>
        <w:t>，因公出国</w:t>
      </w:r>
      <w:r>
        <w:rPr>
          <w:rFonts w:eastAsia="仿宋_GB2312" w:cs="仿宋_GB2312" w:hint="eastAsia"/>
          <w:sz w:val="32"/>
          <w:szCs w:val="32"/>
        </w:rPr>
        <w:lastRenderedPageBreak/>
        <w:t>（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D57A2A" w:rsidRDefault="00D57A2A" w:rsidP="006130B2">
      <w:pPr>
        <w:pStyle w:val="a0"/>
        <w:spacing w:before="93"/>
      </w:pPr>
    </w:p>
    <w:p w:rsidR="00D57A2A" w:rsidRDefault="00056866">
      <w:pPr>
        <w:spacing w:line="600" w:lineRule="exact"/>
        <w:jc w:val="center"/>
        <w:rPr>
          <w:rFonts w:eastAsia="黑体" w:cs="方正小标宋简体"/>
          <w:sz w:val="44"/>
          <w:szCs w:val="44"/>
        </w:rPr>
      </w:pPr>
      <w:bookmarkStart w:id="52" w:name="_Toc15396614"/>
      <w:bookmarkStart w:id="53" w:name="_Toc15377226"/>
      <w:r>
        <w:rPr>
          <w:rFonts w:eastAsia="黑体" w:hint="eastAsia"/>
          <w:sz w:val="44"/>
          <w:szCs w:val="44"/>
        </w:rPr>
        <w:t>第四部分</w:t>
      </w:r>
      <w:r>
        <w:rPr>
          <w:rFonts w:eastAsia="黑体" w:hint="eastAsia"/>
          <w:sz w:val="44"/>
          <w:szCs w:val="44"/>
        </w:rPr>
        <w:t xml:space="preserve"> </w:t>
      </w:r>
      <w:r>
        <w:rPr>
          <w:rFonts w:eastAsia="黑体" w:hint="eastAsia"/>
          <w:sz w:val="44"/>
          <w:szCs w:val="44"/>
        </w:rPr>
        <w:t xml:space="preserve"> </w:t>
      </w:r>
      <w:r>
        <w:rPr>
          <w:rFonts w:eastAsia="黑体" w:hint="eastAsia"/>
          <w:sz w:val="44"/>
          <w:szCs w:val="44"/>
        </w:rPr>
        <w:t>附件</w:t>
      </w:r>
      <w:bookmarkEnd w:id="52"/>
    </w:p>
    <w:p w:rsidR="00D57A2A" w:rsidRDefault="00D57A2A">
      <w:pPr>
        <w:widowControl/>
        <w:spacing w:line="578" w:lineRule="exact"/>
        <w:contextualSpacing/>
        <w:jc w:val="center"/>
        <w:rPr>
          <w:rFonts w:eastAsia="方正小标宋简体"/>
          <w:bCs/>
          <w:sz w:val="44"/>
          <w:szCs w:val="44"/>
          <w:shd w:val="clear" w:color="auto" w:fill="FFFFFF"/>
        </w:rPr>
      </w:pPr>
    </w:p>
    <w:p w:rsidR="00D57A2A" w:rsidRDefault="00056866">
      <w:pPr>
        <w:pStyle w:val="20"/>
        <w:spacing w:line="560" w:lineRule="exact"/>
        <w:ind w:leftChars="0" w:left="0" w:firstLine="640"/>
        <w:rPr>
          <w:rFonts w:ascii="Times New Roman" w:eastAsia="仿宋_GB2312"/>
          <w:sz w:val="32"/>
          <w:lang w:val="zh-CN" w:bidi="ar"/>
        </w:rPr>
      </w:pPr>
      <w:r>
        <w:rPr>
          <w:rFonts w:ascii="Times New Roman" w:eastAsia="仿宋_GB2312" w:hint="eastAsia"/>
          <w:sz w:val="32"/>
          <w:lang w:bidi="ar"/>
        </w:rPr>
        <w:t>部门预算项目支出绩效自评表（</w:t>
      </w:r>
      <w:r>
        <w:rPr>
          <w:rFonts w:ascii="Times New Roman" w:eastAsia="仿宋_GB2312" w:hint="eastAsia"/>
          <w:sz w:val="32"/>
          <w:lang w:bidi="ar"/>
        </w:rPr>
        <w:t>2025</w:t>
      </w:r>
      <w:r>
        <w:rPr>
          <w:rFonts w:ascii="Times New Roman" w:eastAsia="仿宋_GB2312" w:hint="eastAsia"/>
          <w:sz w:val="32"/>
          <w:lang w:bidi="ar"/>
        </w:rPr>
        <w:t>年度</w:t>
      </w:r>
      <w:r>
        <w:rPr>
          <w:rFonts w:ascii="Times New Roman" w:eastAsia="仿宋_GB2312" w:hint="eastAsia"/>
          <w:sz w:val="32"/>
          <w:lang w:bidi="ar"/>
        </w:rPr>
        <w:t>）</w:t>
      </w:r>
    </w:p>
    <w:p w:rsidR="00D57A2A" w:rsidRDefault="00D57A2A">
      <w:pPr>
        <w:rPr>
          <w:rFonts w:eastAsia="黑体" w:cs="黑体"/>
          <w:kern w:val="0"/>
          <w:sz w:val="32"/>
          <w:szCs w:val="32"/>
          <w:shd w:val="clear" w:color="auto" w:fill="FFFFFF"/>
          <w:lang w:val="zh-CN"/>
        </w:rPr>
      </w:pPr>
    </w:p>
    <w:p w:rsidR="00D57A2A" w:rsidRDefault="00056866">
      <w:pPr>
        <w:widowControl/>
        <w:jc w:val="center"/>
        <w:rPr>
          <w:rFonts w:eastAsia="仿宋"/>
        </w:rPr>
      </w:pPr>
      <w:bookmarkStart w:id="54" w:name="_Toc15396618"/>
      <w:r>
        <w:rPr>
          <w:rFonts w:eastAsia="黑体" w:hint="eastAsia"/>
          <w:sz w:val="44"/>
          <w:szCs w:val="44"/>
        </w:rPr>
        <w:t>第</w:t>
      </w:r>
      <w:r>
        <w:rPr>
          <w:rStyle w:val="1Char"/>
          <w:rFonts w:eastAsia="黑体" w:hint="eastAsia"/>
          <w:b w:val="0"/>
        </w:rPr>
        <w:t>五部分</w:t>
      </w:r>
      <w:r>
        <w:rPr>
          <w:rStyle w:val="1Char"/>
          <w:rFonts w:eastAsia="黑体" w:hint="eastAsia"/>
          <w:b w:val="0"/>
        </w:rPr>
        <w:t xml:space="preserve"> </w:t>
      </w:r>
      <w:r>
        <w:rPr>
          <w:rStyle w:val="1Char"/>
          <w:rFonts w:eastAsia="黑体" w:hint="eastAsia"/>
          <w:b w:val="0"/>
        </w:rPr>
        <w:t>附表</w:t>
      </w:r>
      <w:bookmarkStart w:id="55" w:name="_Toc15396619"/>
      <w:bookmarkEnd w:id="53"/>
      <w:bookmarkEnd w:id="54"/>
    </w:p>
    <w:p w:rsidR="00D57A2A" w:rsidRDefault="00D57A2A">
      <w:pPr>
        <w:pStyle w:val="21"/>
        <w:adjustRightInd w:val="0"/>
        <w:snapToGrid w:val="0"/>
        <w:spacing w:line="560" w:lineRule="exact"/>
        <w:jc w:val="left"/>
        <w:rPr>
          <w:rFonts w:eastAsia="仿宋_GB2312" w:cs="仿宋_GB2312"/>
          <w:sz w:val="32"/>
          <w:szCs w:val="32"/>
        </w:rPr>
      </w:pPr>
    </w:p>
    <w:p w:rsidR="00D57A2A" w:rsidRDefault="00056866">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55"/>
    </w:p>
    <w:p w:rsidR="00D57A2A" w:rsidRDefault="00056866">
      <w:pPr>
        <w:pStyle w:val="21"/>
        <w:adjustRightInd w:val="0"/>
        <w:snapToGrid w:val="0"/>
        <w:spacing w:line="560" w:lineRule="exact"/>
        <w:jc w:val="left"/>
        <w:rPr>
          <w:rFonts w:eastAsia="仿宋_GB2312" w:cs="仿宋_GB2312"/>
          <w:sz w:val="32"/>
          <w:szCs w:val="32"/>
        </w:rPr>
      </w:pPr>
      <w:bookmarkStart w:id="56" w:name="_Toc15396620"/>
      <w:r>
        <w:rPr>
          <w:rFonts w:eastAsia="仿宋_GB2312" w:cs="仿宋_GB2312" w:hint="eastAsia"/>
          <w:sz w:val="32"/>
          <w:szCs w:val="32"/>
        </w:rPr>
        <w:t>二、收入决算表</w:t>
      </w:r>
      <w:bookmarkEnd w:id="56"/>
    </w:p>
    <w:p w:rsidR="00D57A2A" w:rsidRDefault="00056866">
      <w:pPr>
        <w:pStyle w:val="21"/>
        <w:adjustRightInd w:val="0"/>
        <w:snapToGrid w:val="0"/>
        <w:spacing w:line="560" w:lineRule="exact"/>
        <w:jc w:val="left"/>
        <w:rPr>
          <w:rFonts w:eastAsia="仿宋_GB2312" w:cs="仿宋_GB2312"/>
          <w:sz w:val="32"/>
          <w:szCs w:val="32"/>
        </w:rPr>
      </w:pPr>
      <w:bookmarkStart w:id="57" w:name="_Toc15396621"/>
      <w:r>
        <w:rPr>
          <w:rFonts w:eastAsia="仿宋_GB2312" w:cs="仿宋_GB2312" w:hint="eastAsia"/>
          <w:sz w:val="32"/>
          <w:szCs w:val="32"/>
        </w:rPr>
        <w:t>三、支出决算表</w:t>
      </w:r>
      <w:bookmarkEnd w:id="57"/>
    </w:p>
    <w:p w:rsidR="00D57A2A" w:rsidRDefault="00056866">
      <w:pPr>
        <w:pStyle w:val="21"/>
        <w:adjustRightInd w:val="0"/>
        <w:snapToGrid w:val="0"/>
        <w:spacing w:line="560" w:lineRule="exact"/>
        <w:jc w:val="left"/>
        <w:rPr>
          <w:rFonts w:eastAsia="仿宋_GB2312" w:cs="仿宋_GB2312"/>
          <w:sz w:val="32"/>
          <w:szCs w:val="32"/>
        </w:rPr>
      </w:pPr>
      <w:bookmarkStart w:id="58" w:name="_Toc15396622"/>
      <w:r>
        <w:rPr>
          <w:rFonts w:eastAsia="仿宋_GB2312" w:cs="仿宋_GB2312" w:hint="eastAsia"/>
          <w:sz w:val="32"/>
          <w:szCs w:val="32"/>
        </w:rPr>
        <w:t>四、财政拨款收入支出决算总表</w:t>
      </w:r>
      <w:bookmarkEnd w:id="58"/>
    </w:p>
    <w:p w:rsidR="00D57A2A" w:rsidRDefault="00056866">
      <w:pPr>
        <w:pStyle w:val="21"/>
        <w:adjustRightInd w:val="0"/>
        <w:snapToGrid w:val="0"/>
        <w:spacing w:line="560" w:lineRule="exact"/>
        <w:jc w:val="left"/>
        <w:rPr>
          <w:rFonts w:eastAsia="仿宋_GB2312" w:cs="仿宋_GB2312"/>
          <w:sz w:val="32"/>
          <w:szCs w:val="32"/>
        </w:rPr>
      </w:pPr>
      <w:bookmarkStart w:id="59" w:name="_Toc15396623"/>
      <w:r>
        <w:rPr>
          <w:rFonts w:eastAsia="仿宋_GB2312" w:cs="仿宋_GB2312" w:hint="eastAsia"/>
          <w:sz w:val="32"/>
          <w:szCs w:val="32"/>
        </w:rPr>
        <w:t>五、财政拨款支出决算明细表</w:t>
      </w:r>
      <w:bookmarkStart w:id="60" w:name="_Toc15396624"/>
      <w:bookmarkEnd w:id="59"/>
    </w:p>
    <w:p w:rsidR="00D57A2A" w:rsidRDefault="00056866">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60"/>
    </w:p>
    <w:p w:rsidR="00D57A2A" w:rsidRDefault="00056866">
      <w:pPr>
        <w:pStyle w:val="21"/>
        <w:adjustRightInd w:val="0"/>
        <w:snapToGrid w:val="0"/>
        <w:spacing w:line="560" w:lineRule="exact"/>
        <w:jc w:val="left"/>
        <w:rPr>
          <w:rFonts w:eastAsia="仿宋_GB2312" w:cs="仿宋_GB2312"/>
          <w:sz w:val="32"/>
          <w:szCs w:val="32"/>
        </w:rPr>
      </w:pPr>
      <w:bookmarkStart w:id="61" w:name="_Toc15396625"/>
      <w:r>
        <w:rPr>
          <w:rFonts w:eastAsia="仿宋_GB2312" w:cs="仿宋_GB2312" w:hint="eastAsia"/>
          <w:sz w:val="32"/>
          <w:szCs w:val="32"/>
        </w:rPr>
        <w:t>七、一般公共预算财政拨款支出决算明细表</w:t>
      </w:r>
      <w:bookmarkEnd w:id="61"/>
    </w:p>
    <w:p w:rsidR="00D57A2A" w:rsidRDefault="00056866">
      <w:pPr>
        <w:pStyle w:val="21"/>
        <w:adjustRightInd w:val="0"/>
        <w:snapToGrid w:val="0"/>
        <w:spacing w:line="560" w:lineRule="exact"/>
        <w:jc w:val="left"/>
        <w:rPr>
          <w:rFonts w:eastAsia="仿宋_GB2312" w:cs="仿宋_GB2312"/>
          <w:sz w:val="32"/>
          <w:szCs w:val="32"/>
        </w:rPr>
      </w:pPr>
      <w:bookmarkStart w:id="62" w:name="_Toc15396626"/>
      <w:r>
        <w:rPr>
          <w:rFonts w:eastAsia="仿宋_GB2312" w:cs="仿宋_GB2312" w:hint="eastAsia"/>
          <w:sz w:val="32"/>
          <w:szCs w:val="32"/>
        </w:rPr>
        <w:t>八、一般公共预算财政拨款基本支出决算表</w:t>
      </w:r>
      <w:bookmarkEnd w:id="62"/>
    </w:p>
    <w:p w:rsidR="00D57A2A" w:rsidRDefault="00056866">
      <w:pPr>
        <w:pStyle w:val="21"/>
        <w:adjustRightInd w:val="0"/>
        <w:snapToGrid w:val="0"/>
        <w:spacing w:line="560" w:lineRule="exact"/>
        <w:jc w:val="left"/>
        <w:rPr>
          <w:rFonts w:eastAsia="仿宋_GB2312" w:cs="仿宋_GB2312"/>
          <w:sz w:val="32"/>
          <w:szCs w:val="32"/>
        </w:rPr>
      </w:pPr>
      <w:bookmarkStart w:id="63" w:name="_Toc15396627"/>
      <w:r>
        <w:rPr>
          <w:rFonts w:eastAsia="仿宋_GB2312" w:cs="仿宋_GB2312" w:hint="eastAsia"/>
          <w:sz w:val="32"/>
          <w:szCs w:val="32"/>
        </w:rPr>
        <w:t>九、一般公共预算财政拨款项目支出决算表</w:t>
      </w:r>
      <w:bookmarkEnd w:id="63"/>
      <w:r>
        <w:rPr>
          <w:rFonts w:eastAsia="仿宋_GB2312" w:cs="仿宋_GB2312" w:hint="eastAsia"/>
          <w:sz w:val="32"/>
          <w:szCs w:val="32"/>
        </w:rPr>
        <w:t>（此表无数据）</w:t>
      </w:r>
    </w:p>
    <w:p w:rsidR="00D57A2A" w:rsidRDefault="00D57A2A">
      <w:pPr>
        <w:pStyle w:val="21"/>
        <w:adjustRightInd w:val="0"/>
        <w:snapToGrid w:val="0"/>
        <w:spacing w:line="560" w:lineRule="exact"/>
        <w:jc w:val="left"/>
        <w:rPr>
          <w:rFonts w:eastAsia="仿宋_GB2312" w:cs="仿宋_GB2312"/>
          <w:sz w:val="32"/>
          <w:szCs w:val="32"/>
        </w:rPr>
      </w:pPr>
    </w:p>
    <w:p w:rsidR="00D57A2A" w:rsidRDefault="00056866">
      <w:pPr>
        <w:pStyle w:val="21"/>
        <w:adjustRightInd w:val="0"/>
        <w:snapToGrid w:val="0"/>
        <w:spacing w:line="560" w:lineRule="exact"/>
        <w:jc w:val="left"/>
        <w:rPr>
          <w:rFonts w:eastAsia="仿宋_GB2312" w:cs="仿宋_GB2312"/>
          <w:sz w:val="32"/>
          <w:szCs w:val="32"/>
        </w:rPr>
      </w:pPr>
      <w:bookmarkStart w:id="64" w:name="_Toc15396628"/>
      <w:r>
        <w:rPr>
          <w:rFonts w:eastAsia="仿宋_GB2312" w:cs="仿宋_GB2312" w:hint="eastAsia"/>
          <w:sz w:val="32"/>
          <w:szCs w:val="32"/>
        </w:rPr>
        <w:lastRenderedPageBreak/>
        <w:t>十、</w:t>
      </w:r>
      <w:bookmarkEnd w:id="64"/>
      <w:r>
        <w:rPr>
          <w:rFonts w:eastAsia="仿宋_GB2312" w:cs="仿宋_GB2312" w:hint="eastAsia"/>
          <w:sz w:val="32"/>
          <w:szCs w:val="32"/>
        </w:rPr>
        <w:t>政府性基金预算财政拨款收入支出决算表</w:t>
      </w:r>
    </w:p>
    <w:p w:rsidR="00D57A2A" w:rsidRDefault="00056866">
      <w:pPr>
        <w:pStyle w:val="21"/>
        <w:adjustRightInd w:val="0"/>
        <w:snapToGrid w:val="0"/>
        <w:spacing w:line="560" w:lineRule="exact"/>
        <w:jc w:val="left"/>
        <w:rPr>
          <w:rFonts w:eastAsia="仿宋_GB2312" w:cs="仿宋_GB2312"/>
          <w:sz w:val="32"/>
          <w:szCs w:val="32"/>
        </w:rPr>
      </w:pPr>
      <w:bookmarkStart w:id="65" w:name="_Toc15396629"/>
      <w:r>
        <w:rPr>
          <w:rFonts w:eastAsia="仿宋_GB2312" w:cs="仿宋_GB2312" w:hint="eastAsia"/>
          <w:sz w:val="32"/>
          <w:szCs w:val="32"/>
        </w:rPr>
        <w:t>十一、</w:t>
      </w:r>
      <w:bookmarkEnd w:id="65"/>
      <w:r>
        <w:rPr>
          <w:rFonts w:eastAsia="仿宋_GB2312" w:cs="仿宋_GB2312" w:hint="eastAsia"/>
          <w:sz w:val="32"/>
          <w:szCs w:val="32"/>
        </w:rPr>
        <w:t>国有资本经营预算</w:t>
      </w:r>
      <w:r>
        <w:rPr>
          <w:rFonts w:eastAsia="仿宋_GB2312" w:cs="仿宋_GB2312" w:hint="eastAsia"/>
          <w:sz w:val="32"/>
          <w:szCs w:val="32"/>
        </w:rPr>
        <w:t>财政拨款收入</w:t>
      </w:r>
      <w:r>
        <w:rPr>
          <w:rFonts w:eastAsia="仿宋_GB2312" w:cs="仿宋_GB2312" w:hint="eastAsia"/>
          <w:sz w:val="32"/>
          <w:szCs w:val="32"/>
        </w:rPr>
        <w:t>支出决算表</w:t>
      </w:r>
      <w:r>
        <w:rPr>
          <w:rFonts w:eastAsia="仿宋_GB2312" w:cs="仿宋_GB2312" w:hint="eastAsia"/>
          <w:sz w:val="32"/>
          <w:szCs w:val="32"/>
        </w:rPr>
        <w:t>（此表无数据）</w:t>
      </w:r>
    </w:p>
    <w:p w:rsidR="00D57A2A" w:rsidRDefault="00056866">
      <w:pPr>
        <w:pStyle w:val="21"/>
        <w:adjustRightInd w:val="0"/>
        <w:snapToGrid w:val="0"/>
        <w:spacing w:line="560" w:lineRule="exact"/>
        <w:jc w:val="left"/>
        <w:rPr>
          <w:rFonts w:eastAsia="仿宋_GB2312" w:cs="仿宋_GB2312"/>
          <w:sz w:val="32"/>
          <w:szCs w:val="32"/>
        </w:rPr>
      </w:pPr>
      <w:bookmarkStart w:id="66" w:name="_Toc15396630"/>
      <w:r>
        <w:rPr>
          <w:rFonts w:eastAsia="仿宋_GB2312" w:cs="仿宋_GB2312" w:hint="eastAsia"/>
          <w:sz w:val="32"/>
          <w:szCs w:val="32"/>
        </w:rPr>
        <w:t>十二、</w:t>
      </w:r>
      <w:bookmarkEnd w:id="66"/>
      <w:r>
        <w:rPr>
          <w:rFonts w:eastAsia="仿宋_GB2312" w:cs="仿宋_GB2312" w:hint="eastAsia"/>
          <w:sz w:val="32"/>
          <w:szCs w:val="32"/>
        </w:rPr>
        <w:t>国有资本经营预算财政拨款支出决算表</w:t>
      </w:r>
      <w:r>
        <w:rPr>
          <w:rFonts w:eastAsia="仿宋_GB2312" w:cs="仿宋_GB2312" w:hint="eastAsia"/>
          <w:sz w:val="32"/>
          <w:szCs w:val="32"/>
        </w:rPr>
        <w:t>（此表无数据）</w:t>
      </w:r>
    </w:p>
    <w:p w:rsidR="00D57A2A" w:rsidRDefault="00D57A2A">
      <w:pPr>
        <w:pStyle w:val="21"/>
        <w:adjustRightInd w:val="0"/>
        <w:snapToGrid w:val="0"/>
        <w:spacing w:line="560" w:lineRule="exact"/>
        <w:jc w:val="left"/>
        <w:rPr>
          <w:rFonts w:eastAsia="仿宋_GB2312" w:cs="仿宋_GB2312"/>
          <w:sz w:val="32"/>
          <w:szCs w:val="32"/>
        </w:rPr>
      </w:pPr>
    </w:p>
    <w:p w:rsidR="00D57A2A" w:rsidRDefault="00056866">
      <w:pPr>
        <w:pStyle w:val="21"/>
        <w:adjustRightInd w:val="0"/>
        <w:snapToGrid w:val="0"/>
        <w:spacing w:line="560" w:lineRule="exact"/>
        <w:jc w:val="left"/>
        <w:rPr>
          <w:rFonts w:eastAsia="仿宋_GB2312" w:cs="仿宋_GB2312"/>
          <w:sz w:val="32"/>
          <w:szCs w:val="32"/>
        </w:rPr>
      </w:pPr>
      <w:bookmarkStart w:id="67" w:name="_Toc15396631"/>
      <w:r>
        <w:rPr>
          <w:rFonts w:eastAsia="仿宋_GB2312" w:cs="仿宋_GB2312" w:hint="eastAsia"/>
          <w:sz w:val="32"/>
          <w:szCs w:val="32"/>
        </w:rPr>
        <w:t>十三、</w:t>
      </w:r>
      <w:bookmarkEnd w:id="67"/>
      <w:r>
        <w:rPr>
          <w:rFonts w:eastAsia="仿宋_GB2312" w:cs="仿宋_GB2312" w:hint="eastAsia"/>
          <w:sz w:val="32"/>
          <w:szCs w:val="32"/>
        </w:rPr>
        <w:t>财政拨款“三公”经费支出决算表</w:t>
      </w:r>
      <w:r>
        <w:rPr>
          <w:rFonts w:eastAsia="仿宋_GB2312" w:cs="仿宋_GB2312" w:hint="eastAsia"/>
          <w:sz w:val="32"/>
          <w:szCs w:val="32"/>
        </w:rPr>
        <w:t>（此表无数据）</w:t>
      </w:r>
    </w:p>
    <w:p w:rsidR="00D57A2A" w:rsidRDefault="00D57A2A">
      <w:pPr>
        <w:pStyle w:val="21"/>
        <w:adjustRightInd w:val="0"/>
        <w:snapToGrid w:val="0"/>
        <w:spacing w:line="560" w:lineRule="exact"/>
        <w:jc w:val="left"/>
        <w:rPr>
          <w:rFonts w:eastAsia="仿宋_GB2312" w:cs="仿宋_GB2312"/>
          <w:sz w:val="32"/>
          <w:szCs w:val="32"/>
        </w:rPr>
      </w:pPr>
    </w:p>
    <w:p w:rsidR="00D57A2A" w:rsidRDefault="00D57A2A"/>
    <w:sectPr w:rsidR="00D57A2A">
      <w:footerReference w:type="default" r:id="rId24"/>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866" w:rsidRDefault="00056866">
      <w:r>
        <w:separator/>
      </w:r>
    </w:p>
  </w:endnote>
  <w:endnote w:type="continuationSeparator" w:id="0">
    <w:p w:rsidR="00056866" w:rsidRDefault="00056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仿宋"/>
    <w:charset w:val="00"/>
    <w:family w:val="roman"/>
    <w:pitch w:val="default"/>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A2A" w:rsidRDefault="00D57A2A">
    <w:pPr>
      <w:pStyle w:val="a6"/>
      <w:jc w:val="center"/>
    </w:pPr>
  </w:p>
  <w:p w:rsidR="00D57A2A" w:rsidRDefault="00D57A2A">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A2A" w:rsidRDefault="00056866">
    <w:pPr>
      <w:pStyle w:val="a6"/>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57A2A" w:rsidRDefault="00056866">
                          <w:pPr>
                            <w:pStyle w:val="a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5" o:spid="_x0000_s1026"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Aj0LvlYgIAAAwFAAAOAAAAAAAAAAAAAAAAAC4CAABkcnMvZTJvRG9jLnht&#10;bFBLAQItABQABgAIAAAAIQBxqtG51wAAAAUBAAAPAAAAAAAAAAAAAAAAALwEAABkcnMvZG93bnJl&#10;di54bWxQSwUGAAAAAAQABADzAAAAwAUAAAAA&#10;" filled="f" stroked="f" strokeweight=".5pt">
              <v:textbox style="mso-fit-shape-to-text:t" inset="0,0,0,0">
                <w:txbxContent>
                  <w:p w:rsidR="00D57A2A" w:rsidRDefault="00056866">
                    <w:pPr>
                      <w:pStyle w:val="a6"/>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A2A" w:rsidRDefault="00D57A2A">
    <w:pPr>
      <w:pStyle w:val="a6"/>
      <w:jc w:val="center"/>
    </w:pPr>
  </w:p>
  <w:p w:rsidR="00D57A2A" w:rsidRDefault="00D57A2A">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A2A" w:rsidRDefault="00D57A2A">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A2A" w:rsidRDefault="00D57A2A">
    <w:pPr>
      <w:pStyle w:val="a6"/>
      <w:jc w:val="center"/>
    </w:pPr>
  </w:p>
  <w:p w:rsidR="00D57A2A" w:rsidRDefault="00D57A2A">
    <w:pPr>
      <w:pStyle w:val="a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A2A" w:rsidRDefault="00056866">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57A2A" w:rsidRDefault="00056866">
                          <w:pPr>
                            <w:pStyle w:val="a6"/>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e8pWMCAAARBQAADgAAAAAAAAAAAAAAAAAuAgAAZHJzL2Uyb0RvYy54&#10;bWxQSwECLQAUAAYACAAAACEAcarRudcAAAAFAQAADwAAAAAAAAAAAAAAAAC9BAAAZHJzL2Rvd25y&#10;ZXYueG1sUEsFBgAAAAAEAAQA8wAAAMEFAAAAAA==&#10;" filled="f" stroked="f" strokeweight=".5pt">
              <v:textbox style="mso-fit-shape-to-text:t" inset="0,0,0,0">
                <w:txbxContent>
                  <w:p w:rsidR="00D57A2A" w:rsidRDefault="00056866">
                    <w:pPr>
                      <w:pStyle w:val="a6"/>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A2A" w:rsidRDefault="00D57A2A">
    <w:pPr>
      <w:pStyle w:val="a6"/>
      <w:jc w:val="center"/>
    </w:pPr>
  </w:p>
  <w:p w:rsidR="00D57A2A" w:rsidRDefault="00D57A2A">
    <w:pPr>
      <w:pStyle w:val="a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A2A" w:rsidRDefault="00056866">
    <w:pPr>
      <w:pStyle w:val="a6"/>
      <w:jc w:val="center"/>
    </w:pPr>
    <w:r>
      <w:rPr>
        <w:noProof/>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57A2A" w:rsidRDefault="00056866">
                          <w:pPr>
                            <w:pStyle w:val="a6"/>
                          </w:pPr>
                          <w:r>
                            <w:fldChar w:fldCharType="begin"/>
                          </w:r>
                          <w:r>
                            <w:instrText xml:space="preserve"> PAGE  \* MERGEFORMAT </w:instrText>
                          </w:r>
                          <w:r>
                            <w:fldChar w:fldCharType="separate"/>
                          </w:r>
                          <w:r w:rsidR="006130B2">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9" o:spid="_x0000_s1028"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r5u7aZQIAABMFAAAOAAAAAAAAAAAAAAAAAC4CAABkcnMvZTJvRG9j&#10;LnhtbFBLAQItABQABgAIAAAAIQBxqtG51wAAAAUBAAAPAAAAAAAAAAAAAAAAAL8EAABkcnMvZG93&#10;bnJldi54bWxQSwUGAAAAAAQABADzAAAAwwUAAAAA&#10;" filled="f" stroked="f" strokeweight=".5pt">
              <v:textbox style="mso-fit-shape-to-text:t" inset="0,0,0,0">
                <w:txbxContent>
                  <w:p w:rsidR="00D57A2A" w:rsidRDefault="00056866">
                    <w:pPr>
                      <w:pStyle w:val="a6"/>
                    </w:pPr>
                    <w:r>
                      <w:fldChar w:fldCharType="begin"/>
                    </w:r>
                    <w:r>
                      <w:instrText xml:space="preserve"> PAGE  \* MERGEFORMAT </w:instrText>
                    </w:r>
                    <w:r>
                      <w:fldChar w:fldCharType="separate"/>
                    </w:r>
                    <w:r w:rsidR="006130B2">
                      <w:rPr>
                        <w:noProof/>
                      </w:rPr>
                      <w:t>1</w:t>
                    </w:r>
                    <w:r>
                      <w:fldChar w:fldCharType="end"/>
                    </w:r>
                  </w:p>
                </w:txbxContent>
              </v:textbox>
              <w10:wrap anchorx="margin"/>
            </v:shape>
          </w:pict>
        </mc:Fallback>
      </mc:AlternateContent>
    </w:r>
  </w:p>
  <w:p w:rsidR="00D57A2A" w:rsidRDefault="00D57A2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866" w:rsidRDefault="00056866">
      <w:r>
        <w:separator/>
      </w:r>
    </w:p>
  </w:footnote>
  <w:footnote w:type="continuationSeparator" w:id="0">
    <w:p w:rsidR="00056866" w:rsidRDefault="000568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A2A" w:rsidRDefault="00D57A2A">
    <w:pPr>
      <w:pStyle w:val="a7"/>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7792FB"/>
    <w:multiLevelType w:val="singleLevel"/>
    <w:tmpl w:val="7A7792FB"/>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8F385F0F"/>
    <w:rsid w:val="99FF2014"/>
    <w:rsid w:val="A6DD0D7F"/>
    <w:rsid w:val="ADC6F725"/>
    <w:rsid w:val="AE596C85"/>
    <w:rsid w:val="AECD2472"/>
    <w:rsid w:val="B7CF06AB"/>
    <w:rsid w:val="B7CFA926"/>
    <w:rsid w:val="B7F8786B"/>
    <w:rsid w:val="BABB6AA1"/>
    <w:rsid w:val="BB2F4199"/>
    <w:rsid w:val="BBA1CCC0"/>
    <w:rsid w:val="BCDFE0D1"/>
    <w:rsid w:val="BD079C78"/>
    <w:rsid w:val="BD733540"/>
    <w:rsid w:val="BEEA0B0F"/>
    <w:rsid w:val="BF3735D5"/>
    <w:rsid w:val="BF7F09AC"/>
    <w:rsid w:val="BFD475C3"/>
    <w:rsid w:val="BFDE5EA6"/>
    <w:rsid w:val="CF6FC6F3"/>
    <w:rsid w:val="CFCA0A60"/>
    <w:rsid w:val="CFD3D3D7"/>
    <w:rsid w:val="CFDF1009"/>
    <w:rsid w:val="D1F41AA7"/>
    <w:rsid w:val="D7D7B16A"/>
    <w:rsid w:val="D8D6DB89"/>
    <w:rsid w:val="DB6F4CAB"/>
    <w:rsid w:val="DB777682"/>
    <w:rsid w:val="DD1FB521"/>
    <w:rsid w:val="DEFBFEAE"/>
    <w:rsid w:val="DF1F3B80"/>
    <w:rsid w:val="DF6F9789"/>
    <w:rsid w:val="DFFFA9E8"/>
    <w:rsid w:val="E4672FC7"/>
    <w:rsid w:val="E5F4E9DC"/>
    <w:rsid w:val="E70FE695"/>
    <w:rsid w:val="E9D9BCDE"/>
    <w:rsid w:val="EBF94C1A"/>
    <w:rsid w:val="ECFED1BC"/>
    <w:rsid w:val="ED1D69BB"/>
    <w:rsid w:val="ED7FD312"/>
    <w:rsid w:val="EF53993F"/>
    <w:rsid w:val="EF6FD633"/>
    <w:rsid w:val="EFA6508E"/>
    <w:rsid w:val="EFBFB2F4"/>
    <w:rsid w:val="EFBFFA21"/>
    <w:rsid w:val="EFE7ED90"/>
    <w:rsid w:val="F2BEBCB8"/>
    <w:rsid w:val="F36FB518"/>
    <w:rsid w:val="F3BE228B"/>
    <w:rsid w:val="F3DE1A04"/>
    <w:rsid w:val="F3F722E5"/>
    <w:rsid w:val="F5FF9305"/>
    <w:rsid w:val="F6BE3C4D"/>
    <w:rsid w:val="F7BBD035"/>
    <w:rsid w:val="F7E72F31"/>
    <w:rsid w:val="F7F5E15F"/>
    <w:rsid w:val="FA5F1E70"/>
    <w:rsid w:val="FA5FDB97"/>
    <w:rsid w:val="FAECFD91"/>
    <w:rsid w:val="FB7D6EBA"/>
    <w:rsid w:val="FB7F486A"/>
    <w:rsid w:val="FBFF5B2E"/>
    <w:rsid w:val="FD3E7126"/>
    <w:rsid w:val="FD7FFE2B"/>
    <w:rsid w:val="FDE78986"/>
    <w:rsid w:val="FDEE196B"/>
    <w:rsid w:val="FDFE6575"/>
    <w:rsid w:val="FED62495"/>
    <w:rsid w:val="FEDFDDC2"/>
    <w:rsid w:val="FEED32F6"/>
    <w:rsid w:val="FEED6C1B"/>
    <w:rsid w:val="FEEDB57D"/>
    <w:rsid w:val="FEF781DD"/>
    <w:rsid w:val="FEFE9725"/>
    <w:rsid w:val="FF3F7E3F"/>
    <w:rsid w:val="FF6D3936"/>
    <w:rsid w:val="FF9F687C"/>
    <w:rsid w:val="FFBA12D7"/>
    <w:rsid w:val="FFBC530B"/>
    <w:rsid w:val="FFCFCDD6"/>
    <w:rsid w:val="FFDFFAEE"/>
    <w:rsid w:val="FFF9B57B"/>
    <w:rsid w:val="FFFB81B3"/>
    <w:rsid w:val="FFFD61D9"/>
    <w:rsid w:val="FFFD8F59"/>
    <w:rsid w:val="FFFDF871"/>
    <w:rsid w:val="FFFF2BB1"/>
    <w:rsid w:val="FFFFB04D"/>
    <w:rsid w:val="000222C6"/>
    <w:rsid w:val="0002549F"/>
    <w:rsid w:val="000468DB"/>
    <w:rsid w:val="00056866"/>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30B2"/>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57A2A"/>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73F92AF"/>
    <w:rsid w:val="186504BB"/>
    <w:rsid w:val="1938089F"/>
    <w:rsid w:val="19A445FC"/>
    <w:rsid w:val="1ADA7EA7"/>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DF52DE"/>
    <w:rsid w:val="2DF04E50"/>
    <w:rsid w:val="2E9545B0"/>
    <w:rsid w:val="2F040D46"/>
    <w:rsid w:val="2FAE5751"/>
    <w:rsid w:val="2FB1A395"/>
    <w:rsid w:val="2FD9A7D8"/>
    <w:rsid w:val="2FFF23E5"/>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419B8"/>
    <w:rsid w:val="3E78745D"/>
    <w:rsid w:val="3FF4CAE0"/>
    <w:rsid w:val="3FF7B227"/>
    <w:rsid w:val="3FFF08A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B8BD52"/>
    <w:rsid w:val="4FBA3241"/>
    <w:rsid w:val="4FE9BD67"/>
    <w:rsid w:val="4FEB55FD"/>
    <w:rsid w:val="4FFB052F"/>
    <w:rsid w:val="53083A92"/>
    <w:rsid w:val="537E6D0A"/>
    <w:rsid w:val="53AF27A2"/>
    <w:rsid w:val="53F74C96"/>
    <w:rsid w:val="54EF9716"/>
    <w:rsid w:val="56E47B74"/>
    <w:rsid w:val="57BD3DD4"/>
    <w:rsid w:val="57CFF883"/>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5F4D36B"/>
    <w:rsid w:val="664B1D71"/>
    <w:rsid w:val="67AA3209"/>
    <w:rsid w:val="681C4F0D"/>
    <w:rsid w:val="69046D0F"/>
    <w:rsid w:val="698D0931"/>
    <w:rsid w:val="6A993CED"/>
    <w:rsid w:val="6B053271"/>
    <w:rsid w:val="6BCE6674"/>
    <w:rsid w:val="6BDF57D1"/>
    <w:rsid w:val="6C4A05C8"/>
    <w:rsid w:val="6C8742B8"/>
    <w:rsid w:val="6C8A170F"/>
    <w:rsid w:val="6CB54609"/>
    <w:rsid w:val="6DBF5E93"/>
    <w:rsid w:val="6DFF077E"/>
    <w:rsid w:val="6E7E3605"/>
    <w:rsid w:val="6E7FDCC7"/>
    <w:rsid w:val="6ED6A62E"/>
    <w:rsid w:val="6EE00B15"/>
    <w:rsid w:val="6EF33D33"/>
    <w:rsid w:val="6F544B20"/>
    <w:rsid w:val="6F6FB3EB"/>
    <w:rsid w:val="6F784160"/>
    <w:rsid w:val="6F8731EA"/>
    <w:rsid w:val="6FCE6052"/>
    <w:rsid w:val="6FD57C00"/>
    <w:rsid w:val="6FEFFFD8"/>
    <w:rsid w:val="6FF5CC65"/>
    <w:rsid w:val="6FFB47EC"/>
    <w:rsid w:val="6FFD8C44"/>
    <w:rsid w:val="6FFF034A"/>
    <w:rsid w:val="6FFFB6EF"/>
    <w:rsid w:val="70496804"/>
    <w:rsid w:val="712A28F1"/>
    <w:rsid w:val="715C0E4B"/>
    <w:rsid w:val="71FD5238"/>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6FF7349"/>
    <w:rsid w:val="7717054C"/>
    <w:rsid w:val="776F6FFA"/>
    <w:rsid w:val="778769C8"/>
    <w:rsid w:val="77DC22F5"/>
    <w:rsid w:val="79086DAD"/>
    <w:rsid w:val="79974F09"/>
    <w:rsid w:val="79D7FD79"/>
    <w:rsid w:val="79EE5BA4"/>
    <w:rsid w:val="7A76762F"/>
    <w:rsid w:val="7A7B3321"/>
    <w:rsid w:val="7A894339"/>
    <w:rsid w:val="7AFF7572"/>
    <w:rsid w:val="7B6C7DFB"/>
    <w:rsid w:val="7BBFBED0"/>
    <w:rsid w:val="7BC3E394"/>
    <w:rsid w:val="7BEE0728"/>
    <w:rsid w:val="7C1F3737"/>
    <w:rsid w:val="7CBFC87B"/>
    <w:rsid w:val="7CFE0F48"/>
    <w:rsid w:val="7D7EC23E"/>
    <w:rsid w:val="7D916348"/>
    <w:rsid w:val="7E8ADEBF"/>
    <w:rsid w:val="7ECF5933"/>
    <w:rsid w:val="7EE7972A"/>
    <w:rsid w:val="7EEF11D3"/>
    <w:rsid w:val="7F0971A6"/>
    <w:rsid w:val="7F3F679B"/>
    <w:rsid w:val="7F4FC4EF"/>
    <w:rsid w:val="7F5E4D54"/>
    <w:rsid w:val="7F6E0135"/>
    <w:rsid w:val="7FA30C79"/>
    <w:rsid w:val="7FA7D57E"/>
    <w:rsid w:val="7FAF8ABF"/>
    <w:rsid w:val="7FB7269E"/>
    <w:rsid w:val="7FC96657"/>
    <w:rsid w:val="7FDA9588"/>
    <w:rsid w:val="7FDF220F"/>
    <w:rsid w:val="7FEDC5F7"/>
    <w:rsid w:val="7FEDD9DE"/>
    <w:rsid w:val="7FF5890D"/>
    <w:rsid w:val="7FF93490"/>
    <w:rsid w:val="7FFC3E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pPr>
      <w:spacing w:beforeLines="30"/>
    </w:pPr>
    <w:rPr>
      <w:rFonts w:ascii="仿宋_GB2312" w:eastAsia="仿宋_GB2312"/>
      <w:kern w:val="0"/>
      <w:sz w:val="30"/>
    </w:rPr>
  </w:style>
  <w:style w:type="paragraph" w:styleId="a4">
    <w:name w:val="Body Text Indent"/>
    <w:basedOn w:val="a"/>
    <w:next w:val="20"/>
    <w:qFormat/>
    <w:pPr>
      <w:spacing w:after="120"/>
      <w:ind w:leftChars="200" w:left="200"/>
    </w:pPr>
    <w:rPr>
      <w:rFonts w:ascii="仿宋_GB2312"/>
      <w:szCs w:val="32"/>
    </w:rPr>
  </w:style>
  <w:style w:type="paragraph" w:styleId="20">
    <w:name w:val="Body Text First Indent 2"/>
    <w:basedOn w:val="a4"/>
    <w:next w:val="a"/>
    <w:uiPriority w:val="99"/>
    <w:unhideWhenUsed/>
    <w:qFormat/>
    <w:pPr>
      <w:ind w:firstLineChars="200" w:firstLine="420"/>
    </w:pPr>
  </w:style>
  <w:style w:type="paragraph" w:styleId="30">
    <w:name w:val="toc 3"/>
    <w:basedOn w:val="a"/>
    <w:next w:val="a"/>
    <w:uiPriority w:val="39"/>
    <w:unhideWhenUsed/>
    <w:qFormat/>
    <w:pPr>
      <w:tabs>
        <w:tab w:val="right" w:leader="dot" w:pos="8296"/>
      </w:tabs>
      <w:ind w:leftChars="400" w:left="840"/>
    </w:p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7">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a8">
    <w:name w:val="footnote text"/>
    <w:basedOn w:val="a"/>
    <w:next w:val="20"/>
    <w:semiHidden/>
    <w:qFormat/>
    <w:pPr>
      <w:snapToGrid w:val="0"/>
      <w:jc w:val="left"/>
    </w:pPr>
    <w:rPr>
      <w:sz w:val="18"/>
      <w:szCs w:val="18"/>
    </w:rPr>
  </w:style>
  <w:style w:type="paragraph" w:styleId="21">
    <w:name w:val="toc 2"/>
    <w:basedOn w:val="a"/>
    <w:next w:val="a"/>
    <w:uiPriority w:val="39"/>
    <w:unhideWhenUsed/>
    <w:qFormat/>
    <w:pPr>
      <w:tabs>
        <w:tab w:val="right" w:leader="dot" w:pos="8296"/>
      </w:tabs>
      <w:ind w:leftChars="200" w:left="420"/>
    </w:pPr>
  </w:style>
  <w:style w:type="character" w:styleId="a9">
    <w:name w:val="Strong"/>
    <w:basedOn w:val="a1"/>
    <w:uiPriority w:val="99"/>
    <w:qFormat/>
    <w:rPr>
      <w:b/>
    </w:rPr>
  </w:style>
  <w:style w:type="character" w:styleId="aa">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7"/>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6"/>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0"/>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5"/>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pPr>
      <w:spacing w:line="360" w:lineRule="auto"/>
    </w:pPr>
    <w:rPr>
      <w:rFonts w:ascii="??" w:hAnsi="??"/>
      <w:color w:val="000000"/>
      <w:kern w:val="0"/>
      <w:sz w:val="28"/>
      <w:szCs w:val="21"/>
      <w:lang w:val="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pPr>
      <w:spacing w:beforeLines="30"/>
    </w:pPr>
    <w:rPr>
      <w:rFonts w:ascii="仿宋_GB2312" w:eastAsia="仿宋_GB2312"/>
      <w:kern w:val="0"/>
      <w:sz w:val="30"/>
    </w:rPr>
  </w:style>
  <w:style w:type="paragraph" w:styleId="a4">
    <w:name w:val="Body Text Indent"/>
    <w:basedOn w:val="a"/>
    <w:next w:val="20"/>
    <w:qFormat/>
    <w:pPr>
      <w:spacing w:after="120"/>
      <w:ind w:leftChars="200" w:left="200"/>
    </w:pPr>
    <w:rPr>
      <w:rFonts w:ascii="仿宋_GB2312"/>
      <w:szCs w:val="32"/>
    </w:rPr>
  </w:style>
  <w:style w:type="paragraph" w:styleId="20">
    <w:name w:val="Body Text First Indent 2"/>
    <w:basedOn w:val="a4"/>
    <w:next w:val="a"/>
    <w:uiPriority w:val="99"/>
    <w:unhideWhenUsed/>
    <w:qFormat/>
    <w:pPr>
      <w:ind w:firstLineChars="200" w:firstLine="420"/>
    </w:pPr>
  </w:style>
  <w:style w:type="paragraph" w:styleId="30">
    <w:name w:val="toc 3"/>
    <w:basedOn w:val="a"/>
    <w:next w:val="a"/>
    <w:uiPriority w:val="39"/>
    <w:unhideWhenUsed/>
    <w:qFormat/>
    <w:pPr>
      <w:tabs>
        <w:tab w:val="right" w:leader="dot" w:pos="8296"/>
      </w:tabs>
      <w:ind w:leftChars="400" w:left="840"/>
    </w:p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7">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a8">
    <w:name w:val="footnote text"/>
    <w:basedOn w:val="a"/>
    <w:next w:val="20"/>
    <w:semiHidden/>
    <w:qFormat/>
    <w:pPr>
      <w:snapToGrid w:val="0"/>
      <w:jc w:val="left"/>
    </w:pPr>
    <w:rPr>
      <w:sz w:val="18"/>
      <w:szCs w:val="18"/>
    </w:rPr>
  </w:style>
  <w:style w:type="paragraph" w:styleId="21">
    <w:name w:val="toc 2"/>
    <w:basedOn w:val="a"/>
    <w:next w:val="a"/>
    <w:uiPriority w:val="39"/>
    <w:unhideWhenUsed/>
    <w:qFormat/>
    <w:pPr>
      <w:tabs>
        <w:tab w:val="right" w:leader="dot" w:pos="8296"/>
      </w:tabs>
      <w:ind w:leftChars="200" w:left="420"/>
    </w:pPr>
  </w:style>
  <w:style w:type="character" w:styleId="a9">
    <w:name w:val="Strong"/>
    <w:basedOn w:val="a1"/>
    <w:uiPriority w:val="99"/>
    <w:qFormat/>
    <w:rPr>
      <w:b/>
    </w:rPr>
  </w:style>
  <w:style w:type="character" w:styleId="aa">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7"/>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6"/>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0"/>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5"/>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pPr>
      <w:spacing w:line="360" w:lineRule="auto"/>
    </w:pPr>
    <w:rPr>
      <w:rFonts w:ascii="??" w:hAnsi="??"/>
      <w:color w:val="000000"/>
      <w:kern w:val="0"/>
      <w:sz w:val="28"/>
      <w:szCs w:val="21"/>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chart" Target="charts/chart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chart" Target="charts/char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6.xml"/><Relationship Id="rId23" Type="http://schemas.openxmlformats.org/officeDocument/2006/relationships/chart" Target="charts/chart7.xml"/><Relationship Id="rId10" Type="http://schemas.openxmlformats.org/officeDocument/2006/relationships/footer" Target="footer1.xml"/><Relationship Id="rId19"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__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__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___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___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收支决算总计变动情况</a:t>
            </a:r>
          </a:p>
        </c:rich>
      </c:tx>
      <c:layout>
        <c:manualLayout>
          <c:xMode val="edge"/>
          <c:yMode val="edge"/>
          <c:x val="0.331125"/>
          <c:y val="2.0675396278428699E-2"/>
        </c:manualLayout>
      </c:layout>
      <c:overlay val="0"/>
      <c:spPr>
        <a:noFill/>
        <a:ln>
          <a:noFill/>
        </a:ln>
        <a:effectLst/>
      </c:spPr>
    </c:title>
    <c:autoTitleDeleted val="0"/>
    <c:plotArea>
      <c:layout/>
      <c:barChart>
        <c:barDir val="col"/>
        <c:grouping val="clustered"/>
        <c:varyColors val="0"/>
        <c:ser>
          <c:idx val="1"/>
          <c:order val="0"/>
          <c:tx>
            <c:strRef>
              <c:f>Sheet1!$C$1</c:f>
              <c:strCache>
                <c:ptCount val="1"/>
                <c:pt idx="0">
                  <c:v>收支决算总计变动情况</c:v>
                </c:pt>
              </c:strCache>
            </c:strRef>
          </c:tx>
          <c:spPr>
            <a:solidFill>
              <a:schemeClr val="accent2"/>
            </a:solidFill>
            <a:ln>
              <a:noFill/>
            </a:ln>
            <a:effectLst/>
          </c:spPr>
          <c:invertIfNegative val="0"/>
          <c:dPt>
            <c:idx val="0"/>
            <c:invertIfNegative val="0"/>
            <c:bubble3D val="0"/>
            <c:spPr>
              <a:solidFill>
                <a:schemeClr val="tx2">
                  <a:lumMod val="60000"/>
                  <a:lumOff val="40000"/>
                </a:schemeClr>
              </a:solidFill>
              <a:ln>
                <a:noFill/>
              </a:ln>
              <a:effectLst/>
            </c:spPr>
          </c:dPt>
          <c:dPt>
            <c:idx val="1"/>
            <c:invertIfNegative val="0"/>
            <c:bubble3D val="0"/>
            <c:spPr>
              <a:solidFill>
                <a:schemeClr val="tx2">
                  <a:lumMod val="60000"/>
                  <a:lumOff val="40000"/>
                </a:schemeClr>
              </a:solidFill>
              <a:ln>
                <a:noFill/>
              </a:ln>
              <a:effectLst/>
            </c:spPr>
          </c:dPt>
          <c:dPt>
            <c:idx val="2"/>
            <c:invertIfNegative val="0"/>
            <c:bubble3D val="0"/>
            <c:spPr>
              <a:solidFill>
                <a:schemeClr val="tx2">
                  <a:lumMod val="60000"/>
                  <a:lumOff val="40000"/>
                </a:schemeClr>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2024年度收、支总计（万元）</c:v>
                </c:pt>
                <c:pt idx="1">
                  <c:v>2025年度收、支总计（万元）</c:v>
                </c:pt>
                <c:pt idx="2">
                  <c:v>2025年比2024年收、支增加（万元）</c:v>
                </c:pt>
              </c:strCache>
            </c:strRef>
          </c:cat>
          <c:val>
            <c:numRef>
              <c:f>Sheet1!$C$2:$C$4</c:f>
              <c:numCache>
                <c:formatCode>General</c:formatCode>
                <c:ptCount val="3"/>
                <c:pt idx="0">
                  <c:v>294.17</c:v>
                </c:pt>
                <c:pt idx="1">
                  <c:v>401.64</c:v>
                </c:pt>
                <c:pt idx="2">
                  <c:v>107.47</c:v>
                </c:pt>
              </c:numCache>
            </c:numRef>
          </c:val>
        </c:ser>
        <c:dLbls>
          <c:showLegendKey val="0"/>
          <c:showVal val="1"/>
          <c:showCatName val="0"/>
          <c:showSerName val="0"/>
          <c:showPercent val="0"/>
          <c:showBubbleSize val="0"/>
        </c:dLbls>
        <c:gapWidth val="219"/>
        <c:overlap val="-27"/>
        <c:axId val="416426624"/>
        <c:axId val="416471680"/>
      </c:barChart>
      <c:catAx>
        <c:axId val="41642662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16471680"/>
        <c:crosses val="autoZero"/>
        <c:auto val="1"/>
        <c:lblAlgn val="ctr"/>
        <c:lblOffset val="100"/>
        <c:noMultiLvlLbl val="0"/>
      </c:catAx>
      <c:valAx>
        <c:axId val="416471680"/>
        <c:scaling>
          <c:orientation val="minMax"/>
        </c:scaling>
        <c:delete val="0"/>
        <c:axPos val="l"/>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16426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26878638663886"/>
          <c:y val="5.5959709009513097E-3"/>
        </c:manualLayout>
      </c:layout>
      <c:overlay val="0"/>
      <c:spPr>
        <a:noFill/>
        <a:ln>
          <a:noFill/>
        </a:ln>
        <a:effectLst/>
      </c:spPr>
      <c:txPr>
        <a:bodyPr rot="0" spcFirstLastPara="0"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endParaRPr lang="zh-CN"/>
        </a:p>
      </c:txPr>
    </c:title>
    <c:autoTitleDeleted val="0"/>
    <c:plotArea>
      <c:layout>
        <c:manualLayout>
          <c:layoutTarget val="inner"/>
          <c:xMode val="edge"/>
          <c:yMode val="edge"/>
          <c:x val="0.25285135416666699"/>
          <c:y val="0.101132415664986"/>
          <c:w val="0.57062500000000005"/>
          <c:h val="0.76083333333333303"/>
        </c:manualLayout>
      </c:layout>
      <c:pieChart>
        <c:varyColors val="1"/>
        <c:ser>
          <c:idx val="0"/>
          <c:order val="0"/>
          <c:tx>
            <c:strRef>
              <c:f>Sheet1!$B$1</c:f>
              <c:strCache>
                <c:ptCount val="1"/>
                <c:pt idx="0">
                  <c:v>收入决算结构图</c:v>
                </c:pt>
              </c:strCache>
            </c:strRef>
          </c:tx>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Lbls>
            <c:dLbl>
              <c:idx val="0"/>
              <c:layout>
                <c:manualLayout>
                  <c:x val="-8.1677165354330696E-3"/>
                  <c:y val="1.17417372104983E-2"/>
                </c:manualLayout>
              </c:layout>
              <c:tx>
                <c:rich>
                  <a:bodyPr/>
                  <a:lstStyle/>
                  <a:p>
                    <a:r>
                      <a:rPr lang="zh-CN" altLang="en-US"/>
                      <a:t>一般公共预算财政拨款收入</a:t>
                    </a:r>
                    <a:r>
                      <a:rPr lang="en-US" altLang="en-US"/>
                      <a:t>182.88</a:t>
                    </a:r>
                    <a:r>
                      <a:rPr altLang="en-US"/>
                      <a:t>万元</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tx>
                <c:rich>
                  <a:bodyPr/>
                  <a:lstStyle/>
                  <a:p>
                    <a:r>
                      <a:rPr lang="zh-CN" altLang="en-US"/>
                      <a:t>政府性基金预算财政拨款收入</a:t>
                    </a:r>
                    <a:r>
                      <a:rPr lang="en-US" altLang="en-US"/>
                      <a:t>218.76</a:t>
                    </a:r>
                    <a:r>
                      <a:rPr lang="zh-CN" altLang="en-US"/>
                      <a:t>万元</a:t>
                    </a:r>
                  </a:p>
                  <a:p>
                    <a:endParaRPr lang="en-US" altLang="zh-CN"/>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一般公共预算财政拨款收入</c:v>
                </c:pt>
                <c:pt idx="1">
                  <c:v>政府性基金预算财政拨款收入</c:v>
                </c:pt>
              </c:strCache>
            </c:strRef>
          </c:cat>
          <c:val>
            <c:numRef>
              <c:f>Sheet1!$B$2:$B$3</c:f>
              <c:numCache>
                <c:formatCode>General</c:formatCode>
                <c:ptCount val="2"/>
                <c:pt idx="0">
                  <c:v>182.88</c:v>
                </c:pt>
                <c:pt idx="1">
                  <c:v>218.76</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6251756011757902"/>
          <c:y val="4.5904336584792604E-3"/>
        </c:manualLayout>
      </c:layout>
      <c:overlay val="0"/>
      <c:spPr>
        <a:noFill/>
        <a:ln>
          <a:noFill/>
        </a:ln>
        <a:effectLst/>
      </c:spPr>
      <c:txPr>
        <a:bodyPr rot="0" spcFirstLastPara="0"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endParaRPr lang="zh-CN"/>
        </a:p>
      </c:txPr>
    </c:title>
    <c:autoTitleDeleted val="0"/>
    <c:plotArea>
      <c:layout>
        <c:manualLayout>
          <c:layoutTarget val="inner"/>
          <c:xMode val="edge"/>
          <c:yMode val="edge"/>
          <c:x val="0.25285135416666699"/>
          <c:y val="0.101132415664986"/>
          <c:w val="0.57062500000000005"/>
          <c:h val="0.76083333333333303"/>
        </c:manualLayout>
      </c:layout>
      <c:pieChart>
        <c:varyColors val="1"/>
        <c:ser>
          <c:idx val="0"/>
          <c:order val="0"/>
          <c:tx>
            <c:strRef>
              <c:f>Sheet1!$B$1</c:f>
              <c:strCache>
                <c:ptCount val="1"/>
                <c:pt idx="0">
                  <c:v>支出决算结构图</c:v>
                </c:pt>
              </c:strCache>
            </c:strRef>
          </c:tx>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Lbls>
            <c:dLbl>
              <c:idx val="0"/>
              <c:layout>
                <c:manualLayout>
                  <c:x val="-8.1677165354330696E-3"/>
                  <c:y val="1.17417372104983E-2"/>
                </c:manualLayout>
              </c:layout>
              <c:tx>
                <c:rich>
                  <a:bodyPr/>
                  <a:lstStyle/>
                  <a:p>
                    <a:r>
                      <a:rPr altLang="en-US"/>
                      <a:t>基本支出</a:t>
                    </a:r>
                    <a:r>
                      <a:rPr lang="en-US" altLang="en-US"/>
                      <a:t>182.88</a:t>
                    </a:r>
                    <a:r>
                      <a:rPr altLang="en-US"/>
                      <a:t>万元，占</a:t>
                    </a:r>
                    <a:r>
                      <a:rPr lang="en-US" altLang="en-US"/>
                      <a:t>45.53</a:t>
                    </a:r>
                    <a:r>
                      <a:rPr lang="en-US" altLang="zh-CN"/>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tx>
                <c:rich>
                  <a:bodyPr/>
                  <a:lstStyle/>
                  <a:p>
                    <a:r>
                      <a:rPr lang="zh-CN" altLang="en-US"/>
                      <a:t>项目支出</a:t>
                    </a:r>
                    <a:r>
                      <a:rPr lang="en-US" altLang="en-US"/>
                      <a:t>218.76</a:t>
                    </a:r>
                    <a:r>
                      <a:rPr altLang="en-US"/>
                      <a:t>万元，占</a:t>
                    </a:r>
                    <a:r>
                      <a:rPr lang="en-US" altLang="en-US"/>
                      <a:t>54.47</a:t>
                    </a:r>
                    <a:r>
                      <a:rPr lang="en-US" altLang="zh-CN"/>
                      <a:t>%</a:t>
                    </a:r>
                  </a:p>
                </c:rich>
              </c:tx>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182.88</c:v>
                </c:pt>
                <c:pt idx="1">
                  <c:v>218.76</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收支决算总计变动情况</a:t>
            </a:r>
          </a:p>
        </c:rich>
      </c:tx>
      <c:layout>
        <c:manualLayout>
          <c:xMode val="edge"/>
          <c:yMode val="edge"/>
          <c:x val="0.331125"/>
          <c:y val="2.0675396278428699E-2"/>
        </c:manualLayout>
      </c:layout>
      <c:overlay val="0"/>
      <c:spPr>
        <a:noFill/>
        <a:ln>
          <a:noFill/>
        </a:ln>
        <a:effectLst/>
      </c:spPr>
    </c:title>
    <c:autoTitleDeleted val="0"/>
    <c:plotArea>
      <c:layout/>
      <c:barChart>
        <c:barDir val="col"/>
        <c:grouping val="clustered"/>
        <c:varyColors val="0"/>
        <c:ser>
          <c:idx val="1"/>
          <c:order val="0"/>
          <c:tx>
            <c:strRef>
              <c:f>Sheet1!$C$1</c:f>
              <c:strCache>
                <c:ptCount val="1"/>
                <c:pt idx="0">
                  <c:v>财政拨款收支决算总计变动情况</c:v>
                </c:pt>
              </c:strCache>
            </c:strRef>
          </c:tx>
          <c:spPr>
            <a:solidFill>
              <a:schemeClr val="accent2"/>
            </a:solidFill>
            <a:ln>
              <a:noFill/>
            </a:ln>
            <a:effectLst/>
          </c:spPr>
          <c:invertIfNegative val="0"/>
          <c:dPt>
            <c:idx val="0"/>
            <c:invertIfNegative val="0"/>
            <c:bubble3D val="0"/>
            <c:spPr>
              <a:solidFill>
                <a:schemeClr val="tx2">
                  <a:lumMod val="60000"/>
                  <a:lumOff val="40000"/>
                </a:schemeClr>
              </a:solidFill>
              <a:ln>
                <a:noFill/>
              </a:ln>
              <a:effectLst/>
            </c:spPr>
          </c:dPt>
          <c:dPt>
            <c:idx val="1"/>
            <c:invertIfNegative val="0"/>
            <c:bubble3D val="0"/>
            <c:spPr>
              <a:solidFill>
                <a:schemeClr val="tx2">
                  <a:lumMod val="60000"/>
                  <a:lumOff val="40000"/>
                </a:schemeClr>
              </a:solidFill>
              <a:ln>
                <a:noFill/>
              </a:ln>
              <a:effectLst/>
            </c:spPr>
          </c:dPt>
          <c:dPt>
            <c:idx val="2"/>
            <c:invertIfNegative val="0"/>
            <c:bubble3D val="0"/>
            <c:spPr>
              <a:solidFill>
                <a:schemeClr val="tx2">
                  <a:lumMod val="60000"/>
                  <a:lumOff val="40000"/>
                </a:schemeClr>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2024年度收、支总计（万元）</c:v>
                </c:pt>
                <c:pt idx="1">
                  <c:v>2025年度收、支总计（万元）</c:v>
                </c:pt>
                <c:pt idx="2">
                  <c:v>2025年比2024年收、支增加（万元）</c:v>
                </c:pt>
              </c:strCache>
            </c:strRef>
          </c:cat>
          <c:val>
            <c:numRef>
              <c:f>Sheet1!$C$2:$C$4</c:f>
              <c:numCache>
                <c:formatCode>General</c:formatCode>
                <c:ptCount val="3"/>
                <c:pt idx="0">
                  <c:v>294.17</c:v>
                </c:pt>
                <c:pt idx="1">
                  <c:v>401.64</c:v>
                </c:pt>
                <c:pt idx="2">
                  <c:v>107.47</c:v>
                </c:pt>
              </c:numCache>
            </c:numRef>
          </c:val>
        </c:ser>
        <c:dLbls>
          <c:showLegendKey val="0"/>
          <c:showVal val="1"/>
          <c:showCatName val="0"/>
          <c:showSerName val="0"/>
          <c:showPercent val="0"/>
          <c:showBubbleSize val="0"/>
        </c:dLbls>
        <c:gapWidth val="219"/>
        <c:overlap val="-27"/>
        <c:axId val="417010432"/>
        <c:axId val="417014528"/>
      </c:barChart>
      <c:catAx>
        <c:axId val="417010432"/>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17014528"/>
        <c:crosses val="autoZero"/>
        <c:auto val="1"/>
        <c:lblAlgn val="ctr"/>
        <c:lblOffset val="100"/>
        <c:noMultiLvlLbl val="0"/>
      </c:catAx>
      <c:valAx>
        <c:axId val="417014528"/>
        <c:scaling>
          <c:orientation val="minMax"/>
        </c:scaling>
        <c:delete val="0"/>
        <c:axPos val="l"/>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17010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收支决算总计变动情况</a:t>
            </a:r>
          </a:p>
        </c:rich>
      </c:tx>
      <c:layout>
        <c:manualLayout>
          <c:xMode val="edge"/>
          <c:yMode val="edge"/>
          <c:x val="0.331125"/>
          <c:y val="1.7545995558666601E-2"/>
        </c:manualLayout>
      </c:layout>
      <c:overlay val="0"/>
      <c:spPr>
        <a:noFill/>
        <a:ln>
          <a:noFill/>
        </a:ln>
        <a:effectLst/>
      </c:spPr>
    </c:title>
    <c:autoTitleDeleted val="0"/>
    <c:plotArea>
      <c:layout/>
      <c:barChart>
        <c:barDir val="col"/>
        <c:grouping val="clustered"/>
        <c:varyColors val="0"/>
        <c:ser>
          <c:idx val="1"/>
          <c:order val="0"/>
          <c:tx>
            <c:strRef>
              <c:f>Sheet1!$C$1</c:f>
              <c:strCache>
                <c:ptCount val="1"/>
                <c:pt idx="0">
                  <c:v>一般公共预算财政拨款支出决算变动情况</c:v>
                </c:pt>
              </c:strCache>
            </c:strRef>
          </c:tx>
          <c:spPr>
            <a:solidFill>
              <a:schemeClr val="accent2"/>
            </a:solidFill>
            <a:ln>
              <a:noFill/>
            </a:ln>
            <a:effectLst/>
          </c:spPr>
          <c:invertIfNegative val="0"/>
          <c:dPt>
            <c:idx val="0"/>
            <c:invertIfNegative val="0"/>
            <c:bubble3D val="0"/>
            <c:spPr>
              <a:solidFill>
                <a:schemeClr val="tx2">
                  <a:lumMod val="60000"/>
                  <a:lumOff val="40000"/>
                </a:schemeClr>
              </a:solidFill>
              <a:ln>
                <a:noFill/>
              </a:ln>
              <a:effectLst/>
            </c:spPr>
          </c:dPt>
          <c:dPt>
            <c:idx val="1"/>
            <c:invertIfNegative val="0"/>
            <c:bubble3D val="0"/>
            <c:spPr>
              <a:solidFill>
                <a:schemeClr val="tx2">
                  <a:lumMod val="60000"/>
                  <a:lumOff val="40000"/>
                </a:schemeClr>
              </a:solidFill>
              <a:ln>
                <a:noFill/>
              </a:ln>
              <a:effectLst/>
            </c:spPr>
          </c:dPt>
          <c:dPt>
            <c:idx val="2"/>
            <c:invertIfNegative val="0"/>
            <c:bubble3D val="0"/>
            <c:spPr>
              <a:solidFill>
                <a:schemeClr val="tx2">
                  <a:lumMod val="60000"/>
                  <a:lumOff val="40000"/>
                </a:schemeClr>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2024年度一般公共预算财政拨款支出（万元）</c:v>
                </c:pt>
                <c:pt idx="1">
                  <c:v>2025年度一般公共预算财政拨款支出(万元)</c:v>
                </c:pt>
                <c:pt idx="2">
                  <c:v>2025年比2024年减少（万元）</c:v>
                </c:pt>
              </c:strCache>
            </c:strRef>
          </c:cat>
          <c:val>
            <c:numRef>
              <c:f>Sheet1!$C$2:$C$4</c:f>
              <c:numCache>
                <c:formatCode>General</c:formatCode>
                <c:ptCount val="3"/>
                <c:pt idx="0">
                  <c:v>191.4</c:v>
                </c:pt>
                <c:pt idx="1">
                  <c:v>182.88</c:v>
                </c:pt>
                <c:pt idx="2">
                  <c:v>8.52</c:v>
                </c:pt>
              </c:numCache>
            </c:numRef>
          </c:val>
        </c:ser>
        <c:dLbls>
          <c:showLegendKey val="0"/>
          <c:showVal val="1"/>
          <c:showCatName val="0"/>
          <c:showSerName val="0"/>
          <c:showPercent val="0"/>
          <c:showBubbleSize val="0"/>
        </c:dLbls>
        <c:gapWidth val="219"/>
        <c:overlap val="-27"/>
        <c:axId val="417033600"/>
        <c:axId val="417058176"/>
      </c:barChart>
      <c:catAx>
        <c:axId val="417033600"/>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17058176"/>
        <c:crosses val="autoZero"/>
        <c:auto val="1"/>
        <c:lblAlgn val="ctr"/>
        <c:lblOffset val="100"/>
        <c:noMultiLvlLbl val="0"/>
      </c:catAx>
      <c:valAx>
        <c:axId val="417058176"/>
        <c:scaling>
          <c:orientation val="minMax"/>
        </c:scaling>
        <c:delete val="0"/>
        <c:axPos val="l"/>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17033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8887499999999999"/>
          <c:y val="6.5559440559440603E-3"/>
        </c:manualLayout>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65000"/>
                  <a:lumOff val="35000"/>
                </a:schemeClr>
              </a:solidFill>
              <a:latin typeface="+mn-lt"/>
              <a:ea typeface="+mn-ea"/>
              <a:cs typeface="+mn-cs"/>
            </a:defRPr>
          </a:pPr>
          <a:endParaRPr lang="zh-CN"/>
        </a:p>
      </c:txPr>
    </c:title>
    <c:autoTitleDeleted val="0"/>
    <c:plotArea>
      <c:layout/>
      <c:pieChart>
        <c:varyColors val="1"/>
        <c:ser>
          <c:idx val="0"/>
          <c:order val="0"/>
          <c:tx>
            <c:strRef>
              <c:f>Sheet1!$B$1</c:f>
              <c:strCache>
                <c:ptCount val="1"/>
                <c:pt idx="0">
                  <c:v>一般公共预算财政拨款支出决算结构</c:v>
                </c:pt>
              </c:strCache>
            </c:strRef>
          </c:tx>
          <c:dPt>
            <c:idx val="0"/>
            <c:bubble3D val="0"/>
            <c:explosion val="4"/>
            <c:spPr>
              <a:solidFill>
                <a:schemeClr val="accent1"/>
              </a:solidFill>
              <a:ln>
                <a:noFill/>
              </a:ln>
              <a:effectLst>
                <a:outerShdw blurRad="317500" algn="ctr" rotWithShape="0">
                  <a:prstClr val="black">
                    <a:alpha val="25000"/>
                  </a:prstClr>
                </a:outerShdw>
              </a:effectLst>
            </c:spPr>
          </c:dPt>
          <c:dPt>
            <c:idx val="1"/>
            <c:bubble3D val="0"/>
            <c:spPr>
              <a:solidFill>
                <a:schemeClr val="accent2"/>
              </a:solidFill>
              <a:ln>
                <a:noFill/>
              </a:ln>
              <a:effectLst>
                <a:outerShdw blurRad="317500" algn="ctr" rotWithShape="0">
                  <a:prstClr val="black">
                    <a:alpha val="25000"/>
                  </a:prstClr>
                </a:outerShdw>
              </a:effectLst>
            </c:spPr>
          </c:dPt>
          <c:dPt>
            <c:idx val="2"/>
            <c:bubble3D val="0"/>
            <c:spPr>
              <a:solidFill>
                <a:schemeClr val="accent3"/>
              </a:solidFill>
              <a:ln>
                <a:noFill/>
              </a:ln>
              <a:effectLst>
                <a:outerShdw blurRad="317500" algn="ctr" rotWithShape="0">
                  <a:prstClr val="black">
                    <a:alpha val="25000"/>
                  </a:prstClr>
                </a:outerShdw>
              </a:effectLst>
            </c:spPr>
          </c:dPt>
          <c:dPt>
            <c:idx val="3"/>
            <c:bubble3D val="0"/>
            <c:spPr>
              <a:solidFill>
                <a:schemeClr val="accent4"/>
              </a:solidFill>
              <a:ln>
                <a:noFill/>
              </a:ln>
              <a:effectLst>
                <a:outerShdw blurRad="317500" algn="ctr" rotWithShape="0">
                  <a:prstClr val="black">
                    <a:alpha val="25000"/>
                  </a:prstClr>
                </a:outerShdw>
              </a:effectLst>
            </c:spPr>
          </c:dPt>
          <c:dLbls>
            <c:dLbl>
              <c:idx val="0"/>
              <c:tx>
                <c:rich>
                  <a:bodyPr/>
                  <a:lstStyle/>
                  <a:p>
                    <a:r>
                      <a:rPr lang="zh-CN" altLang="en-US">
                        <a:solidFill>
                          <a:sysClr val="windowText" lastClr="000000"/>
                        </a:solidFill>
                      </a:rPr>
                      <a:t>文化旅游体育与传媒支出</a:t>
                    </a:r>
                    <a:r>
                      <a:rPr lang="en-US" altLang="en-US">
                        <a:solidFill>
                          <a:sysClr val="windowText" lastClr="000000"/>
                        </a:solidFill>
                      </a:rPr>
                      <a:t>134.52</a:t>
                    </a:r>
                    <a:r>
                      <a:rPr lang="zh-CN" altLang="en-US">
                        <a:solidFill>
                          <a:sysClr val="windowText" lastClr="000000"/>
                        </a:solidFill>
                      </a:rPr>
                      <a:t>万</a:t>
                    </a:r>
                  </a:p>
                  <a:p>
                    <a:r>
                      <a:rPr lang="zh-CN" altLang="en-US">
                        <a:solidFill>
                          <a:sysClr val="windowText" lastClr="000000"/>
                        </a:solidFill>
                      </a:rPr>
                      <a:t>元占</a:t>
                    </a:r>
                    <a:r>
                      <a:rPr lang="en-US" altLang="en-US">
                        <a:solidFill>
                          <a:sysClr val="windowText" lastClr="000000"/>
                        </a:solidFill>
                      </a:rPr>
                      <a:t>73.56</a:t>
                    </a:r>
                    <a:r>
                      <a:rPr lang="en-US" altLang="zh-CN">
                        <a:solidFill>
                          <a:sysClr val="windowText" lastClr="000000"/>
                        </a:solidFill>
                      </a:rPr>
                      <a:t>%</a:t>
                    </a:r>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8.6172570344306601E-2"/>
                  <c:y val="3.0005384140887999E-2"/>
                </c:manualLayout>
              </c:layout>
              <c:tx>
                <c:rich>
                  <a:bodyPr/>
                  <a:lstStyle/>
                  <a:p>
                    <a:r>
                      <a:rPr lang="zh-CN" altLang="en-US">
                        <a:solidFill>
                          <a:sysClr val="windowText" lastClr="000000"/>
                        </a:solidFill>
                      </a:rPr>
                      <a:t>社会保障和就业支出</a:t>
                    </a:r>
                    <a:r>
                      <a:rPr lang="en-US" altLang="en-US">
                        <a:solidFill>
                          <a:sysClr val="windowText" lastClr="000000"/>
                        </a:solidFill>
                      </a:rPr>
                      <a:t>25.86</a:t>
                    </a:r>
                    <a:r>
                      <a:rPr lang="zh-CN" altLang="en-US">
                        <a:solidFill>
                          <a:sysClr val="windowText" lastClr="000000"/>
                        </a:solidFill>
                      </a:rPr>
                      <a:t>万元占</a:t>
                    </a:r>
                  </a:p>
                  <a:p>
                    <a:r>
                      <a:rPr lang="en-US" altLang="en-US">
                        <a:solidFill>
                          <a:sysClr val="windowText" lastClr="000000"/>
                        </a:solidFill>
                      </a:rPr>
                      <a:t>14.14</a:t>
                    </a:r>
                    <a:r>
                      <a:rPr lang="en-US" altLang="zh-CN">
                        <a:solidFill>
                          <a:sysClr val="windowText" lastClr="000000"/>
                        </a:solidFill>
                      </a:rP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5.1701473131736002E-2"/>
                  <c:y val="5.7050881976246802E-3"/>
                </c:manualLayout>
              </c:layout>
              <c:tx>
                <c:rich>
                  <a:bodyPr/>
                  <a:lstStyle/>
                  <a:p>
                    <a:r>
                      <a:rPr lang="zh-CN" altLang="en-US">
                        <a:solidFill>
                          <a:sysClr val="windowText" lastClr="000000"/>
                        </a:solidFill>
                      </a:rPr>
                      <a:t>卫生健康支出</a:t>
                    </a:r>
                  </a:p>
                  <a:p>
                    <a:r>
                      <a:rPr lang="en-US" altLang="en-US">
                        <a:solidFill>
                          <a:sysClr val="windowText" lastClr="000000"/>
                        </a:solidFill>
                      </a:rPr>
                      <a:t>9.59</a:t>
                    </a:r>
                    <a:r>
                      <a:rPr lang="zh-CN" altLang="en-US">
                        <a:solidFill>
                          <a:sysClr val="windowText" lastClr="000000"/>
                        </a:solidFill>
                      </a:rPr>
                      <a:t>万元占</a:t>
                    </a:r>
                    <a:r>
                      <a:rPr lang="en-US" altLang="en-US">
                        <a:solidFill>
                          <a:sysClr val="windowText" lastClr="000000"/>
                        </a:solidFill>
                      </a:rPr>
                      <a:t>5.24</a:t>
                    </a:r>
                    <a:r>
                      <a:rPr lang="en-US" altLang="zh-CN">
                        <a:solidFill>
                          <a:sysClr val="windowText" lastClr="000000"/>
                        </a:solidFill>
                      </a:rP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4.2592819010726798E-2"/>
                  <c:y val="6.7729504333704005E-2"/>
                </c:manualLayout>
              </c:layout>
              <c:tx>
                <c:rich>
                  <a:bodyPr/>
                  <a:lstStyle/>
                  <a:p>
                    <a:r>
                      <a:rPr lang="zh-CN" altLang="en-US">
                        <a:solidFill>
                          <a:sysClr val="windowText" lastClr="000000"/>
                        </a:solidFill>
                      </a:rPr>
                      <a:t>住房保障支出</a:t>
                    </a:r>
                  </a:p>
                  <a:p>
                    <a:r>
                      <a:rPr lang="en-US" altLang="zh-CN">
                        <a:solidFill>
                          <a:sysClr val="windowText" lastClr="000000"/>
                        </a:solidFill>
                      </a:rPr>
                      <a:t>12.</a:t>
                    </a:r>
                    <a:r>
                      <a:rPr lang="en-US" altLang="en-US">
                        <a:solidFill>
                          <a:sysClr val="windowText" lastClr="000000"/>
                        </a:solidFill>
                      </a:rPr>
                      <a:t>92</a:t>
                    </a:r>
                    <a:r>
                      <a:rPr lang="zh-CN" altLang="en-US">
                        <a:solidFill>
                          <a:sysClr val="windowText" lastClr="000000"/>
                        </a:solidFill>
                      </a:rPr>
                      <a:t>万元占</a:t>
                    </a:r>
                    <a:r>
                      <a:rPr lang="en-US" altLang="en-US">
                        <a:solidFill>
                          <a:sysClr val="windowText" lastClr="000000"/>
                        </a:solidFill>
                      </a:rPr>
                      <a:t>7.06</a:t>
                    </a:r>
                    <a:r>
                      <a:rPr lang="en-US" altLang="zh-CN">
                        <a:solidFill>
                          <a:sysClr val="windowText" lastClr="000000"/>
                        </a:solidFill>
                      </a:rP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endParaRPr lang="zh-CN"/>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true"/>
                <c15:leaderLines>
                  <c:spPr>
                    <a:ln w="9525" cap="flat" cmpd="sng" algn="ctr">
                      <a:solidFill>
                        <a:schemeClr val="dk1">
                          <a:lumMod val="35000"/>
                          <a:lumOff val="65000"/>
                        </a:schemeClr>
                      </a:solidFill>
                      <a:prstDash val="solid"/>
                      <a:round/>
                    </a:ln>
                    <a:effectLst/>
                  </c:spPr>
                </c15:leaderLines>
              </c:ext>
            </c:extLst>
          </c:dLbls>
          <c:cat>
            <c:strRef>
              <c:f>Sheet1!$A$2:$A$5</c:f>
              <c:strCache>
                <c:ptCount val="4"/>
                <c:pt idx="0">
                  <c:v>文化旅游体育与传媒支出</c:v>
                </c:pt>
                <c:pt idx="1">
                  <c:v>社会保障和就业支出</c:v>
                </c:pt>
                <c:pt idx="2">
                  <c:v>卫生健康支出</c:v>
                </c:pt>
                <c:pt idx="3">
                  <c:v>住房保障支出</c:v>
                </c:pt>
              </c:strCache>
            </c:strRef>
          </c:cat>
          <c:val>
            <c:numRef>
              <c:f>Sheet1!$B$2:$B$5</c:f>
              <c:numCache>
                <c:formatCode>General</c:formatCode>
                <c:ptCount val="4"/>
                <c:pt idx="0">
                  <c:v>134.52000000000001</c:v>
                </c:pt>
                <c:pt idx="1">
                  <c:v>25.86</c:v>
                </c:pt>
                <c:pt idx="2">
                  <c:v>9.59</c:v>
                </c:pt>
                <c:pt idx="3">
                  <c:v>12.92</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b"/>
      <c:layout>
        <c:manualLayout>
          <c:xMode val="edge"/>
          <c:yMode val="edge"/>
          <c:x val="7.7139639639639601E-2"/>
          <c:y val="0.90108741112505197"/>
        </c:manualLayout>
      </c:layout>
      <c:overlay val="0"/>
      <c:spPr>
        <a:solidFill>
          <a:schemeClr val="lt1">
            <a:alpha val="78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endParaRPr lang="zh-CN"/>
        </a:p>
      </c:txPr>
    </c:legend>
    <c:plotVisOnly val="1"/>
    <c:dispBlanksAs val="zero"/>
    <c:showDLblsOverMax val="0"/>
  </c:chart>
  <c:spPr>
    <a:pattFill prst="dkDnDiag">
      <a:fgClr>
        <a:schemeClr val="bg1"/>
      </a:fgClr>
      <a:bgClr>
        <a:schemeClr val="lt1"/>
      </a:bgClr>
    </a:pattFill>
    <a:ln w="9525" cap="flat" cmpd="sng" algn="ctr">
      <a:solidFill>
        <a:schemeClr val="dk1">
          <a:lumMod val="15000"/>
          <a:lumOff val="85000"/>
        </a:schemeClr>
      </a:solidFill>
      <a:prstDash val="solid"/>
      <a:round/>
    </a:ln>
    <a:effectLst/>
  </c:spPr>
  <c:txPr>
    <a:bodyPr/>
    <a:lstStyle/>
    <a:p>
      <a:pPr>
        <a:defRPr lang="zh-CN"/>
      </a:pPr>
      <a:endParaRPr lang="zh-CN"/>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pieChart>
        <c:varyColors val="1"/>
        <c:ser>
          <c:idx val="0"/>
          <c:order val="0"/>
          <c:tx>
            <c:strRef>
              <c:f>Sheet1!$B$1</c:f>
              <c:strCache>
                <c:ptCount val="1"/>
                <c:pt idx="0">
                  <c:v>“三公”经费财政拨款支出决算结构图</c:v>
                </c:pt>
              </c:strCache>
            </c:strRef>
          </c:tx>
          <c:dPt>
            <c:idx val="0"/>
            <c:bubble3D val="0"/>
          </c:dPt>
          <c:dPt>
            <c:idx val="1"/>
            <c:bubble3D val="0"/>
          </c:dPt>
          <c:dPt>
            <c:idx val="2"/>
            <c:bubble3D val="0"/>
          </c:dPt>
          <c:dLbls>
            <c:dLbl>
              <c:idx val="0"/>
              <c:layout>
                <c:manualLayout>
                  <c:x val="-3.1559880772479197E-2"/>
                  <c:y val="2.7154298020439799E-2"/>
                </c:manualLayout>
              </c:layout>
              <c:tx>
                <c:rich>
                  <a:bodyPr/>
                  <a:lstStyle/>
                  <a:p>
                    <a:r>
                      <a:rPr lang="zh-CN" altLang="en-US"/>
                      <a:t>因公出国（境）费支出
</a:t>
                    </a:r>
                    <a:r>
                      <a:rPr lang="en-US" altLang="zh-CN"/>
                      <a:t>0</a:t>
                    </a:r>
                    <a:r>
                      <a:rPr lang="zh-CN" altLang="en-US"/>
                      <a:t>万元</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11926861415050399"/>
                  <c:y val="-3.3577533577533601E-3"/>
                </c:manualLayout>
              </c:layout>
              <c:tx>
                <c:rich>
                  <a:bodyPr/>
                  <a:lstStyle/>
                  <a:p>
                    <a:r>
                      <a:rPr lang="zh-CN" altLang="en-US"/>
                      <a:t>公务用车购置及运行维护费
</a:t>
                    </a:r>
                    <a:r>
                      <a:rPr lang="en-US" altLang="zh-CN"/>
                      <a:t>0</a:t>
                    </a:r>
                    <a:r>
                      <a:rPr lang="zh-CN" altLang="en-US"/>
                      <a:t>万元</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2.2923270954767001E-2"/>
                  <c:y val="7.2962033591954904E-3"/>
                </c:manualLayout>
              </c:layout>
              <c:tx>
                <c:rich>
                  <a:bodyPr/>
                  <a:lstStyle/>
                  <a:p>
                    <a:r>
                      <a:rPr lang="zh-CN" altLang="en-US"/>
                      <a:t>公务接待费支出
</a:t>
                    </a:r>
                    <a:r>
                      <a:rPr lang="en-US" altLang="zh-CN"/>
                      <a:t>0</a:t>
                    </a:r>
                    <a:r>
                      <a:rPr lang="zh-CN" altLang="en-US"/>
                      <a:t>万元</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0"/>
            <c:extLst>
              <c:ext xmlns:c15="http://schemas.microsoft.com/office/drawing/2012/chart" uri="{CE6537A1-D6FC-4f65-9D91-7224C49458BB}">
                <c15:layout/>
                <c15:showLeaderLines val="false"/>
                <c15:leaderLines/>
              </c:ext>
            </c:extLst>
          </c:dLbls>
          <c:cat>
            <c:strRef>
              <c:f>Sheet1!$A$2:$A$4</c:f>
              <c:strCache>
                <c:ptCount val="3"/>
                <c:pt idx="0">
                  <c:v>因公出国（境）费支出</c:v>
                </c:pt>
                <c:pt idx="1">
                  <c:v>公务用车购置及运行维护费</c:v>
                </c:pt>
                <c:pt idx="2">
                  <c:v>公务接待费支出</c:v>
                </c:pt>
              </c:strCache>
            </c:strRef>
          </c:cat>
          <c:val>
            <c:numRef>
              <c:f>Sheet1!$B$2:$B$4</c:f>
              <c:numCache>
                <c:formatCode>General</c:formatCode>
                <c:ptCount val="3"/>
                <c:pt idx="0">
                  <c:v>1</c:v>
                </c:pt>
                <c:pt idx="1">
                  <c:v>1</c:v>
                </c:pt>
                <c:pt idx="2">
                  <c:v>1</c:v>
                </c:pt>
              </c:numCache>
            </c:numRef>
          </c:val>
        </c:ser>
        <c:dLbls>
          <c:showLegendKey val="0"/>
          <c:showVal val="0"/>
          <c:showCatName val="0"/>
          <c:showSerName val="0"/>
          <c:showPercent val="1"/>
          <c:showBubbleSize val="0"/>
          <c:showLeaderLines val="0"/>
        </c:dLbls>
        <c:firstSliceAng val="0"/>
      </c:pieChart>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showDLblsOverMax val="0"/>
  </c:chart>
  <c:txPr>
    <a:bodyPr/>
    <a:lstStyle/>
    <a:p>
      <a:pPr>
        <a:defRPr lang="zh-CN"/>
      </a:pPr>
      <a:endParaRPr lang="zh-CN"/>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802</Words>
  <Characters>4575</Characters>
  <Application>Microsoft Office Word</Application>
  <DocSecurity>0</DocSecurity>
  <Lines>38</Lines>
  <Paragraphs>10</Paragraphs>
  <ScaleCrop>false</ScaleCrop>
  <Company>四川省财政厅</Company>
  <LinksUpToDate>false</LinksUpToDate>
  <CharactersWithSpaces>5367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33</cp:revision>
  <cp:lastPrinted>2026-09-03T09:09:00Z</cp:lastPrinted>
  <dcterms:created xsi:type="dcterms:W3CDTF">2020-08-10T17:49:00Z</dcterms:created>
  <dcterms:modified xsi:type="dcterms:W3CDTF">2026-10-19T08:22:00Z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400D301575C74348A5277D00A7902E06</vt:lpwstr>
  </property>
</Properties>
</file>