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78441"/>
      <w:bookmarkStart w:id="2" w:name="_Toc15306267"/>
      <w:bookmarkStart w:id="3" w:name="_Toc15396597"/>
      <w:bookmarkStart w:id="4" w:name="_Toc15377193"/>
      <w:bookmarkStart w:id="5" w:name="_Toc15377425"/>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w:t>
      </w:r>
    </w:p>
    <w:p>
      <w:pPr>
        <w:pStyle w:val="8"/>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四川省攀枝花市教育和体育局</w:t>
      </w:r>
    </w:p>
    <w:p>
      <w:pPr>
        <w:pStyle w:val="8"/>
        <w:jc w:val="center"/>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Times New Roman" w:hAnsi="Times New Roman" w:eastAsia="方正小标宋简体" w:cs="Times New Roman"/>
          <w:color w:val="auto"/>
          <w:kern w:val="2"/>
          <w:sz w:val="44"/>
          <w:szCs w:val="44"/>
          <w:highlight w:val="none"/>
          <w:lang w:val="en-US" w:eastAsia="zh-CN" w:bidi="ar-SA"/>
        </w:rPr>
        <w:t>单位决算</w:t>
      </w:r>
    </w:p>
    <w:bookmarkEnd w:id="0"/>
    <w:bookmarkEnd w:id="1"/>
    <w:bookmarkEnd w:id="2"/>
    <w:bookmarkEnd w:id="3"/>
    <w:bookmarkEnd w:id="4"/>
    <w:bookmarkEnd w:id="5"/>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公开时间：2026年9月1</w:t>
      </w:r>
      <w:r>
        <w:rPr>
          <w:rFonts w:hint="eastAsia" w:ascii="Times New Roman" w:hAnsi="Times New Roman"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eastAsia="zh-CN"/>
        </w:rPr>
        <w:t>部门</w:t>
      </w:r>
      <w:r>
        <w:rPr>
          <w:rFonts w:hint="eastAsia" w:ascii="Times New Roman" w:hAnsi="Times New Roman" w:eastAsia="黑体" w:cs="黑体"/>
          <w:color w:val="auto"/>
          <w:sz w:val="32"/>
          <w:szCs w:val="32"/>
          <w:highlight w:val="none"/>
        </w:rPr>
        <w:t>概况</w:t>
      </w:r>
      <w:r>
        <w:rPr>
          <w:rFonts w:cstheme="minorBidi"/>
          <w:sz w:val="24"/>
          <w:szCs w:val="24"/>
        </w:rPr>
        <w:tab/>
      </w:r>
      <w:r>
        <w:rPr>
          <w:rFonts w:hint="eastAsia" w:cstheme="minorBidi"/>
          <w:sz w:val="24"/>
          <w:szCs w:val="24"/>
          <w:lang w:val="en-US" w:eastAsia="zh-CN"/>
        </w:rPr>
        <w:t>4</w:t>
      </w:r>
    </w:p>
    <w:p>
      <w:pPr>
        <w:pStyle w:val="14"/>
        <w:adjustRightInd w:val="0"/>
        <w:snapToGrid w:val="0"/>
        <w:spacing w:line="440" w:lineRule="exact"/>
        <w:ind w:left="0" w:leftChars="0" w:firstLine="640" w:firstLineChars="200"/>
        <w:jc w:val="left"/>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eastAsia="zh-CN"/>
        </w:rPr>
        <w:t>部门</w:t>
      </w:r>
      <w:r>
        <w:rPr>
          <w:rFonts w:hint="eastAsia" w:ascii="Times New Roman" w:hAnsi="Times New Roman" w:eastAsia="仿宋_GB2312" w:cs="仿宋_GB2312"/>
          <w:color w:val="auto"/>
          <w:sz w:val="32"/>
          <w:szCs w:val="32"/>
          <w:highlight w:val="none"/>
          <w:lang w:eastAsia="zh-CN"/>
        </w:rPr>
        <w:t>职责</w:t>
      </w:r>
      <w:r>
        <w:rPr>
          <w:rFonts w:cstheme="minorBidi"/>
          <w:sz w:val="24"/>
        </w:rPr>
        <w:tab/>
      </w:r>
      <w:r>
        <w:rPr>
          <w:rFonts w:hint="eastAsia" w:cstheme="minorBidi"/>
          <w:sz w:val="24"/>
          <w:lang w:val="en-US" w:eastAsia="zh-CN"/>
        </w:rPr>
        <w:t>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r>
        <w:rPr>
          <w:rFonts w:cstheme="minorBidi"/>
          <w:sz w:val="24"/>
          <w:szCs w:val="24"/>
        </w:rPr>
        <w:tab/>
      </w:r>
      <w:r>
        <w:rPr>
          <w:rFonts w:hint="eastAsia" w:cstheme="minorBidi"/>
          <w:sz w:val="24"/>
          <w:szCs w:val="24"/>
          <w:lang w:val="en-US" w:eastAsia="zh-CN"/>
        </w:rPr>
        <w:t>7</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 2025年度</w:t>
      </w:r>
      <w:r>
        <w:rPr>
          <w:rFonts w:hint="eastAsia" w:ascii="Times New Roman" w:hAnsi="Times New Roman" w:eastAsia="黑体" w:cs="黑体"/>
          <w:color w:val="auto"/>
          <w:sz w:val="32"/>
          <w:szCs w:val="32"/>
          <w:highlight w:val="none"/>
          <w:lang w:eastAsia="zh-CN"/>
        </w:rPr>
        <w:t>部门</w:t>
      </w:r>
      <w:bookmarkStart w:id="54" w:name="_GoBack"/>
      <w:bookmarkEnd w:id="54"/>
      <w:r>
        <w:rPr>
          <w:rFonts w:hint="eastAsia" w:ascii="Times New Roman" w:hAnsi="Times New Roman" w:eastAsia="黑体" w:cs="黑体"/>
          <w:color w:val="auto"/>
          <w:sz w:val="32"/>
          <w:szCs w:val="32"/>
          <w:highlight w:val="none"/>
        </w:rPr>
        <w:t>决算情况说明</w:t>
      </w:r>
    </w:p>
    <w:p>
      <w:pPr>
        <w:pStyle w:val="13"/>
        <w:adjustRightInd w:val="0"/>
        <w:snapToGrid w:val="0"/>
        <w:spacing w:before="0" w:line="440" w:lineRule="exact"/>
        <w:ind w:firstLine="640" w:firstLineChars="200"/>
        <w:jc w:val="left"/>
        <w:rPr>
          <w:rFonts w:hint="default" w:ascii="Times New Roman" w:hAnsi="Times New Roman" w:eastAsia="宋体" w:cs="Times New Roman"/>
          <w:kern w:val="2"/>
          <w:sz w:val="24"/>
          <w:szCs w:val="24"/>
          <w:lang w:val="en-US" w:eastAsia="zh-CN" w:bidi="ar-SA"/>
        </w:rPr>
      </w:pPr>
      <w:r>
        <w:rPr>
          <w:rFonts w:hint="eastAsia" w:ascii="Times New Roman" w:hAnsi="Times New Roman" w:eastAsia="仿宋_GB2312" w:cs="仿宋_GB2312"/>
          <w:color w:val="auto"/>
          <w:sz w:val="32"/>
          <w:szCs w:val="32"/>
          <w:highlight w:val="none"/>
        </w:rPr>
        <w:t>一、收入支出决算总体情况说明</w:t>
      </w:r>
      <w:r>
        <w:rPr>
          <w:rFonts w:hint="eastAsia" w:ascii="Times New Roman" w:hAnsi="Times New Roman" w:eastAsia="宋体" w:cs="Times New Roman"/>
          <w:kern w:val="2"/>
          <w:sz w:val="24"/>
          <w:szCs w:val="24"/>
          <w:lang w:val="en-US" w:eastAsia="zh-CN" w:bidi="ar-SA"/>
        </w:rPr>
        <w:tab/>
      </w:r>
      <w:r>
        <w:rPr>
          <w:rFonts w:hint="eastAsia" w:ascii="Times New Roman" w:hAnsi="Times New Roman" w:eastAsia="宋体" w:cs="Times New Roman"/>
          <w:kern w:val="2"/>
          <w:sz w:val="24"/>
          <w:szCs w:val="24"/>
          <w:lang w:val="en-US" w:eastAsia="zh-CN" w:bidi="ar-SA"/>
        </w:rPr>
        <w:t>8</w:t>
      </w:r>
    </w:p>
    <w:p>
      <w:pPr>
        <w:pStyle w:val="14"/>
        <w:adjustRightInd w:val="0"/>
        <w:snapToGrid w:val="0"/>
        <w:spacing w:line="440" w:lineRule="exact"/>
        <w:ind w:firstLine="320" w:firstLineChars="100"/>
        <w:jc w:val="left"/>
        <w:rPr>
          <w:rFonts w:hint="eastAsia" w:ascii="仿宋" w:hAnsi="仿宋" w:eastAsia="宋体" w:cstheme="minorBidi"/>
          <w:sz w:val="24"/>
          <w:lang w:val="en-US" w:eastAsia="zh-CN"/>
        </w:rPr>
      </w:pPr>
      <w:r>
        <w:rPr>
          <w:rFonts w:hint="eastAsia" w:ascii="Times New Roman" w:hAnsi="Times New Roman" w:eastAsia="仿宋_GB2312" w:cs="仿宋_GB2312"/>
          <w:color w:val="auto"/>
          <w:kern w:val="2"/>
          <w:sz w:val="32"/>
          <w:szCs w:val="32"/>
          <w:highlight w:val="none"/>
          <w:lang w:val="en-US" w:eastAsia="zh-CN" w:bidi="ar-SA"/>
        </w:rPr>
        <w:t>二、收入决算情况说明</w:t>
      </w:r>
      <w:r>
        <w:rPr>
          <w:rFonts w:cstheme="minorBidi"/>
          <w:sz w:val="24"/>
          <w:szCs w:val="24"/>
        </w:rPr>
        <w:tab/>
      </w:r>
      <w:r>
        <w:rPr>
          <w:rFonts w:hint="eastAsia" w:cstheme="minorBidi"/>
          <w:sz w:val="24"/>
          <w:szCs w:val="24"/>
          <w:lang w:val="en-US" w:eastAsia="zh-CN"/>
        </w:rPr>
        <w:t>8</w:t>
      </w:r>
    </w:p>
    <w:p>
      <w:pPr>
        <w:pStyle w:val="14"/>
        <w:adjustRightInd w:val="0"/>
        <w:snapToGrid w:val="0"/>
        <w:spacing w:line="440" w:lineRule="exact"/>
        <w:ind w:firstLine="320" w:firstLineChars="100"/>
        <w:jc w:val="left"/>
        <w:rPr>
          <w:rFonts w:hint="eastAsia" w:ascii="仿宋" w:hAnsi="仿宋" w:eastAsia="宋体" w:cstheme="minorBidi"/>
          <w:sz w:val="24"/>
          <w:lang w:val="en-US" w:eastAsia="zh-CN"/>
        </w:rPr>
      </w:pPr>
      <w:r>
        <w:rPr>
          <w:rFonts w:hint="eastAsia" w:ascii="Times New Roman" w:hAnsi="Times New Roman" w:eastAsia="仿宋_GB2312" w:cs="仿宋_GB2312"/>
          <w:color w:val="auto"/>
          <w:kern w:val="2"/>
          <w:sz w:val="32"/>
          <w:szCs w:val="32"/>
          <w:highlight w:val="none"/>
          <w:lang w:val="en-US" w:eastAsia="zh-CN" w:bidi="ar-SA"/>
        </w:rPr>
        <w:t>三、支出决算情况说明</w:t>
      </w:r>
      <w:r>
        <w:rPr>
          <w:rFonts w:cstheme="minorBidi"/>
          <w:sz w:val="24"/>
          <w:szCs w:val="24"/>
        </w:rPr>
        <w:tab/>
      </w:r>
      <w:r>
        <w:rPr>
          <w:rFonts w:hint="eastAsia" w:cstheme="minorBidi"/>
          <w:sz w:val="24"/>
          <w:szCs w:val="24"/>
          <w:lang w:val="en-US" w:eastAsia="zh-CN"/>
        </w:rPr>
        <w:t>9</w:t>
      </w:r>
    </w:p>
    <w:p>
      <w:pPr>
        <w:pStyle w:val="14"/>
        <w:adjustRightInd w:val="0"/>
        <w:snapToGrid w:val="0"/>
        <w:spacing w:line="440" w:lineRule="exact"/>
        <w:ind w:firstLine="320" w:firstLineChars="100"/>
        <w:jc w:val="left"/>
        <w:rPr>
          <w:rFonts w:hint="default" w:ascii="仿宋" w:hAnsi="仿宋" w:eastAsia="宋体" w:cstheme="minorBidi"/>
          <w:sz w:val="24"/>
          <w:lang w:val="en-US" w:eastAsia="zh-CN"/>
        </w:rPr>
      </w:pPr>
      <w:r>
        <w:rPr>
          <w:rFonts w:hint="eastAsia" w:ascii="Times New Roman" w:hAnsi="Times New Roman" w:eastAsia="仿宋_GB2312" w:cs="仿宋_GB2312"/>
          <w:color w:val="auto"/>
          <w:kern w:val="2"/>
          <w:sz w:val="32"/>
          <w:szCs w:val="32"/>
          <w:highlight w:val="none"/>
          <w:lang w:val="en-US" w:eastAsia="zh-CN" w:bidi="ar-SA"/>
        </w:rPr>
        <w:t>四、财政拨款收入支出决算总体情况说明</w:t>
      </w:r>
      <w:r>
        <w:rPr>
          <w:rFonts w:cstheme="minorBidi"/>
          <w:sz w:val="24"/>
          <w:szCs w:val="24"/>
        </w:rPr>
        <w:tab/>
      </w:r>
      <w:r>
        <w:rPr>
          <w:rFonts w:hint="eastAsia" w:cstheme="minorBidi"/>
          <w:sz w:val="24"/>
          <w:szCs w:val="24"/>
          <w:lang w:val="en-US" w:eastAsia="zh-CN"/>
        </w:rPr>
        <w:t>10</w:t>
      </w:r>
    </w:p>
    <w:p>
      <w:pPr>
        <w:pStyle w:val="14"/>
        <w:adjustRightInd w:val="0"/>
        <w:snapToGrid w:val="0"/>
        <w:spacing w:line="440" w:lineRule="exact"/>
        <w:ind w:firstLine="320" w:firstLineChars="100"/>
        <w:jc w:val="left"/>
        <w:rPr>
          <w:rFonts w:hint="default" w:ascii="仿宋" w:hAnsi="仿宋" w:eastAsia="宋体" w:cstheme="minorBidi"/>
          <w:sz w:val="24"/>
          <w:lang w:val="en-US" w:eastAsia="zh-CN"/>
        </w:rPr>
      </w:pPr>
      <w:r>
        <w:rPr>
          <w:rFonts w:hint="eastAsia" w:ascii="Times New Roman" w:hAnsi="Times New Roman" w:eastAsia="仿宋_GB2312" w:cs="仿宋_GB2312"/>
          <w:color w:val="auto"/>
          <w:kern w:val="2"/>
          <w:sz w:val="32"/>
          <w:szCs w:val="32"/>
          <w:highlight w:val="none"/>
          <w:lang w:val="en-US" w:eastAsia="zh-CN" w:bidi="ar-SA"/>
        </w:rPr>
        <w:t>五、一般公共预算财政拨款支出决算情况说明</w:t>
      </w:r>
      <w:r>
        <w:rPr>
          <w:rFonts w:cstheme="minorBidi"/>
          <w:sz w:val="24"/>
          <w:szCs w:val="24"/>
        </w:rPr>
        <w:tab/>
      </w:r>
      <w:r>
        <w:rPr>
          <w:rFonts w:hint="eastAsia" w:cstheme="minorBidi"/>
          <w:sz w:val="24"/>
          <w:szCs w:val="24"/>
          <w:lang w:val="en-US" w:eastAsia="zh-CN"/>
        </w:rPr>
        <w:t>10</w:t>
      </w:r>
    </w:p>
    <w:p>
      <w:pPr>
        <w:pStyle w:val="14"/>
        <w:adjustRightInd w:val="0"/>
        <w:snapToGrid w:val="0"/>
        <w:spacing w:line="440" w:lineRule="exact"/>
        <w:ind w:firstLine="320" w:firstLineChars="100"/>
        <w:jc w:val="left"/>
        <w:rPr>
          <w:rFonts w:hint="default" w:ascii="仿宋" w:hAnsi="仿宋" w:eastAsia="宋体" w:cstheme="minorBidi"/>
          <w:sz w:val="24"/>
          <w:lang w:val="en-US" w:eastAsia="zh-CN"/>
        </w:rPr>
      </w:pPr>
      <w:r>
        <w:rPr>
          <w:rFonts w:hint="eastAsia" w:ascii="Times New Roman" w:hAnsi="Times New Roman" w:eastAsia="仿宋_GB2312" w:cs="仿宋_GB2312"/>
          <w:color w:val="auto"/>
          <w:kern w:val="2"/>
          <w:sz w:val="32"/>
          <w:szCs w:val="32"/>
          <w:highlight w:val="none"/>
          <w:lang w:val="en-US" w:eastAsia="zh-CN" w:bidi="ar-SA"/>
        </w:rPr>
        <w:t>六、一般公共预算财政拨款基本支出决算情况说明</w:t>
      </w:r>
      <w:r>
        <w:rPr>
          <w:rFonts w:cstheme="minorBidi"/>
          <w:sz w:val="24"/>
          <w:szCs w:val="24"/>
        </w:rPr>
        <w:tab/>
      </w:r>
      <w:r>
        <w:rPr>
          <w:rFonts w:hint="eastAsia" w:cstheme="minorBidi"/>
          <w:sz w:val="24"/>
          <w:szCs w:val="24"/>
          <w:lang w:val="en-US" w:eastAsia="zh-CN"/>
        </w:rPr>
        <w:t>14</w:t>
      </w:r>
    </w:p>
    <w:p>
      <w:pPr>
        <w:pStyle w:val="14"/>
        <w:adjustRightInd w:val="0"/>
        <w:snapToGrid w:val="0"/>
        <w:spacing w:line="440" w:lineRule="exact"/>
        <w:ind w:firstLine="320" w:firstLineChars="100"/>
        <w:jc w:val="left"/>
        <w:rPr>
          <w:rFonts w:hint="default" w:ascii="仿宋" w:hAnsi="仿宋" w:eastAsia="宋体" w:cstheme="minorBidi"/>
          <w:sz w:val="24"/>
          <w:lang w:val="en-US" w:eastAsia="zh-CN"/>
        </w:rPr>
      </w:pPr>
      <w:r>
        <w:rPr>
          <w:rFonts w:hint="eastAsia" w:ascii="Times New Roman" w:hAnsi="Times New Roman" w:eastAsia="仿宋_GB2312" w:cs="仿宋_GB2312"/>
          <w:color w:val="auto"/>
          <w:kern w:val="2"/>
          <w:sz w:val="32"/>
          <w:szCs w:val="32"/>
          <w:highlight w:val="none"/>
          <w:lang w:val="en-US" w:eastAsia="zh-CN" w:bidi="ar-SA"/>
        </w:rPr>
        <w:t>七、财政拨款“三公”经费支出决算情况说明</w:t>
      </w:r>
      <w:r>
        <w:rPr>
          <w:rFonts w:cstheme="minorBidi"/>
          <w:sz w:val="24"/>
          <w:szCs w:val="24"/>
        </w:rPr>
        <w:tab/>
      </w:r>
      <w:r>
        <w:rPr>
          <w:rFonts w:hint="eastAsia" w:cstheme="minorBidi"/>
          <w:sz w:val="24"/>
          <w:szCs w:val="24"/>
          <w:lang w:val="en-US" w:eastAsia="zh-CN"/>
        </w:rPr>
        <w:t>14</w:t>
      </w:r>
    </w:p>
    <w:p>
      <w:pPr>
        <w:pStyle w:val="14"/>
        <w:adjustRightInd w:val="0"/>
        <w:snapToGrid w:val="0"/>
        <w:spacing w:line="440" w:lineRule="exact"/>
        <w:ind w:firstLine="320" w:firstLineChars="100"/>
        <w:jc w:val="left"/>
        <w:rPr>
          <w:rFonts w:hint="default" w:ascii="仿宋" w:hAnsi="仿宋" w:eastAsia="宋体" w:cstheme="minorBidi"/>
          <w:sz w:val="24"/>
          <w:lang w:val="en-US" w:eastAsia="zh-CN"/>
        </w:rPr>
      </w:pPr>
      <w:r>
        <w:rPr>
          <w:rFonts w:hint="eastAsia" w:ascii="Times New Roman" w:hAnsi="Times New Roman" w:eastAsia="仿宋_GB2312" w:cs="仿宋_GB2312"/>
          <w:color w:val="auto"/>
          <w:kern w:val="2"/>
          <w:sz w:val="32"/>
          <w:szCs w:val="32"/>
          <w:highlight w:val="none"/>
          <w:lang w:val="en-US" w:eastAsia="zh-CN" w:bidi="ar-SA"/>
        </w:rPr>
        <w:t>八、政府性基金预算支出决算情况说明</w:t>
      </w:r>
      <w:r>
        <w:rPr>
          <w:rFonts w:cstheme="minorBidi"/>
          <w:sz w:val="24"/>
          <w:szCs w:val="24"/>
        </w:rPr>
        <w:tab/>
      </w:r>
      <w:r>
        <w:rPr>
          <w:rFonts w:hint="eastAsia" w:cstheme="minorBidi"/>
          <w:sz w:val="24"/>
          <w:szCs w:val="24"/>
          <w:lang w:val="en-US" w:eastAsia="zh-CN"/>
        </w:rPr>
        <w:t>17</w:t>
      </w:r>
    </w:p>
    <w:p>
      <w:pPr>
        <w:pStyle w:val="14"/>
        <w:adjustRightInd w:val="0"/>
        <w:snapToGrid w:val="0"/>
        <w:spacing w:line="440" w:lineRule="exact"/>
        <w:ind w:firstLine="320" w:firstLineChars="100"/>
        <w:jc w:val="left"/>
        <w:rPr>
          <w:rFonts w:hint="default" w:eastAsia="宋体"/>
          <w:sz w:val="24"/>
          <w:lang w:val="en-US" w:eastAsia="zh-CN"/>
        </w:rPr>
      </w:pPr>
      <w:r>
        <w:rPr>
          <w:rFonts w:hint="eastAsia" w:ascii="Times New Roman" w:hAnsi="Times New Roman" w:eastAsia="仿宋_GB2312" w:cs="仿宋_GB2312"/>
          <w:color w:val="auto"/>
          <w:kern w:val="2"/>
          <w:sz w:val="32"/>
          <w:szCs w:val="32"/>
          <w:highlight w:val="none"/>
          <w:lang w:val="en-US" w:eastAsia="zh-CN" w:bidi="ar-SA"/>
        </w:rPr>
        <w:t>九、国有资本经营预算支出决算情况说明</w:t>
      </w:r>
      <w:r>
        <w:rPr>
          <w:rFonts w:cstheme="minorBidi"/>
          <w:sz w:val="24"/>
          <w:szCs w:val="24"/>
        </w:rPr>
        <w:tab/>
      </w:r>
      <w:r>
        <w:rPr>
          <w:rFonts w:hint="eastAsia" w:cstheme="minorBidi"/>
          <w:sz w:val="24"/>
          <w:szCs w:val="24"/>
          <w:lang w:val="en-US" w:eastAsia="zh-CN"/>
        </w:rPr>
        <w:t>17</w:t>
      </w:r>
    </w:p>
    <w:p>
      <w:pPr>
        <w:pStyle w:val="14"/>
        <w:adjustRightInd w:val="0"/>
        <w:snapToGrid w:val="0"/>
        <w:spacing w:line="440" w:lineRule="exact"/>
        <w:ind w:firstLine="320" w:firstLineChars="100"/>
        <w:jc w:val="left"/>
        <w:rPr>
          <w:rFonts w:hint="default" w:eastAsia="宋体"/>
          <w:sz w:val="24"/>
          <w:lang w:val="en-US" w:eastAsia="zh-CN"/>
        </w:rPr>
      </w:pPr>
      <w:r>
        <w:rPr>
          <w:rFonts w:hint="eastAsia" w:ascii="Times New Roman" w:hAnsi="Times New Roman" w:eastAsia="仿宋_GB2312" w:cs="仿宋_GB2312"/>
          <w:color w:val="auto"/>
          <w:kern w:val="2"/>
          <w:sz w:val="32"/>
          <w:szCs w:val="32"/>
          <w:highlight w:val="none"/>
          <w:lang w:val="en-US" w:eastAsia="zh-CN" w:bidi="ar-SA"/>
        </w:rPr>
        <w:t>十、其他重要事项的情况说明</w:t>
      </w:r>
      <w:r>
        <w:rPr>
          <w:rFonts w:cstheme="minorBidi"/>
          <w:sz w:val="24"/>
          <w:szCs w:val="24"/>
        </w:rPr>
        <w:tab/>
      </w:r>
      <w:r>
        <w:rPr>
          <w:rFonts w:hint="eastAsia" w:cstheme="minorBidi"/>
          <w:sz w:val="24"/>
          <w:szCs w:val="24"/>
          <w:lang w:val="en-US" w:eastAsia="zh-CN"/>
        </w:rPr>
        <w:t>19</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第三部分 名词解释</w:t>
      </w:r>
      <w:r>
        <w:rPr>
          <w:rFonts w:cstheme="minorBidi"/>
          <w:sz w:val="24"/>
          <w:szCs w:val="24"/>
        </w:rPr>
        <w:tab/>
      </w:r>
      <w:r>
        <w:rPr>
          <w:rFonts w:hint="eastAsia" w:cstheme="minorBidi"/>
          <w:sz w:val="24"/>
          <w:szCs w:val="24"/>
          <w:lang w:val="en-US" w:eastAsia="zh-CN"/>
        </w:rPr>
        <w:t>21</w:t>
      </w:r>
    </w:p>
    <w:p>
      <w:pPr>
        <w:pStyle w:val="13"/>
        <w:adjustRightInd w:val="0"/>
        <w:snapToGrid w:val="0"/>
        <w:spacing w:before="0" w:line="440" w:lineRule="exact"/>
        <w:jc w:val="left"/>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第四部分 附件</w:t>
      </w:r>
      <w:r>
        <w:rPr>
          <w:rFonts w:cstheme="minorBidi"/>
          <w:sz w:val="24"/>
          <w:szCs w:val="24"/>
        </w:rPr>
        <w:tab/>
      </w:r>
      <w:r>
        <w:rPr>
          <w:rFonts w:hint="eastAsia" w:cstheme="minorBidi"/>
          <w:sz w:val="24"/>
          <w:szCs w:val="24"/>
          <w:lang w:val="en-US" w:eastAsia="zh-CN"/>
        </w:rPr>
        <w:t>23</w:t>
      </w:r>
    </w:p>
    <w:p>
      <w:pPr>
        <w:pStyle w:val="13"/>
        <w:adjustRightInd w:val="0"/>
        <w:snapToGrid w:val="0"/>
        <w:spacing w:before="0" w:line="440" w:lineRule="exact"/>
        <w:jc w:val="left"/>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第五部分 附表</w:t>
      </w:r>
      <w:r>
        <w:rPr>
          <w:rFonts w:cstheme="minorBidi"/>
          <w:sz w:val="24"/>
          <w:szCs w:val="24"/>
        </w:rPr>
        <w:tab/>
      </w:r>
      <w:r>
        <w:rPr>
          <w:rFonts w:hint="eastAsia" w:cstheme="minorBidi"/>
          <w:sz w:val="24"/>
          <w:szCs w:val="24"/>
          <w:lang w:val="en-US" w:eastAsia="zh-CN"/>
        </w:rPr>
        <w:t>24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pPr>
        <w:pStyle w:val="5"/>
        <w:jc w:val="center"/>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eastAsia="zh-CN"/>
        </w:rPr>
        <w:t>单位</w:t>
      </w:r>
      <w:r>
        <w:rPr>
          <w:rFonts w:hint="eastAsia" w:ascii="Times New Roman" w:hAnsi="Times New Roman" w:eastAsia="方正小标宋简体" w:cs="方正小标宋简体"/>
          <w:b w:val="0"/>
          <w:color w:val="auto"/>
          <w:highlight w:val="none"/>
        </w:rPr>
        <w:t>概况</w:t>
      </w:r>
      <w:bookmarkEnd w:id="6"/>
      <w:bookmarkEnd w:id="7"/>
    </w:p>
    <w:p>
      <w:pPr>
        <w:widowControl/>
        <w:jc w:val="left"/>
        <w:rPr>
          <w:rFonts w:ascii="Times New Roman" w:hAnsi="Times New Roman" w:eastAsia="黑体"/>
          <w:color w:val="auto"/>
          <w:sz w:val="32"/>
          <w:szCs w:val="32"/>
          <w:highlight w:val="none"/>
        </w:rPr>
      </w:pPr>
    </w:p>
    <w:p>
      <w:pPr>
        <w:pStyle w:val="6"/>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主要职责</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攀枝花市教育</w:t>
      </w:r>
      <w:r>
        <w:rPr>
          <w:rFonts w:hint="eastAsia" w:ascii="仿宋_GB2312" w:eastAsia="仿宋_GB2312" w:cs="仿宋_GB2312"/>
          <w:sz w:val="32"/>
          <w:szCs w:val="32"/>
          <w:lang w:eastAsia="zh-CN"/>
        </w:rPr>
        <w:t>和</w:t>
      </w:r>
      <w:r>
        <w:rPr>
          <w:rFonts w:hint="eastAsia" w:ascii="仿宋_GB2312" w:eastAsia="仿宋_GB2312" w:cs="仿宋_GB2312"/>
          <w:sz w:val="32"/>
          <w:szCs w:val="32"/>
        </w:rPr>
        <w:t>体育局是2014年由原攀枝花市教育局和原攀枝花市体育局合并成立的，为市政府工作部门。</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 xml:space="preserve"> 主要职责：</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（1）贯彻执行国家和省有关教育体育工作的方针、政策和法律、法规，研究制定有关贯彻意见并组织实施。</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（2）</w:t>
      </w:r>
      <w:r>
        <w:rPr>
          <w:rFonts w:hint="eastAsia" w:ascii="仿宋_GB2312" w:eastAsia="仿宋_GB2312" w:cs="仿宋_GB2312"/>
          <w:sz w:val="32"/>
          <w:szCs w:val="32"/>
          <w:lang w:val="en-US" w:eastAsia="zh-CN"/>
        </w:rPr>
        <w:t>拟定</w:t>
      </w:r>
      <w:r>
        <w:rPr>
          <w:rFonts w:hint="eastAsia" w:ascii="仿宋_GB2312" w:eastAsia="仿宋_GB2312" w:cs="仿宋_GB2312"/>
          <w:sz w:val="32"/>
          <w:szCs w:val="32"/>
        </w:rPr>
        <w:t>全市教育体育体制改革政策和教育体育事业发展规划；负责各级各类教育体育的统筹规划和协调管理；指导各级各类学校教育教学改革；负责中小学布局结构调整；负责多元化体育服务体系建设，推进体育公共服务和体育体制改革；负责全市教育体育系统基本信息的统计、分析、发布工作；负责组织和指导全市教育体育信息化建设工作。</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（3）负责义务教育的指导与协调，推进全市义务教育均衡发展和促进教育公平。指导普通高中教育、学前教育和特殊教育工作。推进基础教育教学改革，全面实施素质教育。</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（4）指导基础教育、中等职业教育和成人教育学校开展思想政治、德育、体育卫生与艺术教育、国防教育、心理健康教育、安全和稳定工作。</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（5）指导职业教育发展与改革，组织实施民族地区免费中等职业教育工作。完成省里下达的藏（彝）区学生“9+3”免费职业教育任务。</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（6）综合管理全市成人教育和广播电视教育及扫除青壮年文盲工作，协调普通高等教育发展。</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 xml:space="preserve"> (7)负责全市教育督导工作。负责组织对中等及以下各级各类教育、广播电视教育以及扫除青壮年文盲工作的督导检查和评估考核工作；开展基础教育发展水平和质量监测工作。</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(8)负责本部门教育体育经费的统筹管理。会同有关部门制定筹措教育体育经费、拨款、基建投资的政策和措施，协助有关部门做好教育体育拨款的筹集、拨付工作；监督全市教育体育经费的筹措和使用情况；指导国(境)外教育体育援助、贷款和合作项目的执行。负责普通高校生源地信用助学贷款工作，完善贫困学生资助管理体系。</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(9)指导少数民族教育工作，协调对少数民族地区的教育援助。</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(10)统筹规划、综合管理全市民办教育，规范民办教育办学秩序，促进民办教育事业健康发展。</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(11)负责全市中小学校教师队伍建设和教育体育系统干部队伍建设工作；组织和指导县(区)域内义务教育学校校长教师交流轮岗工作，推进义务教育教师“县管校用”管理制度改革。</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(12)负责并指导教育基础设施建设，完善中小学校校舍维修改造长效机制，负责并指导学校现代信息技术教育和推进现代教育信息化建设，进一步改善学校办学条件。负责推进农村薄弱学校建设，加强项目建设管理，推动校舍档案和信息系统建设，促进校舍安全管理的规范化、信息化。</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(13)贯彻执行国家语言文字的方针政策，拟订语言文字工作中长期规划和工作计划，指导普通话推广和普通话师资培训工作，承担市语言文字工作委员会的具体工作。</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(14)指导教育体育系统对外交流与合作，负责全市中小学出国留学人员和教育体育系统来攀外籍教师、教练、专家及留学人员的有关管理工作。</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(15)管理、指导大中专招生和自学考试工作；制定中小学和中等职业学校招生计划并组织实施。</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(16)统筹规划全市群众体育发展。负责推行全民健身计划，监督实施国家体育锻炼标准，承担全市国民体质监测和社会体育指导工作队伍制度建设；指导公共体育设施的建设，负责对公共体育设施的管理。</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(17)统筹规划全市竞技体育发展。指导体育训练、体育竞赛和运动员队伍建设；组织和统筹参加省级以上综合运动会，负责组织协调市级综合性运动会的竞赛工作，协调运动员社会保障工作。</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(18)统筹规划全市青少年体育发展。指导和管理学校体育工作；制定全市学校体育、青少年业余训练的规划和工作意见，并负责组织实施、督促和检查。</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(19)指导全市学校后勤改革和体育产业发展，负责全市学校后勤和体育产业管理。拟定全市体育产业发展政策、措施，规范体育服务管理，推动体育标准化建设；协助管理全市体育彩票市场。</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(20)指导教育体育科研、技术攻关及成果推广工作；负责组织、监督全市体育运动中的反兴奋剂工作。</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(21)负责指导、检查、督促全市学校安全管理工作。</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(22)承担市政府公布的有关行政审批事项。</w:t>
      </w:r>
    </w:p>
    <w:p>
      <w:pPr>
        <w:ind w:firstLine="640" w:firstLineChars="200"/>
        <w:rPr>
          <w:rFonts w:hint="eastAsia"/>
          <w:lang w:eastAsia="zh-CN"/>
        </w:rPr>
      </w:pPr>
      <w:r>
        <w:rPr>
          <w:rFonts w:hint="eastAsia" w:ascii="仿宋_GB2312" w:eastAsia="仿宋_GB2312" w:cs="仿宋_GB2312"/>
          <w:sz w:val="32"/>
          <w:szCs w:val="32"/>
        </w:rPr>
        <w:t>(23)承办市政府交办的其他事项。</w:t>
      </w:r>
    </w:p>
    <w:p>
      <w:pPr>
        <w:pStyle w:val="6"/>
        <w:rPr>
          <w:rStyle w:val="29"/>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pPr>
        <w:widowControl/>
        <w:ind w:firstLine="640" w:firstLineChars="200"/>
        <w:jc w:val="left"/>
        <w:rPr>
          <w:rFonts w:ascii="Times New Roman" w:hAnsi="Times New Roman" w:eastAsia="仿宋"/>
          <w:color w:val="auto"/>
          <w:kern w:val="0"/>
          <w:sz w:val="32"/>
          <w:szCs w:val="32"/>
          <w:highlight w:val="none"/>
        </w:rPr>
      </w:pPr>
      <w:r>
        <w:rPr>
          <w:rFonts w:hint="eastAsia" w:hAnsi="仿宋_GB2312" w:eastAsia="仿宋_GB2312"/>
          <w:bCs/>
          <w:color w:val="000000"/>
          <w:sz w:val="32"/>
          <w:szCs w:val="32"/>
        </w:rPr>
        <w:t>办公室、政策法规与综合改革科(行政审批与民办教育科) 、计划基建财务科、审计科、基础教育科(民族教育科、市语言文字工作委员会办公室)、</w:t>
      </w:r>
      <w:r>
        <w:rPr>
          <w:rFonts w:hAnsi="仿宋_GB2312" w:eastAsia="仿宋_GB2312"/>
          <w:bCs/>
          <w:color w:val="000000"/>
          <w:sz w:val="32"/>
          <w:szCs w:val="32"/>
        </w:rPr>
        <w:t>职业成人高等教育科(民族地区免费中职教育办公室)</w:t>
      </w:r>
      <w:r>
        <w:rPr>
          <w:rFonts w:hint="eastAsia" w:hAnsi="仿宋_GB2312" w:eastAsia="仿宋_GB2312"/>
          <w:bCs/>
          <w:color w:val="000000"/>
          <w:sz w:val="32"/>
          <w:szCs w:val="32"/>
        </w:rPr>
        <w:t>、</w:t>
      </w:r>
      <w:r>
        <w:rPr>
          <w:rFonts w:hAnsi="仿宋_GB2312" w:eastAsia="仿宋_GB2312"/>
          <w:bCs/>
          <w:color w:val="000000"/>
          <w:sz w:val="32"/>
          <w:szCs w:val="32"/>
        </w:rPr>
        <w:t>教育督导委员会办公室</w:t>
      </w:r>
      <w:r>
        <w:rPr>
          <w:rFonts w:hint="eastAsia" w:hAnsi="仿宋_GB2312" w:eastAsia="仿宋_GB2312"/>
          <w:bCs/>
          <w:color w:val="000000"/>
          <w:sz w:val="32"/>
          <w:szCs w:val="32"/>
        </w:rPr>
        <w:t>、体育产业科、</w:t>
      </w:r>
      <w:r>
        <w:rPr>
          <w:rFonts w:hAnsi="仿宋_GB2312" w:eastAsia="仿宋_GB2312"/>
          <w:bCs/>
          <w:color w:val="000000"/>
          <w:sz w:val="32"/>
          <w:szCs w:val="32"/>
        </w:rPr>
        <w:t>学校后勤管理与学生资助</w:t>
      </w:r>
      <w:r>
        <w:rPr>
          <w:rFonts w:hint="eastAsia" w:hAnsi="仿宋_GB2312" w:eastAsia="仿宋_GB2312"/>
          <w:bCs/>
          <w:color w:val="000000"/>
          <w:sz w:val="32"/>
          <w:szCs w:val="32"/>
        </w:rPr>
        <w:t>科、</w:t>
      </w:r>
      <w:r>
        <w:rPr>
          <w:rFonts w:hAnsi="仿宋_GB2312" w:eastAsia="仿宋_GB2312"/>
          <w:bCs/>
          <w:color w:val="000000"/>
          <w:sz w:val="32"/>
          <w:szCs w:val="32"/>
        </w:rPr>
        <w:t>学校思想政治教育科</w:t>
      </w:r>
      <w:r>
        <w:rPr>
          <w:rFonts w:hint="eastAsia" w:hAnsi="仿宋_GB2312" w:eastAsia="仿宋_GB2312"/>
          <w:bCs/>
          <w:color w:val="000000"/>
          <w:sz w:val="32"/>
          <w:szCs w:val="32"/>
        </w:rPr>
        <w:t>、</w:t>
      </w:r>
      <w:r>
        <w:rPr>
          <w:rFonts w:hAnsi="仿宋_GB2312" w:eastAsia="仿宋_GB2312"/>
          <w:bCs/>
          <w:color w:val="000000"/>
          <w:sz w:val="32"/>
          <w:szCs w:val="32"/>
        </w:rPr>
        <w:t>学校体育卫生艺术教育科(学校国防军训办公室)</w:t>
      </w:r>
      <w:r>
        <w:rPr>
          <w:rFonts w:hint="eastAsia" w:hAnsi="仿宋_GB2312" w:eastAsia="仿宋_GB2312"/>
          <w:bCs/>
          <w:color w:val="000000"/>
          <w:sz w:val="32"/>
          <w:szCs w:val="32"/>
        </w:rPr>
        <w:t>、竞赛训练科、社会体育科、</w:t>
      </w:r>
      <w:r>
        <w:rPr>
          <w:rFonts w:hint="eastAsia" w:hAnsi="仿宋_GB2312" w:eastAsia="仿宋_GB2312"/>
          <w:bCs/>
          <w:color w:val="000000"/>
          <w:sz w:val="32"/>
          <w:szCs w:val="32"/>
          <w:lang w:eastAsia="zh-CN"/>
        </w:rPr>
        <w:t>驻局纪检监察组综合科</w:t>
      </w:r>
      <w:r>
        <w:rPr>
          <w:rFonts w:hint="eastAsia" w:hAnsi="仿宋_GB2312" w:eastAsia="仿宋_GB2312"/>
          <w:bCs/>
          <w:color w:val="000000"/>
          <w:sz w:val="32"/>
          <w:szCs w:val="32"/>
        </w:rPr>
        <w:t>、安全管理科、</w:t>
      </w:r>
      <w:r>
        <w:rPr>
          <w:rFonts w:hAnsi="仿宋_GB2312" w:eastAsia="仿宋_GB2312"/>
          <w:bCs/>
          <w:color w:val="000000"/>
          <w:sz w:val="32"/>
          <w:szCs w:val="32"/>
        </w:rPr>
        <w:t>党工委办公室(统战科、组织干部科)</w:t>
      </w:r>
      <w:r>
        <w:rPr>
          <w:rFonts w:hint="eastAsia" w:hAnsi="仿宋_GB2312" w:eastAsia="仿宋_GB2312"/>
          <w:bCs/>
          <w:color w:val="000000"/>
          <w:sz w:val="32"/>
          <w:szCs w:val="32"/>
        </w:rPr>
        <w:t>、人事科(离退休人员管理科)</w:t>
      </w:r>
      <w:r>
        <w:rPr>
          <w:rFonts w:hint="eastAsia" w:hAnsi="仿宋_GB2312" w:eastAsia="仿宋_GB2312"/>
          <w:bCs/>
          <w:color w:val="000000"/>
          <w:sz w:val="32"/>
          <w:szCs w:val="32"/>
          <w:lang w:eastAsia="zh-CN"/>
        </w:rPr>
        <w:t>、秘书科，</w:t>
      </w:r>
      <w:r>
        <w:rPr>
          <w:rFonts w:hint="eastAsia" w:hAnsi="仿宋_GB2312" w:eastAsia="仿宋_GB2312"/>
          <w:bCs/>
          <w:color w:val="000000"/>
          <w:sz w:val="32"/>
          <w:szCs w:val="32"/>
        </w:rPr>
        <w:t>共1</w:t>
      </w:r>
      <w:r>
        <w:rPr>
          <w:rFonts w:hint="eastAsia" w:hAnsi="仿宋_GB2312" w:eastAsia="仿宋_GB2312"/>
          <w:bCs/>
          <w:color w:val="000000"/>
          <w:sz w:val="32"/>
          <w:szCs w:val="32"/>
          <w:lang w:val="en-US" w:eastAsia="zh-CN"/>
        </w:rPr>
        <w:t>8</w:t>
      </w:r>
      <w:r>
        <w:rPr>
          <w:rFonts w:hint="eastAsia" w:hAnsi="仿宋_GB2312" w:eastAsia="仿宋_GB2312"/>
          <w:bCs/>
          <w:color w:val="000000"/>
          <w:sz w:val="32"/>
          <w:szCs w:val="32"/>
        </w:rPr>
        <w:t>个内设科室。</w:t>
      </w:r>
      <w:r>
        <w:rPr>
          <w:rFonts w:ascii="Times New Roman" w:hAnsi="Times New Roman" w:eastAsia="仿宋"/>
          <w:color w:val="auto"/>
          <w:sz w:val="32"/>
          <w:szCs w:val="32"/>
          <w:highlight w:val="none"/>
        </w:rPr>
        <w:br w:type="page"/>
      </w:r>
    </w:p>
    <w:p>
      <w:pPr>
        <w:pStyle w:val="5"/>
        <w:jc w:val="center"/>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第二部分  2025年度部门决算情况说明</w:t>
      </w:r>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0" w:name="_Toc15377205"/>
      <w:bookmarkStart w:id="11"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0"/>
      <w:bookmarkEnd w:id="11"/>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2025年度收入、支出总计均为2163.24万元。与2024年度相比，收入、支出总计各减少297.4万元，下降12.</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lang w:eastAsia="zh-CN"/>
        </w:rPr>
        <w:t>%。主要变动原因是单位厉行节约，压缩开支，总支出减少。</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pStyle w:val="8"/>
        <w:rPr>
          <w:rFonts w:hint="eastAsia" w:ascii="Times New Roman" w:hAnsi="Times New Roman" w:eastAsia="仿宋_GB2312" w:cs="仿宋_GB2312"/>
          <w:color w:val="auto"/>
          <w:sz w:val="32"/>
          <w:szCs w:val="32"/>
          <w:highlight w:val="none"/>
        </w:rPr>
      </w:pPr>
      <w:r>
        <w:rPr>
          <w:rFonts w:hint="eastAsia"/>
        </w:rPr>
        <w:drawing>
          <wp:inline distT="0" distB="0" distL="0" distR="0">
            <wp:extent cx="4724400" cy="2924175"/>
            <wp:effectExtent l="4445" t="4445" r="14605" b="5080"/>
            <wp:docPr id="1"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2" w:name="_Toc15377206"/>
      <w:bookmarkStart w:id="13" w:name="_Toc15396604"/>
      <w:r>
        <w:rPr>
          <w:rFonts w:hint="eastAsia" w:ascii="Times New Roman" w:hAnsi="Times New Roman" w:eastAsia="黑体"/>
          <w:color w:val="auto"/>
          <w:sz w:val="32"/>
          <w:szCs w:val="32"/>
          <w:highlight w:val="none"/>
          <w:lang w:eastAsia="zh-CN"/>
        </w:rPr>
        <w:t>二、收入决算情况说明</w:t>
      </w:r>
      <w:bookmarkEnd w:id="12"/>
      <w:bookmarkEnd w:id="1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2025年度本年收入合计2163.24万元，其中：一般公共预算财政拨款收入2029.69万元，占93.8%；政府性基金预算财政拨款收入90万元，占4.</w:t>
      </w:r>
      <w:r>
        <w:rPr>
          <w:rFonts w:hint="eastAsia" w:ascii="Times New Roman" w:hAnsi="Times New Roman"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lang w:eastAsia="zh-CN"/>
        </w:rPr>
        <w:t>%；其他收入43.55</w:t>
      </w:r>
      <w:r>
        <w:rPr>
          <w:rFonts w:hint="eastAsia" w:ascii="Times New Roman" w:hAnsi="Times New Roman" w:eastAsia="仿宋_GB2312" w:cs="仿宋_GB2312"/>
          <w:color w:val="auto"/>
          <w:sz w:val="32"/>
          <w:szCs w:val="32"/>
          <w:highlight w:val="none"/>
          <w:lang w:val="en-US" w:eastAsia="zh-CN"/>
        </w:rPr>
        <w:t>万元，占2%</w:t>
      </w:r>
      <w:r>
        <w:rPr>
          <w:rFonts w:hint="eastAsia" w:ascii="Times New Roman" w:hAnsi="Times New Roman" w:eastAsia="仿宋_GB2312" w:cs="仿宋_GB2312"/>
          <w:color w:val="auto"/>
          <w:sz w:val="32"/>
          <w:szCs w:val="32"/>
          <w:highlight w:val="none"/>
          <w:lang w:eastAsia="zh-CN"/>
        </w:rPr>
        <w:t>。</w:t>
      </w:r>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pStyle w:val="8"/>
        <w:rPr>
          <w:rFonts w:hint="eastAsia" w:ascii="Times New Roman" w:hAnsi="Times New Roman" w:eastAsia="仿宋_GB2312" w:cs="仿宋_GB2312"/>
          <w:color w:val="auto"/>
          <w:sz w:val="32"/>
          <w:szCs w:val="32"/>
          <w:highlight w:val="none"/>
          <w:lang w:eastAsia="zh-CN"/>
        </w:rPr>
      </w:pPr>
      <w:r>
        <w:rPr>
          <w:rFonts w:hint="eastAsia"/>
        </w:rPr>
        <w:drawing>
          <wp:inline distT="0" distB="0" distL="0" distR="0">
            <wp:extent cx="4819650" cy="3171825"/>
            <wp:effectExtent l="4445" t="4445" r="14605" b="5080"/>
            <wp:docPr id="2"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4" w:name="_Toc15377207"/>
      <w:bookmarkStart w:id="15"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4"/>
      <w:bookmarkEnd w:id="1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2025年度本年支出合计2163.24万元，其中：基本支出1691.79万元，占78.2%；项目支出471.45万元，占21.</w:t>
      </w:r>
      <w:r>
        <w:rPr>
          <w:rFonts w:hint="eastAsia" w:eastAsia="仿宋_GB2312" w:cs="仿宋_GB2312"/>
          <w:color w:val="auto"/>
          <w:sz w:val="32"/>
          <w:szCs w:val="32"/>
          <w:highlight w:val="none"/>
          <w:lang w:val="en-US" w:eastAsia="zh-CN"/>
        </w:rPr>
        <w:t>8</w:t>
      </w:r>
      <w:r>
        <w:rPr>
          <w:rFonts w:hint="eastAsia" w:ascii="Times New Roman" w:hAnsi="Times New Roman" w:eastAsia="仿宋_GB2312" w:cs="仿宋_GB2312"/>
          <w:color w:val="auto"/>
          <w:sz w:val="32"/>
          <w:szCs w:val="32"/>
          <w:highlight w:val="none"/>
          <w:lang w:eastAsia="zh-CN"/>
        </w:rPr>
        <w:t>%。</w:t>
      </w:r>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pStyle w:val="2"/>
        <w:rPr>
          <w:rFonts w:hint="eastAsia"/>
          <w:lang w:eastAsia="zh-CN"/>
        </w:rPr>
      </w:pPr>
    </w:p>
    <w:p>
      <w:pPr>
        <w:ind w:firstLine="525" w:firstLineChars="250"/>
        <w:rPr>
          <w:rFonts w:hint="eastAsia" w:ascii="Times New Roman" w:hAnsi="Times New Roman" w:eastAsia="仿宋_GB2312" w:cs="仿宋_GB2312"/>
          <w:color w:val="auto"/>
          <w:sz w:val="32"/>
          <w:szCs w:val="32"/>
          <w:highlight w:val="none"/>
          <w:lang w:eastAsia="zh-CN"/>
        </w:rPr>
      </w:pPr>
      <w:r>
        <w:rPr>
          <w:rFonts w:hint="eastAsia"/>
        </w:rPr>
        <w:drawing>
          <wp:inline distT="0" distB="0" distL="0" distR="0">
            <wp:extent cx="4867275" cy="2933700"/>
            <wp:effectExtent l="5080" t="4445" r="4445" b="14605"/>
            <wp:docPr id="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outlineLvl w:val="1"/>
        <w:rPr>
          <w:rFonts w:hint="eastAsia" w:ascii="Times New Roman" w:hAnsi="Times New Roman" w:eastAsia="黑体"/>
          <w:color w:val="auto"/>
          <w:sz w:val="32"/>
          <w:szCs w:val="32"/>
          <w:highlight w:val="none"/>
        </w:rPr>
      </w:pPr>
      <w:bookmarkStart w:id="16" w:name="_Toc15377208"/>
      <w:bookmarkStart w:id="17" w:name="_Toc15396606"/>
    </w:p>
    <w:p>
      <w:pPr>
        <w:pStyle w:val="2"/>
        <w:rPr>
          <w:rFonts w:hint="eastAsia"/>
        </w:rPr>
      </w:pPr>
    </w:p>
    <w:p>
      <w:pPr>
        <w:spacing w:line="600" w:lineRule="exact"/>
        <w:ind w:firstLine="640" w:firstLineChars="200"/>
        <w:outlineLvl w:val="1"/>
        <w:rPr>
          <w:rStyle w:val="29"/>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16"/>
      <w:bookmarkEnd w:id="1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2025年度财政拨款收入、支出总计均为2119.69万元。与2024年度相比，财政拨款收入总计、支出总计各减少301.51万元，下降12.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%。主要变动原因是单位厉行节约，压缩开支，总支出减少。</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r>
        <w:rPr>
          <w:rFonts w:hint="eastAsia"/>
        </w:rPr>
        <w:drawing>
          <wp:inline distT="0" distB="0" distL="0" distR="0">
            <wp:extent cx="5274310" cy="2849245"/>
            <wp:effectExtent l="4445" t="4445" r="17145" b="22860"/>
            <wp:docPr id="7"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3"/>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Style w:val="29"/>
          <w:rFonts w:ascii="Times New Roman" w:hAnsi="Times New Roman" w:eastAsia="黑体"/>
          <w:b w:val="0"/>
          <w:color w:val="auto"/>
          <w:highlight w:val="none"/>
        </w:rPr>
      </w:pPr>
      <w:bookmarkStart w:id="18" w:name="_Toc15396607"/>
      <w:bookmarkStart w:id="19"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18"/>
      <w:bookmarkEnd w:id="19"/>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2025年度一般公共预算财政拨款支出2029.69万元，占本年支出合计的93.8%。与2024年度相比，一般公共预算财政拨款支出减少196.07万元，下降8.8</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。主要变动原因是教育附加项目资金较上年下降，且单位厉行节约，压缩开支。</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r>
        <w:rPr>
          <w:rFonts w:hint="eastAsia"/>
        </w:rPr>
        <w:drawing>
          <wp:inline distT="0" distB="0" distL="0" distR="0">
            <wp:extent cx="5274310" cy="3076575"/>
            <wp:effectExtent l="5080" t="4445" r="16510" b="5080"/>
            <wp:docPr id="8"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0" w:firstLineChars="200"/>
        <w:outlineLvl w:val="2"/>
        <w:rPr>
          <w:rFonts w:hint="eastAsia" w:ascii="Times New Roman" w:hAnsi="Times New Roman" w:eastAsia="楷体_GB2312" w:cs="楷体_GB2312"/>
          <w:b w:val="0"/>
          <w:bCs/>
          <w:color w:val="auto"/>
          <w:sz w:val="32"/>
          <w:szCs w:val="32"/>
          <w:highlight w:val="none"/>
        </w:rPr>
      </w:pPr>
      <w:bookmarkStart w:id="21" w:name="_Toc15377211"/>
      <w:r>
        <w:rPr>
          <w:rFonts w:hint="eastAsia" w:ascii="Times New Roman" w:hAnsi="Times New Roman" w:eastAsia="楷体_GB2312" w:cs="楷体_GB2312"/>
          <w:b w:val="0"/>
          <w:bCs/>
          <w:color w:val="auto"/>
          <w:sz w:val="32"/>
          <w:szCs w:val="32"/>
          <w:highlight w:val="none"/>
        </w:rPr>
        <w:t>（二）一般公共预算财政拨款支出决算结构情况</w:t>
      </w:r>
      <w:bookmarkEnd w:id="21"/>
    </w:p>
    <w:p>
      <w:pPr>
        <w:spacing w:line="600" w:lineRule="exact"/>
        <w:ind w:firstLine="640"/>
        <w:rPr>
          <w:rFonts w:ascii="仿宋" w:hAnsi="仿宋" w:eastAsia="仿宋"/>
          <w:b w:val="0"/>
          <w:bCs/>
          <w:sz w:val="32"/>
          <w:szCs w:val="32"/>
        </w:rPr>
      </w:pPr>
      <w:r>
        <w:rPr>
          <w:rFonts w:ascii="仿宋" w:hAnsi="仿宋" w:eastAsia="仿宋"/>
          <w:b w:val="0"/>
          <w:bCs/>
          <w:sz w:val="32"/>
          <w:szCs w:val="32"/>
        </w:rPr>
        <w:t>一般公共服务支出99.27万元，占4.</w:t>
      </w:r>
      <w:r>
        <w:rPr>
          <w:rFonts w:hint="eastAsia" w:ascii="仿宋" w:hAnsi="仿宋" w:eastAsia="仿宋"/>
          <w:b w:val="0"/>
          <w:bCs/>
          <w:sz w:val="32"/>
          <w:szCs w:val="32"/>
          <w:lang w:val="en-US" w:eastAsia="zh-CN"/>
        </w:rPr>
        <w:t>9</w:t>
      </w:r>
      <w:r>
        <w:rPr>
          <w:rFonts w:ascii="仿宋" w:hAnsi="仿宋" w:eastAsia="仿宋"/>
          <w:b w:val="0"/>
          <w:bCs/>
          <w:sz w:val="32"/>
          <w:szCs w:val="32"/>
        </w:rPr>
        <w:t>%；教育支出1207.82万元，占59.5%；科学技术支出68.6万元，占3.</w:t>
      </w:r>
      <w:r>
        <w:rPr>
          <w:rFonts w:hint="eastAsia" w:ascii="仿宋" w:hAnsi="仿宋" w:eastAsia="仿宋"/>
          <w:b w:val="0"/>
          <w:bCs/>
          <w:sz w:val="32"/>
          <w:szCs w:val="32"/>
          <w:lang w:val="en-US" w:eastAsia="zh-CN"/>
        </w:rPr>
        <w:t>4</w:t>
      </w:r>
      <w:r>
        <w:rPr>
          <w:rFonts w:ascii="仿宋" w:hAnsi="仿宋" w:eastAsia="仿宋"/>
          <w:b w:val="0"/>
          <w:bCs/>
          <w:sz w:val="32"/>
          <w:szCs w:val="32"/>
        </w:rPr>
        <w:t>%；社会保障和就业支出491.69万元，占24.2%；卫生健康支出69.6万元，占3.4%；住房保障支出92.71万元，占4.</w:t>
      </w:r>
      <w:r>
        <w:rPr>
          <w:rFonts w:hint="eastAsia" w:ascii="仿宋" w:hAnsi="仿宋" w:eastAsia="仿宋"/>
          <w:b w:val="0"/>
          <w:bCs/>
          <w:sz w:val="32"/>
          <w:szCs w:val="32"/>
          <w:lang w:val="en-US" w:eastAsia="zh-CN"/>
        </w:rPr>
        <w:t>6</w:t>
      </w:r>
      <w:r>
        <w:rPr>
          <w:rFonts w:ascii="仿宋" w:hAnsi="仿宋" w:eastAsia="仿宋"/>
          <w:b w:val="0"/>
          <w:bCs/>
          <w:sz w:val="32"/>
          <w:szCs w:val="32"/>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pPr>
        <w:pStyle w:val="3"/>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420" w:firstLineChars="200"/>
        <w:outlineLvl w:val="2"/>
        <w:rPr>
          <w:rFonts w:hint="eastAsia" w:ascii="Times New Roman" w:hAnsi="Times New Roman" w:eastAsia="楷体_GB2312" w:cs="楷体_GB2312"/>
          <w:b/>
          <w:color w:val="auto"/>
          <w:sz w:val="32"/>
          <w:szCs w:val="32"/>
          <w:highlight w:val="none"/>
        </w:rPr>
      </w:pPr>
      <w:bookmarkStart w:id="22" w:name="_Toc15377212"/>
      <w:r>
        <w:rPr>
          <w:rFonts w:hint="eastAsia"/>
        </w:rPr>
        <w:drawing>
          <wp:anchor distT="0" distB="0" distL="0" distR="0" simplePos="0" relativeHeight="251661312" behindDoc="0" locked="0" layoutInCell="1" allowOverlap="1">
            <wp:simplePos x="0" y="0"/>
            <wp:positionH relativeFrom="column">
              <wp:posOffset>233680</wp:posOffset>
            </wp:positionH>
            <wp:positionV relativeFrom="paragraph">
              <wp:posOffset>90170</wp:posOffset>
            </wp:positionV>
            <wp:extent cx="5274310" cy="3076575"/>
            <wp:effectExtent l="5080" t="4445" r="16510" b="5080"/>
            <wp:wrapSquare wrapText="bothSides"/>
            <wp:docPr id="12"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pPr>
        <w:spacing w:line="600" w:lineRule="exact"/>
        <w:outlineLvl w:val="2"/>
        <w:rPr>
          <w:rFonts w:hint="eastAsia" w:ascii="Times New Roman" w:hAnsi="Times New Roman" w:eastAsia="楷体_GB2312" w:cs="楷体_GB2312"/>
          <w:b/>
          <w:color w:val="auto"/>
          <w:sz w:val="32"/>
          <w:szCs w:val="32"/>
          <w:highlight w:val="none"/>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2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2025年度一般公共预算财政拨款支出决算数为2029.69，完成预算100%。其中：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1.一般公共服务（类）人大事务（款）行政运行（项）: 支出决算为48.19万元，完成预算100%。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2.一般公共服务（类）组织事务（款）其他组织事务支出（项）: 支出决算为51.08万元，完成预算100%。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3.教育（类）教育管理事务（款）行政运行（项）: 支出决算为923.02万元，完成预算100%。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4.教育（类）教育管理事务（款）其他教育管理事务支出（项）: 支出决算为31.09万元，完成预算100%。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5.教育（类）进修及培训（款）培训支出（项）：支出决算为182.6万元，完成预算100%。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6.教育（类）教育费附加安排的支出（款）其他教育费附加安排的支出（项）：支出决算为69.11万元，完成预算100%。</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7.教育（类）其他教育支出（款）其他教育支出（项）：支出决算为2万元，完成预算100%。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8.科学技术（类）其他科学技术支出（款）其他科学技术支出（项）: 支出决算为68.6万元，完成预算100%。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9.社会保障和就业（类）行政事业单位养老支出（款）行政单位离退休（项）: 支出决算为301.84万元，完成预算100%。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10.社会保障和就业（类）行政事业单位养老支出（款）机关事业单位基本养老保险缴费支出（项）: 支出决算为111.87万元，完成预算100%。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11.社会保障和就业（类）行政事业单位养老支出（款）机关事业单位职业年金缴费支出（项）: 支出决算为30.43万元，完成预算100%。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12.社会保障和就业（类）抚恤（款）死亡抚恤（项）: 支出决算为46.53万元，完成预算100%。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13.社会保障和就业（类）社会福利（款）儿童福利（项）: 支出决算为1.01万元，完成预算100%。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14.卫生健康支出（类）公共卫生（款）重大公共卫生服务（项）: 支出决算为1万元，完成预算100%。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15.卫生健康支出（类）行政事业单位医疗（款）行政单位医疗（项）: 支出决算为62.6万元，完成预算100%。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16.卫生健康支出（类）行政事业单位医疗（款）公务员医疗补助（项）: 支出决算为6万元，完成预算100%。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17.住房保障支出（类）住房改革支出（款）住房公积金（项）:支出决算为92.71万元，完成预算100%。</w:t>
      </w:r>
    </w:p>
    <w:p>
      <w:pPr>
        <w:tabs>
          <w:tab w:val="right" w:pos="8306"/>
        </w:tabs>
        <w:spacing w:line="600" w:lineRule="exact"/>
        <w:ind w:firstLine="640"/>
        <w:outlineLvl w:val="1"/>
        <w:rPr>
          <w:rStyle w:val="29"/>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r>
        <w:rPr>
          <w:rStyle w:val="29"/>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2025年度一般公共预算财政拨款基本支出1691.79万元，其中：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1569.78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　　公用经费122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29"/>
          <w:rFonts w:ascii="Times New Roman" w:hAnsi="Times New Roman" w:eastAsia="黑体"/>
          <w:b w:val="0"/>
          <w:color w:val="auto"/>
          <w:highlight w:val="none"/>
        </w:rPr>
      </w:pPr>
      <w:bookmarkStart w:id="23" w:name="_Toc15377215"/>
      <w:bookmarkStart w:id="24"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23"/>
      <w:bookmarkEnd w:id="24"/>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5"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25"/>
    </w:p>
    <w:p>
      <w:pPr>
        <w:ind w:firstLine="640"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2025年度“三公”经费财政拨款支出决算为3.28万元，完成预算100%，较上年度增加0.53万元，增长19.</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。主要原因是为厉行节俭，单位减少租车频次，增加使用公务车开展公务活动次数，故公务用车运行维护费增加，“三公”经费总额增加。</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6"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26"/>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2025年度“三公”经费财政拨款支出决算中，因公出国（境）费支出决算0万元；公务用车购置及运行维护费支出决算2.43万元，占74.1%；公务接待费支出决算0.85万元，占25.9%。具体情况如下：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r>
        <w:rPr>
          <w:rFonts w:hint="eastAsia"/>
        </w:rPr>
        <w:drawing>
          <wp:inline distT="0" distB="0" distL="0" distR="0">
            <wp:extent cx="5133975" cy="3076575"/>
            <wp:effectExtent l="5080" t="4445" r="4445" b="5080"/>
            <wp:docPr id="3"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pStyle w:val="3"/>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1.因公出国（境）经费支出0万元。全年安排因公出国（境）团组0次，出国（境）0人。因公出国（境）支出决算与2024年持平。</w:t>
      </w:r>
    </w:p>
    <w:p>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2.公务用车购置及运行维护费支出2.43万元，完成预算100%。公务用车购置及运行维护费支出决算比2024年度增加0.85万元，增长53.8%。主要原因是</w:t>
      </w:r>
      <w:r>
        <w:rPr>
          <w:rFonts w:hint="eastAsia" w:eastAsia="仿宋_GB2312" w:cs="仿宋_GB2312"/>
          <w:color w:val="auto"/>
          <w:kern w:val="2"/>
          <w:sz w:val="32"/>
          <w:szCs w:val="32"/>
          <w:highlight w:val="none"/>
          <w:lang w:val="en-US" w:eastAsia="zh-CN" w:bidi="ar-SA"/>
        </w:rPr>
        <w:t>单位减少租车频次，增加使用公务车开展公务活动次数，故公务用车运行维护费增加。</w:t>
      </w:r>
    </w:p>
    <w:p>
      <w:pPr>
        <w:spacing w:line="600" w:lineRule="exact"/>
        <w:ind w:firstLine="640" w:firstLineChars="200"/>
        <w:rPr>
          <w:rFonts w:hint="eastAsia" w:ascii="仿宋_GB2312" w:hAnsi="Times New Roman" w:eastAsia="仿宋_GB2312" w:cs="Times New Roman"/>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sz w:val="32"/>
          <w:szCs w:val="32"/>
        </w:rPr>
        <w:t>全</w:t>
      </w:r>
      <w:r>
        <w:rPr>
          <w:rFonts w:hint="eastAsia" w:ascii="仿宋_GB2312" w:hAnsi="Times New Roman" w:eastAsia="仿宋_GB2312" w:cs="Times New Roman"/>
          <w:sz w:val="32"/>
          <w:szCs w:val="32"/>
          <w:lang w:val="en-US" w:eastAsia="zh-CN"/>
        </w:rPr>
        <w:t>年按规定更新购置公务用车0辆，其中：轿车0辆、金额0万元，越野车0辆、金额0万元，载客汽车0辆、金额0万元。截至2023年12月底，</w:t>
      </w:r>
      <w:r>
        <w:rPr>
          <w:rFonts w:hint="eastAsia" w:ascii="仿宋_GB2312" w:hAnsi="Times New Roman" w:eastAsia="仿宋_GB2312" w:cs="Times New Roman"/>
          <w:sz w:val="32"/>
          <w:szCs w:val="32"/>
          <w:highlight w:val="none"/>
          <w:lang w:val="en-US" w:eastAsia="zh-CN"/>
        </w:rPr>
        <w:t>单位共有公务用车1辆，其中：轿车0辆、越野</w:t>
      </w:r>
      <w:r>
        <w:rPr>
          <w:rFonts w:hint="eastAsia" w:ascii="仿宋_GB2312" w:hAnsi="Times New Roman" w:eastAsia="仿宋_GB2312" w:cs="Times New Roman"/>
          <w:sz w:val="32"/>
          <w:szCs w:val="32"/>
          <w:lang w:val="en-US" w:eastAsia="zh-CN"/>
        </w:rPr>
        <w:t>车</w:t>
      </w:r>
      <w:r>
        <w:rPr>
          <w:rFonts w:hint="eastAsia" w:ascii="仿宋_GB2312" w:eastAsia="仿宋_GB2312" w:cs="Times New Roman"/>
          <w:sz w:val="32"/>
          <w:szCs w:val="32"/>
          <w:lang w:val="en-US" w:eastAsia="zh-CN"/>
        </w:rPr>
        <w:t>1</w:t>
      </w:r>
      <w:r>
        <w:rPr>
          <w:rFonts w:hint="eastAsia" w:ascii="仿宋_GB2312" w:hAnsi="Times New Roman" w:eastAsia="仿宋_GB2312" w:cs="Times New Roman"/>
          <w:sz w:val="32"/>
          <w:szCs w:val="32"/>
          <w:lang w:val="en-US" w:eastAsia="zh-CN"/>
        </w:rPr>
        <w:t>辆、载客汽车0辆。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default" w:ascii="仿宋_GB2312" w:eastAsia="仿宋_GB2312"/>
          <w:sz w:val="32"/>
          <w:szCs w:val="32"/>
          <w:lang w:val="en-US" w:eastAsia="zh-CN"/>
        </w:rPr>
      </w:pPr>
      <w:r>
        <w:rPr>
          <w:rFonts w:hint="default" w:ascii="仿宋_GB2312" w:eastAsia="仿宋_GB2312"/>
          <w:sz w:val="32"/>
          <w:szCs w:val="32"/>
          <w:lang w:val="en-US" w:eastAsia="zh-CN"/>
        </w:rPr>
        <w:t>公务用车运行维护费支出2.43万元。主要用于主要用于教育教学管理、学校安全工作、教师培训、普通初中教育、教育督导、普通高中教育、职业教育、“9+3”工作、校安工程、学生营养改善计划、高寒山区温暖工程、农村薄弱学校改造以及单位日常公务等所需的公务用车燃料费、维修费、过路过桥费、保险费等支出。</w:t>
      </w:r>
    </w:p>
    <w:p>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公务接待费支出0.85万元，完成预算100%。公务接待费支出决算比2024年度减少0.32万元，下降27.4%。主要原因是市教育和体育局严格执行中央八项规定和省、市十项规定以及《党政机关厉行节约反对浪费条例》等相关文件要求，厉行节约，反对浪费，严格控制公务接待。其中：国内公务接待支出0.85万元，主要用于执行公务、开展业务活动开支的交通费、住宿费、用餐费等。国内公务接待</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批次，4</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人次（不包括陪同人员），共计支出0.85万元，具体内容包括：1.成都中医药大学三大球送教到校活动座谈会接待费0.</w:t>
      </w: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万元；2.凉山州教体局赴攀考察接待费0.</w:t>
      </w:r>
      <w:r>
        <w:rPr>
          <w:rFonts w:hint="eastAsia" w:eastAsia="仿宋_GB2312" w:cs="仿宋_GB2312"/>
          <w:color w:val="auto"/>
          <w:kern w:val="2"/>
          <w:sz w:val="32"/>
          <w:szCs w:val="32"/>
          <w:highlight w:val="none"/>
          <w:lang w:val="en-US" w:eastAsia="zh-CN" w:bidi="ar-SA"/>
        </w:rPr>
        <w:t>24</w:t>
      </w:r>
      <w:r>
        <w:rPr>
          <w:rFonts w:hint="eastAsia" w:ascii="Times New Roman" w:hAnsi="Times New Roman" w:eastAsia="仿宋_GB2312" w:cs="仿宋_GB2312"/>
          <w:color w:val="auto"/>
          <w:kern w:val="2"/>
          <w:sz w:val="32"/>
          <w:szCs w:val="32"/>
          <w:highlight w:val="none"/>
          <w:lang w:val="en-US" w:eastAsia="zh-CN" w:bidi="ar-SA"/>
        </w:rPr>
        <w:t>万元；3.秋季安全工作调研和教师节慰问接待</w:t>
      </w:r>
      <w:r>
        <w:rPr>
          <w:rFonts w:hint="eastAsia" w:eastAsia="仿宋_GB2312" w:cs="仿宋_GB2312"/>
          <w:color w:val="auto"/>
          <w:kern w:val="2"/>
          <w:sz w:val="32"/>
          <w:szCs w:val="32"/>
          <w:highlight w:val="none"/>
          <w:lang w:val="en-US" w:eastAsia="zh-CN" w:bidi="ar-SA"/>
        </w:rPr>
        <w:t>费</w:t>
      </w:r>
      <w:r>
        <w:rPr>
          <w:rFonts w:hint="eastAsia" w:ascii="Times New Roman" w:hAnsi="Times New Roman" w:eastAsia="仿宋_GB2312" w:cs="仿宋_GB2312"/>
          <w:color w:val="auto"/>
          <w:kern w:val="2"/>
          <w:sz w:val="32"/>
          <w:szCs w:val="32"/>
          <w:highlight w:val="none"/>
          <w:lang w:val="en-US" w:eastAsia="zh-CN" w:bidi="ar-SA"/>
        </w:rPr>
        <w:t>0.</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万元；4.乐山市委常委一行赴攀考察赛事承办接待费0.1</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万元；5.省教育厅来攀调研基础教育、网链共享计划、重点青少年关爱管理工作接待费</w:t>
      </w:r>
      <w:r>
        <w:rPr>
          <w:rFonts w:hint="eastAsia" w:eastAsia="仿宋_GB2312" w:cs="仿宋_GB2312"/>
          <w:color w:val="auto"/>
          <w:kern w:val="2"/>
          <w:sz w:val="32"/>
          <w:szCs w:val="32"/>
          <w:highlight w:val="none"/>
          <w:lang w:val="en-US" w:eastAsia="zh-CN" w:bidi="ar-SA"/>
        </w:rPr>
        <w:t>0.09</w:t>
      </w:r>
      <w:r>
        <w:rPr>
          <w:rFonts w:hint="eastAsia" w:ascii="Times New Roman" w:hAnsi="Times New Roman" w:eastAsia="仿宋_GB2312" w:cs="仿宋_GB2312"/>
          <w:color w:val="auto"/>
          <w:kern w:val="2"/>
          <w:sz w:val="32"/>
          <w:szCs w:val="32"/>
          <w:highlight w:val="none"/>
          <w:lang w:val="en-US" w:eastAsia="zh-CN" w:bidi="ar-SA"/>
        </w:rPr>
        <w:t>万元；6.省教育厅来攀开展十四五教育领域重点项目现场调度接待费0.</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bookmarkStart w:id="27" w:name="_Toc15377218"/>
      <w:bookmarkStart w:id="28" w:name="_Toc15396610"/>
      <w:r>
        <w:rPr>
          <w:rFonts w:hint="eastAsia" w:ascii="仿宋_GB2312" w:hAnsi="Times New Roman" w:eastAsia="仿宋_GB2312" w:cs="Times New Roman"/>
          <w:sz w:val="32"/>
          <w:szCs w:val="32"/>
          <w:lang w:val="en-US" w:eastAsia="zh-CN"/>
        </w:rPr>
        <w:t>0</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sz w:val="32"/>
          <w:szCs w:val="32"/>
        </w:rPr>
        <w:t>外事接待</w:t>
      </w:r>
      <w:r>
        <w:rPr>
          <w:rFonts w:hint="eastAsia" w:ascii="仿宋_GB2312" w:eastAsia="仿宋_GB2312"/>
          <w:sz w:val="32"/>
          <w:szCs w:val="32"/>
          <w:lang w:val="en-US" w:eastAsia="zh-CN"/>
        </w:rPr>
        <w:t>0</w:t>
      </w:r>
      <w:r>
        <w:rPr>
          <w:rFonts w:hint="eastAsia" w:ascii="仿宋_GB2312" w:eastAsia="仿宋_GB2312"/>
          <w:sz w:val="32"/>
          <w:szCs w:val="32"/>
        </w:rPr>
        <w:t>批次，</w:t>
      </w:r>
      <w:r>
        <w:rPr>
          <w:rFonts w:hint="eastAsia" w:ascii="仿宋_GB2312" w:eastAsia="仿宋_GB2312"/>
          <w:sz w:val="32"/>
          <w:szCs w:val="32"/>
          <w:lang w:val="en-US" w:eastAsia="zh-CN"/>
        </w:rPr>
        <w:t>0</w:t>
      </w:r>
      <w:r>
        <w:rPr>
          <w:rFonts w:hint="eastAsia" w:ascii="仿宋_GB2312" w:eastAsia="仿宋_GB2312"/>
          <w:sz w:val="32"/>
          <w:szCs w:val="32"/>
        </w:rPr>
        <w:t>人次（不包括陪同人员），共计支出</w:t>
      </w:r>
      <w:r>
        <w:rPr>
          <w:rFonts w:hint="eastAsia" w:ascii="仿宋_GB2312" w:eastAsia="仿宋_GB2312"/>
          <w:sz w:val="32"/>
          <w:szCs w:val="32"/>
          <w:lang w:val="en-US" w:eastAsia="zh-CN"/>
        </w:rPr>
        <w:t>0</w:t>
      </w:r>
      <w:r>
        <w:rPr>
          <w:rFonts w:hint="eastAsia" w:ascii="仿宋_GB2312" w:eastAsia="仿宋_GB2312"/>
          <w:sz w:val="32"/>
          <w:szCs w:val="32"/>
        </w:rPr>
        <w:t>万元。</w:t>
      </w:r>
    </w:p>
    <w:p>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27"/>
      <w:bookmarkEnd w:id="2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2025年度政府性基金预算财政拨款支出90万元，占本年支出合计的4.</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%。与2024年度相比，政府性基金预算财政拨款支出减少105.44万元，下降5</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没有土地开发支出和其他国有土地使用权出让收入安排的支出，且</w:t>
      </w:r>
      <w:r>
        <w:rPr>
          <w:rFonts w:hint="eastAsia" w:ascii="Times New Roman" w:hAnsi="Times New Roman" w:eastAsia="仿宋_GB2312" w:cs="仿宋_GB2312"/>
          <w:color w:val="auto"/>
          <w:kern w:val="2"/>
          <w:sz w:val="32"/>
          <w:szCs w:val="32"/>
          <w:highlight w:val="none"/>
          <w:lang w:val="en-US" w:eastAsia="zh-CN" w:bidi="ar-SA"/>
        </w:rPr>
        <w:t>体彩公益金支出减少。</w:t>
      </w:r>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29" w:name="_Toc15377219"/>
      <w:bookmarkStart w:id="30"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29"/>
      <w:bookmarkEnd w:id="3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2025年度国有资本经营预算财政拨款支出0万元。与2024年度相比，国有资本经营预算财政拨款支出与上年持平。</w:t>
      </w:r>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31" w:name="_Toc15396612"/>
      <w:bookmarkStart w:id="32"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31"/>
      <w:bookmarkEnd w:id="32"/>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22"/>
      <w:r>
        <w:rPr>
          <w:rFonts w:hint="eastAsia" w:ascii="Times New Roman" w:hAnsi="Times New Roman" w:eastAsia="楷体_GB2312" w:cs="楷体_GB2312"/>
          <w:b/>
          <w:color w:val="auto"/>
          <w:sz w:val="32"/>
          <w:szCs w:val="32"/>
          <w:highlight w:val="none"/>
        </w:rPr>
        <w:t>（一）机关运行经费支出情况</w:t>
      </w:r>
      <w:bookmarkEnd w:id="3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2025年度，四川省攀枝花市教育和体育局（本级）机关运行经费支出122万元，比2024年度减少26.34万元，下降17.</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%。主要原因是单位厉行节约，压缩开支。</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23"/>
      <w:r>
        <w:rPr>
          <w:rFonts w:hint="eastAsia" w:ascii="Times New Roman" w:hAnsi="Times New Roman" w:eastAsia="楷体_GB2312" w:cs="楷体_GB2312"/>
          <w:b/>
          <w:color w:val="auto"/>
          <w:sz w:val="32"/>
          <w:szCs w:val="32"/>
          <w:highlight w:val="none"/>
        </w:rPr>
        <w:t>（二）政府采购支出情况</w:t>
      </w:r>
      <w:bookmarkEnd w:id="3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四川省攀枝花市教育和体育局（本级）政府采购支出总额182.6万元，其中：政府采购货物支出0万元、政府采购工程支出0万元、政府采购服务支出182.6万元。主要用于教师国培采购。授予中小企业合同金额182.6万元，占政府采购支出总额的100%，其中：授予小微企业合同金额182.6万元，占政府采购支出总额的100%。</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5" w:name="_Toc15377224"/>
      <w:r>
        <w:rPr>
          <w:rFonts w:hint="eastAsia" w:ascii="Times New Roman" w:hAnsi="Times New Roman" w:eastAsia="楷体_GB2312" w:cs="楷体_GB2312"/>
          <w:b/>
          <w:color w:val="auto"/>
          <w:sz w:val="32"/>
          <w:szCs w:val="32"/>
          <w:highlight w:val="none"/>
        </w:rPr>
        <w:t>（三）国有资产占有使用情况</w:t>
      </w:r>
      <w:bookmarkEnd w:id="3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2025年12月31日，四川省攀枝花市教育和体育局（本级）共有车辆1辆，其中：主要负责人用车0辆、机要通信用车0辆、应急保障用车0辆、其他用车1辆，其他用车主要是用于单位日常公务出行。单价100万元（含）以上设备（不含车辆）0台（套）。</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本单位在2025年度预算编制阶段，组织对体彩公益金项目、财政教育资金项目等2个项目开展了预算事前绩效评估，对28个项目编制了绩效目标，预算执行过程中，选取28个项目开展绩效监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组织对2025年度一般公共预算、政府性基金预算、国有资本经营预算、社会保险基金预算以及资本资产、债券资金等全面开展绩效自评，形成市教育和体育局部门整体（含部门预算项目）绩效自评报告</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国培计划市州统筹实施等专项预算项目绩效自评报告</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绩效自评详见附件。</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36" w:name="_Toc15377225"/>
      <w:bookmarkStart w:id="37" w:name="_Toc15396613"/>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both"/>
        <w:outlineLvl w:val="0"/>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pStyle w:val="3"/>
        <w:rPr>
          <w:rFonts w:hint="eastAsia" w:ascii="Times New Roman" w:hAnsi="Times New Roman" w:eastAsia="黑体"/>
          <w:color w:val="auto"/>
          <w:sz w:val="44"/>
          <w:szCs w:val="44"/>
          <w:highlight w:val="none"/>
        </w:rPr>
      </w:pPr>
    </w:p>
    <w:p>
      <w:pPr>
        <w:pStyle w:val="3"/>
        <w:rPr>
          <w:rFonts w:hint="eastAsia" w:ascii="Times New Roman" w:hAnsi="Times New Roman" w:eastAsia="黑体"/>
          <w:color w:val="auto"/>
          <w:sz w:val="44"/>
          <w:szCs w:val="44"/>
          <w:highlight w:val="none"/>
        </w:rPr>
      </w:pPr>
    </w:p>
    <w:p>
      <w:pPr>
        <w:pStyle w:val="3"/>
        <w:rPr>
          <w:rFonts w:hint="eastAsia" w:ascii="Times New Roman" w:hAnsi="Times New Roman" w:eastAsia="黑体"/>
          <w:color w:val="auto"/>
          <w:sz w:val="44"/>
          <w:szCs w:val="44"/>
          <w:highlight w:val="none"/>
        </w:rPr>
      </w:pPr>
    </w:p>
    <w:p>
      <w:pPr>
        <w:pStyle w:val="3"/>
        <w:rPr>
          <w:rFonts w:hint="eastAsia"/>
        </w:rPr>
      </w:pPr>
    </w:p>
    <w:p>
      <w:pPr>
        <w:pStyle w:val="5"/>
        <w:jc w:val="center"/>
        <w:rPr>
          <w:rFonts w:hint="eastAsia" w:ascii="Times New Roman" w:hAnsi="Times New Roman" w:eastAsia="方正小标宋简体" w:cs="方正小标宋简体"/>
          <w:b w:val="0"/>
          <w:color w:val="auto"/>
          <w:highlight w:val="none"/>
        </w:rPr>
      </w:pPr>
    </w:p>
    <w:p>
      <w:pPr>
        <w:rPr>
          <w:rFonts w:hint="eastAsia"/>
        </w:rPr>
      </w:pPr>
    </w:p>
    <w:p>
      <w:pPr>
        <w:pStyle w:val="5"/>
        <w:jc w:val="center"/>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w:t>
      </w:r>
      <w:r>
        <w:rPr>
          <w:rFonts w:hint="eastAsia" w:ascii="Times New Roman" w:hAnsi="Times New Roman" w:eastAsia="方正小标宋简体" w:cs="方正小标宋简体"/>
          <w:b w:val="0"/>
          <w:color w:val="auto"/>
          <w:highlight w:val="none"/>
          <w:lang w:eastAsia="zh-CN"/>
        </w:rPr>
        <w:t>三</w:t>
      </w:r>
      <w:r>
        <w:rPr>
          <w:rFonts w:hint="eastAsia" w:ascii="Times New Roman" w:hAnsi="Times New Roman" w:eastAsia="方正小标宋简体" w:cs="方正小标宋简体"/>
          <w:b w:val="0"/>
          <w:color w:val="auto"/>
          <w:highlight w:val="none"/>
        </w:rPr>
        <w:t>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名词解释</w:t>
      </w:r>
      <w:bookmarkEnd w:id="36"/>
      <w:bookmarkEnd w:id="37"/>
    </w:p>
    <w:p>
      <w:pPr>
        <w:spacing w:line="600" w:lineRule="exact"/>
        <w:jc w:val="left"/>
        <w:rPr>
          <w:rFonts w:ascii="Times New Roman" w:hAnsi="Times New Roman"/>
          <w:b/>
          <w:color w:val="auto"/>
          <w:sz w:val="44"/>
          <w:szCs w:val="44"/>
          <w:highlight w:val="none"/>
        </w:rPr>
      </w:pPr>
    </w:p>
    <w:p>
      <w:pPr>
        <w:pStyle w:val="26"/>
        <w:spacing w:line="560" w:lineRule="exact"/>
        <w:ind w:firstLine="640" w:firstLineChars="200"/>
        <w:rPr>
          <w:rFonts w:ascii="仿宋_GB2312" w:eastAsia="仿宋_GB2312"/>
          <w:color w:val="auto"/>
          <w:sz w:val="32"/>
          <w:szCs w:val="32"/>
        </w:rPr>
      </w:pPr>
      <w:bookmarkStart w:id="38" w:name="_Toc15377226"/>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r>
        <w:rPr>
          <w:rFonts w:ascii="仿宋_GB2312" w:eastAsia="仿宋_GB2312"/>
          <w:color w:val="auto"/>
          <w:sz w:val="32"/>
          <w:szCs w:val="32"/>
        </w:rPr>
        <w:t xml:space="preserve"> </w:t>
      </w:r>
    </w:p>
    <w:p>
      <w:pPr>
        <w:pStyle w:val="26"/>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2</w:t>
      </w:r>
      <w:r>
        <w:rPr>
          <w:rFonts w:ascii="仿宋_GB2312" w:eastAsia="仿宋_GB2312"/>
          <w:color w:val="auto"/>
          <w:sz w:val="32"/>
          <w:szCs w:val="32"/>
        </w:rPr>
        <w:t>.</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pPr>
        <w:pStyle w:val="26"/>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lang w:val="en-US" w:eastAsia="zh-CN"/>
        </w:rPr>
        <w:t>3</w:t>
      </w:r>
      <w:r>
        <w:rPr>
          <w:rFonts w:hint="eastAsia" w:ascii="仿宋_GB2312" w:eastAsia="仿宋_GB2312"/>
          <w:color w:val="auto"/>
          <w:sz w:val="32"/>
          <w:szCs w:val="32"/>
        </w:rPr>
        <w:t>.年末结转和结余：指单位按有关规定结转到下年或以后年度继续使用的资金。</w:t>
      </w:r>
    </w:p>
    <w:p>
      <w:pPr>
        <w:widowControl/>
        <w:spacing w:line="560" w:lineRule="exact"/>
        <w:ind w:firstLine="660"/>
        <w:rPr>
          <w:rFonts w:hint="eastAsia" w:ascii="仿宋_GB2312" w:eastAsia="仿宋_GB2312"/>
          <w:color w:val="auto"/>
          <w:sz w:val="32"/>
          <w:szCs w:val="32"/>
        </w:rPr>
      </w:pPr>
      <w:r>
        <w:rPr>
          <w:rFonts w:hint="eastAsia" w:ascii="仿宋_GB2312" w:eastAsia="仿宋_GB2312" w:cs="仿宋_GB2312"/>
          <w:sz w:val="32"/>
          <w:szCs w:val="32"/>
          <w:lang w:val="en-US" w:eastAsia="zh-CN"/>
        </w:rPr>
        <w:t>4</w:t>
      </w:r>
      <w:r>
        <w:rPr>
          <w:rFonts w:ascii="仿宋_GB2312" w:eastAsia="仿宋_GB2312" w:cs="仿宋_GB2312"/>
          <w:sz w:val="32"/>
          <w:szCs w:val="32"/>
        </w:rPr>
        <w:t>.</w:t>
      </w:r>
      <w:r>
        <w:rPr>
          <w:rFonts w:ascii="仿宋_GB2312" w:eastAsia="仿宋_GB2312"/>
          <w:sz w:val="32"/>
          <w:szCs w:val="32"/>
        </w:rPr>
        <w:t>“</w:t>
      </w:r>
      <w:r>
        <w:rPr>
          <w:rFonts w:hint="eastAsia" w:ascii="仿宋_GB2312" w:eastAsia="仿宋_GB2312" w:cs="仿宋_GB2312"/>
          <w:sz w:val="32"/>
          <w:szCs w:val="32"/>
        </w:rPr>
        <w:t>三公</w:t>
      </w:r>
      <w:r>
        <w:rPr>
          <w:rFonts w:ascii="仿宋_GB2312" w:eastAsia="仿宋_GB2312"/>
          <w:sz w:val="32"/>
          <w:szCs w:val="32"/>
        </w:rPr>
        <w:t>”</w:t>
      </w:r>
      <w:r>
        <w:rPr>
          <w:rFonts w:hint="eastAsia" w:ascii="仿宋_GB2312" w:eastAsia="仿宋_GB2312" w:cs="仿宋_GB2312"/>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widowControl/>
        <w:spacing w:line="560" w:lineRule="exact"/>
        <w:ind w:firstLine="660"/>
        <w:rPr>
          <w:rFonts w:ascii="仿宋_GB2312" w:eastAsia="仿宋_GB2312"/>
          <w:sz w:val="32"/>
          <w:szCs w:val="32"/>
        </w:rPr>
      </w:pPr>
      <w:r>
        <w:rPr>
          <w:rFonts w:ascii="仿宋_GB2312" w:eastAsia="仿宋_GB2312" w:cs="仿宋_GB2312"/>
          <w:sz w:val="32"/>
          <w:szCs w:val="32"/>
        </w:rPr>
        <w:t>5.</w:t>
      </w:r>
      <w:r>
        <w:rPr>
          <w:rFonts w:hint="eastAsia" w:ascii="仿宋_GB2312" w:eastAsia="仿宋_GB2312" w:cs="仿宋_GB2312"/>
          <w:sz w:val="32"/>
          <w:szCs w:val="32"/>
        </w:rPr>
        <w:t>一般公共服务（类）组织事务（款）其他组织事务支出（项）：指其他用于中国共产党组织部门的事业支出。</w:t>
      </w:r>
    </w:p>
    <w:p>
      <w:pPr>
        <w:widowControl/>
        <w:spacing w:line="560" w:lineRule="exact"/>
        <w:ind w:firstLine="660"/>
        <w:rPr>
          <w:rFonts w:hint="eastAsia" w:ascii="仿宋_GB2312" w:eastAsia="仿宋_GB2312" w:cs="仿宋_GB2312"/>
          <w:sz w:val="32"/>
          <w:szCs w:val="32"/>
        </w:rPr>
      </w:pPr>
      <w:r>
        <w:rPr>
          <w:rFonts w:ascii="仿宋_GB2312" w:eastAsia="仿宋_GB2312" w:cs="仿宋_GB2312"/>
          <w:sz w:val="32"/>
          <w:szCs w:val="32"/>
        </w:rPr>
        <w:t>6.</w:t>
      </w:r>
      <w:r>
        <w:rPr>
          <w:rFonts w:hint="eastAsia" w:ascii="仿宋_GB2312" w:eastAsia="仿宋_GB2312" w:cs="仿宋_GB2312"/>
          <w:sz w:val="32"/>
          <w:szCs w:val="32"/>
        </w:rPr>
        <w:t>教育（类）教育管理事务（款）行政运行（项）：指反映行政单位（包括实行公务员管理的事业单位）教育方面的基本支出。教育（类）教育管理事务（款）一般行政管理事务（项）：指反映行政单位（包括实行公务员管理的事业单位）未单独设置项级科目的其他项目支出。教育（类）教育附加安排的支出（款）其他教育附加安排的支出（项）</w:t>
      </w:r>
      <w:r>
        <w:rPr>
          <w:rFonts w:ascii="仿宋_GB2312" w:eastAsia="仿宋_GB2312" w:cs="仿宋_GB2312"/>
          <w:sz w:val="32"/>
          <w:szCs w:val="32"/>
        </w:rPr>
        <w:t>:</w:t>
      </w:r>
      <w:r>
        <w:rPr>
          <w:rFonts w:hint="eastAsia" w:ascii="仿宋_GB2312" w:eastAsia="仿宋_GB2312" w:cs="仿宋_GB2312"/>
          <w:sz w:val="32"/>
          <w:szCs w:val="32"/>
        </w:rPr>
        <w:t>反映除农村中小学校舍建设、农村中小学教学设施、城市中小学校舍建设、城市中小学教学设施、中等职业学校教学设施以外的教育费附加支出。</w:t>
      </w:r>
    </w:p>
    <w:p>
      <w:pPr>
        <w:widowControl/>
        <w:spacing w:line="560" w:lineRule="exact"/>
        <w:ind w:firstLine="660"/>
        <w:rPr>
          <w:rFonts w:hint="eastAsia" w:ascii="仿宋_GB2312" w:eastAsia="仿宋_GB2312" w:cs="仿宋_GB2312"/>
          <w:sz w:val="32"/>
          <w:szCs w:val="32"/>
          <w:lang w:eastAsia="zh-CN"/>
        </w:rPr>
      </w:pPr>
      <w:r>
        <w:rPr>
          <w:rFonts w:ascii="仿宋_GB2312" w:eastAsia="仿宋_GB2312" w:cs="仿宋_GB2312"/>
          <w:sz w:val="32"/>
          <w:szCs w:val="32"/>
        </w:rPr>
        <w:t>7.</w:t>
      </w:r>
      <w:r>
        <w:rPr>
          <w:rFonts w:hint="eastAsia" w:ascii="仿宋_GB2312" w:eastAsia="仿宋_GB2312" w:cs="仿宋_GB2312"/>
          <w:sz w:val="32"/>
          <w:szCs w:val="32"/>
        </w:rPr>
        <w:t>文化体育与传媒（类）体育（款）一般行政管理事务（项）：指反映行政单位（包括实行公务员管理的事业单位）未单独设置项级科目的其他项目支出。</w:t>
      </w:r>
    </w:p>
    <w:p>
      <w:pPr>
        <w:widowControl/>
        <w:spacing w:line="560" w:lineRule="exact"/>
        <w:ind w:firstLine="660"/>
        <w:rPr>
          <w:rFonts w:hint="eastAsia" w:ascii="仿宋_GB2312" w:eastAsia="仿宋_GB2312" w:cs="仿宋_GB2312"/>
          <w:sz w:val="32"/>
          <w:szCs w:val="32"/>
        </w:rPr>
      </w:pPr>
      <w:r>
        <w:rPr>
          <w:rFonts w:ascii="仿宋_GB2312" w:eastAsia="仿宋_GB2312" w:cs="仿宋_GB2312"/>
          <w:sz w:val="32"/>
          <w:szCs w:val="32"/>
        </w:rPr>
        <w:t>8.</w:t>
      </w:r>
      <w:r>
        <w:rPr>
          <w:rFonts w:hint="eastAsia" w:ascii="仿宋_GB2312" w:eastAsia="仿宋_GB2312" w:cs="仿宋_GB2312"/>
          <w:sz w:val="32"/>
          <w:szCs w:val="32"/>
        </w:rPr>
        <w:t>社会保障和就业（类）行政事业单位离退休（款）机关事业单位基本养老保险缴费支出（项）：反映机关事业单位实施养老保险制度由单位缴纳的基本养老保险费支出。社会保障和就业（类）社会福利（款）儿童福利（项）：反映对儿童提供福利服务方面的支出。</w:t>
      </w:r>
    </w:p>
    <w:p>
      <w:pPr>
        <w:widowControl/>
        <w:spacing w:line="560" w:lineRule="exact"/>
        <w:ind w:firstLine="660"/>
        <w:rPr>
          <w:rFonts w:ascii="仿宋_GB2312" w:eastAsia="仿宋_GB2312"/>
          <w:sz w:val="32"/>
          <w:szCs w:val="32"/>
        </w:rPr>
      </w:pPr>
      <w:r>
        <w:rPr>
          <w:rFonts w:hint="eastAsia" w:ascii="仿宋_GB2312" w:eastAsia="仿宋_GB2312" w:cs="仿宋_GB2312"/>
          <w:sz w:val="32"/>
          <w:szCs w:val="32"/>
          <w:lang w:val="en-US" w:eastAsia="zh-CN"/>
        </w:rPr>
        <w:t>9</w:t>
      </w:r>
      <w:r>
        <w:rPr>
          <w:rFonts w:ascii="仿宋_GB2312" w:eastAsia="仿宋_GB2312" w:cs="仿宋_GB2312"/>
          <w:sz w:val="32"/>
          <w:szCs w:val="32"/>
        </w:rPr>
        <w:t>.</w:t>
      </w:r>
      <w:r>
        <w:rPr>
          <w:rFonts w:hint="eastAsia" w:ascii="仿宋_GB2312" w:eastAsia="仿宋_GB2312" w:cs="仿宋_GB2312"/>
          <w:sz w:val="32"/>
          <w:szCs w:val="32"/>
        </w:rPr>
        <w:t>基本支出：指为保障机构正常运转、完成日常工作任务而发生的人员支出和公用支出。</w:t>
      </w:r>
    </w:p>
    <w:p>
      <w:pPr>
        <w:pStyle w:val="8"/>
        <w:ind w:firstLine="640" w:firstLineChars="200"/>
        <w:rPr>
          <w:rFonts w:hint="eastAsia"/>
        </w:rPr>
      </w:pPr>
      <w:r>
        <w:rPr>
          <w:rFonts w:ascii="仿宋_GB2312" w:eastAsia="仿宋_GB2312" w:cs="仿宋_GB2312"/>
          <w:sz w:val="32"/>
          <w:szCs w:val="32"/>
        </w:rPr>
        <w:t>1</w:t>
      </w:r>
      <w:r>
        <w:rPr>
          <w:rFonts w:hint="eastAsia" w:cs="仿宋_GB2312"/>
          <w:sz w:val="32"/>
          <w:szCs w:val="32"/>
          <w:lang w:val="en-US" w:eastAsia="zh-CN"/>
        </w:rPr>
        <w:t>0</w:t>
      </w:r>
      <w:r>
        <w:rPr>
          <w:rFonts w:ascii="仿宋_GB2312" w:eastAsia="仿宋_GB2312" w:cs="仿宋_GB2312"/>
          <w:sz w:val="32"/>
          <w:szCs w:val="32"/>
        </w:rPr>
        <w:t>.</w:t>
      </w:r>
      <w:r>
        <w:rPr>
          <w:rFonts w:hint="eastAsia" w:ascii="仿宋_GB2312" w:eastAsia="仿宋_GB2312" w:cs="仿宋_GB2312"/>
          <w:sz w:val="32"/>
          <w:szCs w:val="32"/>
        </w:rPr>
        <w:t>项目支出：指在基本支出之外为完成特定行政任务和事业发展目标所发生的支出。</w:t>
      </w:r>
    </w:p>
    <w:p>
      <w:pPr>
        <w:widowControl/>
        <w:spacing w:line="560" w:lineRule="exact"/>
        <w:ind w:firstLine="660"/>
        <w:rPr>
          <w:rFonts w:ascii="仿宋_GB2312" w:eastAsia="仿宋_GB2312"/>
          <w:sz w:val="32"/>
          <w:szCs w:val="32"/>
        </w:rPr>
      </w:pPr>
      <w:r>
        <w:rPr>
          <w:rFonts w:ascii="仿宋_GB2312" w:eastAsia="仿宋_GB2312" w:cs="仿宋_GB2312"/>
          <w:sz w:val="32"/>
          <w:szCs w:val="32"/>
        </w:rPr>
        <w:t>1</w:t>
      </w:r>
      <w:r>
        <w:rPr>
          <w:rFonts w:hint="eastAsia" w:ascii="仿宋_GB2312" w:eastAsia="仿宋_GB2312" w:cs="仿宋_GB2312"/>
          <w:sz w:val="32"/>
          <w:szCs w:val="32"/>
          <w:lang w:val="en-US" w:eastAsia="zh-CN"/>
        </w:rPr>
        <w:t>1</w:t>
      </w:r>
      <w:r>
        <w:rPr>
          <w:rFonts w:ascii="仿宋_GB2312" w:eastAsia="仿宋_GB2312" w:cs="仿宋_GB2312"/>
          <w:sz w:val="32"/>
          <w:szCs w:val="32"/>
        </w:rPr>
        <w:t>.</w:t>
      </w:r>
      <w:r>
        <w:rPr>
          <w:rFonts w:hint="eastAsia" w:ascii="仿宋_GB2312" w:eastAsia="仿宋_GB2312" w:cs="仿宋_GB2312"/>
          <w:sz w:val="32"/>
          <w:szCs w:val="32"/>
        </w:rPr>
        <w:t>住房保障（类）住房改革支出（款）住房公积金（项）：指反映行政事业单位按人力资源和社会保障部、财政部规定的基本工资和津贴补贴以及规定比列为职工缴纳的住房公积金</w:t>
      </w:r>
    </w:p>
    <w:p>
      <w:pPr>
        <w:widowControl/>
        <w:spacing w:line="560" w:lineRule="exact"/>
        <w:ind w:firstLine="660"/>
        <w:rPr>
          <w:rFonts w:ascii="仿宋_GB2312" w:eastAsia="仿宋_GB2312" w:cs="仿宋_GB2312"/>
          <w:sz w:val="32"/>
          <w:szCs w:val="32"/>
        </w:rPr>
      </w:pPr>
      <w:r>
        <w:rPr>
          <w:rFonts w:ascii="仿宋_GB2312" w:eastAsia="仿宋_GB2312" w:cs="仿宋_GB2312"/>
          <w:sz w:val="32"/>
          <w:szCs w:val="32"/>
        </w:rPr>
        <w:t>1</w:t>
      </w:r>
      <w:r>
        <w:rPr>
          <w:rFonts w:hint="eastAsia" w:ascii="仿宋_GB2312" w:eastAsia="仿宋_GB2312" w:cs="仿宋_GB2312"/>
          <w:sz w:val="32"/>
          <w:szCs w:val="32"/>
          <w:lang w:val="en-US" w:eastAsia="zh-CN"/>
        </w:rPr>
        <w:t>2</w:t>
      </w:r>
      <w:r>
        <w:rPr>
          <w:rFonts w:ascii="仿宋_GB2312" w:eastAsia="仿宋_GB2312" w:cs="仿宋_GB2312"/>
          <w:sz w:val="32"/>
          <w:szCs w:val="32"/>
        </w:rPr>
        <w:t>.</w:t>
      </w:r>
      <w:r>
        <w:rPr>
          <w:rFonts w:hint="eastAsia" w:ascii="仿宋_GB2312" w:eastAsia="仿宋_GB2312" w:cs="仿宋_GB2312"/>
          <w:sz w:val="32"/>
          <w:szCs w:val="32"/>
        </w:rPr>
        <w:t>其他支出（类）彩票公益金及对应专项债务收入安排的支出（款）用于体育事业的彩票公益金支出（项）：反映用于体育事业的彩票公益金支出。</w:t>
      </w:r>
    </w:p>
    <w:p>
      <w:pPr>
        <w:widowControl/>
        <w:spacing w:line="560" w:lineRule="exact"/>
        <w:ind w:firstLine="660"/>
        <w:rPr>
          <w:rFonts w:ascii="仿宋_GB2312" w:eastAsia="仿宋_GB2312"/>
          <w:sz w:val="32"/>
          <w:szCs w:val="32"/>
        </w:rPr>
      </w:pPr>
      <w:r>
        <w:rPr>
          <w:rFonts w:ascii="仿宋_GB2312" w:eastAsia="仿宋_GB2312" w:cs="仿宋_GB2312"/>
          <w:sz w:val="32"/>
          <w:szCs w:val="32"/>
        </w:rPr>
        <w:t>1</w:t>
      </w:r>
      <w:r>
        <w:rPr>
          <w:rFonts w:hint="eastAsia" w:ascii="仿宋_GB2312" w:eastAsia="仿宋_GB2312" w:cs="仿宋_GB2312"/>
          <w:sz w:val="32"/>
          <w:szCs w:val="32"/>
          <w:lang w:val="en-US" w:eastAsia="zh-CN"/>
        </w:rPr>
        <w:t>3</w:t>
      </w:r>
      <w:r>
        <w:rPr>
          <w:rFonts w:ascii="仿宋_GB2312" w:eastAsia="仿宋_GB2312" w:cs="仿宋_GB2312"/>
          <w:sz w:val="32"/>
          <w:szCs w:val="32"/>
        </w:rPr>
        <w:t>.</w:t>
      </w:r>
      <w:r>
        <w:rPr>
          <w:rFonts w:hint="eastAsia" w:ascii="仿宋_GB2312"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28"/>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39"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39"/>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spacing w:line="600" w:lineRule="exact"/>
        <w:jc w:val="center"/>
        <w:outlineLvl w:val="0"/>
        <w:rPr>
          <w:rFonts w:hint="eastAsia"/>
          <w:sz w:val="32"/>
          <w:szCs w:val="32"/>
        </w:rPr>
      </w:pPr>
      <w:r>
        <w:rPr>
          <w:rFonts w:hint="eastAsia"/>
          <w:sz w:val="32"/>
          <w:szCs w:val="32"/>
        </w:rPr>
        <w:t>部门预算项目支出绩效自评表（2025年度）</w:t>
      </w:r>
    </w:p>
    <w:p>
      <w:pPr>
        <w:rPr>
          <w:rFonts w:hint="eastAsia" w:ascii="Times New Roman" w:hAnsi="Times New Roman" w:eastAsia="仿宋_GB2312" w:cs="仿宋_GB2312"/>
          <w:b w:val="0"/>
          <w:bCs w:val="0"/>
          <w:kern w:val="0"/>
          <w:position w:val="0"/>
          <w:sz w:val="32"/>
          <w:szCs w:val="32"/>
          <w:highlight w:val="none"/>
          <w:lang w:val="en-US" w:eastAsia="zh-CN" w:bidi="ar-SA"/>
        </w:rPr>
      </w:pPr>
      <w:bookmarkStart w:id="40"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38"/>
      <w:bookmarkEnd w:id="40"/>
      <w:bookmarkStart w:id="41"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2" w:name="_Toc15396620"/>
      <w:r>
        <w:rPr>
          <w:rFonts w:hint="eastAsia" w:ascii="Times New Roman" w:hAnsi="Times New Roman" w:eastAsia="仿宋_GB2312" w:cs="仿宋_GB2312"/>
          <w:color w:val="auto"/>
          <w:sz w:val="32"/>
          <w:szCs w:val="32"/>
          <w:highlight w:val="none"/>
        </w:rPr>
        <w:t>二、收入决算表</w:t>
      </w:r>
      <w:bookmarkEnd w:id="42"/>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3" w:name="_Toc15396621"/>
      <w:r>
        <w:rPr>
          <w:rFonts w:hint="eastAsia" w:ascii="Times New Roman" w:hAnsi="Times New Roman" w:eastAsia="仿宋_GB2312" w:cs="仿宋_GB2312"/>
          <w:color w:val="auto"/>
          <w:sz w:val="32"/>
          <w:szCs w:val="32"/>
          <w:highlight w:val="none"/>
        </w:rPr>
        <w:t>三、支出决算表</w:t>
      </w:r>
      <w:bookmarkEnd w:id="4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4" w:name="_Toc15396622"/>
      <w:r>
        <w:rPr>
          <w:rFonts w:hint="eastAsia" w:ascii="Times New Roman" w:hAnsi="Times New Roman" w:eastAsia="仿宋_GB2312" w:cs="仿宋_GB2312"/>
          <w:color w:val="auto"/>
          <w:sz w:val="32"/>
          <w:szCs w:val="32"/>
          <w:highlight w:val="none"/>
        </w:rPr>
        <w:t>四、财政拨款收入支出决算总表</w:t>
      </w:r>
      <w:bookmarkEnd w:id="4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5" w:name="_Toc15396623"/>
      <w:r>
        <w:rPr>
          <w:rFonts w:hint="eastAsia" w:ascii="Times New Roman" w:hAnsi="Times New Roman" w:eastAsia="仿宋_GB2312" w:cs="仿宋_GB2312"/>
          <w:color w:val="auto"/>
          <w:sz w:val="32"/>
          <w:szCs w:val="32"/>
          <w:highlight w:val="none"/>
        </w:rPr>
        <w:t>五、财政拨款支出决算明细表</w:t>
      </w:r>
      <w:bookmarkEnd w:id="45"/>
      <w:bookmarkStart w:id="46"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4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7" w:name="_Toc15396625"/>
      <w:r>
        <w:rPr>
          <w:rFonts w:hint="eastAsia" w:ascii="Times New Roman" w:hAnsi="Times New Roman" w:eastAsia="仿宋_GB2312" w:cs="仿宋_GB2312"/>
          <w:color w:val="auto"/>
          <w:sz w:val="32"/>
          <w:szCs w:val="32"/>
          <w:highlight w:val="none"/>
        </w:rPr>
        <w:t>七、一般公共预算财政拨款支出决算明细表</w:t>
      </w:r>
      <w:bookmarkEnd w:id="47"/>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8" w:name="_Toc15396626"/>
      <w:r>
        <w:rPr>
          <w:rFonts w:hint="eastAsia" w:ascii="Times New Roman" w:hAnsi="Times New Roman" w:eastAsia="仿宋_GB2312" w:cs="仿宋_GB2312"/>
          <w:color w:val="auto"/>
          <w:sz w:val="32"/>
          <w:szCs w:val="32"/>
          <w:highlight w:val="none"/>
        </w:rPr>
        <w:t>八、一般公共预算财政拨款基本支出决算表</w:t>
      </w:r>
      <w:bookmarkEnd w:id="4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7"/>
      <w:r>
        <w:rPr>
          <w:rFonts w:hint="eastAsia" w:ascii="Times New Roman" w:hAnsi="Times New Roman" w:eastAsia="仿宋_GB2312" w:cs="仿宋_GB2312"/>
          <w:color w:val="auto"/>
          <w:sz w:val="32"/>
          <w:szCs w:val="32"/>
          <w:highlight w:val="none"/>
        </w:rPr>
        <w:t>九、一般公共预算财政拨款项目支出决算表</w:t>
      </w:r>
      <w:bookmarkEnd w:id="4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8"/>
      <w:r>
        <w:rPr>
          <w:rFonts w:hint="eastAsia" w:ascii="Times New Roman" w:hAnsi="Times New Roman" w:eastAsia="仿宋_GB2312" w:cs="仿宋_GB2312"/>
          <w:color w:val="auto"/>
          <w:sz w:val="32"/>
          <w:szCs w:val="32"/>
          <w:highlight w:val="none"/>
        </w:rPr>
        <w:t>十、</w:t>
      </w:r>
      <w:bookmarkEnd w:id="50"/>
      <w:r>
        <w:rPr>
          <w:rFonts w:hint="eastAsia" w:ascii="Times New Roman" w:hAnsi="Times New Roman" w:eastAsia="仿宋_GB2312" w:cs="仿宋_GB2312"/>
          <w:color w:val="auto"/>
          <w:sz w:val="32"/>
          <w:szCs w:val="32"/>
          <w:highlight w:val="none"/>
        </w:rPr>
        <w:t>政府性基金预算财政拨款收入支出决算表</w:t>
      </w:r>
    </w:p>
    <w:p>
      <w:pPr>
        <w:pStyle w:val="14"/>
        <w:adjustRightInd w:val="0"/>
        <w:snapToGrid w:val="0"/>
        <w:spacing w:line="560" w:lineRule="exact"/>
        <w:jc w:val="left"/>
        <w:rPr>
          <w:rFonts w:eastAsia="仿宋_GB2312" w:cs="仿宋_GB2312"/>
          <w:sz w:val="32"/>
          <w:szCs w:val="32"/>
        </w:rPr>
      </w:pPr>
      <w:bookmarkStart w:id="51" w:name="_Toc15396629"/>
      <w:r>
        <w:rPr>
          <w:rFonts w:hint="eastAsia" w:eastAsia="仿宋_GB2312" w:cs="仿宋_GB2312"/>
          <w:sz w:val="32"/>
          <w:szCs w:val="32"/>
        </w:rPr>
        <w:t>十一、</w:t>
      </w:r>
      <w:bookmarkEnd w:id="51"/>
      <w:r>
        <w:rPr>
          <w:rFonts w:hint="eastAsia" w:eastAsia="仿宋_GB2312" w:cs="仿宋_GB2312"/>
          <w:sz w:val="32"/>
          <w:szCs w:val="32"/>
        </w:rPr>
        <w:t>国有资本经营预算财政拨款收入支出决算表</w:t>
      </w:r>
      <w:r>
        <w:rPr>
          <w:rFonts w:hint="eastAsia" w:eastAsia="仿宋_GB2312" w:cs="仿宋_GB2312"/>
          <w:sz w:val="32"/>
          <w:szCs w:val="32"/>
          <w:lang w:eastAsia="zh-CN"/>
        </w:rPr>
        <w:t>（</w:t>
      </w:r>
      <w:r>
        <w:rPr>
          <w:rFonts w:hint="eastAsia" w:eastAsia="仿宋_GB2312" w:cs="仿宋_GB2312"/>
          <w:sz w:val="32"/>
          <w:szCs w:val="32"/>
        </w:rPr>
        <w:t>此表无数据</w:t>
      </w:r>
      <w:r>
        <w:rPr>
          <w:rFonts w:hint="eastAsia" w:eastAsia="仿宋_GB2312" w:cs="仿宋_GB2312"/>
          <w:sz w:val="32"/>
          <w:szCs w:val="32"/>
          <w:lang w:eastAsia="zh-CN"/>
        </w:rPr>
        <w:t>）</w:t>
      </w:r>
    </w:p>
    <w:p>
      <w:pPr>
        <w:pStyle w:val="14"/>
        <w:adjustRightInd w:val="0"/>
        <w:snapToGrid w:val="0"/>
        <w:spacing w:line="560" w:lineRule="exact"/>
        <w:jc w:val="left"/>
        <w:rPr>
          <w:rFonts w:hint="eastAsia" w:ascii="Times New Roman" w:hAnsi="Times New Roman" w:eastAsia="仿宋_GB2312" w:cs="仿宋_GB2312"/>
          <w:color w:val="auto"/>
          <w:sz w:val="32"/>
          <w:szCs w:val="32"/>
          <w:highlight w:val="none"/>
        </w:rPr>
      </w:pPr>
      <w:bookmarkStart w:id="52" w:name="_Toc15396630"/>
      <w:r>
        <w:rPr>
          <w:rFonts w:hint="eastAsia" w:eastAsia="仿宋_GB2312" w:cs="仿宋_GB2312"/>
          <w:sz w:val="32"/>
          <w:szCs w:val="32"/>
        </w:rPr>
        <w:t>十二、</w:t>
      </w:r>
      <w:bookmarkEnd w:id="52"/>
      <w:r>
        <w:rPr>
          <w:rFonts w:hint="eastAsia" w:eastAsia="仿宋_GB2312" w:cs="仿宋_GB2312"/>
          <w:sz w:val="32"/>
          <w:szCs w:val="32"/>
        </w:rPr>
        <w:t>国有资本经营预算财政拨款支出决算表</w:t>
      </w:r>
      <w:r>
        <w:rPr>
          <w:rFonts w:hint="eastAsia" w:eastAsia="仿宋_GB2312" w:cs="仿宋_GB2312"/>
          <w:sz w:val="32"/>
          <w:szCs w:val="32"/>
          <w:lang w:eastAsia="zh-CN"/>
        </w:rPr>
        <w:t>（</w:t>
      </w:r>
      <w:r>
        <w:rPr>
          <w:rFonts w:hint="eastAsia" w:eastAsia="仿宋_GB2312" w:cs="仿宋_GB2312"/>
          <w:sz w:val="32"/>
          <w:szCs w:val="32"/>
        </w:rPr>
        <w:t>此表无数据</w:t>
      </w:r>
      <w:r>
        <w:rPr>
          <w:rFonts w:hint="eastAsia" w:eastAsia="仿宋_GB2312" w:cs="仿宋_GB2312"/>
          <w:sz w:val="32"/>
          <w:szCs w:val="32"/>
          <w:lang w:eastAsia="zh-CN"/>
        </w:rPr>
        <w:t>）</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53" w:name="_Toc15396631"/>
      <w:r>
        <w:rPr>
          <w:rFonts w:hint="eastAsia" w:ascii="Times New Roman" w:hAnsi="Times New Roman" w:eastAsia="仿宋_GB2312" w:cs="仿宋_GB2312"/>
          <w:color w:val="auto"/>
          <w:sz w:val="32"/>
          <w:szCs w:val="32"/>
          <w:highlight w:val="none"/>
        </w:rPr>
        <w:t>十三、</w:t>
      </w:r>
      <w:bookmarkEnd w:id="53"/>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numberInDash"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Unicode"/>
    <w:panose1 w:val="020F0502020204030204"/>
    <w:charset w:val="00"/>
    <w:family w:val="swiss"/>
    <w:pitch w:val="default"/>
    <w:sig w:usb0="00000000" w:usb1="00000000" w:usb2="00000001" w:usb3="00000000" w:csb0="0000019F" w:csb1="00000000"/>
  </w:font>
  <w:font w:name="Cambria">
    <w:altName w:val="Palatino Linotype"/>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
    <w:altName w:val="Courier New"/>
    <w:panose1 w:val="00000000000000000000"/>
    <w:charset w:val="00"/>
    <w:family w:val="roman"/>
    <w:pitch w:val="default"/>
    <w:sig w:usb0="00000000" w:usb1="00000000" w:usb2="00000000" w:usb3="00000000" w:csb0="00000000" w:csb1="00000000"/>
  </w:font>
  <w:font w:name="方正小标宋简体">
    <w:altName w:val="仿宋_GB2312"/>
    <w:panose1 w:val="03000509000000000000"/>
    <w:charset w:val="86"/>
    <w:family w:val="script"/>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Lucida Sans Unicode">
    <w:panose1 w:val="020B0602030504020204"/>
    <w:charset w:val="00"/>
    <w:family w:val="auto"/>
    <w:pitch w:val="default"/>
    <w:sig w:usb0="80001AFF" w:usb1="0000396B" w:usb2="00000000" w:usb3="00000000" w:csb0="0000003F" w:csb1="D7F70000"/>
  </w:font>
  <w:font w:name="Palatino Linotype">
    <w:panose1 w:val="02040502050505030304"/>
    <w:charset w:val="00"/>
    <w:family w:val="auto"/>
    <w:pitch w:val="default"/>
    <w:sig w:usb0="E00003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9tdHoS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M9tdHoSAgAAFQQAAA4AAAAAAAAAAQAg&#10;AAAAHwEAAGRycy9lMm9Eb2MueG1sUEsFBgAAAAAGAAYAWQEAAKM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- 1 -</w:t>
                    </w:r>
                    <w:r>
                      <w:fldChar w:fldCharType="end"/>
                    </w:r>
                  </w:p>
                </w:txbxContent>
              </v:textbox>
            </v:shape>
          </w:pict>
        </mc:Fallback>
      </mc:AlternateContent>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hint="eastAsia" w:eastAsia="宋体"/>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o7Kn4U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CjsqfhQCAAAVBAAADgAAAAAAAAAB&#10;ACAAAAAfAQAAZHJzL2Uyb0RvYy54bWxQSwUGAAAAAAYABgBZAQAApQ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doX50U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B2hfnRQCAAAVBAAADgAAAAAAAAAB&#10;ACAAAAAfAQAAZHJzL2Uyb0RvYy54bWxQSwUGAAAAAAYABgBZAQAApQ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- 2 -</w:t>
                    </w:r>
                    <w:r>
                      <w:fldChar w:fldCharType="end"/>
                    </w:r>
                  </w:p>
                </w:txbxContent>
              </v:textbox>
            </v:shape>
          </w:pict>
        </mc:Fallback>
      </mc:AlternateContent>
    </w: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hint="eastAsia"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XAyHIU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RcDIchQCAAAVBAAADgAAAAAAAAAB&#10;ACAAAAAfAQAAZHJzL2Uyb0RvYy54bWxQSwUGAAAAAAYABgBZAQAApQ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60F912"/>
    <w:multiLevelType w:val="singleLevel"/>
    <w:tmpl w:val="E460F91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52E47BF"/>
    <w:rsid w:val="057F7DE6"/>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C56062"/>
    <w:rsid w:val="12E24EE2"/>
    <w:rsid w:val="13D50BC4"/>
    <w:rsid w:val="14B17F78"/>
    <w:rsid w:val="165E0673"/>
    <w:rsid w:val="16B831D5"/>
    <w:rsid w:val="16BB723D"/>
    <w:rsid w:val="17D2703E"/>
    <w:rsid w:val="17E50567"/>
    <w:rsid w:val="186504BB"/>
    <w:rsid w:val="19A445FC"/>
    <w:rsid w:val="1A922F14"/>
    <w:rsid w:val="1BE8440E"/>
    <w:rsid w:val="1D155CEE"/>
    <w:rsid w:val="1D1638FE"/>
    <w:rsid w:val="1E312DEB"/>
    <w:rsid w:val="1E740ACF"/>
    <w:rsid w:val="1F9BF387"/>
    <w:rsid w:val="1FF35744"/>
    <w:rsid w:val="1FF6BC77"/>
    <w:rsid w:val="2186353C"/>
    <w:rsid w:val="22941CAE"/>
    <w:rsid w:val="23411F47"/>
    <w:rsid w:val="23860B96"/>
    <w:rsid w:val="240371BF"/>
    <w:rsid w:val="244F3473"/>
    <w:rsid w:val="24635B2C"/>
    <w:rsid w:val="24C97D99"/>
    <w:rsid w:val="25A718F0"/>
    <w:rsid w:val="25BB59F6"/>
    <w:rsid w:val="260F557C"/>
    <w:rsid w:val="26970054"/>
    <w:rsid w:val="281408E2"/>
    <w:rsid w:val="29FD04D3"/>
    <w:rsid w:val="2BFF7BC6"/>
    <w:rsid w:val="2C7357CA"/>
    <w:rsid w:val="2C8A61B5"/>
    <w:rsid w:val="2D9D52C6"/>
    <w:rsid w:val="2DD72D11"/>
    <w:rsid w:val="2DF04E50"/>
    <w:rsid w:val="2E586DFA"/>
    <w:rsid w:val="2F040D46"/>
    <w:rsid w:val="2F6B035B"/>
    <w:rsid w:val="2FAE5751"/>
    <w:rsid w:val="2FB1A395"/>
    <w:rsid w:val="2FD9A7D8"/>
    <w:rsid w:val="2FDBF714"/>
    <w:rsid w:val="30AB6865"/>
    <w:rsid w:val="319F7F4E"/>
    <w:rsid w:val="32BD1EF1"/>
    <w:rsid w:val="3304709D"/>
    <w:rsid w:val="339E7474"/>
    <w:rsid w:val="33A773CB"/>
    <w:rsid w:val="349D6851"/>
    <w:rsid w:val="36AA5135"/>
    <w:rsid w:val="36BE0DA7"/>
    <w:rsid w:val="36F66A37"/>
    <w:rsid w:val="376B6AA6"/>
    <w:rsid w:val="376D39B2"/>
    <w:rsid w:val="37E16F03"/>
    <w:rsid w:val="37F53A3B"/>
    <w:rsid w:val="389B6C89"/>
    <w:rsid w:val="38D469F0"/>
    <w:rsid w:val="39627CCD"/>
    <w:rsid w:val="397BAF1F"/>
    <w:rsid w:val="3AB79AF3"/>
    <w:rsid w:val="3ABF712A"/>
    <w:rsid w:val="3AE834C0"/>
    <w:rsid w:val="3B7EF35A"/>
    <w:rsid w:val="3B7FF45E"/>
    <w:rsid w:val="3B9FDB6C"/>
    <w:rsid w:val="3BF5BC2F"/>
    <w:rsid w:val="3CAD1BCF"/>
    <w:rsid w:val="3CEBA265"/>
    <w:rsid w:val="3D980719"/>
    <w:rsid w:val="3D98207C"/>
    <w:rsid w:val="3DEE7CF3"/>
    <w:rsid w:val="3E740A63"/>
    <w:rsid w:val="3E78745D"/>
    <w:rsid w:val="3EE17838"/>
    <w:rsid w:val="3F55381A"/>
    <w:rsid w:val="3F7F7599"/>
    <w:rsid w:val="3F870E21"/>
    <w:rsid w:val="3FF4CAE0"/>
    <w:rsid w:val="3FF7B227"/>
    <w:rsid w:val="41A13D72"/>
    <w:rsid w:val="447572D5"/>
    <w:rsid w:val="44E268DA"/>
    <w:rsid w:val="450D13D7"/>
    <w:rsid w:val="45506656"/>
    <w:rsid w:val="486A6C7A"/>
    <w:rsid w:val="4A627F82"/>
    <w:rsid w:val="4B0E749A"/>
    <w:rsid w:val="4B2477C4"/>
    <w:rsid w:val="4B4F25DA"/>
    <w:rsid w:val="4BE068DB"/>
    <w:rsid w:val="4C2D26A8"/>
    <w:rsid w:val="4D577224"/>
    <w:rsid w:val="4DBF1CEB"/>
    <w:rsid w:val="4DF0007C"/>
    <w:rsid w:val="4EAB630A"/>
    <w:rsid w:val="4ECE2238"/>
    <w:rsid w:val="4F833267"/>
    <w:rsid w:val="4FE9BD67"/>
    <w:rsid w:val="4FFB052F"/>
    <w:rsid w:val="537E6D0A"/>
    <w:rsid w:val="53F74C96"/>
    <w:rsid w:val="54A04440"/>
    <w:rsid w:val="55170BA8"/>
    <w:rsid w:val="553218C9"/>
    <w:rsid w:val="567E1AA5"/>
    <w:rsid w:val="56E47B74"/>
    <w:rsid w:val="57175D52"/>
    <w:rsid w:val="57BD3DD4"/>
    <w:rsid w:val="59A067D3"/>
    <w:rsid w:val="5AEE2CDF"/>
    <w:rsid w:val="5AF92295"/>
    <w:rsid w:val="5B250254"/>
    <w:rsid w:val="5B6854AA"/>
    <w:rsid w:val="5BAF5A18"/>
    <w:rsid w:val="5BDD79E6"/>
    <w:rsid w:val="5BF561CA"/>
    <w:rsid w:val="5BFF5DFC"/>
    <w:rsid w:val="5CD71FC4"/>
    <w:rsid w:val="5CF43D06"/>
    <w:rsid w:val="5D1F11B5"/>
    <w:rsid w:val="5D695134"/>
    <w:rsid w:val="5DAE1B18"/>
    <w:rsid w:val="5DE7D9E5"/>
    <w:rsid w:val="5ECEC941"/>
    <w:rsid w:val="5F7F6802"/>
    <w:rsid w:val="5FBF9FF3"/>
    <w:rsid w:val="5FCD4E2C"/>
    <w:rsid w:val="5FEF394A"/>
    <w:rsid w:val="5FF51729"/>
    <w:rsid w:val="5FF67715"/>
    <w:rsid w:val="628F1322"/>
    <w:rsid w:val="62BF3928"/>
    <w:rsid w:val="63B3701E"/>
    <w:rsid w:val="647F5392"/>
    <w:rsid w:val="65E66580"/>
    <w:rsid w:val="65F93416"/>
    <w:rsid w:val="664B1D71"/>
    <w:rsid w:val="664B4E8E"/>
    <w:rsid w:val="67277B67"/>
    <w:rsid w:val="67AA3209"/>
    <w:rsid w:val="67FC6A6D"/>
    <w:rsid w:val="68DF1F25"/>
    <w:rsid w:val="69150626"/>
    <w:rsid w:val="698D0931"/>
    <w:rsid w:val="6A7FE5F3"/>
    <w:rsid w:val="6B053271"/>
    <w:rsid w:val="6BDD78B3"/>
    <w:rsid w:val="6BEE61E1"/>
    <w:rsid w:val="6C4A05C8"/>
    <w:rsid w:val="6C8742B8"/>
    <w:rsid w:val="6DBF5E93"/>
    <w:rsid w:val="6DF6187B"/>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1FF6ED3"/>
    <w:rsid w:val="72233669"/>
    <w:rsid w:val="72734D90"/>
    <w:rsid w:val="73160E6D"/>
    <w:rsid w:val="7332FE48"/>
    <w:rsid w:val="73AB61DA"/>
    <w:rsid w:val="73AD73D5"/>
    <w:rsid w:val="73B6EB34"/>
    <w:rsid w:val="73FA497D"/>
    <w:rsid w:val="744731E5"/>
    <w:rsid w:val="74BBD01D"/>
    <w:rsid w:val="74ED5379"/>
    <w:rsid w:val="74FF26CD"/>
    <w:rsid w:val="75DEEEC2"/>
    <w:rsid w:val="75E32345"/>
    <w:rsid w:val="764A7956"/>
    <w:rsid w:val="76E3355F"/>
    <w:rsid w:val="76FF5125"/>
    <w:rsid w:val="776F6FFA"/>
    <w:rsid w:val="778769C8"/>
    <w:rsid w:val="77A75DCA"/>
    <w:rsid w:val="77DC22F5"/>
    <w:rsid w:val="783E271A"/>
    <w:rsid w:val="78616DE9"/>
    <w:rsid w:val="78E875D7"/>
    <w:rsid w:val="79086DAD"/>
    <w:rsid w:val="79A83119"/>
    <w:rsid w:val="79D7FD79"/>
    <w:rsid w:val="79EE5BA4"/>
    <w:rsid w:val="7A894339"/>
    <w:rsid w:val="7AD284E8"/>
    <w:rsid w:val="7AFF7572"/>
    <w:rsid w:val="7B6C7DFB"/>
    <w:rsid w:val="7BBFBED0"/>
    <w:rsid w:val="7BC3E394"/>
    <w:rsid w:val="7C1F3737"/>
    <w:rsid w:val="7CBFC87B"/>
    <w:rsid w:val="7CFE0F48"/>
    <w:rsid w:val="7D272ABC"/>
    <w:rsid w:val="7D7EC23E"/>
    <w:rsid w:val="7E8ADEBF"/>
    <w:rsid w:val="7EEF11D3"/>
    <w:rsid w:val="7EFA51AA"/>
    <w:rsid w:val="7EFE4840"/>
    <w:rsid w:val="7F0971A6"/>
    <w:rsid w:val="7F1D62E7"/>
    <w:rsid w:val="7F3F679B"/>
    <w:rsid w:val="7F4FC4EF"/>
    <w:rsid w:val="7F5E4D54"/>
    <w:rsid w:val="7F6E0135"/>
    <w:rsid w:val="7F79F205"/>
    <w:rsid w:val="7F8D610B"/>
    <w:rsid w:val="7FA30C79"/>
    <w:rsid w:val="7FA79C44"/>
    <w:rsid w:val="7FAF8ABF"/>
    <w:rsid w:val="7FB7269E"/>
    <w:rsid w:val="7FC96657"/>
    <w:rsid w:val="7FDA9588"/>
    <w:rsid w:val="7FDF220F"/>
    <w:rsid w:val="7FEDC5F7"/>
    <w:rsid w:val="7FEDD9DE"/>
    <w:rsid w:val="7FF5890D"/>
    <w:rsid w:val="7FF7CF3B"/>
    <w:rsid w:val="7FF93490"/>
    <w:rsid w:val="99FF2014"/>
    <w:rsid w:val="9BFAF317"/>
    <w:rsid w:val="A6DD0D7F"/>
    <w:rsid w:val="ACFF4FBB"/>
    <w:rsid w:val="ADC6F725"/>
    <w:rsid w:val="AFBE4A17"/>
    <w:rsid w:val="B6EF3A2E"/>
    <w:rsid w:val="B7CF06AB"/>
    <w:rsid w:val="B7CFA926"/>
    <w:rsid w:val="B7F8786B"/>
    <w:rsid w:val="BABB6AA1"/>
    <w:rsid w:val="BB2F4199"/>
    <w:rsid w:val="BCFFB442"/>
    <w:rsid w:val="BD079C78"/>
    <w:rsid w:val="BD733540"/>
    <w:rsid w:val="BF3735D5"/>
    <w:rsid w:val="BF7F09AC"/>
    <w:rsid w:val="BFD475C3"/>
    <w:rsid w:val="BFDE5EA6"/>
    <w:rsid w:val="CBDCD293"/>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E6E0512"/>
    <w:rsid w:val="EF2E1AC6"/>
    <w:rsid w:val="EF53993F"/>
    <w:rsid w:val="EF6FD633"/>
    <w:rsid w:val="EFBFB2F4"/>
    <w:rsid w:val="EFBFFA21"/>
    <w:rsid w:val="F2BEBCB8"/>
    <w:rsid w:val="F36FB518"/>
    <w:rsid w:val="F3DE1A04"/>
    <w:rsid w:val="F3F722E5"/>
    <w:rsid w:val="F4FBCD07"/>
    <w:rsid w:val="F7F392CA"/>
    <w:rsid w:val="F8DA3183"/>
    <w:rsid w:val="F9BE5977"/>
    <w:rsid w:val="FA5F1E70"/>
    <w:rsid w:val="FA5FDB97"/>
    <w:rsid w:val="FB7F486A"/>
    <w:rsid w:val="FBFF5B2E"/>
    <w:rsid w:val="FD7FFE2B"/>
    <w:rsid w:val="FDEE196B"/>
    <w:rsid w:val="FDFE6575"/>
    <w:rsid w:val="FE7B2478"/>
    <w:rsid w:val="FEBE27B4"/>
    <w:rsid w:val="FEDFDDC2"/>
    <w:rsid w:val="FEED32F6"/>
    <w:rsid w:val="FEF781DD"/>
    <w:rsid w:val="FF3F7E3F"/>
    <w:rsid w:val="FFBA12D7"/>
    <w:rsid w:val="FFCBD314"/>
    <w:rsid w:val="FFDFF91C"/>
    <w:rsid w:val="FFDFFAEE"/>
    <w:rsid w:val="FFEF6777"/>
    <w:rsid w:val="FFF70A81"/>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7.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2460.64</c:v>
                </c:pt>
                <c:pt idx="1">
                  <c:v>2163.24</c:v>
                </c:pt>
              </c:numCache>
            </c:numRef>
          </c:val>
        </c:ser>
        <c:ser>
          <c:idx val="1"/>
          <c:order val="1"/>
          <c:tx>
            <c:strRef>
              <c:f>Sheet1!$C$1</c:f>
              <c:strCache>
                <c:ptCount val="1"/>
                <c:pt idx="0">
                  <c:v>支出</c:v>
                </c:pt>
              </c:strCache>
            </c:strRef>
          </c:tx>
          <c:invertIfNegative val="0"/>
          <c:dLbls>
            <c:delete val="1"/>
          </c:dLbls>
          <c:cat>
            <c:strRef>
              <c:f>Sheet1!$A$2:$A$3</c:f>
              <c:strCache>
                <c:ptCount val="2"/>
                <c:pt idx="0">
                  <c:v>2024年</c:v>
                </c:pt>
                <c:pt idx="1">
                  <c:v>2025年</c:v>
                </c:pt>
              </c:strCache>
            </c:strRef>
          </c:cat>
          <c:val>
            <c:numRef>
              <c:f>Sheet1!$C$2:$C$3</c:f>
              <c:numCache>
                <c:formatCode>General</c:formatCode>
                <c:ptCount val="2"/>
                <c:pt idx="0">
                  <c:v>2460.64</c:v>
                </c:pt>
                <c:pt idx="1">
                  <c:v>2163.24</c:v>
                </c:pt>
              </c:numCache>
            </c:numRef>
          </c:val>
        </c:ser>
        <c:dLbls>
          <c:showLegendKey val="0"/>
          <c:showVal val="0"/>
          <c:showCatName val="0"/>
          <c:showSerName val="0"/>
          <c:showPercent val="0"/>
          <c:showBubbleSize val="0"/>
        </c:dLbls>
        <c:gapWidth val="150"/>
        <c:axId val="61114624"/>
        <c:axId val="61120896"/>
      </c:barChart>
      <c:catAx>
        <c:axId val="61114624"/>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61120896"/>
        <c:crosses val="autoZero"/>
        <c:auto val="1"/>
        <c:lblAlgn val="ctr"/>
        <c:lblOffset val="100"/>
        <c:noMultiLvlLbl val="0"/>
      </c:catAx>
      <c:valAx>
        <c:axId val="61120896"/>
        <c:scaling>
          <c:orientation val="minMax"/>
          <c:max val="2600"/>
          <c:min val="2000"/>
        </c:scaling>
        <c:delete val="0"/>
        <c:axPos val="l"/>
        <c:majorGridlines/>
        <c:minorGridlines/>
        <c:numFmt formatCode="General" sourceLinked="1"/>
        <c:majorTickMark val="out"/>
        <c:minorTickMark val="none"/>
        <c:tickLblPos val="nextTo"/>
        <c:spPr>
          <a:noFill/>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61114624"/>
        <c:crosses val="autoZero"/>
        <c:crossBetween val="between"/>
      </c:valAx>
      <c:spPr>
        <a:solidFill>
          <a:schemeClr val="bg1"/>
        </a:solid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各项收入占比</c:v>
                </c:pt>
              </c:strCache>
            </c:strRef>
          </c:tx>
          <c:explosion val="25"/>
          <c:dPt>
            <c:idx val="0"/>
            <c:bubble3D val="0"/>
          </c:dPt>
          <c:dPt>
            <c:idx val="1"/>
            <c:bubble3D val="0"/>
          </c:dPt>
          <c:dPt>
            <c:idx val="2"/>
            <c:bubble3D val="0"/>
          </c:dPt>
          <c:dPt>
            <c:idx val="3"/>
            <c:bubble3D val="0"/>
          </c:dPt>
          <c:dLbls>
            <c:dLbl>
              <c:idx val="1"/>
              <c:layout>
                <c:manualLayout>
                  <c:x val="-0.156516117121955"/>
                  <c:y val="-0.0101370742867935"/>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101474312220931"/>
                  <c:y val="0.0078229330798487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070614923654711"/>
                  <c:y val="-0.03424490697766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Sheet1!$A$2:$A$5</c:f>
              <c:strCache>
                <c:ptCount val="4"/>
                <c:pt idx="0">
                  <c:v>一般公共预算财政拨款收入</c:v>
                </c:pt>
                <c:pt idx="1">
                  <c:v>政府性基金预算财政拨款收入</c:v>
                </c:pt>
                <c:pt idx="2">
                  <c:v>其他收入</c:v>
                </c:pt>
                <c:pt idx="3">
                  <c:v>事业收入</c:v>
                </c:pt>
              </c:strCache>
            </c:strRef>
          </c:cat>
          <c:val>
            <c:numRef>
              <c:f>Sheet1!$B$2:$B$5</c:f>
              <c:numCache>
                <c:formatCode>General</c:formatCode>
                <c:ptCount val="4"/>
                <c:pt idx="0">
                  <c:v>2029.69</c:v>
                </c:pt>
                <c:pt idx="1">
                  <c:v>90</c:v>
                </c:pt>
                <c:pt idx="2">
                  <c:v>43.55</c:v>
                </c:pt>
                <c:pt idx="3">
                  <c:v>0</c:v>
                </c:pt>
              </c:numCache>
            </c:numRef>
          </c:val>
        </c:ser>
        <c:dLbls>
          <c:showLegendKey val="0"/>
          <c:showVal val="0"/>
          <c:showCatName val="0"/>
          <c:showSerName val="0"/>
          <c:showPercent val="1"/>
          <c:showBubbleSize val="0"/>
          <c:showLeaderLines val="1"/>
        </c:dLbls>
        <c:firstSliceAng val="15"/>
      </c:pieChart>
      <c:spPr>
        <a:noFill/>
        <a:ln w="25400">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各项支出占比</c:v>
                </c:pt>
              </c:strCache>
            </c:strRef>
          </c:tx>
          <c:explosion val="25"/>
          <c:dPt>
            <c:idx val="0"/>
            <c:bubble3D val="0"/>
          </c:dPt>
          <c:dPt>
            <c:idx val="1"/>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基本支出</c:v>
                </c:pt>
                <c:pt idx="1">
                  <c:v>项目支出</c:v>
                </c:pt>
              </c:strCache>
            </c:strRef>
          </c:cat>
          <c:val>
            <c:numRef>
              <c:f>Sheet1!$B$2:$B$3</c:f>
              <c:numCache>
                <c:formatCode>General</c:formatCode>
                <c:ptCount val="2"/>
                <c:pt idx="0">
                  <c:v>1691.79</c:v>
                </c:pt>
                <c:pt idx="1">
                  <c:v>471.45</c:v>
                </c:pt>
              </c:numCache>
            </c:numRef>
          </c:val>
        </c:ser>
        <c:dLbls>
          <c:showLegendKey val="0"/>
          <c:showVal val="0"/>
          <c:showCatName val="0"/>
          <c:showSerName val="0"/>
          <c:showPercent val="1"/>
          <c:showBubbleSize val="0"/>
          <c:showLeaderLines val="1"/>
        </c:dLbls>
        <c:firstSliceAng val="15"/>
      </c:pieChart>
      <c:spPr>
        <a:noFill/>
        <a:ln w="25400">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
                </c:pt>
              </c:strCache>
            </c:strRef>
          </c:tx>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invertIfNegative val="0"/>
          <c:dLbls>
            <c:delete val="1"/>
          </c:dLbls>
          <c:cat>
            <c:strRef>
              <c:f>Sheet1!$A$2:$A$3</c:f>
              <c:strCache>
                <c:ptCount val="2"/>
                <c:pt idx="0">
                  <c:v>2025年财政拨款收支</c:v>
                </c:pt>
                <c:pt idx="1">
                  <c:v>2024年财政拨款收支</c:v>
                </c:pt>
              </c:strCache>
            </c:strRef>
          </c:cat>
          <c:val>
            <c:numRef>
              <c:f>Sheet1!$B$2:$B$3</c:f>
              <c:numCache>
                <c:formatCode>General</c:formatCode>
                <c:ptCount val="2"/>
                <c:pt idx="0">
                  <c:v>2119.69</c:v>
                </c:pt>
                <c:pt idx="1">
                  <c:v>2421.2</c:v>
                </c:pt>
              </c:numCache>
            </c:numRef>
          </c:val>
        </c:ser>
        <c:ser>
          <c:idx val="1"/>
          <c:order val="1"/>
          <c:tx>
            <c:strRef>
              <c:f>Sheet1!$C$1</c:f>
              <c:strCache>
                <c:ptCount val="1"/>
                <c:pt idx="0">
                  <c:v/>
                </c:pt>
              </c:strCache>
            </c:strRef>
          </c:tx>
          <c:invertIfNegative val="0"/>
          <c:dLbls>
            <c:delete val="1"/>
          </c:dLbls>
          <c:cat>
            <c:strRef>
              <c:f>Sheet1!$A$2:$A$3</c:f>
              <c:strCache>
                <c:ptCount val="2"/>
                <c:pt idx="0">
                  <c:v>2025年财政拨款收支</c:v>
                </c:pt>
                <c:pt idx="1">
                  <c:v>2024年财政拨款收支</c:v>
                </c:pt>
              </c:strCache>
            </c:strRef>
          </c:cat>
          <c:val>
            <c:numRef>
              <c:f>Sheet1!$C$2:$C$3</c:f>
              <c:numCache>
                <c:formatCode>General</c:formatCode>
                <c:ptCount val="2"/>
              </c:numCache>
            </c:numRef>
          </c:val>
        </c:ser>
        <c:ser>
          <c:idx val="2"/>
          <c:order val="2"/>
          <c:tx>
            <c:strRef>
              <c:f>Sheet1!$D$1</c:f>
              <c:strCache>
                <c:ptCount val="1"/>
                <c:pt idx="0">
                  <c:v/>
                </c:pt>
              </c:strCache>
            </c:strRef>
          </c:tx>
          <c:invertIfNegative val="0"/>
          <c:dLbls>
            <c:delete val="1"/>
          </c:dLbls>
          <c:cat>
            <c:strRef>
              <c:f>Sheet1!$A$2:$A$3</c:f>
              <c:strCache>
                <c:ptCount val="2"/>
                <c:pt idx="0">
                  <c:v>2025年财政拨款收支</c:v>
                </c:pt>
                <c:pt idx="1">
                  <c:v>2024年财政拨款收支</c:v>
                </c:pt>
              </c:strCache>
            </c:strRef>
          </c:cat>
          <c:val>
            <c:numRef>
              <c:f>Sheet1!$D$2:$D$3</c:f>
              <c:numCache>
                <c:formatCode>General</c:formatCode>
                <c:ptCount val="2"/>
              </c:numCache>
            </c:numRef>
          </c:val>
        </c:ser>
        <c:dLbls>
          <c:showLegendKey val="0"/>
          <c:showVal val="0"/>
          <c:showCatName val="0"/>
          <c:showSerName val="0"/>
          <c:showPercent val="0"/>
          <c:showBubbleSize val="0"/>
        </c:dLbls>
        <c:gapWidth val="180"/>
        <c:axId val="109363968"/>
        <c:axId val="124956672"/>
      </c:barChart>
      <c:catAx>
        <c:axId val="109363968"/>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24956672"/>
        <c:crosses val="autoZero"/>
        <c:auto val="1"/>
        <c:lblAlgn val="ctr"/>
        <c:lblOffset val="100"/>
        <c:noMultiLvlLbl val="0"/>
      </c:catAx>
      <c:valAx>
        <c:axId val="124956672"/>
        <c:scaling>
          <c:orientation val="minMax"/>
          <c:min val="1000"/>
        </c:scaling>
        <c:delete val="0"/>
        <c:axPos val="l"/>
        <c:majorGridlines>
          <c:spPr>
            <a:ln w="9525" cap="flat" cmpd="sng" algn="ct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olid"/>
              <a:round/>
            </a:ln>
          </c:spPr>
        </c:majorGridlines>
        <c:min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09363968"/>
        <c:crosses val="autoZero"/>
        <c:crossBetween val="between"/>
        <c:majorUnit val="500"/>
        <c:minorUnit val="200"/>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barChart>
        <c:barDir val="col"/>
        <c:grouping val="stacked"/>
        <c:varyColors val="0"/>
        <c:ser>
          <c:idx val="0"/>
          <c:order val="0"/>
          <c:tx>
            <c:strRef>
              <c:f>Sheet1!$B$1</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shade val="95000"/>
                          <a:satMod val="105000"/>
                        </a:schemeClr>
                      </a:solidFill>
                      <a:prstDash val="solid"/>
                      <a:round/>
                    </a:ln>
                    <a:effectLst/>
                  </c:spPr>
                </c15:leaderLines>
              </c:ext>
            </c:extLst>
          </c:dLbls>
          <c:cat>
            <c:strRef>
              <c:f>Sheet1!$A$2:$A$3</c:f>
              <c:strCache>
                <c:ptCount val="2"/>
                <c:pt idx="0">
                  <c:v>2025年一般公共预算财政拨款支出</c:v>
                </c:pt>
                <c:pt idx="1">
                  <c:v>2024年一般公共预算财政拨款支出</c:v>
                </c:pt>
              </c:strCache>
            </c:strRef>
          </c:cat>
          <c:val>
            <c:numRef>
              <c:f>Sheet1!$B$2:$B$3</c:f>
              <c:numCache>
                <c:formatCode>General</c:formatCode>
                <c:ptCount val="2"/>
                <c:pt idx="0">
                  <c:v>2029.69</c:v>
                </c:pt>
                <c:pt idx="1">
                  <c:v>2225.76</c:v>
                </c:pt>
              </c:numCache>
            </c:numRef>
          </c:val>
        </c:ser>
        <c:dLbls>
          <c:showLegendKey val="0"/>
          <c:showVal val="1"/>
          <c:showCatName val="0"/>
          <c:showSerName val="0"/>
          <c:showPercent val="0"/>
          <c:showBubbleSize val="0"/>
        </c:dLbls>
        <c:gapWidth val="150"/>
        <c:overlap val="100"/>
        <c:axId val="145163008"/>
        <c:axId val="145164544"/>
      </c:barChart>
      <c:catAx>
        <c:axId val="145163008"/>
        <c:scaling>
          <c:orientation val="minMax"/>
        </c:scaling>
        <c:delete val="0"/>
        <c:axPos val="b"/>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45164544"/>
        <c:crosses val="autoZero"/>
        <c:auto val="1"/>
        <c:lblAlgn val="ctr"/>
        <c:lblOffset val="100"/>
        <c:noMultiLvlLbl val="0"/>
      </c:catAx>
      <c:valAx>
        <c:axId val="145164544"/>
        <c:scaling>
          <c:orientation val="minMax"/>
          <c:max val="2400"/>
          <c:min val="2000"/>
        </c:scaling>
        <c:delete val="0"/>
        <c:axPos val="l"/>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45163008"/>
        <c:crosses val="autoZero"/>
        <c:crossBetween val="between"/>
      </c:valAx>
      <c:spPr>
        <a:solidFill>
          <a:schemeClr val="bg1"/>
        </a:solidFill>
        <a:ln>
          <a:noFill/>
        </a:ln>
        <a:effectLst/>
      </c:spPr>
    </c:plotArea>
    <c:legend>
      <c:legendPos val="r"/>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tint val="75000"/>
          <a:shade val="95000"/>
          <a:satMod val="10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66265350349145"/>
          <c:y val="0.00619195046439629"/>
        </c:manualLayout>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view3D>
      <c:rotX val="75"/>
      <c:rotY val="15"/>
      <c:depthPercent val="100"/>
      <c:rAngAx val="0"/>
      <c:perspective val="30"/>
    </c:view3D>
    <c:floor>
      <c:thickness val="0"/>
    </c:floor>
    <c:sideWall>
      <c:thickness val="0"/>
      <c:spPr>
        <a:noFill/>
        <a:ln>
          <a:noFill/>
        </a:ln>
        <a:effectLst/>
      </c:spPr>
    </c:sideWall>
    <c:backWall>
      <c:thickness val="0"/>
      <c:spPr>
        <a:noFill/>
        <a:ln>
          <a:noFill/>
        </a:ln>
        <a:effectLst/>
      </c:spPr>
    </c:backWall>
    <c:plotArea>
      <c:layout>
        <c:manualLayout>
          <c:layoutTarget val="inner"/>
          <c:xMode val="edge"/>
          <c:yMode val="edge"/>
          <c:x val="0.0385263664820612"/>
          <c:y val="0.179153766769866"/>
          <c:w val="0.674971133664879"/>
          <c:h val="0.775438596491228"/>
        </c:manualLayout>
      </c:layout>
      <c:pie3DChart>
        <c:varyColors val="1"/>
        <c:ser>
          <c:idx val="0"/>
          <c:order val="0"/>
          <c:tx>
            <c:strRef>
              <c:f>Sheet1!$B$1</c:f>
              <c:strCache>
                <c:ptCount val="1"/>
                <c:pt idx="0">
                  <c:v>一般公共预算财政拨款支出结构情况</c:v>
                </c:pt>
              </c:strCache>
            </c:strRef>
          </c:tx>
          <c:explosion val="25"/>
          <c:dPt>
            <c:idx val="0"/>
            <c:bubble3D val="0"/>
          </c:dPt>
          <c:dPt>
            <c:idx val="1"/>
            <c:bubble3D val="0"/>
          </c:dPt>
          <c:dPt>
            <c:idx val="2"/>
            <c:bubble3D val="0"/>
          </c:dPt>
          <c:dPt>
            <c:idx val="3"/>
            <c:bubble3D val="0"/>
          </c:dPt>
          <c:dPt>
            <c:idx val="4"/>
            <c:bubble3D val="0"/>
          </c:dPt>
          <c:dPt>
            <c:idx val="5"/>
            <c:bubble3D val="0"/>
          </c:dPt>
          <c:dLbls>
            <c:dLbl>
              <c:idx val="2"/>
              <c:layout>
                <c:manualLayout>
                  <c:x val="-0.149891644594269"/>
                  <c:y val="0.04334365325077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70888514326993"/>
                  <c:y val="-0.0061919504643962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104743558873104"/>
                  <c:y val="0.089783281733746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884902480134842"/>
                  <c:y val="0"/>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Sheet1!$A$2:$A$7</c:f>
              <c:strCache>
                <c:ptCount val="6"/>
                <c:pt idx="0">
                  <c:v>教育支出</c:v>
                </c:pt>
                <c:pt idx="1">
                  <c:v>社会保障和就业支出</c:v>
                </c:pt>
                <c:pt idx="2">
                  <c:v>住房保障支出</c:v>
                </c:pt>
                <c:pt idx="3">
                  <c:v>科学技术支出</c:v>
                </c:pt>
                <c:pt idx="4">
                  <c:v>一般公共服务支出</c:v>
                </c:pt>
                <c:pt idx="5">
                  <c:v>卫生健康支出</c:v>
                </c:pt>
              </c:strCache>
            </c:strRef>
          </c:cat>
          <c:val>
            <c:numRef>
              <c:f>Sheet1!$B$2:$B$7</c:f>
              <c:numCache>
                <c:formatCode>General</c:formatCode>
                <c:ptCount val="6"/>
                <c:pt idx="0">
                  <c:v>1207.82</c:v>
                </c:pt>
                <c:pt idx="1">
                  <c:v>491.69</c:v>
                </c:pt>
                <c:pt idx="2">
                  <c:v>92.71</c:v>
                </c:pt>
                <c:pt idx="3">
                  <c:v>68.6</c:v>
                </c:pt>
                <c:pt idx="4">
                  <c:v>99.27</c:v>
                </c:pt>
                <c:pt idx="5">
                  <c:v>69.6</c:v>
                </c:pt>
              </c:numCache>
            </c:numRef>
          </c:val>
        </c:ser>
        <c:ser>
          <c:idx val="1"/>
          <c:order val="1"/>
          <c:tx>
            <c:strRef>
              <c:f>Sheet1!$C$1</c:f>
              <c:strCache>
                <c:ptCount val="1"/>
                <c:pt idx="0">
                  <c:v>列1</c:v>
                </c:pt>
              </c:strCache>
            </c:strRef>
          </c:tx>
          <c:explosion val="25"/>
          <c:dPt>
            <c:idx val="0"/>
            <c:bubble3D val="0"/>
          </c:dPt>
          <c:dPt>
            <c:idx val="1"/>
            <c:bubble3D val="0"/>
          </c:dPt>
          <c:dPt>
            <c:idx val="2"/>
            <c:bubble3D val="0"/>
          </c:dPt>
          <c:dPt>
            <c:idx val="3"/>
            <c:bubble3D val="0"/>
          </c:dPt>
          <c:dPt>
            <c:idx val="4"/>
            <c:bubble3D val="0"/>
          </c:dPt>
          <c:dPt>
            <c:idx val="5"/>
            <c:bubble3D val="0"/>
          </c:dPt>
          <c:dLbls>
            <c:delete val="1"/>
          </c:dLbls>
          <c:cat>
            <c:strRef>
              <c:f>Sheet1!$A$2:$A$7</c:f>
              <c:strCache>
                <c:ptCount val="6"/>
                <c:pt idx="0">
                  <c:v>教育支出</c:v>
                </c:pt>
                <c:pt idx="1">
                  <c:v>社会保障和就业支出</c:v>
                </c:pt>
                <c:pt idx="2">
                  <c:v>住房保障支出</c:v>
                </c:pt>
                <c:pt idx="3">
                  <c:v>科学技术支出</c:v>
                </c:pt>
                <c:pt idx="4">
                  <c:v>一般公共服务支出</c:v>
                </c:pt>
                <c:pt idx="5">
                  <c:v>卫生健康支出</c:v>
                </c:pt>
              </c:strCache>
            </c:strRef>
          </c:cat>
          <c:val>
            <c:numRef>
              <c:f>Sheet1!$C$2:$C$7</c:f>
              <c:numCache>
                <c:formatCode>0.00%</c:formatCode>
                <c:ptCount val="6"/>
                <c:pt idx="0">
                  <c:v>0.6998</c:v>
                </c:pt>
                <c:pt idx="1">
                  <c:v>0.2063</c:v>
                </c:pt>
                <c:pt idx="2">
                  <c:v>0.0422</c:v>
                </c:pt>
                <c:pt idx="3">
                  <c:v>0.0067</c:v>
                </c:pt>
                <c:pt idx="4">
                  <c:v>0.0119</c:v>
                </c:pt>
                <c:pt idx="5">
                  <c:v>0.0331</c:v>
                </c:pt>
              </c:numCache>
            </c:numRef>
          </c:val>
        </c:ser>
        <c:dLbls>
          <c:showLegendKey val="0"/>
          <c:showVal val="0"/>
          <c:showCatName val="0"/>
          <c:showSerName val="0"/>
          <c:showPercent val="0"/>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“三公”经费财政拨款决算具体情况</c:v>
                </c:pt>
              </c:strCache>
            </c:strRef>
          </c:tx>
          <c:explosion val="25"/>
          <c:dPt>
            <c:idx val="0"/>
            <c:bubble3D val="0"/>
          </c:dPt>
          <c:dPt>
            <c:idx val="1"/>
            <c:bubble3D val="0"/>
          </c:dPt>
          <c:dPt>
            <c:idx val="2"/>
            <c:bubble3D val="0"/>
          </c:dPt>
          <c:dLbls>
            <c:dLbl>
              <c:idx val="1"/>
              <c:layout>
                <c:manualLayout>
                  <c:x val="0.011917769792196"/>
                  <c:y val="-0.02307441427870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0624832881603"/>
                  <c:y val="0.013786491770717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3"/>
                <c:pt idx="0">
                  <c:v>因公出国（境）费用</c:v>
                </c:pt>
                <c:pt idx="1">
                  <c:v>公务用车购置及运行维护费</c:v>
                </c:pt>
                <c:pt idx="2">
                  <c:v>公务接待费支出</c:v>
                </c:pt>
              </c:strCache>
            </c:strRef>
          </c:cat>
          <c:val>
            <c:numRef>
              <c:f>Sheet1!$B$2:$B$4</c:f>
              <c:numCache>
                <c:formatCode>General</c:formatCode>
                <c:ptCount val="3"/>
                <c:pt idx="0">
                  <c:v>0</c:v>
                </c:pt>
                <c:pt idx="1">
                  <c:v>2.43</c:v>
                </c:pt>
                <c:pt idx="2">
                  <c:v>0.85</c:v>
                </c:pt>
              </c:numCache>
            </c:numRef>
          </c:val>
        </c:ser>
        <c:dLbls>
          <c:showLegendKey val="0"/>
          <c:showVal val="1"/>
          <c:showCatName val="0"/>
          <c:showSerName val="0"/>
          <c:showPercent val="0"/>
          <c:showBubbleSize val="0"/>
          <c:showLeaderLines val="1"/>
        </c:dLbls>
        <c:firstSliceAng val="15"/>
      </c:pieChart>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7658</Words>
  <Characters>8334</Characters>
  <Lines>61</Lines>
  <Paragraphs>17</Paragraphs>
  <TotalTime>52</TotalTime>
  <ScaleCrop>false</ScaleCrop>
  <LinksUpToDate>false</LinksUpToDate>
  <CharactersWithSpaces>8388</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2020-08-10T17:49:00Z</dcterms:created>
  <dc:creator>曹颖</dc:creator>
  <cp:lastModifiedBy>Administrator</cp:lastModifiedBy>
  <cp:lastPrinted>2026-09-11T02:52:56Z</cp:lastPrinted>
  <dcterms:modified xsi:type="dcterms:W3CDTF">2026-09-11T03:40:51Z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04787F2533EB45DC91BCDE4AB213247F</vt:lpwstr>
  </property>
  <property fmtid="{D5CDD505-2E9C-101B-9397-08002B2CF9AE}" pid="4" name="KSOTemplateDocerSaveRecord">
    <vt:lpwstr>eyJoZGlkIjoiZWJmMjY5ZjgxZjExZDI5MWUzZjY4YWQ1YTYyODRkNzMifQ==</vt:lpwstr>
  </property>
  <property fmtid="{D5CDD505-2E9C-101B-9397-08002B2CF9AE}" pid="5" name="AIGC">
    <vt:lpwstr>{"Label":"1","ContentProducer":"001191110102MACQD9K64018705","ProduceID":"7631047673877053759-data_volume/files/所有对话/主对话/攀枝花市教育和体育局2025年度单位决算公开_v2.docx","ReservedCode1":"","ContentPropagator":"001191110102MACQD9K64028705","PropagateID":"1611241113260236#1788400697124","ReservedCode2":""}</vt:lpwstr>
  </property>
</Properties>
</file>