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21162">
      <w:bookmarkStart w:id="0" w:name="_Toc15377425"/>
      <w:bookmarkStart w:id="1" w:name="_Toc15396475"/>
      <w:bookmarkStart w:id="2" w:name="_Toc15378441"/>
      <w:bookmarkStart w:id="3" w:name="_Toc15377193"/>
      <w:bookmarkStart w:id="4" w:name="_Toc15396597"/>
      <w:bookmarkStart w:id="5" w:name="_Toc15306267"/>
    </w:p>
    <w:p w14:paraId="6FA4F111">
      <w:pPr>
        <w:pStyle w:val="2"/>
        <w:spacing w:before="93"/>
        <w:jc w:val="center"/>
        <w:rPr>
          <w:rFonts w:ascii="Times New Roman" w:eastAsia="方正小标宋简体"/>
          <w:kern w:val="2"/>
          <w:sz w:val="44"/>
          <w:szCs w:val="44"/>
        </w:rPr>
      </w:pPr>
    </w:p>
    <w:p w14:paraId="7200C5E2">
      <w:pPr>
        <w:pStyle w:val="2"/>
        <w:spacing w:before="93"/>
        <w:jc w:val="center"/>
        <w:rPr>
          <w:rFonts w:ascii="Times New Roman" w:eastAsia="方正小标宋简体"/>
          <w:kern w:val="2"/>
          <w:sz w:val="44"/>
          <w:szCs w:val="44"/>
        </w:rPr>
      </w:pPr>
    </w:p>
    <w:p w14:paraId="3E58E731">
      <w:pPr>
        <w:pStyle w:val="2"/>
        <w:spacing w:before="93"/>
        <w:jc w:val="center"/>
        <w:rPr>
          <w:rFonts w:ascii="Times New Roman" w:eastAsia="方正小标宋简体"/>
          <w:kern w:val="2"/>
          <w:sz w:val="44"/>
          <w:szCs w:val="44"/>
        </w:rPr>
      </w:pPr>
    </w:p>
    <w:p w14:paraId="381D2DE8">
      <w:pPr>
        <w:pStyle w:val="2"/>
        <w:spacing w:before="93"/>
        <w:jc w:val="center"/>
        <w:rPr>
          <w:rFonts w:ascii="Times New Roman" w:eastAsia="方正小标宋简体"/>
          <w:kern w:val="2"/>
          <w:sz w:val="44"/>
          <w:szCs w:val="44"/>
        </w:rPr>
      </w:pPr>
    </w:p>
    <w:p w14:paraId="79A3947B">
      <w:pPr>
        <w:pStyle w:val="2"/>
        <w:spacing w:before="93"/>
        <w:jc w:val="center"/>
        <w:rPr>
          <w:rFonts w:ascii="Times New Roman" w:eastAsia="方正小标宋简体"/>
          <w:kern w:val="2"/>
          <w:sz w:val="44"/>
          <w:szCs w:val="44"/>
        </w:rPr>
      </w:pPr>
    </w:p>
    <w:bookmarkEnd w:id="0"/>
    <w:bookmarkEnd w:id="1"/>
    <w:bookmarkEnd w:id="2"/>
    <w:bookmarkEnd w:id="3"/>
    <w:bookmarkEnd w:id="4"/>
    <w:p w14:paraId="4F825C81">
      <w:pPr>
        <w:pStyle w:val="2"/>
        <w:spacing w:before="93"/>
        <w:jc w:val="center"/>
        <w:rPr>
          <w:rFonts w:hint="eastAsia" w:ascii="Times New Roman" w:eastAsia="方正小标宋简体"/>
          <w:kern w:val="2"/>
          <w:sz w:val="44"/>
          <w:szCs w:val="44"/>
          <w:lang w:val="en-US" w:eastAsia="zh-CN"/>
        </w:rPr>
      </w:pPr>
      <w:bookmarkStart w:id="6" w:name="_Toc15396476"/>
      <w:bookmarkStart w:id="7" w:name="_Toc15378442"/>
      <w:bookmarkStart w:id="8" w:name="_Toc15377194"/>
      <w:bookmarkStart w:id="9" w:name="_Toc15396598"/>
      <w:bookmarkStart w:id="10" w:name="_Toc15377426"/>
      <w:r>
        <w:rPr>
          <w:rFonts w:hint="eastAsia" w:ascii="Times New Roman" w:eastAsia="方正小标宋简体"/>
          <w:kern w:val="2"/>
          <w:sz w:val="44"/>
          <w:szCs w:val="44"/>
          <w:lang w:val="en-US" w:eastAsia="zh-CN"/>
        </w:rPr>
        <w:t>攀枝花市外国语学校</w:t>
      </w:r>
    </w:p>
    <w:p w14:paraId="2DA1146D">
      <w:pPr>
        <w:pStyle w:val="2"/>
        <w:spacing w:before="93"/>
        <w:jc w:val="center"/>
        <w:rPr>
          <w:rFonts w:hint="default" w:ascii="Times New Roman" w:eastAsia="方正小标宋简体"/>
          <w:kern w:val="2"/>
          <w:sz w:val="44"/>
          <w:szCs w:val="44"/>
          <w:lang w:val="en-US" w:eastAsia="zh-CN"/>
        </w:rPr>
      </w:pPr>
      <w:r>
        <w:rPr>
          <w:rFonts w:hint="eastAsia" w:ascii="Times New Roman" w:eastAsia="方正小标宋简体"/>
          <w:kern w:val="2"/>
          <w:sz w:val="44"/>
          <w:szCs w:val="44"/>
        </w:rPr>
        <w:t>2025年度</w:t>
      </w:r>
      <w:bookmarkEnd w:id="5"/>
      <w:bookmarkStart w:id="11" w:name="_Toc15306268"/>
      <w:r>
        <w:rPr>
          <w:rFonts w:hint="eastAsia" w:ascii="Times New Roman" w:eastAsia="方正小标宋简体"/>
          <w:kern w:val="2"/>
          <w:sz w:val="44"/>
          <w:szCs w:val="44"/>
          <w:lang w:val="en-US"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r>
        <w:rPr>
          <w:rFonts w:hint="eastAsia" w:ascii="Times New Roman" w:eastAsia="方正小标宋简体"/>
          <w:kern w:val="2"/>
          <w:sz w:val="44"/>
          <w:szCs w:val="44"/>
          <w:lang w:val="en-US" w:eastAsia="zh-CN"/>
        </w:rPr>
        <w:t>公开编制说明</w:t>
      </w:r>
    </w:p>
    <w:p w14:paraId="25148176">
      <w:pPr>
        <w:widowControl/>
        <w:jc w:val="center"/>
        <w:rPr>
          <w:rFonts w:eastAsia="黑体"/>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00811B8B">
      <w:pPr>
        <w:widowControl/>
        <w:jc w:val="center"/>
        <w:rPr>
          <w:rFonts w:eastAsia="黑体"/>
          <w:sz w:val="48"/>
          <w:szCs w:val="48"/>
        </w:rPr>
      </w:pPr>
      <w:r>
        <w:rPr>
          <w:rFonts w:hint="eastAsia" w:eastAsia="黑体"/>
          <w:sz w:val="48"/>
          <w:szCs w:val="48"/>
        </w:rPr>
        <w:t>目录</w:t>
      </w:r>
    </w:p>
    <w:p w14:paraId="2D427768">
      <w:pPr>
        <w:widowControl/>
        <w:jc w:val="center"/>
        <w:rPr>
          <w:rFonts w:eastAsia="黑体" w:cstheme="minorBidi"/>
          <w:sz w:val="28"/>
          <w:szCs w:val="28"/>
        </w:rPr>
      </w:pPr>
    </w:p>
    <w:p w14:paraId="0696D58F">
      <w:pPr>
        <w:pStyle w:val="12"/>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 xml:space="preserve"> 日</w:t>
      </w:r>
    </w:p>
    <w:p w14:paraId="311364E7"/>
    <w:sdt>
      <w:sdtPr>
        <w:rPr>
          <w:rFonts w:ascii="宋体" w:hAnsi="宋体" w:eastAsia="宋体" w:cs="Times New Roman"/>
          <w:kern w:val="2"/>
          <w:sz w:val="21"/>
          <w:szCs w:val="24"/>
          <w:lang w:val="en-US" w:eastAsia="zh-CN" w:bidi="ar-SA"/>
        </w:rPr>
        <w:id w:val="147462516"/>
        <w15:color w:val="DBDBDB"/>
        <w:docPartObj>
          <w:docPartGallery w:val="Table of Contents"/>
          <w:docPartUnique/>
        </w:docPartObj>
      </w:sdtPr>
      <w:sdtEndPr>
        <w:rPr>
          <w:rFonts w:ascii="仿宋_GB2312" w:hAnsi="Times New Roman" w:eastAsia="仿宋_GB2312" w:cs="Times New Roman"/>
          <w:kern w:val="0"/>
          <w:sz w:val="30"/>
          <w:szCs w:val="24"/>
          <w:lang w:val="en-US" w:eastAsia="zh-CN" w:bidi="ar-SA"/>
        </w:rPr>
      </w:sdtEndPr>
      <w:sdtContent>
        <w:p w14:paraId="724AABEF">
          <w:pPr>
            <w:spacing w:before="0" w:beforeLines="0" w:after="0" w:afterLines="0" w:line="240" w:lineRule="auto"/>
            <w:ind w:left="0" w:leftChars="0" w:right="0" w:rightChars="0" w:firstLine="0" w:firstLineChars="0"/>
            <w:jc w:val="center"/>
            <w:rPr>
              <w:sz w:val="44"/>
              <w:szCs w:val="44"/>
            </w:rPr>
          </w:pPr>
        </w:p>
        <w:p w14:paraId="1AD0B34A">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fldChar w:fldCharType="begin"/>
          </w:r>
          <w:r>
            <w:instrText xml:space="preserve">TOC \o "1-2" \h \u </w:instrText>
          </w:r>
          <w:r>
            <w:fldChar w:fldCharType="separate"/>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_Toc4522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xml:space="preserve">第一部分  </w:t>
          </w:r>
          <w:r>
            <w:rPr>
              <w:rFonts w:hint="eastAsia" w:asciiTheme="minorEastAsia" w:hAnsiTheme="minorEastAsia" w:eastAsiaTheme="minorEastAsia" w:cstheme="minorEastAsia"/>
              <w:bCs w:val="0"/>
              <w:sz w:val="24"/>
              <w:szCs w:val="24"/>
              <w:lang w:val="en-US" w:eastAsia="zh-CN"/>
            </w:rPr>
            <w:t>单位</w:t>
          </w:r>
          <w:r>
            <w:rPr>
              <w:rFonts w:hint="eastAsia" w:asciiTheme="minorEastAsia" w:hAnsiTheme="minorEastAsia" w:eastAsiaTheme="minorEastAsia" w:cstheme="minorEastAsia"/>
              <w:bCs w:val="0"/>
              <w:sz w:val="24"/>
              <w:szCs w:val="24"/>
            </w:rPr>
            <w:t>概况</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_Toc4522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45E1173A">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_Toc20415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xml:space="preserve">一、 </w:t>
          </w:r>
          <w:r>
            <w:rPr>
              <w:rFonts w:hint="eastAsia" w:asciiTheme="minorEastAsia" w:hAnsiTheme="minorEastAsia" w:eastAsiaTheme="minorEastAsia" w:cstheme="minorEastAsia"/>
              <w:sz w:val="24"/>
              <w:szCs w:val="24"/>
              <w:lang w:val="en-US" w:eastAsia="zh-CN"/>
            </w:rPr>
            <w:t>单位</w:t>
          </w:r>
          <w:r>
            <w:rPr>
              <w:rFonts w:hint="eastAsia" w:asciiTheme="minorEastAsia" w:hAnsiTheme="minorEastAsia" w:eastAsiaTheme="minorEastAsia" w:cstheme="minorEastAsia"/>
              <w:sz w:val="24"/>
              <w:szCs w:val="24"/>
            </w:rPr>
            <w:t>职责</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_Toc20415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304F76F6">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_Toc9094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二、机</w:t>
          </w:r>
          <w:r>
            <w:rPr>
              <w:rFonts w:hint="eastAsia" w:asciiTheme="minorEastAsia" w:hAnsiTheme="minorEastAsia" w:eastAsiaTheme="minorEastAsia" w:cstheme="minorEastAsia"/>
              <w:bCs w:val="0"/>
              <w:sz w:val="24"/>
              <w:szCs w:val="24"/>
            </w:rPr>
            <w:t>构设置</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_Toc9094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4F659785">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_Toc8333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第二部分  2025年度部门决算情况说明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_Toc8333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17EE4DBD">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_Toc6413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一、收入支出决算总体情况说明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_Toc6413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15D01F4F">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_Toc22750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二、收入决算情况说明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_Toc22750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62B31B7E">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_Toc15005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三、支出决算情况说明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_Toc15005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3CBDC916">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_Toc5587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四、财政拨款收入支出决算总体情况说明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_Toc5587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7831DDB0">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_Toc11985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五、一般公共预算财政拨款支出决算情况说明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_Toc11985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6883C953">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_Toc19621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六、一般公共预算财政拨款基本支出决算情况说明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_Toc19621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6</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47A26114">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_Toc18386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highlight w:val="none"/>
            </w:rPr>
            <w:t>七、财政拨款“三公”经费支出决算情况说明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_Toc18386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7</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21333CDB">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_Toc17898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八、政府性基金预算支出决算情况说明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_Toc17898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8</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791FB496">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_Toc18549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九、国有资本经营预算支出决算情况说明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_Toc18549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41A3E3BC">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_Toc10060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十、其他重要事项的情况说明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_Toc10060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212B9AA0">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_Toc142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第三部分  名词解释</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_Toc142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fldChar w:fldCharType="end"/>
          </w:r>
        </w:p>
        <w:p w14:paraId="02DC2BEF">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leftChars="0" w:firstLine="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第四部分  附注.....................................................18</w:t>
          </w:r>
        </w:p>
        <w:p w14:paraId="0FFD60E5">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leftChars="0" w:firstLine="0" w:firstLineChars="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_Toc142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lang w:val="en-US" w:eastAsia="zh-CN"/>
            </w:rPr>
            <w:t>第五部分  附表.....................................................19</w:t>
          </w:r>
        </w:p>
        <w:p w14:paraId="03D6A4F5">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0" w:leftChars="0" w:firstLine="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end"/>
          </w:r>
        </w:p>
        <w:p w14:paraId="2C2F995B">
          <w:pPr>
            <w:pStyle w:val="2"/>
            <w:spacing w:beforeLines="0"/>
            <w:rPr>
              <w:rFonts w:hint="eastAsia" w:eastAsia="方正小标宋简体" w:cs="方正小标宋简体"/>
              <w:b w:val="0"/>
            </w:rPr>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pPr>
          <w:r>
            <w:rPr>
              <w:rFonts w:hint="eastAsia" w:asciiTheme="minorEastAsia" w:hAnsiTheme="minorEastAsia" w:eastAsiaTheme="minorEastAsia" w:cstheme="minorEastAsia"/>
              <w:sz w:val="24"/>
              <w:szCs w:val="24"/>
            </w:rPr>
            <w:tab/>
          </w:r>
          <w:r>
            <w:fldChar w:fldCharType="end"/>
          </w:r>
          <w:bookmarkStart w:id="12" w:name="_Toc15396599"/>
          <w:bookmarkStart w:id="13" w:name="_Toc15377196"/>
        </w:p>
      </w:sdtContent>
    </w:sdt>
    <w:p w14:paraId="1390658F">
      <w:pPr>
        <w:pStyle w:val="2"/>
        <w:spacing w:beforeLines="0"/>
        <w:rPr>
          <w:rFonts w:hint="eastAsia" w:eastAsia="方正小标宋简体" w:cs="方正小标宋简体"/>
          <w:b w:val="0"/>
        </w:rPr>
      </w:pPr>
    </w:p>
    <w:p w14:paraId="5B4A1795">
      <w:pPr>
        <w:pStyle w:val="3"/>
        <w:spacing w:before="0" w:after="0" w:line="240" w:lineRule="auto"/>
        <w:jc w:val="center"/>
        <w:rPr>
          <w:rFonts w:eastAsia="黑体"/>
          <w:sz w:val="32"/>
          <w:szCs w:val="32"/>
        </w:rPr>
      </w:pPr>
      <w:bookmarkStart w:id="14" w:name="_Toc4522"/>
      <w:r>
        <w:rPr>
          <w:rFonts w:hint="eastAsia" w:eastAsia="方正小标宋简体" w:cs="方正小标宋简体"/>
          <w:b w:val="0"/>
        </w:rPr>
        <w:t xml:space="preserve">第一部分  </w:t>
      </w:r>
      <w:r>
        <w:rPr>
          <w:rStyle w:val="28"/>
          <w:rFonts w:hint="eastAsia" w:eastAsia="方正小标宋简体" w:cs="方正小标宋简体"/>
          <w:b w:val="0"/>
          <w:bCs w:val="0"/>
          <w:lang w:val="en-US" w:eastAsia="zh-CN"/>
        </w:rPr>
        <w:t>单位</w:t>
      </w:r>
      <w:r>
        <w:rPr>
          <w:rStyle w:val="28"/>
          <w:rFonts w:hint="eastAsia" w:eastAsia="方正小标宋简体" w:cs="方正小标宋简体"/>
          <w:b w:val="0"/>
          <w:bCs w:val="0"/>
        </w:rPr>
        <w:t>概况</w:t>
      </w:r>
      <w:bookmarkEnd w:id="12"/>
      <w:bookmarkEnd w:id="13"/>
      <w:bookmarkEnd w:id="14"/>
    </w:p>
    <w:p w14:paraId="1E68BF12">
      <w:pPr>
        <w:pStyle w:val="4"/>
        <w:numPr>
          <w:ilvl w:val="0"/>
          <w:numId w:val="1"/>
        </w:numPr>
        <w:rPr>
          <w:rFonts w:hint="eastAsia" w:ascii="Times New Roman" w:hAnsi="Times New Roman" w:eastAsia="黑体"/>
          <w:b w:val="0"/>
        </w:rPr>
      </w:pPr>
      <w:bookmarkStart w:id="15" w:name="_Toc20415"/>
      <w:r>
        <w:rPr>
          <w:rFonts w:hint="eastAsia" w:ascii="Times New Roman" w:hAnsi="Times New Roman" w:eastAsia="黑体"/>
          <w:b w:val="0"/>
          <w:lang w:val="en-US" w:eastAsia="zh-CN"/>
        </w:rPr>
        <w:t>单位</w:t>
      </w:r>
      <w:r>
        <w:rPr>
          <w:rFonts w:hint="eastAsia" w:ascii="Times New Roman" w:hAnsi="Times New Roman" w:eastAsia="黑体"/>
          <w:b w:val="0"/>
        </w:rPr>
        <w:t>职责</w:t>
      </w:r>
      <w:bookmarkEnd w:id="15"/>
    </w:p>
    <w:p w14:paraId="4C8F490C">
      <w:pPr>
        <w:pStyle w:val="2"/>
        <w:keepNext w:val="0"/>
        <w:keepLines w:val="0"/>
        <w:pageBreakBefore w:val="0"/>
        <w:widowControl w:val="0"/>
        <w:kinsoku/>
        <w:wordWrap/>
        <w:overflowPunct/>
        <w:topLinePunct w:val="0"/>
        <w:autoSpaceDE/>
        <w:autoSpaceDN/>
        <w:bidi w:val="0"/>
        <w:adjustRightInd w:val="0"/>
        <w:snapToGrid/>
        <w:spacing w:beforeLines="0" w:line="240" w:lineRule="auto"/>
        <w:ind w:firstLine="640" w:firstLineChars="200"/>
        <w:textAlignment w:val="auto"/>
      </w:pPr>
      <w:r>
        <w:rPr>
          <w:rFonts w:hint="eastAsia" w:ascii="仿宋" w:hAnsi="仿宋" w:eastAsia="仿宋" w:cs="仿宋"/>
          <w:color w:val="auto"/>
          <w:sz w:val="32"/>
          <w:szCs w:val="32"/>
          <w:lang w:eastAsia="zh-CN"/>
        </w:rPr>
        <w:t>攀枝花市外国语学校是教育和体育局直属初中，四川省省级示范初中</w:t>
      </w:r>
      <w:r>
        <w:rPr>
          <w:rFonts w:hint="eastAsia" w:ascii="仿宋" w:hAnsi="仿宋" w:eastAsia="仿宋" w:cs="仿宋"/>
          <w:color w:val="auto"/>
          <w:sz w:val="32"/>
          <w:szCs w:val="32"/>
        </w:rPr>
        <w:t>。在市教育</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rPr>
        <w:t>体育局的领导下,全面贯彻党的教育方针、政策，以“自我修正、自我完善、自我提升”为工作重心,立足教育改革与内涵发展,坚持素质教育的理想追求,积极破解发展难题,着力打造特色亮点,建立起了充满活力、独具特色的“文化治</w:t>
      </w:r>
      <w:r>
        <w:rPr>
          <w:rFonts w:hint="eastAsia" w:ascii="仿宋" w:hAnsi="仿宋" w:eastAsia="仿宋" w:cs="仿宋"/>
          <w:color w:val="auto"/>
          <w:sz w:val="32"/>
          <w:szCs w:val="32"/>
          <w:lang w:eastAsia="zh-CN"/>
        </w:rPr>
        <w:t>校</w:t>
      </w:r>
      <w:r>
        <w:rPr>
          <w:rFonts w:hint="eastAsia" w:ascii="仿宋" w:hAnsi="仿宋" w:eastAsia="仿宋" w:cs="仿宋"/>
          <w:color w:val="auto"/>
          <w:sz w:val="32"/>
          <w:szCs w:val="32"/>
        </w:rPr>
        <w:t>、文化育人”格局,形成了</w:t>
      </w:r>
      <w:r>
        <w:rPr>
          <w:rFonts w:hint="eastAsia" w:ascii="仿宋" w:hAnsi="仿宋" w:eastAsia="仿宋" w:cs="仿宋"/>
          <w:color w:val="auto"/>
          <w:sz w:val="32"/>
          <w:szCs w:val="32"/>
          <w:lang w:eastAsia="zh-CN"/>
        </w:rPr>
        <w:t>新式</w:t>
      </w:r>
      <w:r>
        <w:rPr>
          <w:rFonts w:hint="eastAsia" w:ascii="仿宋" w:hAnsi="仿宋" w:eastAsia="仿宋" w:cs="仿宋"/>
          <w:color w:val="auto"/>
          <w:sz w:val="32"/>
          <w:szCs w:val="32"/>
        </w:rPr>
        <w:t>教育课程体系，继续引领着我市</w:t>
      </w:r>
      <w:r>
        <w:rPr>
          <w:rFonts w:hint="eastAsia" w:ascii="仿宋" w:hAnsi="仿宋" w:eastAsia="仿宋" w:cs="仿宋"/>
          <w:color w:val="auto"/>
          <w:sz w:val="32"/>
          <w:szCs w:val="32"/>
          <w:lang w:eastAsia="zh-CN"/>
        </w:rPr>
        <w:t>初中</w:t>
      </w:r>
      <w:r>
        <w:rPr>
          <w:rFonts w:hint="eastAsia" w:ascii="仿宋" w:hAnsi="仿宋" w:eastAsia="仿宋" w:cs="仿宋"/>
          <w:color w:val="auto"/>
          <w:sz w:val="32"/>
          <w:szCs w:val="32"/>
        </w:rPr>
        <w:t>教育的发展</w:t>
      </w:r>
      <w:r>
        <w:rPr>
          <w:rFonts w:hint="eastAsia" w:ascii="仿宋" w:hAnsi="仿宋" w:eastAsia="仿宋" w:cs="仿宋"/>
          <w:color w:val="auto"/>
          <w:sz w:val="32"/>
          <w:szCs w:val="32"/>
          <w:lang w:eastAsia="zh-CN"/>
        </w:rPr>
        <w:t>。</w:t>
      </w:r>
    </w:p>
    <w:p w14:paraId="34F59A59">
      <w:pPr>
        <w:pStyle w:val="4"/>
        <w:rPr>
          <w:rStyle w:val="29"/>
          <w:rFonts w:ascii="Times New Roman" w:hAnsi="Times New Roman"/>
          <w:b w:val="0"/>
          <w:bCs w:val="0"/>
        </w:rPr>
      </w:pPr>
      <w:bookmarkStart w:id="16" w:name="_Toc15377200"/>
      <w:bookmarkStart w:id="17" w:name="_Toc9094"/>
      <w:bookmarkStart w:id="18"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bookmarkEnd w:id="18"/>
    </w:p>
    <w:p w14:paraId="1DC00B3A">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rPr>
      </w:pPr>
      <w:r>
        <w:rPr>
          <w:rFonts w:hint="eastAsia" w:ascii="仿宋_GB2312" w:hAnsi="仿宋_GB2312" w:eastAsia="仿宋_GB2312" w:cs="仿宋_GB2312"/>
          <w:color w:val="auto"/>
          <w:sz w:val="32"/>
          <w:szCs w:val="32"/>
          <w:highlight w:val="none"/>
        </w:rPr>
        <w:t>四川省攀枝花市外国语学校</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046E80D7">
      <w:pPr>
        <w:widowControl/>
        <w:jc w:val="left"/>
        <w:rPr>
          <w:rFonts w:eastAsia="仿宋"/>
          <w:kern w:val="0"/>
          <w:sz w:val="32"/>
          <w:szCs w:val="32"/>
        </w:rPr>
      </w:pPr>
      <w:r>
        <w:rPr>
          <w:rFonts w:eastAsia="仿宋"/>
          <w:sz w:val="32"/>
          <w:szCs w:val="32"/>
        </w:rPr>
        <w:br w:type="page"/>
      </w:r>
    </w:p>
    <w:p w14:paraId="478C13B5">
      <w:pPr>
        <w:pStyle w:val="3"/>
        <w:jc w:val="center"/>
      </w:pPr>
      <w:bookmarkStart w:id="19" w:name="_Toc15377204"/>
      <w:bookmarkStart w:id="20" w:name="_Toc8333"/>
      <w:bookmarkStart w:id="21" w:name="_Toc15396602"/>
      <w:r>
        <w:rPr>
          <w:rFonts w:hint="eastAsia" w:eastAsia="方正小标宋简体" w:cs="方正小标宋简体"/>
          <w:b w:val="0"/>
        </w:rPr>
        <w:t>第二部分  2025年度部门决算情况说明</w:t>
      </w:r>
      <w:bookmarkEnd w:id="19"/>
      <w:bookmarkEnd w:id="20"/>
      <w:bookmarkEnd w:id="21"/>
    </w:p>
    <w:p w14:paraId="13A3A587">
      <w:pPr>
        <w:pStyle w:val="27"/>
        <w:spacing w:line="600" w:lineRule="exact"/>
        <w:ind w:firstLine="640"/>
        <w:outlineLvl w:val="1"/>
        <w:rPr>
          <w:rStyle w:val="29"/>
          <w:rFonts w:ascii="Times New Roman" w:hAnsi="Times New Roman" w:eastAsia="黑体"/>
          <w:b w:val="0"/>
        </w:rPr>
      </w:pPr>
      <w:bookmarkStart w:id="22" w:name="_Toc15377205"/>
      <w:bookmarkStart w:id="23" w:name="_Toc15396603"/>
      <w:bookmarkStart w:id="24" w:name="_Toc6413"/>
      <w:r>
        <w:rPr>
          <w:rFonts w:hint="eastAsia" w:eastAsia="黑体"/>
          <w:sz w:val="32"/>
          <w:szCs w:val="32"/>
        </w:rPr>
        <w:t>一、收</w:t>
      </w:r>
      <w:r>
        <w:rPr>
          <w:rStyle w:val="29"/>
          <w:rFonts w:hint="eastAsia" w:ascii="Times New Roman" w:hAnsi="Times New Roman" w:eastAsia="黑体"/>
          <w:b w:val="0"/>
        </w:rPr>
        <w:t>入支出决算总体情况说明</w:t>
      </w:r>
      <w:bookmarkEnd w:id="22"/>
      <w:bookmarkEnd w:id="23"/>
      <w:bookmarkEnd w:id="24"/>
    </w:p>
    <w:p w14:paraId="13F02CCE">
      <w:pPr>
        <w:pStyle w:val="27"/>
        <w:spacing w:line="600" w:lineRule="exact"/>
        <w:ind w:firstLine="640"/>
        <w:outlineLvl w:val="1"/>
        <w:rPr>
          <w:rFonts w:hint="eastAsia" w:eastAsiaTheme="minorEastAsia"/>
          <w:lang w:eastAsia="zh-CN"/>
        </w:rPr>
      </w:pPr>
      <w:bookmarkStart w:id="25" w:name="_Toc5824"/>
      <w:r>
        <w:rPr>
          <w:rFonts w:hint="eastAsia" w:eastAsia="仿宋_GB2312" w:cs="仿宋_GB2312"/>
          <w:sz w:val="32"/>
          <w:szCs w:val="32"/>
        </w:rPr>
        <w:t>2025年度收入、支出总计均为</w:t>
      </w:r>
      <w:r>
        <w:rPr>
          <w:rFonts w:hint="eastAsia" w:eastAsia="仿宋_GB2312" w:cs="仿宋_GB2312"/>
          <w:sz w:val="32"/>
          <w:szCs w:val="32"/>
          <w:lang w:val="en-US" w:eastAsia="zh-CN"/>
        </w:rPr>
        <w:t>7650.8</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1169.2</w:t>
      </w:r>
      <w:r>
        <w:rPr>
          <w:rFonts w:hint="eastAsia" w:eastAsia="仿宋_GB2312" w:cs="仿宋_GB2312"/>
          <w:sz w:val="32"/>
          <w:szCs w:val="32"/>
        </w:rPr>
        <w:t>万元，增长</w:t>
      </w:r>
      <w:r>
        <w:rPr>
          <w:rFonts w:hint="eastAsia" w:eastAsia="仿宋_GB2312" w:cs="仿宋_GB2312"/>
          <w:sz w:val="32"/>
          <w:szCs w:val="32"/>
          <w:lang w:val="en-US" w:eastAsia="zh-CN"/>
        </w:rPr>
        <w:t>18.04</w:t>
      </w:r>
      <w:r>
        <w:rPr>
          <w:rFonts w:hint="eastAsia" w:eastAsia="仿宋_GB2312" w:cs="仿宋_GB2312"/>
          <w:sz w:val="32"/>
          <w:szCs w:val="32"/>
        </w:rPr>
        <w:t>%。主要变动原因是</w:t>
      </w:r>
      <w:r>
        <w:rPr>
          <w:rFonts w:hint="eastAsia" w:eastAsia="仿宋_GB2312" w:cs="仿宋_GB2312"/>
          <w:sz w:val="32"/>
          <w:szCs w:val="32"/>
          <w:lang w:val="en-US" w:eastAsia="zh-CN"/>
        </w:rPr>
        <w:t>钒钛校区仍属于扩招阶段，日常支出增长较快，同时2025年华山校区维修改造了操场、两校区进行了教室光源改造等项目。</w:t>
      </w:r>
      <w:bookmarkEnd w:id="25"/>
    </w:p>
    <w:p w14:paraId="07145D0F">
      <w:pPr>
        <w:pStyle w:val="27"/>
        <w:spacing w:line="240" w:lineRule="auto"/>
        <w:ind w:firstLine="0" w:firstLineChars="0"/>
        <w:outlineLvl w:val="1"/>
        <w:rPr>
          <w:rFonts w:hint="eastAsia" w:eastAsia="仿宋_GB2312" w:cs="仿宋_GB2312"/>
          <w:sz w:val="32"/>
          <w:szCs w:val="32"/>
          <w:lang w:val="en-US" w:eastAsia="zh-CN"/>
        </w:rPr>
      </w:pPr>
      <w:bookmarkStart w:id="26" w:name="_Toc1602"/>
      <w:r>
        <w:rPr>
          <w:rFonts w:hint="eastAsia" w:eastAsiaTheme="minorEastAsia"/>
          <w:lang w:eastAsia="zh-CN"/>
        </w:rPr>
        <w:drawing>
          <wp:inline distT="0" distB="0" distL="114300" distR="114300">
            <wp:extent cx="4799330" cy="2595245"/>
            <wp:effectExtent l="4445" t="5080" r="9525" b="15875"/>
            <wp:docPr id="1" name="图表 1" descr="7b0a202020202263686172745265734964223a202235303035333432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End w:id="26"/>
    </w:p>
    <w:p w14:paraId="4BD1139A">
      <w:pPr>
        <w:pStyle w:val="27"/>
        <w:spacing w:line="600" w:lineRule="exact"/>
        <w:ind w:firstLine="640"/>
        <w:outlineLvl w:val="1"/>
        <w:rPr>
          <w:rFonts w:eastAsia="仿宋_GB2312" w:cs="仿宋_GB2312"/>
          <w:sz w:val="32"/>
          <w:szCs w:val="32"/>
        </w:rPr>
      </w:pPr>
      <w:bookmarkStart w:id="27" w:name="_Toc25436"/>
      <w:r>
        <w:rPr>
          <w:rFonts w:hint="eastAsia" w:eastAsia="仿宋_GB2312" w:cs="仿宋_GB2312"/>
          <w:sz w:val="32"/>
          <w:szCs w:val="32"/>
        </w:rPr>
        <w:t>（图1：收入、支出决算总计变动情况图）（柱状图）</w:t>
      </w:r>
      <w:bookmarkEnd w:id="27"/>
    </w:p>
    <w:p w14:paraId="4708DA66">
      <w:pPr>
        <w:pStyle w:val="27"/>
        <w:spacing w:line="600" w:lineRule="exact"/>
        <w:ind w:firstLine="640"/>
        <w:outlineLvl w:val="1"/>
        <w:rPr>
          <w:rFonts w:eastAsia="黑体"/>
          <w:sz w:val="32"/>
          <w:szCs w:val="32"/>
        </w:rPr>
      </w:pPr>
      <w:bookmarkStart w:id="28" w:name="_Toc22750"/>
      <w:bookmarkStart w:id="29" w:name="_Toc15377206"/>
      <w:bookmarkStart w:id="30" w:name="_Toc15396604"/>
      <w:r>
        <w:rPr>
          <w:rFonts w:hint="eastAsia" w:eastAsia="黑体"/>
          <w:sz w:val="32"/>
          <w:szCs w:val="32"/>
        </w:rPr>
        <w:t>二、收入决算情况说明</w:t>
      </w:r>
      <w:bookmarkEnd w:id="28"/>
      <w:bookmarkEnd w:id="29"/>
      <w:bookmarkEnd w:id="30"/>
    </w:p>
    <w:p w14:paraId="5CAA7A90">
      <w:pPr>
        <w:pStyle w:val="27"/>
        <w:spacing w:line="600" w:lineRule="exact"/>
        <w:ind w:firstLine="640"/>
        <w:outlineLvl w:val="1"/>
        <w:rPr>
          <w:rFonts w:hint="eastAsia" w:eastAsia="仿宋_GB2312" w:cs="仿宋_GB2312"/>
          <w:sz w:val="32"/>
          <w:szCs w:val="32"/>
          <w:lang w:eastAsia="zh-CN"/>
        </w:rPr>
      </w:pPr>
      <w:bookmarkStart w:id="31" w:name="_Toc25304"/>
      <w:r>
        <w:rPr>
          <w:rFonts w:hint="eastAsia" w:eastAsia="仿宋_GB2312" w:cs="仿宋_GB2312"/>
          <w:sz w:val="32"/>
          <w:szCs w:val="32"/>
        </w:rPr>
        <w:t>2025年度本年收入合计</w:t>
      </w:r>
      <w:r>
        <w:rPr>
          <w:rFonts w:hint="eastAsia" w:eastAsia="仿宋_GB2312" w:cs="仿宋_GB2312"/>
          <w:sz w:val="32"/>
          <w:szCs w:val="32"/>
          <w:lang w:val="en-US" w:eastAsia="zh-CN"/>
        </w:rPr>
        <w:t>7226.89</w:t>
      </w:r>
      <w:r>
        <w:rPr>
          <w:rFonts w:hint="eastAsia" w:eastAsia="仿宋_GB2312" w:cs="仿宋_GB2312"/>
          <w:sz w:val="32"/>
          <w:szCs w:val="32"/>
        </w:rPr>
        <w:t>万元，其中：一般公共预算财政拨款收入5168.57万元，占</w:t>
      </w:r>
      <w:r>
        <w:rPr>
          <w:rFonts w:hint="eastAsia" w:eastAsia="仿宋_GB2312" w:cs="仿宋_GB2312"/>
          <w:sz w:val="32"/>
          <w:szCs w:val="32"/>
          <w:lang w:val="en-US" w:eastAsia="zh-CN"/>
        </w:rPr>
        <w:t>71.52</w:t>
      </w:r>
      <w:r>
        <w:rPr>
          <w:rFonts w:hint="eastAsia" w:eastAsia="仿宋_GB2312" w:cs="仿宋_GB2312"/>
          <w:sz w:val="32"/>
          <w:szCs w:val="32"/>
        </w:rPr>
        <w:t>%；政府性基金预算财政拨款收入2万元，占</w:t>
      </w:r>
      <w:r>
        <w:rPr>
          <w:rFonts w:hint="eastAsia" w:eastAsia="仿宋_GB2312" w:cs="仿宋_GB2312"/>
          <w:sz w:val="32"/>
          <w:szCs w:val="32"/>
          <w:lang w:val="en-US" w:eastAsia="zh-CN"/>
        </w:rPr>
        <w:t>0.03</w:t>
      </w:r>
      <w:r>
        <w:rPr>
          <w:rFonts w:hint="eastAsia" w:eastAsia="仿宋_GB2312" w:cs="仿宋_GB2312"/>
          <w:sz w:val="32"/>
          <w:szCs w:val="32"/>
        </w:rPr>
        <w:t>%；事业收入126.18万元，占</w:t>
      </w:r>
      <w:r>
        <w:rPr>
          <w:rFonts w:hint="eastAsia" w:eastAsia="仿宋_GB2312" w:cs="仿宋_GB2312"/>
          <w:sz w:val="32"/>
          <w:szCs w:val="32"/>
          <w:lang w:val="en-US" w:eastAsia="zh-CN"/>
        </w:rPr>
        <w:t>1.74</w:t>
      </w:r>
      <w:r>
        <w:rPr>
          <w:rFonts w:hint="eastAsia" w:eastAsia="仿宋_GB2312" w:cs="仿宋_GB2312"/>
          <w:sz w:val="32"/>
          <w:szCs w:val="32"/>
        </w:rPr>
        <w:t>%；其他收入1930.14万元，占</w:t>
      </w:r>
      <w:r>
        <w:rPr>
          <w:rFonts w:hint="eastAsia" w:eastAsia="仿宋_GB2312" w:cs="仿宋_GB2312"/>
          <w:sz w:val="32"/>
          <w:szCs w:val="32"/>
          <w:lang w:val="en-US" w:eastAsia="zh-CN"/>
        </w:rPr>
        <w:t>26.71</w:t>
      </w:r>
      <w:r>
        <w:rPr>
          <w:rFonts w:hint="eastAsia" w:eastAsia="仿宋_GB2312" w:cs="仿宋_GB2312"/>
          <w:sz w:val="32"/>
          <w:szCs w:val="32"/>
        </w:rPr>
        <w:t>%</w:t>
      </w:r>
      <w:r>
        <w:rPr>
          <w:rFonts w:hint="eastAsia" w:eastAsia="仿宋_GB2312" w:cs="仿宋_GB2312"/>
          <w:sz w:val="32"/>
          <w:szCs w:val="32"/>
          <w:lang w:eastAsia="zh-CN"/>
        </w:rPr>
        <w:t>。</w:t>
      </w:r>
      <w:bookmarkEnd w:id="31"/>
    </w:p>
    <w:p w14:paraId="0A20BF6B">
      <w:pPr>
        <w:pStyle w:val="27"/>
        <w:spacing w:line="240" w:lineRule="auto"/>
        <w:ind w:firstLine="0" w:firstLineChars="0"/>
        <w:outlineLvl w:val="1"/>
        <w:rPr>
          <w:rFonts w:hint="eastAsia" w:eastAsia="仿宋_GB2312" w:cs="仿宋_GB2312"/>
          <w:sz w:val="32"/>
          <w:szCs w:val="32"/>
        </w:rPr>
      </w:pPr>
    </w:p>
    <w:p w14:paraId="43AEDD5F">
      <w:pPr>
        <w:pStyle w:val="27"/>
        <w:spacing w:line="240" w:lineRule="auto"/>
        <w:ind w:firstLine="0" w:firstLineChars="0"/>
        <w:outlineLvl w:val="1"/>
        <w:rPr>
          <w:rFonts w:hint="eastAsia" w:eastAsia="仿宋_GB2312" w:cs="仿宋_GB2312"/>
          <w:sz w:val="32"/>
          <w:szCs w:val="32"/>
        </w:rPr>
      </w:pPr>
      <w:bookmarkStart w:id="32" w:name="_Toc4759"/>
      <w:r>
        <w:rPr>
          <w:rFonts w:hint="eastAsia" w:eastAsiaTheme="minorEastAsia"/>
          <w:lang w:eastAsia="zh-CN"/>
        </w:rPr>
        <w:drawing>
          <wp:inline distT="0" distB="0" distL="114300" distR="114300">
            <wp:extent cx="4399915" cy="2245995"/>
            <wp:effectExtent l="4445" t="4445" r="15240" b="1016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32"/>
    </w:p>
    <w:p w14:paraId="508B0A0F">
      <w:pPr>
        <w:pStyle w:val="27"/>
        <w:spacing w:line="600" w:lineRule="exact"/>
        <w:ind w:firstLine="640"/>
        <w:outlineLvl w:val="1"/>
        <w:rPr>
          <w:rFonts w:eastAsia="仿宋_GB2312" w:cs="仿宋_GB2312"/>
          <w:sz w:val="32"/>
          <w:szCs w:val="32"/>
        </w:rPr>
      </w:pPr>
      <w:bookmarkStart w:id="33" w:name="_Toc12999"/>
      <w:r>
        <w:rPr>
          <w:rFonts w:hint="eastAsia" w:eastAsia="仿宋_GB2312" w:cs="仿宋_GB2312"/>
          <w:sz w:val="32"/>
          <w:szCs w:val="32"/>
        </w:rPr>
        <w:t>（图2：收入决算结构图）（饼状图）</w:t>
      </w:r>
      <w:bookmarkEnd w:id="33"/>
    </w:p>
    <w:p w14:paraId="467923FE">
      <w:pPr>
        <w:pStyle w:val="27"/>
        <w:spacing w:line="600" w:lineRule="exact"/>
        <w:ind w:firstLine="640"/>
        <w:outlineLvl w:val="1"/>
        <w:rPr>
          <w:rStyle w:val="29"/>
          <w:rFonts w:ascii="Times New Roman" w:hAnsi="Times New Roman" w:eastAsia="黑体"/>
          <w:b w:val="0"/>
        </w:rPr>
      </w:pPr>
      <w:bookmarkStart w:id="34" w:name="_Toc15005"/>
      <w:bookmarkStart w:id="35" w:name="_Toc15396605"/>
      <w:bookmarkStart w:id="36" w:name="_Toc15377207"/>
      <w:r>
        <w:rPr>
          <w:rFonts w:hint="eastAsia" w:eastAsia="黑体"/>
          <w:sz w:val="32"/>
          <w:szCs w:val="32"/>
        </w:rPr>
        <w:t>三、支</w:t>
      </w:r>
      <w:r>
        <w:rPr>
          <w:rStyle w:val="29"/>
          <w:rFonts w:hint="eastAsia" w:ascii="Times New Roman" w:hAnsi="Times New Roman" w:eastAsia="黑体"/>
          <w:b w:val="0"/>
        </w:rPr>
        <w:t>出决算情况说明</w:t>
      </w:r>
      <w:bookmarkEnd w:id="34"/>
      <w:bookmarkEnd w:id="35"/>
      <w:bookmarkEnd w:id="36"/>
    </w:p>
    <w:p w14:paraId="41DC1514">
      <w:pPr>
        <w:pStyle w:val="27"/>
        <w:spacing w:line="600" w:lineRule="exact"/>
        <w:ind w:firstLine="640"/>
        <w:outlineLvl w:val="1"/>
        <w:rPr>
          <w:rFonts w:hint="eastAsia" w:eastAsia="仿宋_GB2312" w:cs="仿宋_GB2312"/>
          <w:sz w:val="32"/>
          <w:szCs w:val="32"/>
          <w:lang w:eastAsia="zh-CN"/>
        </w:rPr>
      </w:pPr>
      <w:bookmarkStart w:id="37" w:name="_Toc17880"/>
      <w:r>
        <w:rPr>
          <w:rFonts w:hint="eastAsia" w:eastAsia="仿宋_GB2312" w:cs="仿宋_GB2312"/>
          <w:sz w:val="32"/>
          <w:szCs w:val="32"/>
        </w:rPr>
        <w:t>2025年度本年支出合计7391.91万元，其中：基本支出5758.59万元，占</w:t>
      </w:r>
      <w:r>
        <w:rPr>
          <w:rFonts w:hint="eastAsia" w:eastAsia="仿宋_GB2312" w:cs="仿宋_GB2312"/>
          <w:sz w:val="32"/>
          <w:szCs w:val="32"/>
          <w:lang w:val="en-US" w:eastAsia="zh-CN"/>
        </w:rPr>
        <w:t>77.9</w:t>
      </w:r>
      <w:r>
        <w:rPr>
          <w:rFonts w:hint="eastAsia" w:eastAsia="仿宋_GB2312" w:cs="仿宋_GB2312"/>
          <w:sz w:val="32"/>
          <w:szCs w:val="32"/>
        </w:rPr>
        <w:t>%；项目支出1633.31万元，占</w:t>
      </w:r>
      <w:r>
        <w:rPr>
          <w:rFonts w:hint="eastAsia" w:eastAsia="仿宋_GB2312" w:cs="仿宋_GB2312"/>
          <w:sz w:val="32"/>
          <w:szCs w:val="32"/>
          <w:lang w:val="en-US" w:eastAsia="zh-CN"/>
        </w:rPr>
        <w:t>22.1</w:t>
      </w:r>
      <w:r>
        <w:rPr>
          <w:rFonts w:hint="eastAsia" w:eastAsia="仿宋_GB2312" w:cs="仿宋_GB2312"/>
          <w:sz w:val="32"/>
          <w:szCs w:val="32"/>
        </w:rPr>
        <w:t>%</w:t>
      </w:r>
      <w:r>
        <w:rPr>
          <w:rFonts w:hint="eastAsia" w:eastAsia="仿宋_GB2312" w:cs="仿宋_GB2312"/>
          <w:sz w:val="32"/>
          <w:szCs w:val="32"/>
          <w:lang w:eastAsia="zh-CN"/>
        </w:rPr>
        <w:t>。</w:t>
      </w:r>
      <w:bookmarkEnd w:id="37"/>
    </w:p>
    <w:p w14:paraId="418A07D9">
      <w:pPr>
        <w:pStyle w:val="27"/>
        <w:spacing w:line="240" w:lineRule="auto"/>
        <w:ind w:left="0" w:leftChars="0" w:firstLine="0" w:firstLineChars="0"/>
        <w:outlineLvl w:val="1"/>
        <w:rPr>
          <w:rFonts w:hint="eastAsia" w:eastAsia="仿宋_GB2312" w:cs="仿宋_GB2312"/>
          <w:sz w:val="32"/>
          <w:szCs w:val="32"/>
          <w:lang w:eastAsia="zh-CN"/>
        </w:rPr>
      </w:pPr>
      <w:bookmarkStart w:id="38" w:name="_Toc26655"/>
      <w:r>
        <w:rPr>
          <w:rFonts w:hint="eastAsia" w:eastAsiaTheme="minorEastAsia"/>
          <w:lang w:eastAsia="zh-CN"/>
        </w:rPr>
        <w:drawing>
          <wp:inline distT="0" distB="0" distL="114300" distR="114300">
            <wp:extent cx="4532630" cy="2397760"/>
            <wp:effectExtent l="4445" t="4445" r="9525" b="36195"/>
            <wp:docPr id="4" name="图表 4" descr="7b0a202020202263686172745265734964223a2022323034373638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End w:id="38"/>
    </w:p>
    <w:p w14:paraId="1D987B62">
      <w:pPr>
        <w:pStyle w:val="27"/>
        <w:spacing w:line="600" w:lineRule="exact"/>
        <w:ind w:firstLine="640"/>
        <w:outlineLvl w:val="1"/>
        <w:rPr>
          <w:rFonts w:eastAsia="仿宋_GB2312" w:cs="仿宋_GB2312"/>
          <w:sz w:val="32"/>
          <w:szCs w:val="32"/>
        </w:rPr>
      </w:pPr>
      <w:bookmarkStart w:id="39" w:name="_Toc28882"/>
      <w:r>
        <w:rPr>
          <w:rFonts w:hint="eastAsia" w:eastAsia="仿宋_GB2312" w:cs="仿宋_GB2312"/>
          <w:sz w:val="32"/>
          <w:szCs w:val="32"/>
        </w:rPr>
        <w:t>（图3：支出决算结构图）（饼状图）</w:t>
      </w:r>
      <w:bookmarkEnd w:id="39"/>
    </w:p>
    <w:p w14:paraId="2562CA2E">
      <w:pPr>
        <w:spacing w:line="600" w:lineRule="exact"/>
        <w:ind w:firstLine="640" w:firstLineChars="200"/>
        <w:outlineLvl w:val="1"/>
        <w:rPr>
          <w:rStyle w:val="29"/>
          <w:rFonts w:ascii="Times New Roman" w:hAnsi="Times New Roman" w:eastAsia="黑体"/>
          <w:b w:val="0"/>
        </w:rPr>
      </w:pPr>
      <w:bookmarkStart w:id="40" w:name="_Toc15377208"/>
      <w:bookmarkStart w:id="41" w:name="_Toc15396606"/>
      <w:bookmarkStart w:id="42" w:name="_Toc5587"/>
      <w:r>
        <w:rPr>
          <w:rFonts w:hint="eastAsia" w:eastAsia="黑体"/>
          <w:sz w:val="32"/>
          <w:szCs w:val="32"/>
        </w:rPr>
        <w:t>四、财</w:t>
      </w:r>
      <w:r>
        <w:rPr>
          <w:rStyle w:val="29"/>
          <w:rFonts w:hint="eastAsia" w:ascii="Times New Roman" w:hAnsi="Times New Roman" w:eastAsia="黑体"/>
          <w:b w:val="0"/>
        </w:rPr>
        <w:t>政拨款收入支出决算总体情况说明</w:t>
      </w:r>
      <w:bookmarkEnd w:id="40"/>
      <w:bookmarkEnd w:id="41"/>
      <w:bookmarkEnd w:id="42"/>
    </w:p>
    <w:p w14:paraId="26FFE9DA">
      <w:pPr>
        <w:pStyle w:val="27"/>
        <w:spacing w:line="600" w:lineRule="exact"/>
        <w:ind w:firstLine="640"/>
        <w:outlineLvl w:val="1"/>
        <w:rPr>
          <w:rFonts w:hint="eastAsia" w:eastAsia="仿宋_GB2312" w:cs="仿宋_GB2312"/>
          <w:sz w:val="32"/>
          <w:szCs w:val="32"/>
        </w:rPr>
      </w:pPr>
      <w:bookmarkStart w:id="43" w:name="_Toc117"/>
      <w:r>
        <w:rPr>
          <w:rFonts w:hint="eastAsia" w:eastAsia="仿宋_GB2312" w:cs="仿宋_GB2312"/>
          <w:sz w:val="32"/>
          <w:szCs w:val="32"/>
        </w:rPr>
        <w:t>2025年度财政拨款收入、支出总计均为5170.57万元。与上年度相比，财政拨款收入、支出总计各增加</w:t>
      </w:r>
      <w:r>
        <w:rPr>
          <w:rFonts w:hint="eastAsia" w:eastAsia="仿宋_GB2312" w:cs="仿宋_GB2312"/>
          <w:sz w:val="32"/>
          <w:szCs w:val="32"/>
          <w:lang w:val="en-US" w:eastAsia="zh-CN"/>
        </w:rPr>
        <w:t>249.55</w:t>
      </w:r>
      <w:r>
        <w:rPr>
          <w:rFonts w:hint="eastAsia" w:eastAsia="仿宋_GB2312" w:cs="仿宋_GB2312"/>
          <w:sz w:val="32"/>
          <w:szCs w:val="32"/>
        </w:rPr>
        <w:t>万元，增长</w:t>
      </w:r>
      <w:r>
        <w:rPr>
          <w:rFonts w:hint="eastAsia" w:eastAsia="仿宋_GB2312" w:cs="仿宋_GB2312"/>
          <w:sz w:val="32"/>
          <w:szCs w:val="32"/>
          <w:lang w:val="en-US" w:eastAsia="zh-CN"/>
        </w:rPr>
        <w:t>5.07</w:t>
      </w:r>
      <w:r>
        <w:rPr>
          <w:rFonts w:hint="eastAsia" w:eastAsia="仿宋_GB2312" w:cs="仿宋_GB2312"/>
          <w:sz w:val="32"/>
          <w:szCs w:val="32"/>
        </w:rPr>
        <w:t>%。主要变动原因是</w:t>
      </w:r>
      <w:r>
        <w:rPr>
          <w:rFonts w:hint="eastAsia" w:eastAsia="仿宋_GB2312" w:cs="仿宋_GB2312"/>
          <w:sz w:val="32"/>
          <w:szCs w:val="32"/>
          <w:lang w:val="en-US" w:eastAsia="zh-CN"/>
        </w:rPr>
        <w:t>2025年华山校区维修改造了操场、两校区进行了教室光源改造等项目。</w:t>
      </w:r>
      <w:bookmarkEnd w:id="43"/>
    </w:p>
    <w:p w14:paraId="180C8E18">
      <w:pPr>
        <w:spacing w:line="240" w:lineRule="auto"/>
        <w:ind w:firstLine="0" w:firstLineChars="0"/>
        <w:rPr>
          <w:rFonts w:hint="eastAsia" w:eastAsia="仿宋_GB2312" w:cs="仿宋_GB2312"/>
          <w:sz w:val="32"/>
          <w:szCs w:val="32"/>
        </w:rPr>
      </w:pPr>
      <w:r>
        <w:rPr>
          <w:rFonts w:hint="eastAsia" w:eastAsiaTheme="minorEastAsia"/>
          <w:lang w:eastAsia="zh-CN"/>
        </w:rPr>
        <w:drawing>
          <wp:inline distT="0" distB="0" distL="114300" distR="114300">
            <wp:extent cx="5018405" cy="2294255"/>
            <wp:effectExtent l="4445" t="4445" r="6350" b="12700"/>
            <wp:docPr id="5" name="图表 5" descr="7b0a202020202263686172745265734964223a202232303437363738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97E9D3C">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328C23A8">
      <w:pPr>
        <w:spacing w:line="600" w:lineRule="exact"/>
        <w:ind w:firstLine="640" w:firstLineChars="200"/>
        <w:outlineLvl w:val="1"/>
        <w:rPr>
          <w:rStyle w:val="29"/>
          <w:rFonts w:ascii="Times New Roman" w:hAnsi="Times New Roman" w:eastAsia="黑体"/>
          <w:b w:val="0"/>
        </w:rPr>
      </w:pPr>
      <w:bookmarkStart w:id="44" w:name="_Toc15377209"/>
      <w:bookmarkStart w:id="45" w:name="_Toc15396607"/>
      <w:bookmarkStart w:id="46" w:name="_Toc11985"/>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44"/>
      <w:bookmarkEnd w:id="45"/>
      <w:bookmarkEnd w:id="46"/>
    </w:p>
    <w:p w14:paraId="2AC7D381">
      <w:pPr>
        <w:spacing w:line="600" w:lineRule="exact"/>
        <w:ind w:firstLine="643" w:firstLineChars="200"/>
        <w:outlineLvl w:val="2"/>
        <w:rPr>
          <w:rFonts w:eastAsia="楷体_GB2312" w:cs="楷体_GB2312"/>
          <w:b/>
          <w:sz w:val="32"/>
          <w:szCs w:val="32"/>
        </w:rPr>
      </w:pPr>
      <w:bookmarkStart w:id="47" w:name="_Toc15377210"/>
      <w:r>
        <w:rPr>
          <w:rFonts w:hint="eastAsia" w:eastAsia="楷体_GB2312" w:cs="楷体_GB2312"/>
          <w:b/>
          <w:sz w:val="32"/>
          <w:szCs w:val="32"/>
        </w:rPr>
        <w:t>（一）一般公共预算财政拨款支出决算总体情况</w:t>
      </w:r>
      <w:bookmarkEnd w:id="47"/>
    </w:p>
    <w:p w14:paraId="6F78E5F4">
      <w:pPr>
        <w:pStyle w:val="27"/>
        <w:spacing w:line="600" w:lineRule="exact"/>
        <w:ind w:firstLine="640"/>
        <w:outlineLvl w:val="1"/>
        <w:rPr>
          <w:rFonts w:hint="eastAsia" w:eastAsia="仿宋_GB2312" w:cs="仿宋_GB2312"/>
          <w:sz w:val="32"/>
          <w:szCs w:val="32"/>
          <w:lang w:val="en-US" w:eastAsia="zh-CN"/>
        </w:rPr>
      </w:pPr>
      <w:bookmarkStart w:id="48" w:name="_Toc10089"/>
      <w:r>
        <w:rPr>
          <w:rFonts w:hint="eastAsia" w:eastAsia="仿宋_GB2312" w:cs="仿宋_GB2312"/>
          <w:sz w:val="32"/>
          <w:szCs w:val="32"/>
        </w:rPr>
        <w:t>2025年度一般公共预算财政拨款支出5168.57万元，占本年支出合计的</w:t>
      </w:r>
      <w:r>
        <w:rPr>
          <w:rFonts w:hint="eastAsia" w:eastAsia="仿宋_GB2312" w:cs="仿宋_GB2312"/>
          <w:sz w:val="32"/>
          <w:szCs w:val="32"/>
          <w:lang w:val="en-US" w:eastAsia="zh-CN"/>
        </w:rPr>
        <w:t>99.96</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247.55</w:t>
      </w:r>
      <w:r>
        <w:rPr>
          <w:rFonts w:hint="eastAsia" w:eastAsia="仿宋_GB2312" w:cs="仿宋_GB2312"/>
          <w:sz w:val="32"/>
          <w:szCs w:val="32"/>
        </w:rPr>
        <w:t>万元，增长</w:t>
      </w:r>
      <w:r>
        <w:rPr>
          <w:rFonts w:hint="eastAsia" w:eastAsia="仿宋_GB2312" w:cs="仿宋_GB2312"/>
          <w:sz w:val="32"/>
          <w:szCs w:val="32"/>
          <w:lang w:val="en-US" w:eastAsia="zh-CN"/>
        </w:rPr>
        <w:t>5.03</w:t>
      </w:r>
      <w:r>
        <w:rPr>
          <w:rFonts w:hint="eastAsia" w:eastAsia="仿宋_GB2312" w:cs="仿宋_GB2312"/>
          <w:sz w:val="32"/>
          <w:szCs w:val="32"/>
        </w:rPr>
        <w:t>%。主要变动原因是</w:t>
      </w:r>
      <w:r>
        <w:rPr>
          <w:rFonts w:hint="eastAsia" w:eastAsia="仿宋_GB2312" w:cs="仿宋_GB2312"/>
          <w:sz w:val="32"/>
          <w:szCs w:val="32"/>
          <w:lang w:val="en-US" w:eastAsia="zh-CN"/>
        </w:rPr>
        <w:t>2025年华山校区维修改造了操场、两校区进行了教室光源改造等项目。</w:t>
      </w:r>
      <w:bookmarkEnd w:id="48"/>
    </w:p>
    <w:p w14:paraId="015C9F7C">
      <w:pPr>
        <w:pStyle w:val="27"/>
        <w:spacing w:line="240" w:lineRule="auto"/>
        <w:ind w:firstLine="0" w:firstLineChars="0"/>
        <w:outlineLvl w:val="1"/>
        <w:rPr>
          <w:rFonts w:hint="eastAsia" w:eastAsia="仿宋_GB2312" w:cs="仿宋_GB2312"/>
          <w:sz w:val="32"/>
          <w:szCs w:val="32"/>
          <w:lang w:val="en-US" w:eastAsia="zh-CN"/>
        </w:rPr>
      </w:pPr>
      <w:bookmarkStart w:id="49" w:name="_Toc1864"/>
      <w:r>
        <w:rPr>
          <w:rFonts w:hint="eastAsia" w:eastAsiaTheme="minorEastAsia"/>
          <w:lang w:eastAsia="zh-CN"/>
        </w:rPr>
        <w:drawing>
          <wp:inline distT="0" distB="0" distL="114300" distR="114300">
            <wp:extent cx="5018405" cy="2294255"/>
            <wp:effectExtent l="4445" t="4445" r="6350" b="12700"/>
            <wp:docPr id="3" name="图表 3" descr="7b0a202020202263686172745265734964223a202232303437363738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49"/>
    </w:p>
    <w:p w14:paraId="759636F6">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11FCFD81">
      <w:pPr>
        <w:spacing w:line="600" w:lineRule="exact"/>
        <w:ind w:firstLine="643" w:firstLineChars="200"/>
        <w:outlineLvl w:val="2"/>
        <w:rPr>
          <w:rFonts w:eastAsia="楷体_GB2312" w:cs="楷体_GB2312"/>
          <w:b/>
          <w:sz w:val="32"/>
          <w:szCs w:val="32"/>
        </w:rPr>
      </w:pPr>
      <w:bookmarkStart w:id="50" w:name="_Toc15377211"/>
      <w:r>
        <w:rPr>
          <w:rFonts w:hint="eastAsia" w:eastAsia="楷体_GB2312" w:cs="楷体_GB2312"/>
          <w:b/>
          <w:sz w:val="32"/>
          <w:szCs w:val="32"/>
        </w:rPr>
        <w:t>（二）一般公共预算财政拨款支出决算结构情况</w:t>
      </w:r>
      <w:bookmarkEnd w:id="50"/>
    </w:p>
    <w:p w14:paraId="6F46A01E">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2025年度一般公共预算财政拨款支出5168.57万元，主要用于以下方面：教育支出3653.07万元，占</w:t>
      </w:r>
      <w:r>
        <w:rPr>
          <w:rFonts w:hint="eastAsia" w:eastAsia="仿宋_GB2312" w:cs="仿宋_GB2312"/>
          <w:sz w:val="32"/>
          <w:szCs w:val="32"/>
          <w:lang w:val="en-US" w:eastAsia="zh-CN"/>
        </w:rPr>
        <w:t>70.68</w:t>
      </w:r>
      <w:r>
        <w:rPr>
          <w:rFonts w:hint="eastAsia" w:eastAsia="仿宋_GB2312" w:cs="仿宋_GB2312"/>
          <w:sz w:val="32"/>
          <w:szCs w:val="32"/>
        </w:rPr>
        <w:t>%；社会保障和就业支出934.61万元，占</w:t>
      </w:r>
      <w:r>
        <w:rPr>
          <w:rFonts w:hint="eastAsia" w:eastAsia="仿宋_GB2312" w:cs="仿宋_GB2312"/>
          <w:sz w:val="32"/>
          <w:szCs w:val="32"/>
          <w:lang w:val="en-US" w:eastAsia="zh-CN"/>
        </w:rPr>
        <w:t>18.08</w:t>
      </w:r>
      <w:r>
        <w:rPr>
          <w:rFonts w:hint="eastAsia" w:eastAsia="仿宋_GB2312" w:cs="仿宋_GB2312"/>
          <w:sz w:val="32"/>
          <w:szCs w:val="32"/>
        </w:rPr>
        <w:t>%；卫生健康支出245.93万元，占</w:t>
      </w:r>
      <w:r>
        <w:rPr>
          <w:rFonts w:hint="eastAsia" w:eastAsia="仿宋_GB2312" w:cs="仿宋_GB2312"/>
          <w:sz w:val="32"/>
          <w:szCs w:val="32"/>
          <w:lang w:val="en-US" w:eastAsia="zh-CN"/>
        </w:rPr>
        <w:t>4.76</w:t>
      </w:r>
      <w:r>
        <w:rPr>
          <w:rFonts w:hint="eastAsia" w:eastAsia="仿宋_GB2312" w:cs="仿宋_GB2312"/>
          <w:sz w:val="32"/>
          <w:szCs w:val="32"/>
        </w:rPr>
        <w:t>%；住房保障支出334.96万元，占</w:t>
      </w:r>
      <w:r>
        <w:rPr>
          <w:rFonts w:hint="eastAsia" w:eastAsia="仿宋_GB2312" w:cs="仿宋_GB2312"/>
          <w:sz w:val="32"/>
          <w:szCs w:val="32"/>
          <w:lang w:val="en-US" w:eastAsia="zh-CN"/>
        </w:rPr>
        <w:t>6.48</w:t>
      </w:r>
      <w:r>
        <w:rPr>
          <w:rFonts w:hint="eastAsia" w:eastAsia="仿宋_GB2312" w:cs="仿宋_GB2312"/>
          <w:sz w:val="32"/>
          <w:szCs w:val="32"/>
        </w:rPr>
        <w:t>%</w:t>
      </w:r>
      <w:r>
        <w:rPr>
          <w:rFonts w:hint="eastAsia" w:eastAsia="仿宋_GB2312" w:cs="仿宋_GB2312"/>
          <w:sz w:val="32"/>
          <w:szCs w:val="32"/>
          <w:lang w:eastAsia="zh-CN"/>
        </w:rPr>
        <w:t>。</w:t>
      </w:r>
    </w:p>
    <w:p w14:paraId="7F329A67">
      <w:pPr>
        <w:spacing w:line="240" w:lineRule="auto"/>
        <w:ind w:firstLine="0"/>
        <w:rPr>
          <w:rFonts w:hint="eastAsia" w:eastAsia="仿宋_GB2312" w:cs="仿宋_GB2312"/>
          <w:sz w:val="32"/>
          <w:szCs w:val="32"/>
        </w:rPr>
      </w:pPr>
    </w:p>
    <w:p w14:paraId="1161BDD0">
      <w:pPr>
        <w:spacing w:line="240" w:lineRule="auto"/>
        <w:ind w:firstLine="0"/>
        <w:rPr>
          <w:rFonts w:hint="eastAsia" w:eastAsia="仿宋_GB2312" w:cs="仿宋_GB2312"/>
          <w:sz w:val="32"/>
          <w:szCs w:val="32"/>
        </w:rPr>
      </w:pPr>
      <w:r>
        <w:rPr>
          <w:rFonts w:hint="eastAsia" w:eastAsiaTheme="minorEastAsia"/>
          <w:lang w:eastAsia="zh-CN"/>
        </w:rPr>
        <w:drawing>
          <wp:inline distT="0" distB="0" distL="114300" distR="114300">
            <wp:extent cx="5256530" cy="2988310"/>
            <wp:effectExtent l="5080" t="4445" r="8890" b="17145"/>
            <wp:docPr id="7" name="图表 7" descr="7b0a202020202263686172745265734964223a2022323034363835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6E2A2B4">
      <w:pPr>
        <w:spacing w:line="240" w:lineRule="auto"/>
        <w:ind w:firstLine="0"/>
        <w:rPr>
          <w:rFonts w:eastAsia="仿宋_GB2312" w:cs="仿宋_GB2312"/>
          <w:sz w:val="32"/>
          <w:szCs w:val="32"/>
        </w:rPr>
      </w:pPr>
      <w:r>
        <w:rPr>
          <w:rFonts w:hint="eastAsia" w:eastAsia="仿宋_GB2312" w:cs="仿宋_GB2312"/>
          <w:sz w:val="32"/>
          <w:szCs w:val="32"/>
        </w:rPr>
        <w:t>（图6：一般公共预算财政拨款支出决算结构）（饼状图）</w:t>
      </w:r>
    </w:p>
    <w:p w14:paraId="1AC1B9B6">
      <w:pPr>
        <w:spacing w:line="600" w:lineRule="exact"/>
        <w:ind w:firstLine="643" w:firstLineChars="200"/>
        <w:outlineLvl w:val="2"/>
        <w:rPr>
          <w:rFonts w:eastAsia="楷体_GB2312" w:cs="楷体_GB2312"/>
          <w:b/>
          <w:sz w:val="32"/>
          <w:szCs w:val="32"/>
        </w:rPr>
      </w:pPr>
      <w:bookmarkStart w:id="51" w:name="_Toc15377212"/>
      <w:r>
        <w:rPr>
          <w:rFonts w:hint="eastAsia" w:eastAsia="楷体_GB2312" w:cs="楷体_GB2312"/>
          <w:b/>
          <w:sz w:val="32"/>
          <w:szCs w:val="32"/>
        </w:rPr>
        <w:t>（三）一般公共预算财政拨款支出决算具体情况</w:t>
      </w:r>
      <w:bookmarkEnd w:id="51"/>
    </w:p>
    <w:p w14:paraId="17C5FF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2" w:name="_Toc15377213"/>
      <w:bookmarkStart w:id="53" w:name="_Toc15377444"/>
      <w:bookmarkStart w:id="54" w:name="_Toc15378460"/>
      <w:r>
        <w:rPr>
          <w:rFonts w:hint="eastAsia" w:eastAsia="仿宋_GB2312" w:cs="仿宋_GB2312"/>
          <w:sz w:val="32"/>
          <w:szCs w:val="32"/>
        </w:rPr>
        <w:t>2025年度</w:t>
      </w:r>
      <w:bookmarkEnd w:id="52"/>
      <w:bookmarkEnd w:id="53"/>
      <w:bookmarkEnd w:id="54"/>
      <w:r>
        <w:rPr>
          <w:rFonts w:hint="eastAsia" w:ascii="Times New Roman" w:hAnsi="Times New Roman" w:eastAsia="仿宋_GB2312" w:cs="仿宋_GB2312"/>
          <w:color w:val="auto"/>
          <w:kern w:val="2"/>
          <w:sz w:val="32"/>
          <w:szCs w:val="32"/>
          <w:highlight w:val="none"/>
          <w:lang w:val="en-US" w:eastAsia="zh-CN" w:bidi="ar-SA"/>
        </w:rPr>
        <w:t>一般公共预算财政拨款支出决算数为</w:t>
      </w:r>
      <w:r>
        <w:rPr>
          <w:rFonts w:hint="eastAsia" w:eastAsia="仿宋_GB2312" w:cs="仿宋_GB2312"/>
          <w:sz w:val="32"/>
          <w:szCs w:val="32"/>
        </w:rPr>
        <w:t>5168.57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完成预算100%。其中：</w:t>
      </w:r>
    </w:p>
    <w:p w14:paraId="7C40E1C1">
      <w:pPr>
        <w:spacing w:line="600" w:lineRule="exact"/>
        <w:ind w:firstLine="640" w:firstLineChars="200"/>
        <w:rPr>
          <w:rFonts w:ascii="仿宋" w:hAnsi="仿宋" w:eastAsia="仿宋"/>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1.教育（类）义务教育（款）初中教育（项）: 支出决算为</w:t>
      </w:r>
      <w:r>
        <w:rPr>
          <w:rFonts w:hint="eastAsia" w:eastAsia="仿宋_GB2312" w:cs="仿宋_GB2312"/>
          <w:sz w:val="32"/>
          <w:szCs w:val="32"/>
        </w:rPr>
        <w:t>3653.07</w:t>
      </w:r>
      <w:r>
        <w:rPr>
          <w:rFonts w:hint="eastAsia" w:ascii="Times New Roman" w:hAnsi="Times New Roman" w:eastAsia="仿宋_GB2312" w:cs="仿宋_GB2312"/>
          <w:color w:val="auto"/>
          <w:kern w:val="2"/>
          <w:sz w:val="32"/>
          <w:szCs w:val="32"/>
          <w:highlight w:val="none"/>
          <w:lang w:val="en-US" w:eastAsia="zh-CN" w:bidi="ar-SA"/>
        </w:rPr>
        <w:t>万元，完成预算100%，</w:t>
      </w:r>
      <w:r>
        <w:rPr>
          <w:rStyle w:val="17"/>
          <w:rFonts w:hint="eastAsia" w:ascii="仿宋" w:hAnsi="仿宋" w:eastAsia="仿宋"/>
          <w:b w:val="0"/>
          <w:bCs/>
          <w:sz w:val="32"/>
          <w:szCs w:val="32"/>
        </w:rPr>
        <w:t>决算数等于预算数</w:t>
      </w:r>
      <w:r>
        <w:rPr>
          <w:rStyle w:val="17"/>
          <w:rFonts w:hint="eastAsia" w:ascii="仿宋" w:hAnsi="仿宋" w:eastAsia="仿宋"/>
          <w:b w:val="0"/>
          <w:bCs/>
          <w:color w:val="auto"/>
          <w:sz w:val="32"/>
          <w:szCs w:val="32"/>
          <w:highlight w:val="none"/>
        </w:rPr>
        <w:t>。</w:t>
      </w:r>
    </w:p>
    <w:p w14:paraId="2E33A5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.社会保障和就业（类）人力资源和社会保障管理事务业务（款）其他人力资源和社会保障管理事务业务（项）：支出决算为</w:t>
      </w:r>
      <w:r>
        <w:rPr>
          <w:rFonts w:hint="eastAsia" w:eastAsia="仿宋_GB2312" w:cs="仿宋_GB2312"/>
          <w:sz w:val="32"/>
          <w:szCs w:val="32"/>
        </w:rPr>
        <w:t>934.61</w:t>
      </w:r>
      <w:r>
        <w:rPr>
          <w:rFonts w:hint="eastAsia" w:ascii="Times New Roman" w:hAnsi="Times New Roman" w:eastAsia="仿宋_GB2312" w:cs="仿宋_GB2312"/>
          <w:color w:val="auto"/>
          <w:kern w:val="2"/>
          <w:sz w:val="32"/>
          <w:szCs w:val="32"/>
          <w:highlight w:val="none"/>
          <w:lang w:val="en-US" w:eastAsia="zh-CN" w:bidi="ar-SA"/>
        </w:rPr>
        <w:t>万元，完成预算100%，</w:t>
      </w:r>
      <w:r>
        <w:rPr>
          <w:rStyle w:val="17"/>
          <w:rFonts w:hint="eastAsia" w:ascii="仿宋" w:hAnsi="仿宋" w:eastAsia="仿宋"/>
          <w:b w:val="0"/>
          <w:bCs/>
          <w:sz w:val="32"/>
          <w:szCs w:val="32"/>
        </w:rPr>
        <w:t>决算数等于预算数</w:t>
      </w:r>
      <w:r>
        <w:rPr>
          <w:rStyle w:val="17"/>
          <w:rFonts w:hint="eastAsia" w:ascii="仿宋" w:hAnsi="仿宋" w:eastAsia="仿宋"/>
          <w:b w:val="0"/>
          <w:bCs/>
          <w:color w:val="auto"/>
          <w:sz w:val="32"/>
          <w:szCs w:val="32"/>
          <w:highlight w:val="none"/>
        </w:rPr>
        <w:t>。</w:t>
      </w:r>
    </w:p>
    <w:p w14:paraId="3D9CD9A4">
      <w:pPr>
        <w:spacing w:line="600" w:lineRule="exact"/>
        <w:ind w:firstLine="640"/>
        <w:rPr>
          <w:rStyle w:val="17"/>
          <w:rFonts w:hint="eastAsia" w:ascii="仿宋" w:hAnsi="仿宋" w:eastAsia="仿宋"/>
          <w:b w:val="0"/>
          <w:bCs/>
          <w:color w:val="auto"/>
          <w:sz w:val="32"/>
          <w:szCs w:val="32"/>
          <w:highlight w:val="none"/>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.卫生健康（类）行政事业单位医疗（款）事业单位医疗（项）：支出决算为219.73万元，完成预算100%，</w:t>
      </w:r>
      <w:r>
        <w:rPr>
          <w:rStyle w:val="17"/>
          <w:rFonts w:hint="eastAsia" w:ascii="仿宋" w:hAnsi="仿宋" w:eastAsia="仿宋"/>
          <w:b w:val="0"/>
          <w:bCs/>
          <w:sz w:val="32"/>
          <w:szCs w:val="32"/>
        </w:rPr>
        <w:t>决算数等于预算数</w:t>
      </w:r>
      <w:r>
        <w:rPr>
          <w:rStyle w:val="17"/>
          <w:rFonts w:hint="eastAsia" w:ascii="仿宋" w:hAnsi="仿宋" w:eastAsia="仿宋"/>
          <w:b w:val="0"/>
          <w:bCs/>
          <w:color w:val="auto"/>
          <w:sz w:val="32"/>
          <w:szCs w:val="32"/>
          <w:highlight w:val="none"/>
        </w:rPr>
        <w:t>。</w:t>
      </w:r>
    </w:p>
    <w:p w14:paraId="7791BB25">
      <w:pPr>
        <w:spacing w:line="600" w:lineRule="exact"/>
        <w:ind w:firstLine="640"/>
        <w:rPr>
          <w:rStyle w:val="17"/>
          <w:rFonts w:hint="eastAsia" w:ascii="仿宋" w:hAnsi="仿宋" w:eastAsia="仿宋"/>
          <w:b w:val="0"/>
          <w:bCs/>
          <w:color w:val="auto"/>
          <w:sz w:val="32"/>
          <w:szCs w:val="32"/>
          <w:highlight w:val="none"/>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.卫生健康（类）行政事业单位医疗（款）公务员医疗补助（项）：支出决算为23.76元，完成预算100%，</w:t>
      </w:r>
      <w:r>
        <w:rPr>
          <w:rStyle w:val="17"/>
          <w:rFonts w:hint="eastAsia" w:ascii="仿宋" w:hAnsi="仿宋" w:eastAsia="仿宋"/>
          <w:b w:val="0"/>
          <w:bCs/>
          <w:sz w:val="32"/>
          <w:szCs w:val="32"/>
        </w:rPr>
        <w:t>决算数等于预算数</w:t>
      </w:r>
      <w:r>
        <w:rPr>
          <w:rStyle w:val="17"/>
          <w:rFonts w:hint="eastAsia" w:ascii="仿宋" w:hAnsi="仿宋" w:eastAsia="仿宋"/>
          <w:b w:val="0"/>
          <w:bCs/>
          <w:color w:val="auto"/>
          <w:sz w:val="32"/>
          <w:szCs w:val="32"/>
          <w:highlight w:val="none"/>
        </w:rPr>
        <w:t>。</w:t>
      </w:r>
    </w:p>
    <w:p w14:paraId="0199E4E9">
      <w:pPr>
        <w:spacing w:line="600" w:lineRule="exact"/>
        <w:ind w:firstLine="640"/>
        <w:rPr>
          <w:rStyle w:val="17"/>
          <w:rFonts w:hint="eastAsia" w:ascii="仿宋" w:hAnsi="仿宋" w:eastAsia="仿宋"/>
          <w:b w:val="0"/>
          <w:bCs/>
          <w:color w:val="auto"/>
          <w:sz w:val="32"/>
          <w:szCs w:val="32"/>
          <w:highlight w:val="none"/>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卫生健康（类）行政事业单位医疗（款）其他卫生健康支出（项）：支出决算为2.44元，完成预算100%，</w:t>
      </w:r>
      <w:r>
        <w:rPr>
          <w:rStyle w:val="17"/>
          <w:rFonts w:hint="eastAsia" w:ascii="仿宋" w:hAnsi="仿宋" w:eastAsia="仿宋"/>
          <w:b w:val="0"/>
          <w:bCs/>
          <w:sz w:val="32"/>
          <w:szCs w:val="32"/>
        </w:rPr>
        <w:t>决算数等于预算数</w:t>
      </w:r>
      <w:r>
        <w:rPr>
          <w:rStyle w:val="17"/>
          <w:rFonts w:hint="eastAsia" w:ascii="仿宋" w:hAnsi="仿宋" w:eastAsia="仿宋"/>
          <w:b w:val="0"/>
          <w:bCs/>
          <w:color w:val="auto"/>
          <w:sz w:val="32"/>
          <w:szCs w:val="32"/>
          <w:highlight w:val="none"/>
        </w:rPr>
        <w:t>。</w:t>
      </w:r>
    </w:p>
    <w:p w14:paraId="0CA45487">
      <w:pPr>
        <w:spacing w:line="600" w:lineRule="exact"/>
        <w:ind w:firstLine="640" w:firstLineChars="200"/>
        <w:rPr>
          <w:rFonts w:eastAsia="仿宋_GB2312" w:cs="仿宋_GB2312"/>
          <w:sz w:val="32"/>
          <w:szCs w:val="32"/>
        </w:rPr>
      </w:pPr>
      <w:r>
        <w:rPr>
          <w:rFonts w:hint="eastAsia"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default" w:ascii="Times New Roman" w:hAnsi="Times New Roman"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default" w:ascii="Times New Roman" w:hAnsi="Times New Roman"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支出决算</w:t>
      </w:r>
      <w:r>
        <w:rPr>
          <w:rFonts w:hint="default" w:ascii="Times New Roman" w:hAnsi="Times New Roman" w:eastAsia="仿宋_GB2312" w:cs="仿宋_GB2312"/>
          <w:color w:val="auto"/>
          <w:kern w:val="2"/>
          <w:sz w:val="32"/>
          <w:szCs w:val="32"/>
          <w:highlight w:val="none"/>
          <w:lang w:val="en-US" w:eastAsia="zh-CN" w:bidi="ar-SA"/>
        </w:rPr>
        <w:t>为</w:t>
      </w:r>
      <w:r>
        <w:rPr>
          <w:rFonts w:hint="eastAsia" w:eastAsia="仿宋_GB2312" w:cs="仿宋_GB2312"/>
          <w:sz w:val="32"/>
          <w:szCs w:val="32"/>
        </w:rPr>
        <w:t>334.96</w:t>
      </w:r>
      <w:r>
        <w:rPr>
          <w:rFonts w:hint="default"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完成预算100%，</w:t>
      </w:r>
      <w:r>
        <w:rPr>
          <w:rStyle w:val="17"/>
          <w:rFonts w:hint="eastAsia" w:ascii="仿宋" w:hAnsi="仿宋" w:eastAsia="仿宋"/>
          <w:b w:val="0"/>
          <w:bCs/>
          <w:sz w:val="32"/>
          <w:szCs w:val="32"/>
        </w:rPr>
        <w:t>决算数等于预算数</w:t>
      </w:r>
      <w:r>
        <w:rPr>
          <w:rStyle w:val="17"/>
          <w:rFonts w:hint="eastAsia" w:ascii="仿宋" w:hAnsi="仿宋" w:eastAsia="仿宋"/>
          <w:b w:val="0"/>
          <w:bCs/>
          <w:color w:val="auto"/>
          <w:sz w:val="32"/>
          <w:szCs w:val="32"/>
          <w:highlight w:val="none"/>
        </w:rPr>
        <w:t>。</w:t>
      </w:r>
    </w:p>
    <w:p w14:paraId="7A083B88">
      <w:pPr>
        <w:tabs>
          <w:tab w:val="right" w:pos="8306"/>
        </w:tabs>
        <w:spacing w:line="600" w:lineRule="exact"/>
        <w:ind w:firstLine="640"/>
        <w:outlineLvl w:val="1"/>
        <w:rPr>
          <w:rStyle w:val="29"/>
          <w:rFonts w:ascii="Times New Roman" w:hAnsi="Times New Roman"/>
        </w:rPr>
      </w:pPr>
      <w:bookmarkStart w:id="55" w:name="_Toc15377214"/>
      <w:bookmarkStart w:id="56" w:name="_Toc19621"/>
      <w:bookmarkStart w:id="57"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55"/>
      <w:bookmarkEnd w:id="56"/>
      <w:bookmarkEnd w:id="57"/>
      <w:r>
        <w:rPr>
          <w:rStyle w:val="29"/>
          <w:rFonts w:ascii="Times New Roman" w:hAnsi="Times New Roman" w:eastAsia="黑体"/>
          <w:b w:val="0"/>
        </w:rPr>
        <w:tab/>
      </w:r>
    </w:p>
    <w:p w14:paraId="1B6B1B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lang w:val="en-US" w:eastAsia="zh-CN"/>
        </w:rPr>
        <w:t>4654.7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76C590E0">
      <w:pPr>
        <w:spacing w:line="600" w:lineRule="exact"/>
        <w:ind w:firstLine="640"/>
        <w:rPr>
          <w:rFonts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rPr>
        <w:t>4611.63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绩效工资、机关事业单位基本养老保险缴费、职业年金缴费、其他社会保障缴费、其他工资福利支出、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rPr>
        <w:t>43.07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水费、电费、邮电费、取暖费、物业管理费、差旅费、维修（护）费、培训费、劳务费、委托业务费、工会经费、福利费、公务用车运行维护费、其他交通费、税金及附加费用、其他商品和服务支出等。</w:t>
      </w:r>
    </w:p>
    <w:p w14:paraId="0C6A8C4A">
      <w:pPr>
        <w:spacing w:line="600" w:lineRule="exact"/>
        <w:ind w:firstLine="640"/>
        <w:outlineLvl w:val="1"/>
        <w:rPr>
          <w:rStyle w:val="29"/>
          <w:rFonts w:ascii="Times New Roman" w:hAnsi="Times New Roman" w:eastAsia="黑体"/>
          <w:b w:val="0"/>
          <w:highlight w:val="none"/>
        </w:rPr>
      </w:pPr>
      <w:bookmarkStart w:id="58" w:name="_Toc18386"/>
      <w:bookmarkStart w:id="59" w:name="_Toc15377215"/>
      <w:bookmarkStart w:id="60" w:name="_Toc15396609"/>
      <w:r>
        <w:rPr>
          <w:rFonts w:hint="eastAsia" w:eastAsia="黑体"/>
          <w:sz w:val="32"/>
          <w:szCs w:val="32"/>
          <w:highlight w:val="none"/>
        </w:rPr>
        <w:t>七、</w:t>
      </w:r>
      <w:r>
        <w:rPr>
          <w:rStyle w:val="29"/>
          <w:rFonts w:hint="eastAsia" w:ascii="Times New Roman" w:hAnsi="Times New Roman" w:eastAsia="黑体"/>
          <w:b w:val="0"/>
          <w:highlight w:val="none"/>
        </w:rPr>
        <w:t>财政拨款</w:t>
      </w:r>
      <w:r>
        <w:rPr>
          <w:rStyle w:val="29"/>
          <w:rFonts w:hint="eastAsia" w:ascii="Times New Roman" w:hAnsi="Times New Roman" w:eastAsia="黑体"/>
          <w:highlight w:val="none"/>
        </w:rPr>
        <w:t>“</w:t>
      </w:r>
      <w:r>
        <w:rPr>
          <w:rStyle w:val="29"/>
          <w:rFonts w:hint="eastAsia" w:ascii="Times New Roman" w:hAnsi="Times New Roman" w:eastAsia="黑体"/>
          <w:b w:val="0"/>
          <w:highlight w:val="none"/>
        </w:rPr>
        <w:t>三公”经费支出决算情况说明</w:t>
      </w:r>
      <w:bookmarkEnd w:id="58"/>
      <w:bookmarkEnd w:id="59"/>
      <w:bookmarkEnd w:id="60"/>
    </w:p>
    <w:p w14:paraId="7F2B3C73">
      <w:pPr>
        <w:spacing w:line="600" w:lineRule="exact"/>
        <w:ind w:firstLine="643" w:firstLineChars="200"/>
        <w:outlineLvl w:val="2"/>
        <w:rPr>
          <w:rFonts w:eastAsia="楷体_GB2312" w:cs="楷体_GB2312"/>
          <w:b/>
          <w:sz w:val="32"/>
          <w:szCs w:val="32"/>
        </w:rPr>
      </w:pPr>
      <w:bookmarkStart w:id="61" w:name="_Toc15377216"/>
      <w:r>
        <w:rPr>
          <w:rFonts w:hint="eastAsia" w:eastAsia="楷体_GB2312" w:cs="楷体_GB2312"/>
          <w:b/>
          <w:sz w:val="32"/>
          <w:szCs w:val="32"/>
        </w:rPr>
        <w:t>（一）财政拨款“三公”经费支出决算总体情况说明</w:t>
      </w:r>
      <w:bookmarkEnd w:id="61"/>
    </w:p>
    <w:p w14:paraId="242538D5">
      <w:pPr>
        <w:spacing w:line="600" w:lineRule="exact"/>
        <w:ind w:firstLine="640"/>
        <w:rPr>
          <w:rFonts w:hint="eastAsia" w:ascii="仿宋" w:hAnsi="仿宋" w:eastAsia="仿宋"/>
          <w:color w:val="auto"/>
          <w:sz w:val="32"/>
          <w:szCs w:val="32"/>
          <w:highlight w:val="none"/>
          <w:lang w:eastAsia="zh-CN"/>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ascii="仿宋" w:hAnsi="仿宋" w:eastAsia="仿宋"/>
          <w:color w:val="auto"/>
          <w:sz w:val="32"/>
          <w:szCs w:val="32"/>
          <w:highlight w:val="none"/>
        </w:rPr>
        <w:t>决算数与预算数持平</w:t>
      </w:r>
      <w:r>
        <w:rPr>
          <w:rFonts w:hint="eastAsia" w:ascii="仿宋" w:hAnsi="仿宋" w:eastAsia="仿宋"/>
          <w:color w:val="auto"/>
          <w:sz w:val="32"/>
          <w:szCs w:val="32"/>
          <w:highlight w:val="none"/>
          <w:lang w:eastAsia="zh-CN"/>
        </w:rPr>
        <w:t>。</w:t>
      </w:r>
    </w:p>
    <w:p w14:paraId="08A592AD">
      <w:pPr>
        <w:spacing w:line="600" w:lineRule="exact"/>
        <w:ind w:firstLine="643" w:firstLineChars="200"/>
        <w:outlineLvl w:val="2"/>
        <w:rPr>
          <w:rFonts w:eastAsia="楷体_GB2312" w:cs="楷体_GB2312"/>
          <w:b/>
          <w:sz w:val="32"/>
          <w:szCs w:val="32"/>
        </w:rPr>
      </w:pPr>
      <w:bookmarkStart w:id="62" w:name="_Toc15377217"/>
      <w:r>
        <w:rPr>
          <w:rFonts w:hint="eastAsia" w:eastAsia="楷体_GB2312" w:cs="楷体_GB2312"/>
          <w:b/>
          <w:sz w:val="32"/>
          <w:szCs w:val="32"/>
        </w:rPr>
        <w:t>（二）财政拨款“三公”经费支出决算具体情况说明</w:t>
      </w:r>
      <w:bookmarkEnd w:id="62"/>
    </w:p>
    <w:p w14:paraId="64FC007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eastAsia="仿宋_GB2312" w:cs="仿宋_GB2312"/>
          <w:sz w:val="32"/>
          <w:szCs w:val="32"/>
        </w:rPr>
        <w:t>2025年度</w:t>
      </w:r>
      <w:r>
        <w:rPr>
          <w:rFonts w:hint="eastAsia" w:ascii="仿宋_GB2312" w:hAnsi="仿宋_GB2312" w:eastAsia="仿宋_GB2312" w:cs="仿宋_GB2312"/>
          <w:color w:val="auto"/>
          <w:kern w:val="2"/>
          <w:sz w:val="32"/>
          <w:szCs w:val="32"/>
          <w:highlight w:val="none"/>
          <w:lang w:val="en-US" w:eastAsia="zh-CN" w:bidi="ar-SA"/>
        </w:rPr>
        <w:t>“三公”经费财政拨款支出决算中，因公出国（境）费支出决算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38FB3DF1">
      <w:pPr>
        <w:pStyle w:val="2"/>
        <w:rPr>
          <w:rFonts w:eastAsia="仿宋_GB2312" w:cs="仿宋_GB2312"/>
          <w:sz w:val="32"/>
          <w:szCs w:val="32"/>
        </w:rPr>
      </w:pPr>
      <w:r>
        <w:object>
          <v:shape id="_x0000_i1025" o:spt="75" type="#_x0000_t75" style="height:208.5pt;width:417pt;" o:ole="t" filled="f" stroked="f" coordsize="21600,21600" o:gfxdata="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">
            <v:path/>
            <v:fill on="f" focussize="0,0"/>
            <v:stroke on="f"/>
            <v:imagedata r:id="rId16" o:title=""/>
            <o:lock v:ext="edit" aspectratio="t"/>
            <w10:wrap type="none"/>
            <w10:anchorlock/>
          </v:shape>
          <o:OLEObject Type="Embed" ProgID="excel.sheet.8" ShapeID="_x0000_i1025" DrawAspect="Content" ObjectID="_1468075725" r:id="rId15">
            <o:LockedField>false</o:LockedField>
          </o:OLEObject>
        </w:object>
      </w:r>
      <w:r>
        <w:rPr>
          <w:rFonts w:hint="eastAsia" w:eastAsia="仿宋_GB2312" w:cs="仿宋_GB2312"/>
          <w:sz w:val="32"/>
          <w:szCs w:val="32"/>
        </w:rPr>
        <w:t>（图7：财政拨款“三公”经费支出结构）（饼状图）</w:t>
      </w:r>
    </w:p>
    <w:p w14:paraId="7D31CCE9">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年增加0元，增长0%。</w:t>
      </w:r>
      <w:r>
        <w:rPr>
          <w:rFonts w:hint="eastAsia" w:ascii="仿宋_GB2312" w:eastAsia="仿宋_GB2312"/>
          <w:sz w:val="32"/>
          <w:szCs w:val="32"/>
        </w:rPr>
        <w:t>主要原因是</w:t>
      </w:r>
      <w:r>
        <w:rPr>
          <w:rFonts w:hint="eastAsia" w:ascii="仿宋_GB2312" w:eastAsia="仿宋_GB2312"/>
          <w:color w:val="000000"/>
          <w:sz w:val="32"/>
          <w:szCs w:val="32"/>
        </w:rPr>
        <w:t>未安排人员出国出境</w:t>
      </w:r>
      <w:r>
        <w:rPr>
          <w:rFonts w:hint="eastAsia" w:ascii="仿宋_GB2312" w:eastAsia="仿宋_GB2312"/>
          <w:sz w:val="32"/>
          <w:szCs w:val="32"/>
        </w:rPr>
        <w:t>。</w:t>
      </w:r>
    </w:p>
    <w:p w14:paraId="713FD026">
      <w:pPr>
        <w:spacing w:line="600" w:lineRule="exact"/>
        <w:ind w:firstLine="640"/>
        <w:rPr>
          <w:rFonts w:hint="eastAsia" w:ascii="仿宋_GB2312" w:eastAsia="仿宋_GB2312"/>
          <w:color w:val="auto"/>
          <w:sz w:val="32"/>
          <w:szCs w:val="32"/>
          <w:highlight w:val="none"/>
          <w:lang w:val="en-US"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年度增加0万元，增长0%。</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学校加强了公务车的使用管理，减少了公务车用油量。</w:t>
      </w:r>
    </w:p>
    <w:p w14:paraId="10DCFD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万元。全年按规定更新购置公务用车0辆，其中：轿车0辆、金额0万元，越野车0辆、金额0万元，载客汽车0辆、金额0万元。截至202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年12月31日，单位共有公务用车2辆，其中：轿车1辆、越野车0辆、载客汽车0辆。</w:t>
      </w:r>
    </w:p>
    <w:p w14:paraId="401F56D7">
      <w:pPr>
        <w:spacing w:line="600" w:lineRule="exact"/>
        <w:ind w:firstLine="640"/>
        <w:rPr>
          <w:rFonts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14:paraId="613014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年度增加0万元，增长0%。主要原因是本年未安排公务接待。其中：</w:t>
      </w:r>
    </w:p>
    <w:p w14:paraId="6E11CA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元，主要用于开展业务活动开支的交通费、住宿费、用餐费等。国内公务接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w:t>
      </w:r>
    </w:p>
    <w:p w14:paraId="0B4F1EFB">
      <w:pPr>
        <w:spacing w:line="600" w:lineRule="exact"/>
        <w:ind w:firstLine="640"/>
        <w:rPr>
          <w:rFonts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63" w:name="_Toc15396610"/>
      <w:bookmarkStart w:id="64" w:name="_Toc15377218"/>
    </w:p>
    <w:p w14:paraId="5D666D39">
      <w:pPr>
        <w:spacing w:line="600" w:lineRule="exact"/>
        <w:ind w:firstLine="640"/>
        <w:outlineLvl w:val="1"/>
        <w:rPr>
          <w:rStyle w:val="29"/>
          <w:rFonts w:ascii="Times New Roman" w:hAnsi="Times New Roman" w:eastAsia="黑体"/>
        </w:rPr>
      </w:pPr>
      <w:bookmarkStart w:id="65" w:name="_Toc17898"/>
      <w:r>
        <w:rPr>
          <w:rFonts w:hint="eastAsia" w:eastAsia="黑体"/>
          <w:sz w:val="32"/>
          <w:szCs w:val="32"/>
        </w:rPr>
        <w:t>八、</w:t>
      </w:r>
      <w:r>
        <w:rPr>
          <w:rStyle w:val="29"/>
          <w:rFonts w:hint="eastAsia" w:ascii="Times New Roman" w:hAnsi="Times New Roman" w:eastAsia="黑体"/>
          <w:b w:val="0"/>
        </w:rPr>
        <w:t>政府性基金预算支出决算情况说明</w:t>
      </w:r>
      <w:bookmarkEnd w:id="63"/>
      <w:bookmarkEnd w:id="64"/>
      <w:bookmarkEnd w:id="65"/>
    </w:p>
    <w:p w14:paraId="7DF7D96F">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2</w:t>
      </w:r>
      <w:r>
        <w:rPr>
          <w:rFonts w:hint="eastAsia" w:eastAsia="仿宋_GB2312" w:cs="仿宋_GB2312"/>
          <w:sz w:val="32"/>
          <w:szCs w:val="32"/>
        </w:rPr>
        <w:t>万元，占本年支出合计的</w:t>
      </w:r>
      <w:r>
        <w:rPr>
          <w:rFonts w:hint="eastAsia" w:eastAsia="仿宋_GB2312" w:cs="仿宋_GB2312"/>
          <w:sz w:val="32"/>
          <w:szCs w:val="32"/>
          <w:lang w:val="en-US" w:eastAsia="zh-CN"/>
        </w:rPr>
        <w:t>0.03</w:t>
      </w:r>
      <w:r>
        <w:rPr>
          <w:rFonts w:hint="eastAsia" w:eastAsia="仿宋_GB2312" w:cs="仿宋_GB2312"/>
          <w:sz w:val="32"/>
          <w:szCs w:val="32"/>
        </w:rPr>
        <w:t>%。与上年度相比，政府性基金预算财政拨款支出增加</w:t>
      </w:r>
      <w:r>
        <w:rPr>
          <w:rFonts w:hint="eastAsia" w:eastAsia="仿宋_GB2312" w:cs="仿宋_GB2312"/>
          <w:sz w:val="32"/>
          <w:szCs w:val="32"/>
          <w:lang w:val="en-US" w:eastAsia="zh-CN"/>
        </w:rPr>
        <w:t>2</w:t>
      </w:r>
      <w:r>
        <w:rPr>
          <w:rFonts w:hint="eastAsia" w:eastAsia="仿宋_GB2312" w:cs="仿宋_GB2312"/>
          <w:sz w:val="32"/>
          <w:szCs w:val="32"/>
        </w:rPr>
        <w:t>万元，增长</w:t>
      </w:r>
      <w:r>
        <w:rPr>
          <w:rFonts w:hint="eastAsia" w:eastAsia="仿宋_GB2312" w:cs="仿宋_GB2312"/>
          <w:sz w:val="32"/>
          <w:szCs w:val="32"/>
          <w:lang w:val="en-US" w:eastAsia="zh-CN"/>
        </w:rPr>
        <w:t>100</w:t>
      </w:r>
      <w:r>
        <w:rPr>
          <w:rFonts w:hint="eastAsia" w:eastAsia="仿宋_GB2312" w:cs="仿宋_GB2312"/>
          <w:sz w:val="32"/>
          <w:szCs w:val="32"/>
        </w:rPr>
        <w:t>%。主要变动原因是</w:t>
      </w:r>
      <w:r>
        <w:rPr>
          <w:rFonts w:hint="eastAsia" w:eastAsia="仿宋_GB2312" w:cs="仿宋_GB2312"/>
          <w:sz w:val="32"/>
          <w:szCs w:val="32"/>
          <w:lang w:val="en-US" w:eastAsia="zh-CN"/>
        </w:rPr>
        <w:t>2025年安排了体彩公益金用于参加体育竞赛的相关支出。</w:t>
      </w:r>
    </w:p>
    <w:p w14:paraId="00F1AD44">
      <w:pPr>
        <w:spacing w:line="600" w:lineRule="exact"/>
        <w:ind w:left="630"/>
        <w:outlineLvl w:val="1"/>
        <w:rPr>
          <w:rStyle w:val="29"/>
          <w:rFonts w:ascii="Times New Roman" w:hAnsi="Times New Roman" w:eastAsia="黑体"/>
          <w:b w:val="0"/>
        </w:rPr>
      </w:pPr>
      <w:bookmarkStart w:id="66" w:name="_Toc15396611"/>
      <w:bookmarkStart w:id="67" w:name="_Toc18549"/>
      <w:bookmarkStart w:id="68" w:name="_Toc15377219"/>
      <w:r>
        <w:rPr>
          <w:rStyle w:val="29"/>
          <w:rFonts w:hint="eastAsia" w:ascii="Times New Roman" w:hAnsi="Times New Roman" w:eastAsia="黑体"/>
          <w:b w:val="0"/>
        </w:rPr>
        <w:t>九、国有资本经营预算支出决算情况说明</w:t>
      </w:r>
      <w:bookmarkEnd w:id="66"/>
      <w:bookmarkEnd w:id="67"/>
      <w:bookmarkEnd w:id="68"/>
    </w:p>
    <w:p w14:paraId="3712237E">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。与2023年度相比，国有资本经营预算财政拨款支出增加0万元，增长0%。</w:t>
      </w:r>
    </w:p>
    <w:p w14:paraId="07A25013">
      <w:pPr>
        <w:spacing w:line="600" w:lineRule="exact"/>
        <w:ind w:left="630"/>
        <w:outlineLvl w:val="1"/>
        <w:rPr>
          <w:rStyle w:val="29"/>
          <w:rFonts w:ascii="Times New Roman" w:hAnsi="Times New Roman" w:eastAsia="黑体"/>
          <w:b w:val="0"/>
        </w:rPr>
      </w:pPr>
      <w:bookmarkStart w:id="69" w:name="_Toc10060"/>
      <w:bookmarkStart w:id="70" w:name="_Toc15396612"/>
      <w:bookmarkStart w:id="71" w:name="_Toc15377221"/>
      <w:r>
        <w:rPr>
          <w:rStyle w:val="29"/>
          <w:rFonts w:hint="eastAsia" w:ascii="Times New Roman" w:hAnsi="Times New Roman" w:eastAsia="黑体"/>
          <w:b w:val="0"/>
        </w:rPr>
        <w:t>十、其他重要事项的情况说明</w:t>
      </w:r>
      <w:bookmarkEnd w:id="69"/>
      <w:bookmarkEnd w:id="70"/>
      <w:bookmarkEnd w:id="71"/>
    </w:p>
    <w:p w14:paraId="57B7AAB7">
      <w:pPr>
        <w:spacing w:line="600" w:lineRule="exact"/>
        <w:ind w:firstLine="643" w:firstLineChars="200"/>
        <w:outlineLvl w:val="2"/>
        <w:rPr>
          <w:rFonts w:eastAsia="楷体_GB2312" w:cs="楷体_GB2312"/>
          <w:b/>
          <w:sz w:val="32"/>
          <w:szCs w:val="32"/>
        </w:rPr>
      </w:pPr>
      <w:bookmarkStart w:id="72" w:name="_Toc15377222"/>
      <w:r>
        <w:rPr>
          <w:rFonts w:hint="eastAsia" w:eastAsia="楷体_GB2312" w:cs="楷体_GB2312"/>
          <w:b/>
          <w:sz w:val="32"/>
          <w:szCs w:val="32"/>
        </w:rPr>
        <w:t>（一）机关运行经费支出情况</w:t>
      </w:r>
      <w:bookmarkEnd w:id="72"/>
    </w:p>
    <w:p w14:paraId="1901686D">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四川省攀枝花市外国语学校</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2DAB0C5C">
      <w:pPr>
        <w:spacing w:line="600" w:lineRule="exact"/>
        <w:ind w:firstLine="643" w:firstLineChars="200"/>
        <w:outlineLvl w:val="2"/>
        <w:rPr>
          <w:rFonts w:eastAsia="楷体_GB2312" w:cs="楷体_GB2312"/>
          <w:b/>
          <w:sz w:val="32"/>
          <w:szCs w:val="32"/>
          <w:highlight w:val="none"/>
        </w:rPr>
      </w:pPr>
      <w:bookmarkStart w:id="73" w:name="_Toc15377223"/>
      <w:r>
        <w:rPr>
          <w:rFonts w:hint="eastAsia" w:eastAsia="楷体_GB2312" w:cs="楷体_GB2312"/>
          <w:b/>
          <w:sz w:val="32"/>
          <w:szCs w:val="32"/>
          <w:highlight w:val="none"/>
        </w:rPr>
        <w:t>（二）政府采购支出情况</w:t>
      </w:r>
      <w:bookmarkEnd w:id="73"/>
    </w:p>
    <w:p w14:paraId="40CC612D">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攀枝花市外国语学校</w:t>
      </w:r>
      <w:r>
        <w:rPr>
          <w:rFonts w:hint="eastAsia" w:eastAsia="仿宋_GB2312" w:cs="仿宋_GB2312"/>
          <w:sz w:val="32"/>
          <w:szCs w:val="32"/>
        </w:rPr>
        <w:t>政府采购支出总额</w:t>
      </w:r>
      <w:r>
        <w:rPr>
          <w:rFonts w:hint="eastAsia" w:eastAsia="仿宋_GB2312" w:cs="仿宋_GB2312"/>
          <w:sz w:val="32"/>
          <w:szCs w:val="32"/>
          <w:lang w:val="en-US" w:eastAsia="zh-CN"/>
        </w:rPr>
        <w:t>248.41</w:t>
      </w:r>
      <w:r>
        <w:rPr>
          <w:rFonts w:hint="eastAsia" w:eastAsia="仿宋_GB2312" w:cs="仿宋_GB2312"/>
          <w:sz w:val="32"/>
          <w:szCs w:val="32"/>
        </w:rPr>
        <w:t>万元，其中：政府采购货物支出</w:t>
      </w:r>
      <w:r>
        <w:rPr>
          <w:rFonts w:hint="eastAsia" w:eastAsia="仿宋_GB2312" w:cs="仿宋_GB2312"/>
          <w:sz w:val="32"/>
          <w:szCs w:val="32"/>
          <w:lang w:val="en-US" w:eastAsia="zh-CN"/>
        </w:rPr>
        <w:t>43.41</w:t>
      </w:r>
      <w:r>
        <w:rPr>
          <w:rFonts w:hint="eastAsia" w:eastAsia="仿宋_GB2312" w:cs="仿宋_GB2312"/>
          <w:sz w:val="32"/>
          <w:szCs w:val="32"/>
        </w:rPr>
        <w:t>万元、政府采购工程支出</w:t>
      </w:r>
      <w:r>
        <w:rPr>
          <w:rFonts w:hint="eastAsia" w:eastAsia="仿宋_GB2312" w:cs="仿宋_GB2312"/>
          <w:sz w:val="32"/>
          <w:szCs w:val="32"/>
          <w:lang w:val="en-US" w:eastAsia="zh-CN"/>
        </w:rPr>
        <w:t>100.93</w:t>
      </w:r>
      <w:r>
        <w:rPr>
          <w:rFonts w:hint="eastAsia" w:eastAsia="仿宋_GB2312" w:cs="仿宋_GB2312"/>
          <w:sz w:val="32"/>
          <w:szCs w:val="32"/>
        </w:rPr>
        <w:t>万元、政府采购服务支出</w:t>
      </w:r>
      <w:r>
        <w:rPr>
          <w:rFonts w:hint="eastAsia" w:eastAsia="仿宋_GB2312" w:cs="仿宋_GB2312"/>
          <w:sz w:val="32"/>
          <w:szCs w:val="32"/>
          <w:lang w:val="en-US" w:eastAsia="zh-CN"/>
        </w:rPr>
        <w:t>104.07</w:t>
      </w:r>
      <w:r>
        <w:rPr>
          <w:rFonts w:hint="eastAsia" w:eastAsia="仿宋_GB2312" w:cs="仿宋_GB2312"/>
          <w:sz w:val="32"/>
          <w:szCs w:val="32"/>
        </w:rPr>
        <w:t>万元。主要用于</w:t>
      </w:r>
      <w:r>
        <w:rPr>
          <w:rFonts w:hint="eastAsia" w:eastAsia="仿宋_GB2312" w:cs="仿宋_GB2312"/>
          <w:sz w:val="32"/>
          <w:szCs w:val="32"/>
          <w:lang w:val="en-US" w:eastAsia="zh-CN"/>
        </w:rPr>
        <w:t>教室光源改造项目、作业本采购、采购安保服务、物业管理服务</w:t>
      </w:r>
      <w:r>
        <w:rPr>
          <w:rFonts w:hint="eastAsia" w:eastAsia="仿宋_GB2312" w:cs="仿宋_GB2312"/>
          <w:sz w:val="32"/>
          <w:szCs w:val="32"/>
        </w:rPr>
        <w:t>。授予中小企业合同金额</w:t>
      </w:r>
      <w:r>
        <w:rPr>
          <w:rFonts w:hint="eastAsia" w:eastAsia="仿宋_GB2312" w:cs="仿宋_GB2312"/>
          <w:sz w:val="32"/>
          <w:szCs w:val="32"/>
          <w:lang w:val="en-US" w:eastAsia="zh-CN"/>
        </w:rPr>
        <w:t>214.07</w:t>
      </w:r>
      <w:r>
        <w:rPr>
          <w:rFonts w:hint="eastAsia" w:eastAsia="仿宋_GB2312" w:cs="仿宋_GB2312"/>
          <w:sz w:val="32"/>
          <w:szCs w:val="32"/>
        </w:rPr>
        <w:t>万元，占政府采购支出总额的</w:t>
      </w:r>
      <w:r>
        <w:rPr>
          <w:rFonts w:hint="eastAsia" w:eastAsia="仿宋_GB2312" w:cs="仿宋_GB2312"/>
          <w:sz w:val="32"/>
          <w:szCs w:val="32"/>
          <w:lang w:val="en-US" w:eastAsia="zh-CN"/>
        </w:rPr>
        <w:t>86.18</w:t>
      </w:r>
      <w:r>
        <w:rPr>
          <w:rFonts w:hint="eastAsia" w:eastAsia="仿宋_GB2312" w:cs="仿宋_GB2312"/>
          <w:sz w:val="32"/>
          <w:szCs w:val="32"/>
        </w:rPr>
        <w:t>%，其中：授予小微企业合同金额</w:t>
      </w:r>
      <w:r>
        <w:rPr>
          <w:rFonts w:hint="eastAsia" w:eastAsia="仿宋_GB2312" w:cs="仿宋_GB2312"/>
          <w:sz w:val="32"/>
          <w:szCs w:val="32"/>
          <w:lang w:val="en-US" w:eastAsia="zh-CN"/>
        </w:rPr>
        <w:t>214.07</w:t>
      </w:r>
      <w:r>
        <w:rPr>
          <w:rFonts w:hint="eastAsia" w:eastAsia="仿宋_GB2312" w:cs="仿宋_GB2312"/>
          <w:sz w:val="32"/>
          <w:szCs w:val="32"/>
        </w:rPr>
        <w:t>万元，占政府采购支出总额的</w:t>
      </w:r>
      <w:r>
        <w:rPr>
          <w:rFonts w:hint="eastAsia" w:eastAsia="仿宋_GB2312" w:cs="仿宋_GB2312"/>
          <w:sz w:val="32"/>
          <w:szCs w:val="32"/>
          <w:lang w:val="en-US" w:eastAsia="zh-CN"/>
        </w:rPr>
        <w:t>86.18</w:t>
      </w:r>
      <w:r>
        <w:rPr>
          <w:rFonts w:hint="eastAsia" w:eastAsia="仿宋_GB2312" w:cs="仿宋_GB2312"/>
          <w:sz w:val="32"/>
          <w:szCs w:val="32"/>
        </w:rPr>
        <w:t>%。</w:t>
      </w:r>
      <w:r>
        <w:rPr>
          <w:rFonts w:hint="eastAsia" w:eastAsia="仿宋_GB2312" w:cs="仿宋_GB2312"/>
          <w:sz w:val="32"/>
          <w:szCs w:val="32"/>
          <w:lang w:val="en-US" w:eastAsia="zh-CN"/>
        </w:rPr>
        <w:tab/>
      </w:r>
    </w:p>
    <w:p w14:paraId="3DE5F70F">
      <w:pPr>
        <w:spacing w:line="600" w:lineRule="exact"/>
        <w:ind w:firstLine="643" w:firstLineChars="200"/>
        <w:outlineLvl w:val="2"/>
        <w:rPr>
          <w:rFonts w:eastAsia="楷体_GB2312" w:cs="楷体_GB2312"/>
          <w:b/>
          <w:sz w:val="32"/>
          <w:szCs w:val="32"/>
        </w:rPr>
      </w:pPr>
      <w:bookmarkStart w:id="74" w:name="_Toc15377224"/>
      <w:r>
        <w:rPr>
          <w:rFonts w:hint="eastAsia" w:eastAsia="楷体_GB2312" w:cs="楷体_GB2312"/>
          <w:b/>
          <w:sz w:val="32"/>
          <w:szCs w:val="32"/>
        </w:rPr>
        <w:t>（三）国有资产占有使用情况</w:t>
      </w:r>
      <w:bookmarkEnd w:id="74"/>
    </w:p>
    <w:p w14:paraId="5388C8A9">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四川省攀枝花市外国语学校</w:t>
      </w:r>
      <w:r>
        <w:rPr>
          <w:rFonts w:hint="eastAsia" w:ascii="仿宋_GB2312" w:hAnsi="仿宋_GB2312" w:eastAsia="仿宋_GB2312" w:cs="仿宋_GB2312"/>
          <w:color w:val="auto"/>
          <w:kern w:val="2"/>
          <w:sz w:val="32"/>
          <w:szCs w:val="32"/>
          <w:highlight w:val="none"/>
          <w:lang w:val="en-US" w:eastAsia="zh-CN" w:bidi="ar-SA"/>
        </w:rPr>
        <w:t>共有车辆1辆，其中：主要负责人用车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辆、其他用车1辆，其他用车主要是1辆皮卡车，学校搬运货物、公务活动使用。单价100万元（含）以上设备（不含车辆）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3A25E95F">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198AE9C2">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val="en-US" w:eastAsia="zh-CN"/>
        </w:rPr>
        <w:t>攀枝花市外国语学校</w:t>
      </w:r>
      <w:r>
        <w:rPr>
          <w:rFonts w:hint="eastAsia" w:eastAsia="仿宋_GB2312" w:cs="仿宋_GB2312"/>
          <w:sz w:val="32"/>
          <w:szCs w:val="32"/>
        </w:rPr>
        <w:t>在2025年度，组织对市外校青少年校园足球及学校体育发展资金</w:t>
      </w:r>
      <w:r>
        <w:rPr>
          <w:rFonts w:hint="eastAsia" w:eastAsia="仿宋_GB2312" w:cs="仿宋_GB2312"/>
          <w:sz w:val="32"/>
          <w:szCs w:val="32"/>
          <w:lang w:eastAsia="zh-CN"/>
        </w:rPr>
        <w:t>、市外国语学校纳入高层次人才管理骨干教师津贴、市外国语学校教学保障经费、市外校义务教育均衡发展补助、中央集中彩票公益金2、城乡义务教育生均公用经费（中央）、市外校免作业本费、市外校高层次人才经费、三区人才计划教师专项工作补助经费</w:t>
      </w:r>
      <w:r>
        <w:rPr>
          <w:rFonts w:hint="eastAsia" w:eastAsia="仿宋_GB2312" w:cs="仿宋_GB2312"/>
          <w:sz w:val="32"/>
          <w:szCs w:val="32"/>
        </w:rPr>
        <w:t>等</w:t>
      </w:r>
      <w:r>
        <w:rPr>
          <w:rFonts w:hint="eastAsia" w:ascii="仿宋_GB2312" w:eastAsia="仿宋_GB2312"/>
          <w:sz w:val="32"/>
          <w:szCs w:val="32"/>
          <w:lang w:val="en-US" w:eastAsia="zh-CN"/>
        </w:rPr>
        <w:t>11</w:t>
      </w:r>
      <w:r>
        <w:rPr>
          <w:rFonts w:hint="eastAsia" w:eastAsia="仿宋_GB2312" w:cs="仿宋_GB2312"/>
          <w:sz w:val="32"/>
          <w:szCs w:val="32"/>
        </w:rPr>
        <w:t>个项目涉及金额</w:t>
      </w:r>
      <w:r>
        <w:rPr>
          <w:rFonts w:hint="eastAsia" w:eastAsia="仿宋_GB2312" w:cs="仿宋_GB2312"/>
          <w:sz w:val="32"/>
          <w:szCs w:val="32"/>
          <w:lang w:val="en-US" w:eastAsia="zh-CN"/>
        </w:rPr>
        <w:t>538.40</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11</w:t>
      </w:r>
      <w:r>
        <w:rPr>
          <w:rFonts w:hint="eastAsia" w:eastAsia="仿宋_GB2312" w:cs="仿宋_GB2312"/>
          <w:sz w:val="32"/>
          <w:szCs w:val="32"/>
        </w:rPr>
        <w:t>个项目编制了绩效目标</w:t>
      </w:r>
      <w:r>
        <w:rPr>
          <w:rFonts w:hint="eastAsia" w:eastAsia="仿宋_GB2312" w:cs="仿宋_GB2312"/>
          <w:sz w:val="32"/>
          <w:szCs w:val="32"/>
          <w:lang w:eastAsia="zh-CN"/>
        </w:rPr>
        <w:t>，在</w:t>
      </w:r>
      <w:r>
        <w:rPr>
          <w:rFonts w:hint="eastAsia" w:eastAsia="仿宋_GB2312" w:cs="仿宋_GB2312"/>
          <w:sz w:val="32"/>
          <w:szCs w:val="32"/>
        </w:rPr>
        <w:t>预算执行过程中，选取</w:t>
      </w:r>
      <w:r>
        <w:rPr>
          <w:rFonts w:hint="eastAsia" w:eastAsia="仿宋_GB2312" w:cs="仿宋_GB2312"/>
          <w:sz w:val="32"/>
          <w:szCs w:val="32"/>
          <w:lang w:val="en-US" w:eastAsia="zh-CN"/>
        </w:rPr>
        <w:t>11</w:t>
      </w:r>
      <w:r>
        <w:rPr>
          <w:rFonts w:hint="eastAsia" w:eastAsia="仿宋_GB2312" w:cs="仿宋_GB2312"/>
          <w:sz w:val="32"/>
          <w:szCs w:val="32"/>
        </w:rPr>
        <w:t>个项目开展绩效监控。</w:t>
      </w:r>
    </w:p>
    <w:p w14:paraId="548B0C8E">
      <w:pPr>
        <w:spacing w:line="600" w:lineRule="exact"/>
        <w:jc w:val="center"/>
        <w:outlineLvl w:val="0"/>
        <w:rPr>
          <w:rFonts w:hint="eastAsia" w:eastAsia="黑体"/>
          <w:sz w:val="44"/>
          <w:szCs w:val="44"/>
        </w:rPr>
      </w:pPr>
      <w:bookmarkStart w:id="75" w:name="_Toc15377225"/>
      <w:bookmarkStart w:id="76" w:name="_Toc15396613"/>
    </w:p>
    <w:p w14:paraId="5D07DC9C">
      <w:pPr>
        <w:pStyle w:val="2"/>
        <w:rPr>
          <w:rFonts w:hint="eastAsia" w:eastAsia="黑体"/>
          <w:sz w:val="44"/>
          <w:szCs w:val="44"/>
        </w:rPr>
      </w:pPr>
    </w:p>
    <w:p w14:paraId="68F7E3BA">
      <w:pPr>
        <w:pStyle w:val="2"/>
        <w:rPr>
          <w:rFonts w:hint="eastAsia" w:eastAsia="黑体"/>
          <w:sz w:val="44"/>
          <w:szCs w:val="44"/>
        </w:rPr>
      </w:pPr>
    </w:p>
    <w:p w14:paraId="072087F4">
      <w:pPr>
        <w:spacing w:line="600" w:lineRule="exact"/>
        <w:jc w:val="center"/>
        <w:outlineLvl w:val="0"/>
        <w:rPr>
          <w:rFonts w:hint="eastAsia" w:eastAsia="黑体"/>
          <w:sz w:val="44"/>
          <w:szCs w:val="44"/>
        </w:rPr>
      </w:pPr>
    </w:p>
    <w:p w14:paraId="2B3E28A0">
      <w:pPr>
        <w:pStyle w:val="2"/>
        <w:rPr>
          <w:rFonts w:hint="eastAsia" w:eastAsia="黑体"/>
          <w:sz w:val="44"/>
          <w:szCs w:val="44"/>
        </w:rPr>
      </w:pPr>
    </w:p>
    <w:p w14:paraId="70B3F7D6">
      <w:pPr>
        <w:pStyle w:val="2"/>
        <w:rPr>
          <w:rFonts w:hint="eastAsia" w:eastAsia="黑体"/>
          <w:sz w:val="44"/>
          <w:szCs w:val="44"/>
        </w:rPr>
      </w:pPr>
    </w:p>
    <w:p w14:paraId="3956FCBB">
      <w:pPr>
        <w:pStyle w:val="2"/>
        <w:rPr>
          <w:rFonts w:hint="eastAsia" w:eastAsia="黑体"/>
          <w:sz w:val="44"/>
          <w:szCs w:val="44"/>
        </w:rPr>
      </w:pPr>
    </w:p>
    <w:p w14:paraId="1AAC66C6">
      <w:pPr>
        <w:pStyle w:val="2"/>
        <w:rPr>
          <w:rFonts w:hint="eastAsia" w:eastAsia="黑体"/>
          <w:sz w:val="44"/>
          <w:szCs w:val="44"/>
        </w:rPr>
      </w:pPr>
    </w:p>
    <w:p w14:paraId="197E6D69">
      <w:pPr>
        <w:spacing w:line="600" w:lineRule="exact"/>
        <w:jc w:val="center"/>
        <w:outlineLvl w:val="0"/>
        <w:rPr>
          <w:rFonts w:hint="eastAsia" w:eastAsia="黑体"/>
          <w:sz w:val="44"/>
          <w:szCs w:val="44"/>
        </w:rPr>
      </w:pPr>
    </w:p>
    <w:p w14:paraId="318A0FEC">
      <w:pPr>
        <w:spacing w:line="600" w:lineRule="exact"/>
        <w:jc w:val="center"/>
        <w:outlineLvl w:val="0"/>
        <w:rPr>
          <w:rFonts w:eastAsia="黑体"/>
          <w:sz w:val="44"/>
          <w:szCs w:val="44"/>
        </w:rPr>
      </w:pPr>
      <w:bookmarkStart w:id="77" w:name="_Toc142"/>
      <w:r>
        <w:rPr>
          <w:rFonts w:hint="eastAsia" w:eastAsia="黑体"/>
          <w:sz w:val="44"/>
          <w:szCs w:val="44"/>
        </w:rPr>
        <w:t>第三部分  名词解释</w:t>
      </w:r>
      <w:bookmarkEnd w:id="75"/>
      <w:bookmarkEnd w:id="76"/>
      <w:bookmarkEnd w:id="77"/>
    </w:p>
    <w:p w14:paraId="788F50E0">
      <w:pPr>
        <w:spacing w:line="600" w:lineRule="exact"/>
        <w:jc w:val="left"/>
        <w:rPr>
          <w:b/>
          <w:sz w:val="44"/>
          <w:szCs w:val="44"/>
        </w:rPr>
      </w:pPr>
    </w:p>
    <w:p w14:paraId="4C72B3E9">
      <w:pPr>
        <w:pStyle w:val="26"/>
        <w:spacing w:line="560" w:lineRule="exact"/>
        <w:ind w:firstLine="640" w:firstLineChars="200"/>
        <w:outlineLvl w:val="1"/>
        <w:rPr>
          <w:rFonts w:ascii="仿宋_GB2312" w:eastAsia="仿宋_GB2312"/>
          <w:color w:val="auto"/>
          <w:sz w:val="32"/>
          <w:szCs w:val="32"/>
        </w:rPr>
      </w:pPr>
      <w:bookmarkStart w:id="78" w:name="_Toc3231"/>
      <w:bookmarkStart w:id="79" w:name="_Toc24727"/>
      <w:bookmarkStart w:id="80" w:name="_Toc22500"/>
      <w:bookmarkStart w:id="81" w:name="_Toc17603"/>
      <w:bookmarkStart w:id="82"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bookmarkEnd w:id="78"/>
      <w:bookmarkEnd w:id="79"/>
      <w:bookmarkEnd w:id="80"/>
      <w:bookmarkEnd w:id="81"/>
    </w:p>
    <w:p w14:paraId="254F0A8F">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r>
        <w:rPr>
          <w:rFonts w:ascii="仿宋_GB2312" w:eastAsia="仿宋_GB2312"/>
          <w:color w:val="auto"/>
          <w:sz w:val="32"/>
          <w:szCs w:val="32"/>
        </w:rPr>
        <w:t xml:space="preserve"> </w:t>
      </w:r>
    </w:p>
    <w:p w14:paraId="2F57C460">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3BE319E1">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4</w:t>
      </w:r>
      <w:r>
        <w:rPr>
          <w:rFonts w:ascii="仿宋_GB2312" w:eastAsia="仿宋_GB2312"/>
          <w:color w:val="auto"/>
          <w:sz w:val="32"/>
          <w:szCs w:val="32"/>
        </w:rPr>
        <w:t>.</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775251F3">
      <w:pPr>
        <w:ind w:firstLine="640" w:firstLineChars="200"/>
        <w:rPr>
          <w:rFonts w:ascii="仿宋_GB2312" w:eastAsia="仿宋_GB2312"/>
          <w:sz w:val="32"/>
          <w:szCs w:val="32"/>
        </w:rPr>
      </w:pPr>
      <w:r>
        <w:rPr>
          <w:rFonts w:hint="eastAsia" w:ascii="仿宋_GB2312" w:eastAsia="仿宋_GB2312"/>
          <w:sz w:val="32"/>
          <w:szCs w:val="32"/>
          <w:lang w:val="en-US" w:eastAsia="zh-CN"/>
        </w:rPr>
        <w:t>5</w:t>
      </w:r>
      <w:r>
        <w:rPr>
          <w:rFonts w:ascii="仿宋_GB2312" w:eastAsia="仿宋_GB2312"/>
          <w:sz w:val="32"/>
          <w:szCs w:val="32"/>
        </w:rPr>
        <w:t>.</w:t>
      </w:r>
      <w:r>
        <w:rPr>
          <w:rFonts w:hint="eastAsia" w:ascii="仿宋" w:hAnsi="仿宋" w:eastAsia="仿宋" w:cs="仿宋_GB2312"/>
          <w:sz w:val="32"/>
          <w:szCs w:val="32"/>
        </w:rPr>
        <w:t>一般公共服务（类）发展与改革事务（款）战略规划与实施（项）：指反应拟定并组织实施国民经济和社会发展战略、中长期规划和年度计划，实施宏观管理与调控等方面的支出。一般公共服务（类）组织事务（款）其他组织事务支出（项）：指其他用于中国共产党组织部门的事业支出</w:t>
      </w:r>
      <w:r>
        <w:rPr>
          <w:rFonts w:hint="eastAsia" w:ascii="仿宋_GB2312" w:eastAsia="仿宋_GB2312"/>
          <w:sz w:val="32"/>
          <w:szCs w:val="32"/>
        </w:rPr>
        <w:t>。</w:t>
      </w:r>
    </w:p>
    <w:p w14:paraId="616F17D2">
      <w:pPr>
        <w:spacing w:line="560" w:lineRule="exact"/>
        <w:ind w:firstLine="660"/>
        <w:rPr>
          <w:rFonts w:ascii="仿宋" w:hAnsi="仿宋" w:eastAsia="仿宋"/>
          <w:sz w:val="32"/>
          <w:szCs w:val="32"/>
        </w:rPr>
      </w:pPr>
      <w:r>
        <w:rPr>
          <w:rFonts w:hint="eastAsia" w:ascii="仿宋" w:hAnsi="仿宋" w:eastAsia="仿宋" w:cs="仿宋_GB2312"/>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育管理事务（款）其他教育管理事务支出（项）：指其他用于教育管理事务方面的支出。教育（类）普通教育（款）学前教育（项）：指各部门举办的学前教育支出。教育（类）普通教育（款）初中教育（项）指</w:t>
      </w:r>
      <w:r>
        <w:rPr>
          <w:rFonts w:ascii="仿宋" w:hAnsi="仿宋" w:eastAsia="仿宋" w:cs="仿宋_GB2312"/>
          <w:sz w:val="32"/>
          <w:szCs w:val="32"/>
        </w:rPr>
        <w:t xml:space="preserve">: </w:t>
      </w:r>
      <w:r>
        <w:rPr>
          <w:rFonts w:hint="eastAsia" w:ascii="仿宋" w:hAnsi="仿宋" w:eastAsia="仿宋" w:cs="仿宋_GB2312"/>
          <w:sz w:val="32"/>
          <w:szCs w:val="32"/>
        </w:rPr>
        <w:t>教育类普通教育款初中教育支出项。教育（类）普通教育（款）高中教育（项）：反映各部门举办的高级中学教育支出。政府各部门对社会中介组织等举办的高级中学的资助，如捐赠、补贴等，也在本科目中反映。教育（类）普通教育（款）其他普通教育支出（项）：其他用于普通教育方面的支出。教育支出（类）职业教育（款）中专教育（项）：反映各部门中等专业学校的支出。教育支出（类）职业教育（款）其他职业教育支出（项）：指其他用于职业教育方面的支出。教育支出（类）广播电视教育（款）广播电视学校（项）：反映各部门举办广播电视学校的支出。教育（类）特殊教育（款）特殊学校教育（项）：反映举办盲童学校、聋哑学校、智力落后儿童学校、其他生理缺陷儿童学校的支出。教育（类）特殊教育（款）其他特殊教育支出（项）：反映除举办盲童学校、聋哑学校、智力落后儿童学校、其他生理缺陷儿童学校及工读学校外其他用于特殊教育方面的支出。教育（类）教育附加安排的支出（款）其他教育附加安排的支出（项）</w:t>
      </w:r>
      <w:r>
        <w:rPr>
          <w:rFonts w:ascii="仿宋" w:hAnsi="仿宋" w:eastAsia="仿宋" w:cs="仿宋_GB2312"/>
          <w:sz w:val="32"/>
          <w:szCs w:val="32"/>
        </w:rPr>
        <w:t>:</w:t>
      </w:r>
      <w:r>
        <w:rPr>
          <w:rFonts w:hint="eastAsia" w:ascii="仿宋" w:hAnsi="仿宋" w:eastAsia="仿宋" w:cs="仿宋_GB2312"/>
          <w:sz w:val="32"/>
          <w:szCs w:val="32"/>
        </w:rPr>
        <w:t>反映除农村中小学校舍建设、农村中小学教学设施、城市中小学校舍建设、城市中小学教学设施、中等职业学校教学设施以外的教育费附加支出。教育（类）其他教育支出（款）其他教育支出（项）：其他用于教育方面的支出。</w:t>
      </w:r>
    </w:p>
    <w:p w14:paraId="64BB2640">
      <w:pPr>
        <w:spacing w:line="560" w:lineRule="exact"/>
        <w:ind w:firstLine="660"/>
        <w:rPr>
          <w:rFonts w:ascii="仿宋" w:hAnsi="仿宋" w:eastAsia="仿宋"/>
          <w:sz w:val="32"/>
          <w:szCs w:val="32"/>
        </w:rPr>
      </w:pPr>
      <w:r>
        <w:rPr>
          <w:rFonts w:hint="eastAsia" w:ascii="仿宋" w:hAnsi="仿宋" w:eastAsia="仿宋" w:cs="仿宋_GB2312"/>
          <w:sz w:val="32"/>
          <w:szCs w:val="32"/>
          <w:lang w:val="en-US" w:eastAsia="zh-CN"/>
        </w:rPr>
        <w:t>6</w:t>
      </w:r>
      <w:r>
        <w:rPr>
          <w:rFonts w:ascii="仿宋" w:hAnsi="仿宋" w:eastAsia="仿宋" w:cs="仿宋_GB2312"/>
          <w:sz w:val="32"/>
          <w:szCs w:val="32"/>
        </w:rPr>
        <w:t>.</w:t>
      </w:r>
      <w:r>
        <w:rPr>
          <w:rFonts w:hint="eastAsia" w:ascii="仿宋" w:hAnsi="仿宋" w:eastAsia="仿宋" w:cs="仿宋_GB2312"/>
          <w:sz w:val="32"/>
          <w:szCs w:val="32"/>
        </w:rPr>
        <w:t>文化体育与传媒（类）体育（款）行政运行（项）：指反映行政单位（包括实行公务员管理的事业单位）体育方面的基本支出。文化体育与传媒（类）体育（款）一般行政管理事务（项）：指反映行政单位（包括实行公务员管理的事业单位）未单独设置项级科目的其他项目支出。文化体育与传媒（类）体育（款）体育竞赛（项）：反映综合性运动会及单项体育比赛支出。文化体育与传媒（类）体育（款）体育训练（项）：反映各级体育运动队训练补助及器材购置等方面的支出。文化体育与传媒（类）体育（款）体育场馆（项）：指反映体育场馆建设及维护等方面的支出。文化体育与传媒（类）体育（款）群众体育（项）：反映业余体校和全民健身等群众体育活动方面的支出。文化体育与传媒（类）体育（款）其他体育支出（项）：指反映除上述项目以外的其他体育方面的支出。文化体育与传媒（类）其他文化体育与传媒支出（款）其他文化体育与传媒支出（项）：指反映除上述项目以外的其他文化体育与传媒方面的支出。</w:t>
      </w:r>
    </w:p>
    <w:p w14:paraId="67DC6804">
      <w:pPr>
        <w:spacing w:line="560" w:lineRule="exact"/>
        <w:ind w:firstLine="660"/>
        <w:rPr>
          <w:rFonts w:ascii="仿宋" w:hAnsi="仿宋" w:eastAsia="仿宋"/>
          <w:sz w:val="32"/>
          <w:szCs w:val="32"/>
        </w:rPr>
      </w:pPr>
      <w:r>
        <w:rPr>
          <w:rFonts w:hint="eastAsia" w:ascii="仿宋" w:hAnsi="仿宋" w:eastAsia="仿宋" w:cs="仿宋_GB2312"/>
          <w:sz w:val="32"/>
          <w:szCs w:val="32"/>
          <w:lang w:val="en-US" w:eastAsia="zh-CN"/>
        </w:rPr>
        <w:t>7</w:t>
      </w:r>
      <w:r>
        <w:rPr>
          <w:rFonts w:ascii="仿宋" w:hAnsi="仿宋" w:eastAsia="仿宋" w:cs="仿宋_GB2312"/>
          <w:sz w:val="32"/>
          <w:szCs w:val="32"/>
        </w:rPr>
        <w:t>.</w:t>
      </w:r>
      <w:r>
        <w:rPr>
          <w:rFonts w:hint="eastAsia" w:ascii="仿宋" w:hAnsi="仿宋" w:eastAsia="仿宋" w:cs="仿宋_GB2312"/>
          <w:sz w:val="32"/>
          <w:szCs w:val="32"/>
        </w:rPr>
        <w:t>社会保障和就业（类）人力资源和社会保障管理事务（款）其他人力资源和社会保障管理事务支出（项）</w:t>
      </w:r>
      <w:r>
        <w:rPr>
          <w:rFonts w:ascii="仿宋" w:hAnsi="仿宋" w:eastAsia="仿宋" w:cs="仿宋_GB2312"/>
          <w:sz w:val="32"/>
          <w:szCs w:val="32"/>
        </w:rPr>
        <w:t>:</w:t>
      </w:r>
      <w:r>
        <w:rPr>
          <w:rFonts w:hint="eastAsia" w:ascii="仿宋" w:hAnsi="仿宋" w:eastAsia="仿宋" w:cs="仿宋_GB2312"/>
          <w:sz w:val="32"/>
          <w:szCs w:val="32"/>
        </w:rPr>
        <w:t>其他用于人力资源和社会保障管理事务方面的支出。社会保障和就业（类）行政事业单位离退休（款）未归口管理的行政事业单位离退休（项）</w:t>
      </w:r>
      <w:r>
        <w:rPr>
          <w:rFonts w:ascii="仿宋" w:hAnsi="仿宋" w:eastAsia="仿宋" w:cs="仿宋_GB2312"/>
          <w:sz w:val="32"/>
          <w:szCs w:val="32"/>
        </w:rPr>
        <w:t>:</w:t>
      </w:r>
      <w:r>
        <w:rPr>
          <w:rFonts w:hint="eastAsia" w:ascii="仿宋" w:hAnsi="仿宋" w:eastAsia="仿宋" w:cs="仿宋_GB2312"/>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社会保障和就业（类）抚恤（款）死亡抚恤（项）：反映按规定用于烈士和牺牲、病故人员家属的一次性和定期抚恤金以及丧葬补助费。社会保障和就业（类）社会福利（款）儿童福利（项）：反映对儿童提供福利服务方面的支出。社会保障和就业（类）残疾人事业（款）残疾人就业和扶贫（项）：反映残疾人联合会用于残疾人就业和扶贫等方面的工作。</w:t>
      </w:r>
    </w:p>
    <w:p w14:paraId="5F926B12">
      <w:pPr>
        <w:spacing w:line="560" w:lineRule="exact"/>
        <w:ind w:firstLine="660"/>
        <w:rPr>
          <w:rFonts w:ascii="仿宋" w:hAnsi="仿宋" w:eastAsia="仿宋"/>
          <w:sz w:val="32"/>
          <w:szCs w:val="32"/>
        </w:rPr>
      </w:pPr>
      <w:r>
        <w:rPr>
          <w:rFonts w:hint="eastAsia" w:ascii="仿宋" w:hAnsi="仿宋" w:eastAsia="仿宋" w:cs="仿宋_GB2312"/>
          <w:sz w:val="32"/>
          <w:szCs w:val="32"/>
          <w:lang w:val="en-US" w:eastAsia="zh-CN"/>
        </w:rPr>
        <w:t>8</w:t>
      </w:r>
      <w:r>
        <w:rPr>
          <w:rFonts w:ascii="仿宋" w:hAnsi="仿宋" w:eastAsia="仿宋" w:cs="仿宋_GB2312"/>
          <w:sz w:val="32"/>
          <w:szCs w:val="32"/>
        </w:rPr>
        <w:t>.</w:t>
      </w:r>
      <w:r>
        <w:rPr>
          <w:rFonts w:hint="eastAsia" w:ascii="仿宋" w:hAnsi="仿宋" w:eastAsia="仿宋" w:cs="仿宋_GB2312"/>
          <w:sz w:val="32"/>
          <w:szCs w:val="32"/>
        </w:rPr>
        <w:t>医疗卫生与计划生育支出（类）公共卫生（款）重大公共卫生专项（项）：反映重大疾病预防控制等重大公共卫生服务项目支出。医疗卫生与计划生育支出（类）医疗保障（款）其他医疗保障支出（项）：其他用于医疗保障方面的支出。</w:t>
      </w:r>
    </w:p>
    <w:p w14:paraId="5ACAF80C">
      <w:pPr>
        <w:spacing w:line="560" w:lineRule="exact"/>
        <w:ind w:firstLine="660"/>
        <w:rPr>
          <w:rFonts w:ascii="仿宋" w:hAnsi="仿宋" w:eastAsia="仿宋"/>
          <w:sz w:val="32"/>
          <w:szCs w:val="32"/>
        </w:rPr>
      </w:pPr>
      <w:r>
        <w:rPr>
          <w:rFonts w:hint="eastAsia" w:ascii="仿宋" w:hAnsi="仿宋" w:eastAsia="仿宋" w:cs="仿宋_GB2312"/>
          <w:sz w:val="32"/>
          <w:szCs w:val="32"/>
          <w:lang w:val="en-US" w:eastAsia="zh-CN"/>
        </w:rPr>
        <w:t>9</w:t>
      </w:r>
      <w:r>
        <w:rPr>
          <w:rFonts w:ascii="仿宋" w:hAnsi="仿宋" w:eastAsia="仿宋" w:cs="仿宋_GB2312"/>
          <w:sz w:val="32"/>
          <w:szCs w:val="32"/>
        </w:rPr>
        <w:t>.</w:t>
      </w:r>
      <w:r>
        <w:rPr>
          <w:rFonts w:hint="eastAsia" w:ascii="仿宋" w:hAnsi="仿宋" w:eastAsia="仿宋" w:cs="仿宋_GB2312"/>
          <w:sz w:val="32"/>
          <w:szCs w:val="32"/>
        </w:rPr>
        <w:t>城乡社区支出（类）国有土地使用权出让收入及对应专项债务收入安排的支出（款）城市建设支出（项）：反映土地出让收入用于完善国有土地使用功能的配套设施建设和城市基础设施建设支出。</w:t>
      </w:r>
    </w:p>
    <w:p w14:paraId="06E24806">
      <w:pPr>
        <w:spacing w:line="560" w:lineRule="exact"/>
        <w:ind w:firstLine="660"/>
        <w:rPr>
          <w:rFonts w:ascii="仿宋" w:hAnsi="仿宋" w:eastAsia="仿宋"/>
          <w:sz w:val="32"/>
          <w:szCs w:val="32"/>
        </w:rPr>
      </w:pPr>
      <w:r>
        <w:rPr>
          <w:rFonts w:ascii="仿宋" w:hAnsi="仿宋" w:eastAsia="仿宋" w:cs="仿宋_GB2312"/>
          <w:sz w:val="32"/>
          <w:szCs w:val="32"/>
        </w:rPr>
        <w:t>1</w:t>
      </w:r>
      <w:r>
        <w:rPr>
          <w:rFonts w:hint="eastAsia" w:ascii="仿宋" w:hAnsi="仿宋" w:eastAsia="仿宋" w:cs="仿宋_GB2312"/>
          <w:sz w:val="32"/>
          <w:szCs w:val="32"/>
          <w:lang w:val="en-US" w:eastAsia="zh-CN"/>
        </w:rPr>
        <w:t>0</w:t>
      </w:r>
      <w:r>
        <w:rPr>
          <w:rFonts w:ascii="仿宋" w:hAnsi="仿宋" w:eastAsia="仿宋" w:cs="仿宋_GB2312"/>
          <w:sz w:val="32"/>
          <w:szCs w:val="32"/>
        </w:rPr>
        <w:t>.</w:t>
      </w:r>
      <w:r>
        <w:rPr>
          <w:rFonts w:hint="eastAsia" w:ascii="仿宋" w:hAnsi="仿宋" w:eastAsia="仿宋" w:cs="仿宋_GB2312"/>
          <w:sz w:val="32"/>
          <w:szCs w:val="32"/>
        </w:rPr>
        <w:t>住房保障（类）保障性安居工程支出（款）公共租赁住房（项）：反映用于新建、改建、购买、租赁公共租赁住房支出。住房保障（类）住房改革支出（款）住房公积金（项）：指反映行政事业单位按人力资源和社会保障部、财政部规定的基本工资和津贴补贴以及规定比列为职工缴纳的住房公积金</w:t>
      </w:r>
    </w:p>
    <w:p w14:paraId="06D36D15">
      <w:pPr>
        <w:spacing w:line="560" w:lineRule="exact"/>
        <w:ind w:firstLine="660"/>
        <w:rPr>
          <w:rFonts w:ascii="仿宋" w:hAnsi="仿宋" w:eastAsia="仿宋"/>
          <w:sz w:val="32"/>
          <w:szCs w:val="32"/>
        </w:rPr>
      </w:pPr>
      <w:r>
        <w:rPr>
          <w:rFonts w:ascii="仿宋" w:hAnsi="仿宋" w:eastAsia="仿宋" w:cs="仿宋_GB2312"/>
          <w:sz w:val="32"/>
          <w:szCs w:val="32"/>
        </w:rPr>
        <w:t>1</w:t>
      </w:r>
      <w:r>
        <w:rPr>
          <w:rFonts w:hint="eastAsia" w:ascii="仿宋" w:hAnsi="仿宋" w:eastAsia="仿宋" w:cs="仿宋_GB2312"/>
          <w:sz w:val="32"/>
          <w:szCs w:val="32"/>
          <w:lang w:val="en-US" w:eastAsia="zh-CN"/>
        </w:rPr>
        <w:t>1</w:t>
      </w:r>
      <w:r>
        <w:rPr>
          <w:rFonts w:ascii="仿宋" w:hAnsi="仿宋" w:eastAsia="仿宋" w:cs="仿宋_GB2312"/>
          <w:sz w:val="32"/>
          <w:szCs w:val="32"/>
        </w:rPr>
        <w:t>.</w:t>
      </w:r>
      <w:r>
        <w:rPr>
          <w:rFonts w:hint="eastAsia" w:ascii="仿宋" w:hAnsi="仿宋" w:eastAsia="仿宋" w:cs="仿宋_GB2312"/>
          <w:sz w:val="32"/>
          <w:szCs w:val="32"/>
        </w:rPr>
        <w:t>其他支出（类）彩票公益金及对应专项债务收入安排的支出（款）用于体育事业的彩票公益金支出（项）：反映用于体育事业的彩票公益金支出。</w:t>
      </w:r>
    </w:p>
    <w:p w14:paraId="304F2975">
      <w:pPr>
        <w:spacing w:line="560" w:lineRule="exact"/>
        <w:ind w:firstLine="660"/>
        <w:rPr>
          <w:rFonts w:ascii="仿宋" w:hAnsi="仿宋" w:eastAsia="仿宋"/>
          <w:sz w:val="32"/>
          <w:szCs w:val="32"/>
        </w:rPr>
      </w:pPr>
      <w:r>
        <w:rPr>
          <w:rFonts w:ascii="仿宋" w:hAnsi="仿宋" w:eastAsia="仿宋" w:cs="仿宋_GB2312"/>
          <w:sz w:val="32"/>
          <w:szCs w:val="32"/>
        </w:rPr>
        <w:t>1</w:t>
      </w:r>
      <w:r>
        <w:rPr>
          <w:rFonts w:hint="eastAsia" w:ascii="仿宋" w:hAnsi="仿宋" w:eastAsia="仿宋" w:cs="仿宋_GB2312"/>
          <w:sz w:val="32"/>
          <w:szCs w:val="32"/>
          <w:lang w:val="en-US" w:eastAsia="zh-CN"/>
        </w:rPr>
        <w:t>2</w:t>
      </w:r>
      <w:r>
        <w:rPr>
          <w:rFonts w:ascii="仿宋" w:hAnsi="仿宋" w:eastAsia="仿宋" w:cs="仿宋_GB2312"/>
          <w:sz w:val="32"/>
          <w:szCs w:val="32"/>
        </w:rPr>
        <w:t>.</w:t>
      </w:r>
      <w:r>
        <w:rPr>
          <w:rFonts w:hint="eastAsia" w:ascii="仿宋" w:hAnsi="仿宋" w:eastAsia="仿宋" w:cs="仿宋_GB2312"/>
          <w:sz w:val="32"/>
          <w:szCs w:val="32"/>
        </w:rPr>
        <w:t>年末结转和结余指单位按有关规定结转到下年或以后年度继续使用的资金。</w:t>
      </w:r>
    </w:p>
    <w:p w14:paraId="2457A51B">
      <w:pPr>
        <w:spacing w:line="560" w:lineRule="exact"/>
        <w:ind w:firstLine="660"/>
        <w:rPr>
          <w:rFonts w:ascii="仿宋" w:hAnsi="仿宋" w:eastAsia="仿宋"/>
          <w:sz w:val="32"/>
          <w:szCs w:val="32"/>
        </w:rPr>
      </w:pPr>
      <w:r>
        <w:rPr>
          <w:rFonts w:ascii="仿宋" w:hAnsi="仿宋" w:eastAsia="仿宋" w:cs="仿宋_GB2312"/>
          <w:sz w:val="32"/>
          <w:szCs w:val="32"/>
        </w:rPr>
        <w:t>1</w:t>
      </w:r>
      <w:r>
        <w:rPr>
          <w:rFonts w:hint="eastAsia" w:ascii="仿宋" w:hAnsi="仿宋" w:eastAsia="仿宋" w:cs="仿宋_GB2312"/>
          <w:sz w:val="32"/>
          <w:szCs w:val="32"/>
          <w:lang w:val="en-US" w:eastAsia="zh-CN"/>
        </w:rPr>
        <w:t>3</w:t>
      </w:r>
      <w:r>
        <w:rPr>
          <w:rFonts w:ascii="仿宋" w:hAnsi="仿宋" w:eastAsia="仿宋" w:cs="仿宋_GB2312"/>
          <w:sz w:val="32"/>
          <w:szCs w:val="32"/>
        </w:rPr>
        <w:t>.</w:t>
      </w:r>
      <w:r>
        <w:rPr>
          <w:rFonts w:hint="eastAsia" w:ascii="仿宋" w:hAnsi="仿宋" w:eastAsia="仿宋" w:cs="仿宋_GB2312"/>
          <w:sz w:val="32"/>
          <w:szCs w:val="32"/>
        </w:rPr>
        <w:t>基本支出：指为保障机构正常运转、完成日常工作任务而发生的人员支出和公用支出。</w:t>
      </w:r>
    </w:p>
    <w:p w14:paraId="46160283">
      <w:pPr>
        <w:spacing w:line="560" w:lineRule="exact"/>
        <w:ind w:firstLine="660"/>
        <w:rPr>
          <w:rFonts w:ascii="仿宋" w:hAnsi="仿宋" w:eastAsia="仿宋" w:cs="仿宋_GB2312"/>
          <w:sz w:val="32"/>
          <w:szCs w:val="32"/>
        </w:rPr>
      </w:pPr>
      <w:r>
        <w:rPr>
          <w:rFonts w:ascii="仿宋" w:hAnsi="仿宋" w:eastAsia="仿宋" w:cs="仿宋_GB2312"/>
          <w:sz w:val="32"/>
          <w:szCs w:val="32"/>
        </w:rPr>
        <w:t>1</w:t>
      </w:r>
      <w:r>
        <w:rPr>
          <w:rFonts w:hint="eastAsia" w:ascii="仿宋" w:hAnsi="仿宋" w:eastAsia="仿宋" w:cs="仿宋_GB2312"/>
          <w:sz w:val="32"/>
          <w:szCs w:val="32"/>
          <w:lang w:val="en-US" w:eastAsia="zh-CN"/>
        </w:rPr>
        <w:t>4</w:t>
      </w:r>
      <w:r>
        <w:rPr>
          <w:rFonts w:ascii="仿宋" w:hAnsi="仿宋" w:eastAsia="仿宋" w:cs="仿宋_GB2312"/>
          <w:sz w:val="32"/>
          <w:szCs w:val="32"/>
        </w:rPr>
        <w:t>.</w:t>
      </w:r>
      <w:r>
        <w:rPr>
          <w:rFonts w:hint="eastAsia" w:ascii="仿宋" w:hAnsi="仿宋" w:eastAsia="仿宋" w:cs="仿宋_GB2312"/>
          <w:sz w:val="32"/>
          <w:szCs w:val="32"/>
        </w:rPr>
        <w:t>项目支出：指在基本支出之外为完成特定行政任务和事业发展目标所发生的支出。</w:t>
      </w:r>
    </w:p>
    <w:p w14:paraId="1B57D094">
      <w:pPr>
        <w:spacing w:line="560" w:lineRule="exact"/>
        <w:ind w:firstLine="660"/>
        <w:rPr>
          <w:rFonts w:ascii="仿宋" w:hAnsi="仿宋" w:eastAsia="仿宋"/>
          <w:sz w:val="32"/>
          <w:szCs w:val="32"/>
        </w:rPr>
      </w:pPr>
      <w:r>
        <w:rPr>
          <w:rFonts w:ascii="仿宋" w:hAnsi="仿宋" w:eastAsia="仿宋" w:cs="仿宋_GB2312"/>
          <w:sz w:val="32"/>
          <w:szCs w:val="32"/>
        </w:rPr>
        <w:t>1</w:t>
      </w:r>
      <w:r>
        <w:rPr>
          <w:rFonts w:hint="eastAsia" w:ascii="仿宋" w:hAnsi="仿宋" w:eastAsia="仿宋" w:cs="仿宋_GB2312"/>
          <w:sz w:val="32"/>
          <w:szCs w:val="32"/>
          <w:lang w:val="en-US" w:eastAsia="zh-CN"/>
        </w:rPr>
        <w:t>5</w:t>
      </w:r>
      <w:r>
        <w:rPr>
          <w:rFonts w:ascii="仿宋" w:hAnsi="仿宋" w:eastAsia="仿宋" w:cs="仿宋_GB2312"/>
          <w:sz w:val="32"/>
          <w:szCs w:val="32"/>
        </w:rPr>
        <w:t>.</w:t>
      </w:r>
      <w:r>
        <w:rPr>
          <w:rFonts w:ascii="仿宋" w:hAnsi="仿宋" w:eastAsia="仿宋"/>
          <w:sz w:val="32"/>
          <w:szCs w:val="32"/>
        </w:rPr>
        <w:t>“</w:t>
      </w:r>
      <w:r>
        <w:rPr>
          <w:rFonts w:hint="eastAsia" w:ascii="仿宋" w:hAnsi="仿宋" w:eastAsia="仿宋" w:cs="仿宋_GB2312"/>
          <w:sz w:val="32"/>
          <w:szCs w:val="32"/>
        </w:rPr>
        <w:t>三公</w:t>
      </w:r>
      <w:r>
        <w:rPr>
          <w:rFonts w:ascii="仿宋" w:hAnsi="仿宋" w:eastAsia="仿宋"/>
          <w:sz w:val="32"/>
          <w:szCs w:val="32"/>
        </w:rPr>
        <w:t>”</w:t>
      </w:r>
      <w:r>
        <w:rPr>
          <w:rFonts w:hint="eastAsia" w:ascii="仿宋" w:hAnsi="仿宋" w:eastAsia="仿宋" w:cs="仿宋_GB2312"/>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DB14316">
      <w:pPr>
        <w:spacing w:line="560" w:lineRule="exact"/>
        <w:ind w:firstLine="660"/>
        <w:rPr>
          <w:rFonts w:hint="eastAsia" w:ascii="仿宋" w:hAnsi="仿宋" w:eastAsia="仿宋" w:cs="仿宋_GB2312"/>
          <w:sz w:val="32"/>
          <w:szCs w:val="32"/>
        </w:rPr>
      </w:pPr>
      <w:r>
        <w:rPr>
          <w:rFonts w:ascii="仿宋" w:hAnsi="仿宋" w:eastAsia="仿宋" w:cs="仿宋_GB2312"/>
          <w:sz w:val="32"/>
          <w:szCs w:val="32"/>
        </w:rPr>
        <w:t>1</w:t>
      </w:r>
      <w:r>
        <w:rPr>
          <w:rFonts w:hint="eastAsia" w:ascii="仿宋" w:hAnsi="仿宋" w:eastAsia="仿宋" w:cs="仿宋_GB2312"/>
          <w:sz w:val="32"/>
          <w:szCs w:val="32"/>
          <w:lang w:val="en-US" w:eastAsia="zh-CN"/>
        </w:rPr>
        <w:t>6</w:t>
      </w:r>
      <w:r>
        <w:rPr>
          <w:rFonts w:ascii="仿宋" w:hAnsi="仿宋" w:eastAsia="仿宋" w:cs="仿宋_GB2312"/>
          <w:sz w:val="32"/>
          <w:szCs w:val="32"/>
        </w:rPr>
        <w:t>.</w:t>
      </w:r>
      <w:r>
        <w:rPr>
          <w:rFonts w:hint="eastAsia" w:ascii="仿宋" w:hAnsi="仿宋" w:eastAsia="仿宋"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155D2DC">
      <w:pPr>
        <w:spacing w:line="560" w:lineRule="exact"/>
        <w:ind w:firstLine="660"/>
        <w:outlineLvl w:val="1"/>
        <w:rPr>
          <w:rFonts w:hint="default" w:ascii="仿宋" w:hAnsi="仿宋" w:eastAsia="仿宋" w:cs="仿宋_GB2312"/>
          <w:sz w:val="32"/>
          <w:szCs w:val="32"/>
          <w:lang w:val="en-US" w:eastAsia="zh-CN"/>
        </w:rPr>
      </w:pPr>
      <w:bookmarkStart w:id="83" w:name="_Toc6972"/>
      <w:bookmarkStart w:id="84" w:name="_Toc17347"/>
      <w:bookmarkStart w:id="85" w:name="_Toc5880"/>
      <w:bookmarkStart w:id="86" w:name="_Toc481"/>
      <w:r>
        <w:rPr>
          <w:rFonts w:hint="default" w:ascii="仿宋" w:hAnsi="仿宋" w:eastAsia="仿宋" w:cs="仿宋_GB2312"/>
          <w:sz w:val="32"/>
          <w:szCs w:val="32"/>
          <w:lang w:val="en-US" w:eastAsia="zh-CN"/>
        </w:rPr>
        <w:t>1</w:t>
      </w:r>
      <w:r>
        <w:rPr>
          <w:rFonts w:hint="eastAsia" w:ascii="仿宋" w:hAnsi="仿宋" w:eastAsia="仿宋" w:cs="仿宋_GB2312"/>
          <w:sz w:val="32"/>
          <w:szCs w:val="32"/>
          <w:lang w:val="en-US" w:eastAsia="zh-CN"/>
        </w:rPr>
        <w:t>7</w:t>
      </w:r>
      <w:r>
        <w:rPr>
          <w:rFonts w:hint="default" w:ascii="仿宋" w:hAnsi="仿宋" w:eastAsia="仿宋" w:cs="仿宋_GB2312"/>
          <w:sz w:val="32"/>
          <w:szCs w:val="32"/>
          <w:lang w:val="en-US" w:eastAsia="zh-CN"/>
        </w:rPr>
        <w:t>.一般公共预算拨款收入：指市级财政当年拨付的资金。</w:t>
      </w:r>
      <w:bookmarkEnd w:id="83"/>
      <w:bookmarkEnd w:id="84"/>
      <w:bookmarkEnd w:id="85"/>
      <w:bookmarkEnd w:id="86"/>
    </w:p>
    <w:p w14:paraId="57136FA9">
      <w:pPr>
        <w:spacing w:line="560" w:lineRule="exact"/>
        <w:ind w:firstLine="660"/>
        <w:rPr>
          <w:rFonts w:hint="default" w:ascii="仿宋" w:hAnsi="仿宋" w:eastAsia="仿宋" w:cs="仿宋_GB2312"/>
          <w:sz w:val="32"/>
          <w:szCs w:val="32"/>
          <w:lang w:val="en-US" w:eastAsia="zh-CN"/>
        </w:rPr>
      </w:pPr>
      <w:r>
        <w:rPr>
          <w:rFonts w:hint="eastAsia" w:ascii="仿宋" w:hAnsi="仿宋" w:eastAsia="仿宋" w:cs="仿宋_GB2312"/>
          <w:sz w:val="32"/>
          <w:szCs w:val="32"/>
          <w:lang w:val="en-US" w:eastAsia="zh-CN"/>
        </w:rPr>
        <w:t>18</w:t>
      </w:r>
      <w:r>
        <w:rPr>
          <w:rFonts w:hint="default" w:ascii="仿宋" w:hAnsi="仿宋" w:eastAsia="仿宋" w:cs="仿宋_GB2312"/>
          <w:sz w:val="32"/>
          <w:szCs w:val="32"/>
          <w:lang w:val="en-US" w:eastAsia="zh-CN"/>
        </w:rPr>
        <w:t>.教育支出（类）普通教育（款）学前教育支出(项）：反映各部分举办的学前教育支出。政府各部门对社会组织等举办的幼儿园资助，如捐赠、补贴等，也在本科目中反映。</w:t>
      </w:r>
    </w:p>
    <w:p w14:paraId="78FAF90D">
      <w:pPr>
        <w:spacing w:line="560" w:lineRule="exact"/>
        <w:ind w:firstLine="660"/>
        <w:rPr>
          <w:rFonts w:hint="default" w:ascii="仿宋" w:hAnsi="仿宋" w:eastAsia="仿宋" w:cs="仿宋_GB2312"/>
          <w:sz w:val="32"/>
          <w:szCs w:val="32"/>
          <w:lang w:val="en-US" w:eastAsia="zh-CN"/>
        </w:rPr>
      </w:pPr>
      <w:r>
        <w:rPr>
          <w:rFonts w:hint="eastAsia" w:ascii="仿宋" w:hAnsi="仿宋" w:eastAsia="仿宋" w:cs="仿宋_GB2312"/>
          <w:sz w:val="32"/>
          <w:szCs w:val="32"/>
          <w:lang w:val="en-US" w:eastAsia="zh-CN"/>
        </w:rPr>
        <w:t>19</w:t>
      </w:r>
      <w:r>
        <w:rPr>
          <w:rFonts w:hint="default" w:ascii="仿宋" w:hAnsi="仿宋" w:eastAsia="仿宋" w:cs="仿宋_GB2312"/>
          <w:sz w:val="32"/>
          <w:szCs w:val="32"/>
          <w:lang w:val="en-US" w:eastAsia="zh-CN"/>
        </w:rPr>
        <w:t>.社会保障和就业支出（类）行政事业单位养老支出（款）机关事业单位基本养老保险缴费支出（项）：反映机关事业单位实施养老保险制度由单位实际缴纳的基本养老保险费支出。</w:t>
      </w:r>
    </w:p>
    <w:p w14:paraId="6EAB7504">
      <w:pPr>
        <w:spacing w:line="560" w:lineRule="exact"/>
        <w:ind w:firstLine="660"/>
        <w:rPr>
          <w:rFonts w:ascii="仿宋" w:hAnsi="仿宋" w:eastAsia="仿宋" w:cs="仿宋_GB2312"/>
          <w:sz w:val="32"/>
          <w:szCs w:val="32"/>
        </w:rPr>
      </w:pPr>
      <w:r>
        <w:rPr>
          <w:rFonts w:hint="eastAsia" w:ascii="仿宋" w:hAnsi="仿宋" w:eastAsia="仿宋" w:cs="仿宋_GB2312"/>
          <w:sz w:val="32"/>
          <w:szCs w:val="32"/>
          <w:lang w:val="en-US" w:eastAsia="zh-CN"/>
        </w:rPr>
        <w:t>20</w:t>
      </w:r>
      <w:r>
        <w:rPr>
          <w:rFonts w:hint="default" w:ascii="仿宋" w:hAnsi="仿宋" w:eastAsia="仿宋" w:cs="仿宋_GB2312"/>
          <w:sz w:val="32"/>
          <w:szCs w:val="32"/>
          <w:lang w:val="en-US" w:eastAsia="zh-CN"/>
        </w:rPr>
        <w:t>.住房保障支出（类）住房改革支出（款）住房公积金（项）：反映行政事业单位按人力资源和社会保障部、财政部规定的基本工资和津贴补贴以及规定比例未职工缴纳的住房公积金。</w:t>
      </w:r>
    </w:p>
    <w:p w14:paraId="13A911CB">
      <w:pPr>
        <w:spacing w:line="560" w:lineRule="exact"/>
        <w:ind w:firstLine="660"/>
        <w:rPr>
          <w:rFonts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lang w:val="en-US" w:eastAsia="zh-CN"/>
        </w:rPr>
        <w:t>1</w:t>
      </w:r>
      <w:r>
        <w:rPr>
          <w:rFonts w:ascii="仿宋" w:hAnsi="仿宋" w:eastAsia="仿宋" w:cs="仿宋_GB2312"/>
          <w:sz w:val="32"/>
          <w:szCs w:val="32"/>
        </w:rPr>
        <w:t>.</w:t>
      </w:r>
      <w:r>
        <w:rPr>
          <w:rFonts w:hint="eastAsia" w:ascii="仿宋" w:hAnsi="仿宋" w:eastAsia="仿宋" w:cs="仿宋_GB2312"/>
          <w:sz w:val="32"/>
          <w:szCs w:val="32"/>
        </w:rPr>
        <w:t>基本支出：指为保障机构正常运转、完成日常工作任务而发生的人员支出和公用支出。</w:t>
      </w:r>
    </w:p>
    <w:p w14:paraId="662F4DA5">
      <w:pPr>
        <w:spacing w:line="560" w:lineRule="exact"/>
        <w:ind w:firstLine="660"/>
        <w:rPr>
          <w:rFonts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lang w:val="en-US" w:eastAsia="zh-CN"/>
        </w:rPr>
        <w:t>2</w:t>
      </w:r>
      <w:r>
        <w:rPr>
          <w:rFonts w:ascii="仿宋" w:hAnsi="仿宋" w:eastAsia="仿宋" w:cs="仿宋_GB2312"/>
          <w:sz w:val="32"/>
          <w:szCs w:val="32"/>
        </w:rPr>
        <w:t>.</w:t>
      </w:r>
      <w:r>
        <w:rPr>
          <w:rFonts w:hint="eastAsia" w:ascii="仿宋" w:hAnsi="仿宋" w:eastAsia="仿宋" w:cs="仿宋_GB2312"/>
          <w:sz w:val="32"/>
          <w:szCs w:val="32"/>
        </w:rPr>
        <w:t>项目支出：指在基本支出之外为完成特定行政任务和事业发展目标所发生的支出。</w:t>
      </w:r>
    </w:p>
    <w:p w14:paraId="1C6DA97C">
      <w:pPr>
        <w:spacing w:line="560" w:lineRule="exact"/>
        <w:ind w:firstLine="660"/>
        <w:rPr>
          <w:rFonts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lang w:val="en-US" w:eastAsia="zh-CN"/>
        </w:rPr>
        <w:t>3</w:t>
      </w:r>
      <w:r>
        <w:rPr>
          <w:rFonts w:ascii="仿宋" w:hAnsi="仿宋" w:eastAsia="仿宋" w:cs="仿宋_GB2312"/>
          <w:sz w:val="32"/>
          <w:szCs w:val="32"/>
        </w:rPr>
        <w:t>.</w:t>
      </w:r>
      <w:r>
        <w:rPr>
          <w:rFonts w:hint="eastAsia" w:ascii="仿宋" w:hAnsi="仿宋" w:eastAsia="仿宋" w:cs="仿宋_GB2312"/>
          <w:sz w:val="32"/>
          <w:szCs w:val="32"/>
        </w:rPr>
        <w:t>经营支出：指事业单位在专业业务活动及其辅助活动之外开展非独立核算经营活动发生的支出。</w:t>
      </w:r>
    </w:p>
    <w:p w14:paraId="4210BE2C">
      <w:pPr>
        <w:spacing w:line="560" w:lineRule="exact"/>
        <w:ind w:firstLine="660"/>
        <w:rPr>
          <w:rFonts w:ascii="仿宋_GB2312" w:eastAsia="仿宋_GB2312"/>
          <w:sz w:val="32"/>
          <w:szCs w:val="32"/>
        </w:rPr>
      </w:pPr>
      <w:r>
        <w:rPr>
          <w:rFonts w:hint="eastAsia" w:ascii="仿宋" w:hAnsi="仿宋" w:eastAsia="仿宋" w:cs="仿宋_GB2312"/>
          <w:sz w:val="32"/>
          <w:szCs w:val="32"/>
          <w:lang w:val="en-US" w:eastAsia="zh-CN"/>
        </w:rPr>
        <w:t>24</w:t>
      </w:r>
      <w:r>
        <w:rPr>
          <w:rFonts w:ascii="仿宋" w:hAnsi="仿宋" w:eastAsia="仿宋" w:cs="仿宋_GB2312"/>
          <w:sz w:val="32"/>
          <w:szCs w:val="32"/>
        </w:rPr>
        <w:t>.</w:t>
      </w:r>
      <w:r>
        <w:rPr>
          <w:rFonts w:hint="eastAsia" w:ascii="仿宋" w:hAnsi="仿宋" w:eastAsia="仿宋" w:cs="仿宋_GB2312"/>
          <w:sz w:val="32"/>
          <w:szCs w:val="32"/>
        </w:rPr>
        <w:t>“三公”经费：指部门用财政拨款安排的因公出</w:t>
      </w:r>
      <w:r>
        <w:rPr>
          <w:rFonts w:hint="eastAsia" w:ascii="仿宋_GB2312" w:eastAsia="仿宋_GB2312"/>
          <w:sz w:val="32"/>
          <w:szCs w:val="32"/>
        </w:rPr>
        <w:t>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BE82672">
      <w:pPr>
        <w:pStyle w:val="26"/>
        <w:spacing w:line="560" w:lineRule="exact"/>
        <w:ind w:firstLine="640"/>
        <w:rPr>
          <w:rFonts w:hint="eastAsia" w:ascii="黑体" w:hAnsi="黑体" w:eastAsia="黑体"/>
          <w:color w:val="auto"/>
          <w:sz w:val="44"/>
          <w:szCs w:val="44"/>
          <w:highlight w:val="none"/>
        </w:rPr>
      </w:pPr>
      <w:r>
        <w:rPr>
          <w:rFonts w:hint="eastAsia" w:ascii="仿宋_GB2312" w:eastAsia="仿宋_GB2312"/>
          <w:sz w:val="32"/>
          <w:szCs w:val="32"/>
          <w:lang w:val="en-US" w:eastAsia="zh-CN"/>
        </w:rPr>
        <w:t>25</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9EFEE5">
      <w:pPr>
        <w:spacing w:line="600" w:lineRule="exact"/>
        <w:jc w:val="center"/>
        <w:rPr>
          <w:rFonts w:hint="eastAsia" w:eastAsia="仿宋_GB2312" w:cs="仿宋_GB2312"/>
          <w:sz w:val="32"/>
          <w:szCs w:val="32"/>
        </w:rPr>
      </w:pPr>
      <w:r>
        <w:rPr>
          <w:rFonts w:hint="eastAsia" w:eastAsia="仿宋_GB2312" w:cs="仿宋_GB2312"/>
          <w:sz w:val="32"/>
          <w:szCs w:val="32"/>
        </w:rPr>
        <w:br w:type="page"/>
      </w:r>
      <w:bookmarkStart w:id="87" w:name="_Toc15396614"/>
    </w:p>
    <w:p w14:paraId="3BEC0612">
      <w:pPr>
        <w:spacing w:line="600" w:lineRule="exact"/>
        <w:jc w:val="center"/>
        <w:rPr>
          <w:rFonts w:hint="eastAsia" w:eastAsia="仿宋_GB2312" w:cs="仿宋_GB2312"/>
          <w:sz w:val="32"/>
          <w:szCs w:val="32"/>
        </w:rPr>
      </w:pPr>
    </w:p>
    <w:p w14:paraId="2703B1E4">
      <w:pPr>
        <w:spacing w:line="600" w:lineRule="exact"/>
        <w:jc w:val="center"/>
        <w:rPr>
          <w:rStyle w:val="28"/>
          <w:rFonts w:eastAsia="黑体"/>
          <w:b w:val="0"/>
        </w:rPr>
      </w:pPr>
      <w:r>
        <w:rPr>
          <w:rFonts w:hint="eastAsia" w:eastAsia="黑体"/>
          <w:sz w:val="44"/>
          <w:szCs w:val="44"/>
        </w:rPr>
        <w:t>第四部分  附件</w:t>
      </w:r>
      <w:bookmarkEnd w:id="87"/>
    </w:p>
    <w:p w14:paraId="6002281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1"/>
        <w:rPr>
          <w:rFonts w:hint="default" w:ascii="仿宋_GB2312" w:hAnsi="Calibri" w:eastAsia="宋体" w:cs="仿宋"/>
          <w:kern w:val="0"/>
          <w:sz w:val="32"/>
          <w:szCs w:val="32"/>
          <w:lang w:val="en-US" w:eastAsia="zh-CN"/>
        </w:rPr>
      </w:pPr>
      <w:bookmarkStart w:id="88" w:name="_Toc19524"/>
      <w:bookmarkStart w:id="89" w:name="_Toc7585"/>
      <w:bookmarkStart w:id="90" w:name="_Toc23832"/>
      <w:bookmarkStart w:id="91" w:name="_Toc7249"/>
      <w:bookmarkStart w:id="92" w:name="_Toc381"/>
      <w:r>
        <w:rPr>
          <w:rFonts w:hint="eastAsia" w:ascii="宋体" w:hAnsi="宋体" w:cs="宋体"/>
          <w:kern w:val="0"/>
          <w:sz w:val="32"/>
          <w:szCs w:val="32"/>
          <w:lang w:val="en-US" w:eastAsia="zh-CN"/>
        </w:rPr>
        <w:t>单位</w:t>
      </w:r>
      <w:r>
        <w:rPr>
          <w:rFonts w:hint="eastAsia" w:ascii="宋体" w:hAnsi="宋体" w:cs="宋体"/>
          <w:kern w:val="0"/>
          <w:sz w:val="32"/>
          <w:szCs w:val="32"/>
        </w:rPr>
        <w:t>预算项目支出绩效自评表（202</w:t>
      </w:r>
      <w:r>
        <w:rPr>
          <w:rFonts w:hint="eastAsia" w:ascii="宋体" w:hAnsi="宋体" w:cs="宋体"/>
          <w:kern w:val="0"/>
          <w:sz w:val="32"/>
          <w:szCs w:val="32"/>
          <w:lang w:val="en-US" w:eastAsia="zh-CN"/>
        </w:rPr>
        <w:t>5</w:t>
      </w:r>
      <w:r>
        <w:rPr>
          <w:rFonts w:hint="eastAsia" w:ascii="宋体" w:hAnsi="宋体" w:cs="宋体"/>
          <w:kern w:val="0"/>
          <w:sz w:val="32"/>
          <w:szCs w:val="32"/>
        </w:rPr>
        <w:t>年度）见附件</w:t>
      </w:r>
      <w:bookmarkEnd w:id="88"/>
      <w:r>
        <w:rPr>
          <w:rFonts w:hint="eastAsia" w:ascii="宋体" w:hAnsi="宋体" w:cs="宋体"/>
          <w:kern w:val="0"/>
          <w:sz w:val="32"/>
          <w:szCs w:val="32"/>
          <w:lang w:val="en-US" w:eastAsia="zh-CN"/>
        </w:rPr>
        <w:t>1.《攀枝花市外国语学校单位预算项目支出绩效自评表》</w:t>
      </w:r>
      <w:bookmarkEnd w:id="89"/>
      <w:bookmarkEnd w:id="90"/>
      <w:bookmarkEnd w:id="91"/>
      <w:bookmarkEnd w:id="92"/>
    </w:p>
    <w:p w14:paraId="2EE0919B">
      <w:pPr>
        <w:pStyle w:val="13"/>
      </w:pPr>
    </w:p>
    <w:p w14:paraId="7DFAF7EA">
      <w:pPr>
        <w:widowControl/>
        <w:jc w:val="center"/>
        <w:rPr>
          <w:rFonts w:hint="eastAsia" w:eastAsia="黑体"/>
          <w:sz w:val="44"/>
          <w:szCs w:val="44"/>
        </w:rPr>
      </w:pPr>
      <w:bookmarkStart w:id="93" w:name="_Toc15396618"/>
    </w:p>
    <w:p w14:paraId="41378495">
      <w:pPr>
        <w:widowControl/>
        <w:jc w:val="center"/>
        <w:rPr>
          <w:rFonts w:hint="eastAsia" w:eastAsia="黑体"/>
          <w:sz w:val="44"/>
          <w:szCs w:val="44"/>
        </w:rPr>
      </w:pPr>
    </w:p>
    <w:p w14:paraId="2344B86C">
      <w:pPr>
        <w:widowControl/>
        <w:jc w:val="center"/>
        <w:rPr>
          <w:rFonts w:hint="eastAsia" w:eastAsia="黑体"/>
          <w:sz w:val="44"/>
          <w:szCs w:val="44"/>
        </w:rPr>
      </w:pPr>
    </w:p>
    <w:p w14:paraId="3067D40E">
      <w:pPr>
        <w:widowControl/>
        <w:jc w:val="center"/>
        <w:rPr>
          <w:rFonts w:hint="eastAsia" w:eastAsia="黑体"/>
          <w:sz w:val="44"/>
          <w:szCs w:val="44"/>
        </w:rPr>
      </w:pPr>
    </w:p>
    <w:p w14:paraId="7CA5C262">
      <w:pPr>
        <w:widowControl/>
        <w:jc w:val="center"/>
        <w:rPr>
          <w:rFonts w:hint="eastAsia" w:eastAsia="黑体"/>
          <w:sz w:val="44"/>
          <w:szCs w:val="44"/>
        </w:rPr>
      </w:pPr>
    </w:p>
    <w:p w14:paraId="35C3DD06">
      <w:pPr>
        <w:widowControl/>
        <w:jc w:val="center"/>
        <w:rPr>
          <w:rFonts w:hint="eastAsia" w:eastAsia="黑体"/>
          <w:sz w:val="44"/>
          <w:szCs w:val="44"/>
        </w:rPr>
      </w:pPr>
    </w:p>
    <w:p w14:paraId="27E9B204">
      <w:pPr>
        <w:widowControl/>
        <w:jc w:val="center"/>
        <w:rPr>
          <w:rFonts w:hint="eastAsia" w:eastAsia="黑体"/>
          <w:sz w:val="44"/>
          <w:szCs w:val="44"/>
        </w:rPr>
      </w:pPr>
    </w:p>
    <w:p w14:paraId="1A856656">
      <w:pPr>
        <w:widowControl/>
        <w:jc w:val="center"/>
        <w:rPr>
          <w:rFonts w:hint="eastAsia" w:eastAsia="黑体"/>
          <w:sz w:val="44"/>
          <w:szCs w:val="44"/>
        </w:rPr>
      </w:pPr>
    </w:p>
    <w:p w14:paraId="6D6C8499">
      <w:pPr>
        <w:widowControl/>
        <w:jc w:val="center"/>
        <w:rPr>
          <w:rFonts w:hint="eastAsia" w:eastAsia="黑体"/>
          <w:sz w:val="44"/>
          <w:szCs w:val="44"/>
        </w:rPr>
      </w:pPr>
    </w:p>
    <w:p w14:paraId="738BF6FF">
      <w:pPr>
        <w:widowControl/>
        <w:jc w:val="center"/>
        <w:rPr>
          <w:rFonts w:hint="eastAsia" w:eastAsia="黑体"/>
          <w:sz w:val="44"/>
          <w:szCs w:val="44"/>
        </w:rPr>
      </w:pPr>
    </w:p>
    <w:p w14:paraId="5A00CBEF">
      <w:pPr>
        <w:widowControl/>
        <w:jc w:val="center"/>
        <w:rPr>
          <w:rFonts w:hint="eastAsia" w:eastAsia="黑体"/>
          <w:sz w:val="44"/>
          <w:szCs w:val="44"/>
        </w:rPr>
      </w:pPr>
    </w:p>
    <w:p w14:paraId="5053F54E">
      <w:pPr>
        <w:widowControl/>
        <w:jc w:val="center"/>
        <w:rPr>
          <w:rFonts w:hint="eastAsia" w:eastAsia="黑体"/>
          <w:sz w:val="44"/>
          <w:szCs w:val="44"/>
        </w:rPr>
      </w:pPr>
    </w:p>
    <w:p w14:paraId="704B6D0D">
      <w:pPr>
        <w:pStyle w:val="2"/>
        <w:rPr>
          <w:rFonts w:hint="eastAsia" w:eastAsia="黑体"/>
          <w:sz w:val="44"/>
          <w:szCs w:val="44"/>
        </w:rPr>
      </w:pPr>
    </w:p>
    <w:p w14:paraId="1F600705">
      <w:pPr>
        <w:widowControl/>
        <w:jc w:val="center"/>
        <w:rPr>
          <w:rFonts w:hint="eastAsia" w:eastAsia="黑体"/>
          <w:sz w:val="44"/>
          <w:szCs w:val="44"/>
        </w:rPr>
      </w:pPr>
    </w:p>
    <w:p w14:paraId="06FCFA67">
      <w:pPr>
        <w:widowControl/>
        <w:jc w:val="center"/>
        <w:rPr>
          <w:rFonts w:hint="eastAsia" w:eastAsia="黑体"/>
          <w:sz w:val="44"/>
          <w:szCs w:val="44"/>
        </w:rPr>
      </w:pPr>
    </w:p>
    <w:p w14:paraId="2F11D712">
      <w:pPr>
        <w:widowControl/>
        <w:jc w:val="center"/>
        <w:rPr>
          <w:rFonts w:hint="eastAsia" w:eastAsia="黑体"/>
          <w:sz w:val="44"/>
          <w:szCs w:val="44"/>
        </w:rPr>
      </w:pPr>
    </w:p>
    <w:p w14:paraId="6CBC30D3">
      <w:pPr>
        <w:widowControl/>
        <w:jc w:val="center"/>
        <w:rPr>
          <w:rFonts w:hint="eastAsia" w:eastAsia="黑体"/>
          <w:sz w:val="44"/>
          <w:szCs w:val="44"/>
        </w:rPr>
      </w:pPr>
    </w:p>
    <w:p w14:paraId="1B99810B">
      <w:pPr>
        <w:widowControl/>
        <w:jc w:val="center"/>
        <w:rPr>
          <w:rFonts w:hint="eastAsia" w:eastAsia="黑体"/>
          <w:sz w:val="44"/>
          <w:szCs w:val="44"/>
        </w:rPr>
      </w:pPr>
    </w:p>
    <w:p w14:paraId="58D6455A">
      <w:pPr>
        <w:widowControl/>
        <w:jc w:val="center"/>
        <w:rPr>
          <w:rFonts w:eastAsia="仿宋"/>
        </w:rPr>
      </w:pPr>
      <w:bookmarkStart w:id="107" w:name="_GoBack"/>
      <w:bookmarkEnd w:id="107"/>
      <w:r>
        <w:rPr>
          <w:rFonts w:hint="eastAsia" w:eastAsia="黑体"/>
          <w:sz w:val="44"/>
          <w:szCs w:val="44"/>
        </w:rPr>
        <w:t>第</w:t>
      </w:r>
      <w:r>
        <w:rPr>
          <w:rStyle w:val="28"/>
          <w:rFonts w:hint="eastAsia" w:eastAsia="黑体"/>
          <w:b w:val="0"/>
        </w:rPr>
        <w:t>五部分 附表</w:t>
      </w:r>
      <w:bookmarkEnd w:id="82"/>
      <w:bookmarkEnd w:id="93"/>
      <w:bookmarkStart w:id="94" w:name="_Toc15396619"/>
    </w:p>
    <w:p w14:paraId="29991FC5">
      <w:pPr>
        <w:pStyle w:val="14"/>
        <w:adjustRightInd w:val="0"/>
        <w:snapToGrid w:val="0"/>
        <w:spacing w:line="560" w:lineRule="exact"/>
        <w:jc w:val="left"/>
        <w:rPr>
          <w:rFonts w:eastAsia="仿宋_GB2312" w:cs="仿宋_GB2312"/>
          <w:sz w:val="32"/>
          <w:szCs w:val="32"/>
        </w:rPr>
      </w:pPr>
    </w:p>
    <w:p w14:paraId="7E84A8E4">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94"/>
    </w:p>
    <w:p w14:paraId="1A85DB0B">
      <w:pPr>
        <w:pStyle w:val="14"/>
        <w:adjustRightInd w:val="0"/>
        <w:snapToGrid w:val="0"/>
        <w:spacing w:line="560" w:lineRule="exact"/>
        <w:jc w:val="left"/>
        <w:rPr>
          <w:rFonts w:eastAsia="仿宋_GB2312" w:cs="仿宋_GB2312"/>
          <w:sz w:val="32"/>
          <w:szCs w:val="32"/>
        </w:rPr>
      </w:pPr>
      <w:bookmarkStart w:id="95" w:name="_Toc15396620"/>
      <w:r>
        <w:rPr>
          <w:rFonts w:hint="eastAsia" w:eastAsia="仿宋_GB2312" w:cs="仿宋_GB2312"/>
          <w:sz w:val="32"/>
          <w:szCs w:val="32"/>
        </w:rPr>
        <w:t>二、收入决算表</w:t>
      </w:r>
      <w:bookmarkEnd w:id="95"/>
    </w:p>
    <w:p w14:paraId="3A900750">
      <w:pPr>
        <w:pStyle w:val="14"/>
        <w:adjustRightInd w:val="0"/>
        <w:snapToGrid w:val="0"/>
        <w:spacing w:line="560" w:lineRule="exact"/>
        <w:jc w:val="left"/>
        <w:rPr>
          <w:rFonts w:eastAsia="仿宋_GB2312" w:cs="仿宋_GB2312"/>
          <w:sz w:val="32"/>
          <w:szCs w:val="32"/>
        </w:rPr>
      </w:pPr>
      <w:bookmarkStart w:id="96" w:name="_Toc15396621"/>
      <w:r>
        <w:rPr>
          <w:rFonts w:hint="eastAsia" w:eastAsia="仿宋_GB2312" w:cs="仿宋_GB2312"/>
          <w:sz w:val="32"/>
          <w:szCs w:val="32"/>
        </w:rPr>
        <w:t>三、支出决算表</w:t>
      </w:r>
      <w:bookmarkEnd w:id="96"/>
    </w:p>
    <w:p w14:paraId="680290A2">
      <w:pPr>
        <w:pStyle w:val="14"/>
        <w:adjustRightInd w:val="0"/>
        <w:snapToGrid w:val="0"/>
        <w:spacing w:line="560" w:lineRule="exact"/>
        <w:jc w:val="left"/>
        <w:rPr>
          <w:rFonts w:eastAsia="仿宋_GB2312" w:cs="仿宋_GB2312"/>
          <w:sz w:val="32"/>
          <w:szCs w:val="32"/>
        </w:rPr>
      </w:pPr>
      <w:bookmarkStart w:id="97" w:name="_Toc15396622"/>
      <w:r>
        <w:rPr>
          <w:rFonts w:hint="eastAsia" w:eastAsia="仿宋_GB2312" w:cs="仿宋_GB2312"/>
          <w:sz w:val="32"/>
          <w:szCs w:val="32"/>
        </w:rPr>
        <w:t>四、财政拨款收入支出决算总表</w:t>
      </w:r>
      <w:bookmarkEnd w:id="97"/>
    </w:p>
    <w:p w14:paraId="74F04408">
      <w:pPr>
        <w:pStyle w:val="14"/>
        <w:adjustRightInd w:val="0"/>
        <w:snapToGrid w:val="0"/>
        <w:spacing w:line="560" w:lineRule="exact"/>
        <w:jc w:val="left"/>
        <w:rPr>
          <w:rFonts w:eastAsia="仿宋_GB2312" w:cs="仿宋_GB2312"/>
          <w:sz w:val="32"/>
          <w:szCs w:val="32"/>
        </w:rPr>
      </w:pPr>
      <w:bookmarkStart w:id="98" w:name="_Toc15396623"/>
      <w:r>
        <w:rPr>
          <w:rFonts w:hint="eastAsia" w:eastAsia="仿宋_GB2312" w:cs="仿宋_GB2312"/>
          <w:sz w:val="32"/>
          <w:szCs w:val="32"/>
        </w:rPr>
        <w:t>五、财政拨款支出决算明细表</w:t>
      </w:r>
      <w:bookmarkEnd w:id="98"/>
      <w:bookmarkStart w:id="99" w:name="_Toc15396624"/>
    </w:p>
    <w:p w14:paraId="4297D0C5">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99"/>
    </w:p>
    <w:p w14:paraId="3EFD78C0">
      <w:pPr>
        <w:pStyle w:val="14"/>
        <w:adjustRightInd w:val="0"/>
        <w:snapToGrid w:val="0"/>
        <w:spacing w:line="560" w:lineRule="exact"/>
        <w:jc w:val="left"/>
        <w:rPr>
          <w:rFonts w:eastAsia="仿宋_GB2312" w:cs="仿宋_GB2312"/>
          <w:sz w:val="32"/>
          <w:szCs w:val="32"/>
        </w:rPr>
      </w:pPr>
      <w:bookmarkStart w:id="100" w:name="_Toc15396625"/>
      <w:r>
        <w:rPr>
          <w:rFonts w:hint="eastAsia" w:eastAsia="仿宋_GB2312" w:cs="仿宋_GB2312"/>
          <w:sz w:val="32"/>
          <w:szCs w:val="32"/>
        </w:rPr>
        <w:t>七、一般公共预算财政拨款支出决算明细表</w:t>
      </w:r>
      <w:bookmarkEnd w:id="100"/>
    </w:p>
    <w:p w14:paraId="1A331D16">
      <w:pPr>
        <w:pStyle w:val="14"/>
        <w:adjustRightInd w:val="0"/>
        <w:snapToGrid w:val="0"/>
        <w:spacing w:line="560" w:lineRule="exact"/>
        <w:jc w:val="left"/>
        <w:rPr>
          <w:rFonts w:eastAsia="仿宋_GB2312" w:cs="仿宋_GB2312"/>
          <w:sz w:val="32"/>
          <w:szCs w:val="32"/>
        </w:rPr>
      </w:pPr>
      <w:bookmarkStart w:id="101" w:name="_Toc15396626"/>
      <w:r>
        <w:rPr>
          <w:rFonts w:hint="eastAsia" w:eastAsia="仿宋_GB2312" w:cs="仿宋_GB2312"/>
          <w:sz w:val="32"/>
          <w:szCs w:val="32"/>
        </w:rPr>
        <w:t>八、一般公共预算财政拨款基本支出决算表</w:t>
      </w:r>
      <w:bookmarkEnd w:id="101"/>
    </w:p>
    <w:p w14:paraId="66E8304F">
      <w:pPr>
        <w:pStyle w:val="14"/>
        <w:adjustRightInd w:val="0"/>
        <w:snapToGrid w:val="0"/>
        <w:spacing w:line="560" w:lineRule="exact"/>
        <w:jc w:val="left"/>
        <w:rPr>
          <w:rFonts w:eastAsia="仿宋_GB2312" w:cs="仿宋_GB2312"/>
          <w:sz w:val="32"/>
          <w:szCs w:val="32"/>
        </w:rPr>
      </w:pPr>
      <w:bookmarkStart w:id="102" w:name="_Toc15396627"/>
      <w:r>
        <w:rPr>
          <w:rFonts w:hint="eastAsia" w:eastAsia="仿宋_GB2312" w:cs="仿宋_GB2312"/>
          <w:sz w:val="32"/>
          <w:szCs w:val="32"/>
        </w:rPr>
        <w:t>九、一般公共预算财政拨款项目支出决算表</w:t>
      </w:r>
      <w:bookmarkEnd w:id="102"/>
    </w:p>
    <w:p w14:paraId="2BDE1890">
      <w:pPr>
        <w:pStyle w:val="14"/>
        <w:adjustRightInd w:val="0"/>
        <w:snapToGrid w:val="0"/>
        <w:spacing w:line="560" w:lineRule="exact"/>
        <w:jc w:val="left"/>
        <w:rPr>
          <w:rFonts w:eastAsia="仿宋_GB2312" w:cs="仿宋_GB2312"/>
          <w:sz w:val="32"/>
          <w:szCs w:val="32"/>
        </w:rPr>
      </w:pPr>
      <w:bookmarkStart w:id="103" w:name="_Toc15396628"/>
      <w:r>
        <w:rPr>
          <w:rFonts w:hint="eastAsia" w:eastAsia="仿宋_GB2312" w:cs="仿宋_GB2312"/>
          <w:sz w:val="32"/>
          <w:szCs w:val="32"/>
        </w:rPr>
        <w:t>十、</w:t>
      </w:r>
      <w:bookmarkEnd w:id="103"/>
      <w:r>
        <w:rPr>
          <w:rFonts w:hint="eastAsia" w:eastAsia="仿宋_GB2312" w:cs="仿宋_GB2312"/>
          <w:sz w:val="32"/>
          <w:szCs w:val="32"/>
        </w:rPr>
        <w:t>政府性基金预算财政拨款收入支出决算表</w:t>
      </w:r>
    </w:p>
    <w:p w14:paraId="576AE597">
      <w:pPr>
        <w:pStyle w:val="14"/>
        <w:adjustRightInd w:val="0"/>
        <w:snapToGrid w:val="0"/>
        <w:spacing w:line="560" w:lineRule="exact"/>
        <w:jc w:val="left"/>
        <w:rPr>
          <w:rFonts w:eastAsia="仿宋_GB2312" w:cs="仿宋_GB2312"/>
          <w:sz w:val="32"/>
          <w:szCs w:val="32"/>
        </w:rPr>
      </w:pPr>
      <w:bookmarkStart w:id="104" w:name="_Toc15396629"/>
      <w:r>
        <w:rPr>
          <w:rFonts w:hint="eastAsia" w:eastAsia="仿宋_GB2312" w:cs="仿宋_GB2312"/>
          <w:sz w:val="32"/>
          <w:szCs w:val="32"/>
        </w:rPr>
        <w:t>十一、</w:t>
      </w:r>
      <w:bookmarkEnd w:id="104"/>
      <w:r>
        <w:rPr>
          <w:rFonts w:hint="eastAsia" w:eastAsia="仿宋_GB2312" w:cs="仿宋_GB2312"/>
          <w:sz w:val="32"/>
          <w:szCs w:val="32"/>
        </w:rPr>
        <w:t>国有资本经营预算财政拨款收入支出决算表</w:t>
      </w:r>
    </w:p>
    <w:p w14:paraId="1DCA3691">
      <w:pPr>
        <w:pStyle w:val="14"/>
        <w:adjustRightInd w:val="0"/>
        <w:snapToGrid w:val="0"/>
        <w:spacing w:line="560" w:lineRule="exact"/>
        <w:jc w:val="left"/>
        <w:rPr>
          <w:rFonts w:eastAsia="仿宋_GB2312" w:cs="仿宋_GB2312"/>
          <w:sz w:val="32"/>
          <w:szCs w:val="32"/>
        </w:rPr>
      </w:pPr>
      <w:bookmarkStart w:id="105" w:name="_Toc15396630"/>
      <w:r>
        <w:rPr>
          <w:rFonts w:hint="eastAsia" w:eastAsia="仿宋_GB2312" w:cs="仿宋_GB2312"/>
          <w:sz w:val="32"/>
          <w:szCs w:val="32"/>
        </w:rPr>
        <w:t>十二、</w:t>
      </w:r>
      <w:bookmarkEnd w:id="105"/>
      <w:r>
        <w:rPr>
          <w:rFonts w:hint="eastAsia" w:eastAsia="仿宋_GB2312" w:cs="仿宋_GB2312"/>
          <w:sz w:val="32"/>
          <w:szCs w:val="32"/>
        </w:rPr>
        <w:t>国有资本经营预算财政拨款支出决算表</w:t>
      </w:r>
    </w:p>
    <w:p w14:paraId="0BDEB3B4">
      <w:pPr>
        <w:pStyle w:val="14"/>
        <w:adjustRightInd w:val="0"/>
        <w:snapToGrid w:val="0"/>
        <w:spacing w:line="560" w:lineRule="exact"/>
        <w:jc w:val="left"/>
        <w:rPr>
          <w:rFonts w:eastAsia="仿宋_GB2312" w:cs="仿宋_GB2312"/>
          <w:sz w:val="32"/>
          <w:szCs w:val="32"/>
        </w:rPr>
      </w:pPr>
      <w:bookmarkStart w:id="106" w:name="_Toc15396631"/>
      <w:r>
        <w:rPr>
          <w:rFonts w:hint="eastAsia" w:eastAsia="仿宋_GB2312" w:cs="仿宋_GB2312"/>
          <w:sz w:val="32"/>
          <w:szCs w:val="32"/>
        </w:rPr>
        <w:t>十三、</w:t>
      </w:r>
      <w:bookmarkEnd w:id="106"/>
      <w:r>
        <w:rPr>
          <w:rFonts w:hint="eastAsia" w:eastAsia="仿宋_GB2312" w:cs="仿宋_GB2312"/>
          <w:sz w:val="32"/>
          <w:szCs w:val="32"/>
        </w:rPr>
        <w:t>财政拨款“三公”经费支出决算表</w:t>
      </w:r>
    </w:p>
    <w:p w14:paraId="4CAC7F9D"/>
    <w:sectPr>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F5B513-123A-4D2A-96D0-9188BCD2A7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7E68D4D-BCAF-40E5-9152-564536265942}"/>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3" w:fontKey="{65630388-6A36-4146-832F-7B4136A67F5D}"/>
  </w:font>
  <w:font w:name="仿宋">
    <w:panose1 w:val="02010609060101010101"/>
    <w:charset w:val="86"/>
    <w:family w:val="modern"/>
    <w:pitch w:val="default"/>
    <w:sig w:usb0="800002BF" w:usb1="38CF7CFA" w:usb2="00000016" w:usb3="00000000" w:csb0="00040001" w:csb1="00000000"/>
    <w:embedRegular r:id="rId4" w:fontKey="{F188719E-A702-4255-B7D1-C066B65E870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5" w:fontKey="{0BE9D909-920C-450C-AF89-15138C24B273}"/>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embedRegular r:id="rId6" w:fontKey="{39CFE235-C8B8-42C4-B30E-158EC2994E2E}"/>
  </w:font>
  <w:font w:name="楷体">
    <w:panose1 w:val="02010609060101010101"/>
    <w:charset w:val="86"/>
    <w:family w:val="auto"/>
    <w:pitch w:val="default"/>
    <w:sig w:usb0="800002BF" w:usb1="38CF7CFA" w:usb2="00000016" w:usb3="00000000" w:csb0="00040001" w:csb1="00000000"/>
  </w:font>
  <w:font w:name="WPSEMBED1">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6A830">
    <w:pPr>
      <w:pStyle w:val="10"/>
      <w:jc w:val="center"/>
    </w:pPr>
  </w:p>
  <w:p w14:paraId="44D754C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9C2B0">
    <w:pPr>
      <w:pStyle w:val="10"/>
      <w:jc w:val="center"/>
    </w:pPr>
  </w:p>
  <w:p w14:paraId="23976F8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B0853">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D84DA">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E3D84DA">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2705F">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2DF66">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43F2DF66">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761847D8">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EC92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4A3B4"/>
    <w:multiLevelType w:val="singleLevel"/>
    <w:tmpl w:val="CF64A3B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7A56B63"/>
    <w:rsid w:val="186504BB"/>
    <w:rsid w:val="1938089F"/>
    <w:rsid w:val="19A445FC"/>
    <w:rsid w:val="1B7D550C"/>
    <w:rsid w:val="1BE8440E"/>
    <w:rsid w:val="1D155CEE"/>
    <w:rsid w:val="1E740ACF"/>
    <w:rsid w:val="1FF35744"/>
    <w:rsid w:val="1FF6BC77"/>
    <w:rsid w:val="21962A9E"/>
    <w:rsid w:val="21AE7C77"/>
    <w:rsid w:val="21CE0946"/>
    <w:rsid w:val="22BC3C41"/>
    <w:rsid w:val="23860B96"/>
    <w:rsid w:val="240371BF"/>
    <w:rsid w:val="24BA380A"/>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0646B1"/>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2DA6387"/>
    <w:rsid w:val="52E066C6"/>
    <w:rsid w:val="53083A92"/>
    <w:rsid w:val="53580A08"/>
    <w:rsid w:val="537E6D0A"/>
    <w:rsid w:val="53AF27A2"/>
    <w:rsid w:val="53F74C96"/>
    <w:rsid w:val="56E47B74"/>
    <w:rsid w:val="57BD3DD4"/>
    <w:rsid w:val="5AF92295"/>
    <w:rsid w:val="5BDD79E6"/>
    <w:rsid w:val="5BF561CA"/>
    <w:rsid w:val="5BFF5DFC"/>
    <w:rsid w:val="5C157CD6"/>
    <w:rsid w:val="5CD71FC4"/>
    <w:rsid w:val="5D1F11B5"/>
    <w:rsid w:val="5DAE1B18"/>
    <w:rsid w:val="5DE7D9E5"/>
    <w:rsid w:val="5E4D7762"/>
    <w:rsid w:val="5ECEC941"/>
    <w:rsid w:val="5F493CB7"/>
    <w:rsid w:val="5FBF9FF3"/>
    <w:rsid w:val="5FCD4E2C"/>
    <w:rsid w:val="5FD15F49"/>
    <w:rsid w:val="5FEF394A"/>
    <w:rsid w:val="5FF67715"/>
    <w:rsid w:val="6008100A"/>
    <w:rsid w:val="62BF3928"/>
    <w:rsid w:val="647F5392"/>
    <w:rsid w:val="664B1D71"/>
    <w:rsid w:val="66CB6283"/>
    <w:rsid w:val="67AA3209"/>
    <w:rsid w:val="681C4F0D"/>
    <w:rsid w:val="69046D0F"/>
    <w:rsid w:val="698D0931"/>
    <w:rsid w:val="6A993CED"/>
    <w:rsid w:val="6B053271"/>
    <w:rsid w:val="6B32184E"/>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4424D0"/>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D03D6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oleObject" Target="embeddings/oleObject1.bin"/><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2.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3.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年度收入对比</a:t>
            </a:r>
          </a:p>
        </c:rich>
      </c:tx>
      <c:layout>
        <c:manualLayout>
          <c:xMode val="edge"/>
          <c:yMode val="edge"/>
          <c:x val="0.379862397459645"/>
          <c:y val="0.0456515457960127"/>
        </c:manualLayout>
      </c:layout>
      <c:overlay val="0"/>
      <c:spPr>
        <a:noFill/>
        <a:ln>
          <a:noFill/>
        </a:ln>
        <a:effectLst/>
      </c:spPr>
    </c:title>
    <c:autoTitleDeleted val="0"/>
    <c:plotArea>
      <c:layout>
        <c:manualLayout>
          <c:layoutTarget val="inner"/>
          <c:xMode val="edge"/>
          <c:yMode val="edge"/>
          <c:x val="0.0242127546970098"/>
          <c:y val="0.294347932468804"/>
          <c:w val="0.941783540619211"/>
          <c:h val="0.584389527770981"/>
        </c:manualLayout>
      </c:layout>
      <c:barChart>
        <c:barDir val="col"/>
        <c:grouping val="clustered"/>
        <c:varyColors val="0"/>
        <c:ser>
          <c:idx val="0"/>
          <c:order val="0"/>
          <c:tx>
            <c:strRef>
              <c:f>Sheet1!$B$1</c:f>
              <c:strCache>
                <c:ptCount val="1"/>
                <c:pt idx="0">
                  <c:v>金额（万元）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6481.6</c:v>
                </c:pt>
                <c:pt idx="1">
                  <c:v>7650.8</c:v>
                </c:pt>
              </c:numCache>
            </c:numRef>
          </c:val>
        </c:ser>
        <c:dLbls>
          <c:showLegendKey val="0"/>
          <c:showVal val="1"/>
          <c:showCatName val="0"/>
          <c:showSerName val="0"/>
          <c:showPercent val="0"/>
          <c:showBubbleSize val="0"/>
        </c:dLbls>
        <c:gapWidth val="260"/>
        <c:overlap val="-32"/>
        <c:axId val="289844840"/>
        <c:axId val="275672998"/>
      </c:barChart>
      <c:catAx>
        <c:axId val="2898448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5672998"/>
        <c:crosses val="autoZero"/>
        <c:auto val="1"/>
        <c:lblAlgn val="ctr"/>
        <c:lblOffset val="100"/>
        <c:noMultiLvlLbl val="0"/>
      </c:catAx>
      <c:valAx>
        <c:axId val="27567299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844840"/>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70457e1-0ffc-428f-af74-66e6a454b74c}"/>
      </c:ext>
    </c:extLst>
  </c:chart>
  <c:spPr>
    <a:solidFill>
      <a:schemeClr val="bg1"/>
    </a:solidFill>
    <a:ln w="9525" cap="flat" cmpd="sng" algn="ctr">
      <a:solidFill>
        <a:schemeClr val="tx1">
          <a:lumMod val="15000"/>
          <a:lumOff val="85000"/>
        </a:schemeClr>
      </a:solidFill>
      <a:round/>
    </a:ln>
    <a:effectLst/>
  </c:spPr>
  <c:txPr>
    <a:bodyPr anchor="ctr" anchorCtr="0"/>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本年收入</a:t>
            </a:r>
          </a:p>
        </c:rich>
      </c:tx>
      <c:layout/>
      <c:overlay val="0"/>
      <c:spPr>
        <a:noFill/>
        <a:ln>
          <a:noFill/>
        </a:ln>
        <a:effectLst/>
      </c:spPr>
    </c:title>
    <c:autoTitleDeleted val="0"/>
    <c:plotArea>
      <c:layout/>
      <c:pieChart>
        <c:varyColors val="1"/>
        <c:ser>
          <c:idx val="0"/>
          <c:order val="0"/>
          <c:tx>
            <c:strRef>
              <c:f>Sheet1!$B$1</c:f>
              <c:strCache>
                <c:ptCount val="1"/>
                <c:pt idx="0">
                  <c:v>本年收入（万元)</c:v>
                </c:pt>
              </c:strCache>
            </c:strRef>
          </c:tx>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Pt>
            <c:idx val="3"/>
            <c:bubble3D val="0"/>
            <c:spPr>
              <a:gradFill>
                <a:gsLst>
                  <a:gs pos="100000">
                    <a:schemeClr val="accent4"/>
                  </a:gs>
                  <a:gs pos="0">
                    <a:schemeClr val="accent4">
                      <a:hueOff val="-1670000"/>
                    </a:schemeClr>
                  </a:gs>
                </a:gsLst>
                <a:lin ang="5400000" scaled="0"/>
              </a:gradFill>
              <a:ln>
                <a:gradFill>
                  <a:gsLst>
                    <a:gs pos="100000">
                      <a:schemeClr val="accent4">
                        <a:lumMod val="75000"/>
                      </a:schemeClr>
                    </a:gs>
                    <a:gs pos="0">
                      <a:schemeClr val="accent4">
                        <a:lumMod val="75000"/>
                        <a:hueOff val="-1670000"/>
                      </a:schemeClr>
                    </a:gs>
                  </a:gsLst>
                  <a:lin ang="4620000" scaled="0"/>
                </a:gra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Sheet1!$A$2:$A$5</c:f>
              <c:strCache>
                <c:ptCount val="4"/>
                <c:pt idx="0">
                  <c:v>一般公共预算财政拨款收入</c:v>
                </c:pt>
                <c:pt idx="1">
                  <c:v>事业收入</c:v>
                </c:pt>
                <c:pt idx="2">
                  <c:v>其他收入</c:v>
                </c:pt>
                <c:pt idx="3">
                  <c:v>政府性基金预算</c:v>
                </c:pt>
              </c:strCache>
            </c:strRef>
          </c:cat>
          <c:val>
            <c:numRef>
              <c:f>Sheet1!$B$2:$B$5</c:f>
              <c:numCache>
                <c:formatCode>General</c:formatCode>
                <c:ptCount val="4"/>
                <c:pt idx="0">
                  <c:v>5168.57</c:v>
                </c:pt>
                <c:pt idx="1">
                  <c:v>126.18</c:v>
                </c:pt>
                <c:pt idx="2">
                  <c:v>1930.14</c:v>
                </c:pt>
                <c:pt idx="3">
                  <c:v>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182926829268293"/>
          <c:y val="0.17953067571388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63db33b-3b7f-4ce4-8a28-10cc376bd543}"/>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本年支出（万元）</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a:solidFill>
              <a:schemeClr val="accent1"/>
            </a:solidFill>
            <a:ln w="19050">
              <a:noFill/>
            </a:ln>
          </c:spPr>
          <c:explosion val="0"/>
          <c:dPt>
            <c:idx val="0"/>
            <c:bubble3D val="0"/>
            <c:spPr>
              <a:solidFill>
                <a:schemeClr val="accent1"/>
              </a:solidFill>
              <a:ln w="152400">
                <a:solidFill>
                  <a:schemeClr val="accent1"/>
                </a:solidFill>
              </a:ln>
              <a:effectLst/>
              <a:sp3d contourW="152400"/>
            </c:spPr>
          </c:dPt>
          <c:dPt>
            <c:idx val="1"/>
            <c:bubble3D val="0"/>
            <c:spPr>
              <a:solidFill>
                <a:schemeClr val="accent1">
                  <a:lumMod val="60000"/>
                  <a:lumOff val="40000"/>
                </a:schemeClr>
              </a:solidFill>
              <a:ln w="19050">
                <a:no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accent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5758.59</c:v>
                </c:pt>
                <c:pt idx="1">
                  <c:v>1633.31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7b8e7fd7-53ca-4936-b496-306f5b4286d7}"/>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b="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财政拨款收支总决算（万元）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金额</c:v>
                </c:pt>
              </c:strCache>
            </c:strRef>
          </c:tx>
          <c:spPr>
            <a:pattFill prst="wdDnDiag">
              <a:fgClr>
                <a:schemeClr val="accent1"/>
              </a:fgClr>
              <a:bgClr>
                <a:schemeClr val="bg1"/>
              </a:bgClr>
            </a:pattFill>
            <a:ln w="25400">
              <a:solidFill>
                <a:schemeClr val="accent1"/>
              </a:solidFill>
            </a:ln>
            <a:effectLst>
              <a:innerShdw blurRad="63500" dist="50800">
                <a:schemeClr val="accent1">
                  <a:alpha val="50000"/>
                </a:schemeClr>
              </a:innerShdw>
            </a:effectLst>
          </c:spPr>
          <c:invertIfNegative val="0"/>
          <c:dPt>
            <c:idx val="0"/>
            <c:invertIfNegative val="0"/>
            <c:bubble3D val="0"/>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4921.02</c:v>
                </c:pt>
                <c:pt idx="1">
                  <c:v>5170.57</c:v>
                </c:pt>
              </c:numCache>
            </c:numRef>
          </c:val>
        </c:ser>
        <c:dLbls>
          <c:showLegendKey val="0"/>
          <c:showVal val="1"/>
          <c:showCatName val="0"/>
          <c:showSerName val="0"/>
          <c:showPercent val="0"/>
          <c:showBubbleSize val="0"/>
        </c:dLbls>
        <c:gapWidth val="219"/>
        <c:overlap val="-20"/>
        <c:axId val="58942193"/>
        <c:axId val="708382390"/>
      </c:barChart>
      <c:catAx>
        <c:axId val="58942193"/>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08382390"/>
        <c:crosses val="autoZero"/>
        <c:auto val="1"/>
        <c:lblAlgn val="ctr"/>
        <c:lblOffset val="100"/>
        <c:noMultiLvlLbl val="0"/>
      </c:catAx>
      <c:valAx>
        <c:axId val="70838239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8942193"/>
        <c:crosses val="autoZero"/>
        <c:crossBetween val="between"/>
      </c:valAx>
      <c:spPr>
        <a:noFill/>
        <a:ln w="25400">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5307d19f-36aa-4b57-aba2-b43687dd4799}"/>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金额</c:v>
                </c:pt>
              </c:strCache>
            </c:strRef>
          </c:tx>
          <c:spPr>
            <a:pattFill prst="wdDnDiag">
              <a:fgClr>
                <a:schemeClr val="accent1"/>
              </a:fgClr>
              <a:bgClr>
                <a:schemeClr val="bg1"/>
              </a:bgClr>
            </a:pattFill>
            <a:ln w="25400">
              <a:solidFill>
                <a:schemeClr val="accent1"/>
              </a:solidFill>
            </a:ln>
            <a:effectLst>
              <a:innerShdw blurRad="63500" dist="50800">
                <a:schemeClr val="accent1">
                  <a:alpha val="50000"/>
                </a:schemeClr>
              </a:innerShdw>
            </a:effectLst>
          </c:spPr>
          <c:invertIfNegative val="0"/>
          <c:dPt>
            <c:idx val="0"/>
            <c:invertIfNegative val="0"/>
            <c:bubble3D val="0"/>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4921.02</c:v>
                </c:pt>
                <c:pt idx="1">
                  <c:v>5168.57</c:v>
                </c:pt>
              </c:numCache>
            </c:numRef>
          </c:val>
        </c:ser>
        <c:dLbls>
          <c:showLegendKey val="0"/>
          <c:showVal val="1"/>
          <c:showCatName val="0"/>
          <c:showSerName val="0"/>
          <c:showPercent val="0"/>
          <c:showBubbleSize val="0"/>
        </c:dLbls>
        <c:gapWidth val="219"/>
        <c:overlap val="-20"/>
        <c:axId val="58942193"/>
        <c:axId val="708382390"/>
      </c:barChart>
      <c:catAx>
        <c:axId val="58942193"/>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08382390"/>
        <c:crosses val="autoZero"/>
        <c:auto val="1"/>
        <c:lblAlgn val="ctr"/>
        <c:lblOffset val="100"/>
        <c:noMultiLvlLbl val="0"/>
      </c:catAx>
      <c:valAx>
        <c:axId val="70838239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8942193"/>
        <c:crosses val="autoZero"/>
        <c:crossBetween val="between"/>
      </c:valAx>
      <c:spPr>
        <a:noFill/>
        <a:ln w="25400">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5307d19f-36aa-4b57-aba2-b43687dd4799}"/>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manualLayout>
          <c:xMode val="edge"/>
          <c:yMode val="edge"/>
          <c:x val="0.276516066682774"/>
          <c:y val="0.0350616234594135"/>
        </c:manualLayout>
      </c:layout>
      <c:overlay val="0"/>
      <c:spPr>
        <a:noFill/>
        <a:ln>
          <a:noFill/>
        </a:ln>
        <a:effectLst/>
      </c:spPr>
    </c:title>
    <c:autoTitleDeleted val="0"/>
    <c:plotArea>
      <c:layout/>
      <c:pieChart>
        <c:varyColors val="1"/>
        <c:ser>
          <c:idx val="0"/>
          <c:order val="0"/>
          <c:tx>
            <c:strRef>
              <c:f>Sheet1!$B$1</c:f>
              <c:strCache>
                <c:ptCount val="1"/>
                <c:pt idx="0">
                  <c:v>金额（万元）</c:v>
                </c:pt>
              </c:strCache>
            </c:strRef>
          </c:tx>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4">
                    <a:lumMod val="50000"/>
                    <a:alpha val="30000"/>
                  </a:scheme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#,##0.00</c:formatCode>
                <c:ptCount val="4"/>
                <c:pt idx="0">
                  <c:v>3653.07</c:v>
                </c:pt>
                <c:pt idx="1" c:formatCode="General">
                  <c:v>934.61</c:v>
                </c:pt>
                <c:pt idx="2" c:formatCode="General">
                  <c:v>245.93</c:v>
                </c:pt>
                <c:pt idx="3" c:formatCode="General">
                  <c:v>334.96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8c7cc2b-9692-4fec-a118-72bf1b20b3a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自定义 16">
    <a:dk1>
      <a:srgbClr val="000000"/>
    </a:dk1>
    <a:lt1>
      <a:srgbClr val="FFFFFF"/>
    </a:lt1>
    <a:dk2>
      <a:srgbClr val="44546A"/>
    </a:dk2>
    <a:lt2>
      <a:srgbClr val="E7E6E6"/>
    </a:lt2>
    <a:accent1>
      <a:srgbClr val="6780FB"/>
    </a:accent1>
    <a:accent2>
      <a:srgbClr val="AC68FB"/>
    </a:accent2>
    <a:accent3>
      <a:srgbClr val="F75090"/>
    </a:accent3>
    <a:accent4>
      <a:srgbClr val="FF5958"/>
    </a:accent4>
    <a:accent5>
      <a:srgbClr val="FF920C"/>
    </a:accent5>
    <a:accent6>
      <a:srgbClr val="ABD500"/>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62">
    <a:dk1>
      <a:srgbClr val="000000"/>
    </a:dk1>
    <a:lt1>
      <a:srgbClr val="FFFFFF"/>
    </a:lt1>
    <a:dk2>
      <a:srgbClr val="44546A"/>
    </a:dk2>
    <a:lt2>
      <a:srgbClr val="E7E6E6"/>
    </a:lt2>
    <a:accent1>
      <a:srgbClr val="F95B5B"/>
    </a:accent1>
    <a:accent2>
      <a:srgbClr val="FF8D5B"/>
    </a:accent2>
    <a:accent3>
      <a:srgbClr val="F9B91A"/>
    </a:accent3>
    <a:accent4>
      <a:srgbClr val="38BBF5"/>
    </a:accent4>
    <a:accent5>
      <a:srgbClr val="5089FA"/>
    </a:accent5>
    <a:accent6>
      <a:srgbClr val="6C5CFE"/>
    </a:accent6>
    <a:hlink>
      <a:srgbClr val="0026E5"/>
    </a:hlink>
    <a:folHlink>
      <a:srgbClr val="7E1FA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自定义 62">
    <a:dk1>
      <a:srgbClr val="000000"/>
    </a:dk1>
    <a:lt1>
      <a:srgbClr val="FFFFFF"/>
    </a:lt1>
    <a:dk2>
      <a:srgbClr val="44546A"/>
    </a:dk2>
    <a:lt2>
      <a:srgbClr val="E7E6E6"/>
    </a:lt2>
    <a:accent1>
      <a:srgbClr val="F95B5B"/>
    </a:accent1>
    <a:accent2>
      <a:srgbClr val="FF8D5B"/>
    </a:accent2>
    <a:accent3>
      <a:srgbClr val="F9B91A"/>
    </a:accent3>
    <a:accent4>
      <a:srgbClr val="38BBF5"/>
    </a:accent4>
    <a:accent5>
      <a:srgbClr val="5089FA"/>
    </a:accent5>
    <a:accent6>
      <a:srgbClr val="6C5CFE"/>
    </a:accent6>
    <a:hlink>
      <a:srgbClr val="0026E5"/>
    </a:hlink>
    <a:folHlink>
      <a:srgbClr val="7E1FA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7002</Words>
  <Characters>7564</Characters>
  <Lines>63</Lines>
  <Paragraphs>17</Paragraphs>
  <TotalTime>11</TotalTime>
  <ScaleCrop>false</ScaleCrop>
  <LinksUpToDate>false</LinksUpToDate>
  <CharactersWithSpaces>7644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二维码</cp:lastModifiedBy>
  <cp:lastPrinted>2026-08-27T00:27:00Z</cp:lastPrinted>
  <dcterms:modified xsi:type="dcterms:W3CDTF">2026-09-03T02:32:55Z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3BF536824C220DA3E40E8B68BA118B1C_42</vt:lpwstr>
  </property>
  <property fmtid="{D5CDD505-2E9C-101B-9397-08002B2CF9AE}" pid="4" name="KSOTemplateDocerSaveRecord">
    <vt:lpwstr>eyJoZGlkIjoiNTFhYWVkOGIwNmJhYTdjMjk3MTcxOWZlNmY5NTgwMDAiLCJ1c2VySWQiOiIxOTcyMDA0NTUifQ==</vt:lpwstr>
  </property>
</Properties>
</file>