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DCD" w:rsidRDefault="00EC4EEF">
      <w:pPr>
        <w:adjustRightInd w:val="0"/>
        <w:snapToGrid w:val="0"/>
        <w:spacing w:line="400" w:lineRule="exact"/>
        <w:rPr>
          <w:rFonts w:ascii="黑体" w:eastAsia="黑体" w:hAnsi="黑体" w:cs="黑体"/>
          <w:snapToGrid w:val="0"/>
          <w:kern w:val="0"/>
          <w:sz w:val="32"/>
          <w:szCs w:val="32"/>
        </w:rPr>
      </w:pPr>
      <w:bookmarkStart w:id="0" w:name="_Toc15396597"/>
      <w:bookmarkStart w:id="1" w:name="_Toc15377193"/>
      <w:bookmarkStart w:id="2" w:name="_Toc15396475"/>
      <w:bookmarkStart w:id="3" w:name="_Toc15378441"/>
      <w:bookmarkStart w:id="4" w:name="_Toc15377425"/>
      <w:bookmarkStart w:id="5" w:name="_Toc15306267"/>
      <w:r>
        <w:rPr>
          <w:rFonts w:ascii="黑体" w:eastAsia="黑体" w:hAnsi="黑体" w:cs="黑体" w:hint="eastAsia"/>
          <w:snapToGrid w:val="0"/>
          <w:kern w:val="0"/>
          <w:sz w:val="32"/>
          <w:szCs w:val="32"/>
        </w:rPr>
        <w:t>附件</w:t>
      </w:r>
      <w:r>
        <w:rPr>
          <w:rFonts w:ascii="黑体" w:eastAsia="黑体" w:hAnsi="黑体" w:cs="黑体" w:hint="eastAsia"/>
          <w:snapToGrid w:val="0"/>
          <w:kern w:val="0"/>
          <w:sz w:val="32"/>
          <w:szCs w:val="32"/>
        </w:rPr>
        <w:t>2</w:t>
      </w:r>
    </w:p>
    <w:p w:rsidR="00B37DCD" w:rsidRDefault="00B37DCD">
      <w:pPr>
        <w:pStyle w:val="a5"/>
        <w:spacing w:before="93"/>
        <w:rPr>
          <w:rFonts w:ascii="Times New Roman" w:eastAsia="方正小标宋简体"/>
          <w:kern w:val="2"/>
          <w:sz w:val="72"/>
          <w:szCs w:val="72"/>
        </w:rPr>
      </w:pPr>
    </w:p>
    <w:p w:rsidR="00B37DCD" w:rsidRDefault="00B37DCD">
      <w:pPr>
        <w:pStyle w:val="a5"/>
        <w:spacing w:before="93"/>
        <w:rPr>
          <w:rFonts w:ascii="Times New Roman" w:eastAsia="方正小标宋简体"/>
          <w:kern w:val="2"/>
          <w:sz w:val="72"/>
          <w:szCs w:val="72"/>
        </w:rPr>
      </w:pPr>
    </w:p>
    <w:p w:rsidR="00B37DCD" w:rsidRDefault="00EC4EEF">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w:t>
      </w:r>
      <w:r w:rsidR="006B6E52">
        <w:rPr>
          <w:rFonts w:ascii="Times New Roman" w:eastAsia="方正小标宋简体" w:hint="eastAsia"/>
          <w:kern w:val="2"/>
          <w:sz w:val="44"/>
          <w:szCs w:val="44"/>
        </w:rPr>
        <w:t>四川省</w:t>
      </w:r>
      <w:r>
        <w:rPr>
          <w:rFonts w:ascii="Times New Roman" w:eastAsia="方正小标宋简体" w:hint="eastAsia"/>
          <w:kern w:val="2"/>
          <w:sz w:val="44"/>
          <w:szCs w:val="44"/>
        </w:rPr>
        <w:t>攀枝花市特殊教育学校</w:t>
      </w:r>
    </w:p>
    <w:p w:rsidR="00B37DCD" w:rsidRDefault="00EC4EEF">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单位</w:t>
      </w:r>
      <w:r>
        <w:rPr>
          <w:rFonts w:ascii="Times New Roman" w:eastAsia="方正小标宋简体" w:hint="eastAsia"/>
          <w:kern w:val="2"/>
          <w:sz w:val="44"/>
          <w:szCs w:val="44"/>
        </w:rPr>
        <w:t>决算</w:t>
      </w:r>
      <w:bookmarkStart w:id="6" w:name="_GoBack"/>
      <w:bookmarkEnd w:id="6"/>
      <w:r>
        <w:rPr>
          <w:rFonts w:ascii="Times New Roman" w:eastAsia="方正小标宋简体" w:hint="eastAsia"/>
          <w:kern w:val="2"/>
          <w:sz w:val="44"/>
          <w:szCs w:val="44"/>
        </w:rPr>
        <w:t>公开编制说明范本及样表</w:t>
      </w:r>
    </w:p>
    <w:p w:rsidR="00B37DCD" w:rsidRDefault="00B37DCD">
      <w:pPr>
        <w:spacing w:line="600" w:lineRule="exact"/>
        <w:jc w:val="center"/>
        <w:outlineLvl w:val="0"/>
        <w:rPr>
          <w:rFonts w:eastAsia="方正小标宋简体"/>
          <w:sz w:val="72"/>
          <w:szCs w:val="72"/>
        </w:rPr>
      </w:pPr>
    </w:p>
    <w:p w:rsidR="00B37DCD" w:rsidRDefault="00B37DCD">
      <w:pPr>
        <w:pStyle w:val="5"/>
        <w:rPr>
          <w:rFonts w:ascii="Times New Roman" w:hAnsi="Times New Roman"/>
        </w:rPr>
        <w:sectPr w:rsidR="00B37DCD">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start="1"/>
          <w:cols w:space="425"/>
          <w:titlePg/>
          <w:docGrid w:type="lines" w:linePitch="312"/>
        </w:sectPr>
      </w:pPr>
    </w:p>
    <w:p w:rsidR="00B37DCD" w:rsidRDefault="00B37DCD"/>
    <w:p w:rsidR="00B37DCD" w:rsidRDefault="00B37DCD">
      <w:pPr>
        <w:pStyle w:val="a5"/>
        <w:spacing w:before="93"/>
        <w:jc w:val="center"/>
        <w:rPr>
          <w:rFonts w:ascii="Times New Roman" w:eastAsia="方正小标宋简体"/>
          <w:kern w:val="2"/>
          <w:sz w:val="44"/>
          <w:szCs w:val="44"/>
        </w:rPr>
      </w:pPr>
    </w:p>
    <w:p w:rsidR="00B37DCD" w:rsidRDefault="00B37DCD">
      <w:pPr>
        <w:pStyle w:val="a5"/>
        <w:spacing w:before="93"/>
        <w:jc w:val="center"/>
        <w:rPr>
          <w:rFonts w:ascii="Times New Roman" w:eastAsia="方正小标宋简体"/>
          <w:kern w:val="2"/>
          <w:sz w:val="44"/>
          <w:szCs w:val="44"/>
        </w:rPr>
      </w:pPr>
    </w:p>
    <w:p w:rsidR="00B37DCD" w:rsidRDefault="00B37DCD">
      <w:pPr>
        <w:pStyle w:val="a5"/>
        <w:spacing w:before="93"/>
        <w:jc w:val="center"/>
        <w:rPr>
          <w:rFonts w:ascii="Times New Roman" w:eastAsia="方正小标宋简体"/>
          <w:kern w:val="2"/>
          <w:sz w:val="44"/>
          <w:szCs w:val="44"/>
        </w:rPr>
      </w:pPr>
    </w:p>
    <w:p w:rsidR="00B37DCD" w:rsidRDefault="00B37DCD">
      <w:pPr>
        <w:pStyle w:val="a5"/>
        <w:spacing w:before="93"/>
        <w:jc w:val="center"/>
        <w:rPr>
          <w:rFonts w:ascii="Times New Roman" w:eastAsia="方正小标宋简体"/>
          <w:kern w:val="2"/>
          <w:sz w:val="44"/>
          <w:szCs w:val="44"/>
        </w:rPr>
      </w:pPr>
    </w:p>
    <w:p w:rsidR="006B6E52" w:rsidRDefault="00EC4EEF">
      <w:pPr>
        <w:pStyle w:val="a5"/>
        <w:spacing w:before="93"/>
        <w:jc w:val="center"/>
        <w:rPr>
          <w:rFonts w:ascii="Times New Roman" w:eastAsia="方正小标宋简体" w:hint="eastAsia"/>
          <w:kern w:val="2"/>
          <w:sz w:val="44"/>
          <w:szCs w:val="44"/>
        </w:rPr>
      </w:pPr>
      <w:bookmarkStart w:id="7" w:name="_Toc15377426"/>
      <w:bookmarkStart w:id="8" w:name="_Toc15378442"/>
      <w:bookmarkStart w:id="9" w:name="_Toc15396476"/>
      <w:bookmarkStart w:id="10" w:name="_Toc15377194"/>
      <w:bookmarkStart w:id="11" w:name="_Toc15396598"/>
      <w:bookmarkEnd w:id="0"/>
      <w:bookmarkEnd w:id="1"/>
      <w:bookmarkEnd w:id="2"/>
      <w:bookmarkEnd w:id="3"/>
      <w:bookmarkEnd w:id="4"/>
      <w:bookmarkEnd w:id="5"/>
      <w:r>
        <w:rPr>
          <w:rFonts w:ascii="Times New Roman" w:eastAsia="方正小标宋简体" w:hint="eastAsia"/>
          <w:kern w:val="2"/>
          <w:sz w:val="44"/>
          <w:szCs w:val="44"/>
        </w:rPr>
        <w:t>2025</w:t>
      </w:r>
      <w:r>
        <w:rPr>
          <w:rFonts w:ascii="Times New Roman" w:eastAsia="方正小标宋简体" w:hint="eastAsia"/>
          <w:kern w:val="2"/>
          <w:sz w:val="44"/>
          <w:szCs w:val="44"/>
        </w:rPr>
        <w:t>年度</w:t>
      </w:r>
      <w:r w:rsidR="006B6E52">
        <w:rPr>
          <w:rFonts w:ascii="Times New Roman" w:eastAsia="方正小标宋简体" w:hint="eastAsia"/>
          <w:kern w:val="2"/>
          <w:sz w:val="44"/>
          <w:szCs w:val="44"/>
        </w:rPr>
        <w:t>四川省</w:t>
      </w:r>
      <w:r>
        <w:rPr>
          <w:rFonts w:ascii="Times New Roman" w:eastAsia="方正小标宋简体" w:hint="eastAsia"/>
          <w:kern w:val="2"/>
          <w:sz w:val="44"/>
          <w:szCs w:val="44"/>
        </w:rPr>
        <w:t>攀枝花市</w:t>
      </w:r>
      <w:bookmarkStart w:id="12" w:name="_Toc15306268"/>
      <w:r>
        <w:rPr>
          <w:rFonts w:ascii="Times New Roman" w:eastAsia="方正小标宋简体" w:hint="eastAsia"/>
          <w:kern w:val="2"/>
          <w:sz w:val="44"/>
          <w:szCs w:val="44"/>
        </w:rPr>
        <w:t>特殊教育学校</w:t>
      </w:r>
    </w:p>
    <w:p w:rsidR="00B37DCD" w:rsidRDefault="00EC4EEF">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单位决算</w:t>
      </w:r>
      <w:bookmarkEnd w:id="7"/>
      <w:bookmarkEnd w:id="8"/>
      <w:bookmarkEnd w:id="9"/>
      <w:bookmarkEnd w:id="10"/>
      <w:bookmarkEnd w:id="11"/>
      <w:bookmarkEnd w:id="12"/>
    </w:p>
    <w:p w:rsidR="00B37DCD" w:rsidRDefault="00B37DCD">
      <w:pPr>
        <w:widowControl/>
        <w:jc w:val="center"/>
        <w:rPr>
          <w:rFonts w:eastAsia="黑体"/>
          <w:sz w:val="48"/>
          <w:szCs w:val="48"/>
        </w:rPr>
        <w:sectPr w:rsidR="00B37DCD">
          <w:footerReference w:type="default" r:id="rId13"/>
          <w:footerReference w:type="first" r:id="rId14"/>
          <w:pgSz w:w="11906" w:h="16838"/>
          <w:pgMar w:top="1440" w:right="1800" w:bottom="1440" w:left="1800" w:header="851" w:footer="992" w:gutter="0"/>
          <w:pgNumType w:start="2"/>
          <w:cols w:space="425"/>
          <w:titlePg/>
          <w:docGrid w:type="lines" w:linePitch="312"/>
        </w:sectPr>
      </w:pPr>
    </w:p>
    <w:p w:rsidR="00B37DCD" w:rsidRDefault="00EC4EEF">
      <w:pPr>
        <w:widowControl/>
        <w:jc w:val="center"/>
        <w:rPr>
          <w:rFonts w:eastAsia="黑体"/>
          <w:sz w:val="48"/>
          <w:szCs w:val="48"/>
        </w:rPr>
      </w:pPr>
      <w:r>
        <w:rPr>
          <w:rFonts w:eastAsia="黑体" w:hint="eastAsia"/>
          <w:sz w:val="48"/>
          <w:szCs w:val="48"/>
        </w:rPr>
        <w:lastRenderedPageBreak/>
        <w:t>目录</w:t>
      </w:r>
    </w:p>
    <w:p w:rsidR="00B37DCD" w:rsidRDefault="00B37DCD">
      <w:pPr>
        <w:widowControl/>
        <w:jc w:val="center"/>
        <w:rPr>
          <w:rFonts w:eastAsia="黑体" w:cstheme="minorBidi"/>
          <w:sz w:val="28"/>
          <w:szCs w:val="28"/>
        </w:rPr>
      </w:pPr>
    </w:p>
    <w:p w:rsidR="00B37DCD" w:rsidRDefault="00EC4EEF">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11</w:t>
      </w:r>
      <w:r>
        <w:rPr>
          <w:rFonts w:ascii="Times New Roman" w:eastAsia="仿宋_GB2312" w:hAnsi="Times New Roman" w:cs="仿宋_GB2312" w:hint="eastAsia"/>
          <w:sz w:val="32"/>
          <w:szCs w:val="32"/>
        </w:rPr>
        <w:t>日</w:t>
      </w:r>
    </w:p>
    <w:p w:rsidR="00B37DCD" w:rsidRDefault="00B37DCD"/>
    <w:p w:rsidR="00B37DCD" w:rsidRDefault="00EC4EEF">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r>
        <w:rPr>
          <w:rFonts w:ascii="Times New Roman" w:eastAsia="黑体" w:hAnsi="Times New Roman" w:cs="黑体" w:hint="eastAsia"/>
          <w:sz w:val="32"/>
          <w:szCs w:val="32"/>
        </w:rPr>
        <w:tab/>
        <w:t>5</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一、部门职责</w:t>
      </w:r>
      <w:r>
        <w:rPr>
          <w:rFonts w:eastAsia="仿宋_GB2312" w:cs="仿宋_GB2312" w:hint="eastAsia"/>
          <w:sz w:val="32"/>
          <w:szCs w:val="32"/>
        </w:rPr>
        <w:tab/>
        <w:t>5</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rFonts w:eastAsia="仿宋_GB2312" w:cs="仿宋_GB2312" w:hint="eastAsia"/>
          <w:sz w:val="32"/>
          <w:szCs w:val="32"/>
        </w:rPr>
        <w:tab/>
        <w:t>5</w:t>
      </w:r>
    </w:p>
    <w:p w:rsidR="00B37DCD" w:rsidRDefault="00EC4EEF">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2025</w:t>
      </w:r>
      <w:r>
        <w:rPr>
          <w:rFonts w:ascii="Times New Roman" w:eastAsia="黑体" w:hAnsi="Times New Roman" w:cs="黑体" w:hint="eastAsia"/>
          <w:sz w:val="32"/>
          <w:szCs w:val="32"/>
        </w:rPr>
        <w:t>年度部门决算情况说明</w:t>
      </w:r>
      <w:r>
        <w:rPr>
          <w:rFonts w:ascii="Times New Roman" w:eastAsia="黑体" w:hAnsi="Times New Roman" w:cs="黑体" w:hint="eastAsia"/>
          <w:sz w:val="32"/>
          <w:szCs w:val="32"/>
        </w:rPr>
        <w:tab/>
        <w:t>6</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r>
        <w:rPr>
          <w:rFonts w:eastAsia="仿宋_GB2312" w:cs="仿宋_GB2312" w:hint="eastAsia"/>
          <w:sz w:val="32"/>
          <w:szCs w:val="32"/>
        </w:rPr>
        <w:tab/>
        <w:t>6</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rPr>
          <w:rFonts w:eastAsia="仿宋_GB2312" w:cs="仿宋_GB2312" w:hint="eastAsia"/>
          <w:sz w:val="32"/>
          <w:szCs w:val="32"/>
        </w:rPr>
        <w:tab/>
        <w:t>7</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r>
        <w:rPr>
          <w:rFonts w:eastAsia="仿宋_GB2312" w:cs="仿宋_GB2312" w:hint="eastAsia"/>
          <w:sz w:val="32"/>
          <w:szCs w:val="32"/>
        </w:rPr>
        <w:tab/>
        <w:t>8</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r>
        <w:rPr>
          <w:rFonts w:eastAsia="仿宋_GB2312" w:cs="仿宋_GB2312" w:hint="eastAsia"/>
          <w:sz w:val="32"/>
          <w:szCs w:val="32"/>
        </w:rPr>
        <w:tab/>
        <w:t>9</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r>
        <w:rPr>
          <w:rFonts w:eastAsia="仿宋_GB2312" w:cs="仿宋_GB2312" w:hint="eastAsia"/>
          <w:sz w:val="32"/>
          <w:szCs w:val="32"/>
        </w:rPr>
        <w:tab/>
        <w:t>9</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六、一般公共预算财政拨款基本支出决算情况说明</w:t>
      </w:r>
      <w:r>
        <w:rPr>
          <w:rFonts w:eastAsia="仿宋_GB2312" w:cs="仿宋_GB2312" w:hint="eastAsia"/>
          <w:sz w:val="32"/>
          <w:szCs w:val="32"/>
        </w:rPr>
        <w:tab/>
        <w:t>13</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七、财政拨款“三公”经费支出决算情况说明</w:t>
      </w:r>
      <w:r>
        <w:rPr>
          <w:rFonts w:eastAsia="仿宋_GB2312" w:cs="仿宋_GB2312" w:hint="eastAsia"/>
          <w:sz w:val="32"/>
          <w:szCs w:val="32"/>
        </w:rPr>
        <w:tab/>
        <w:t>13</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r>
        <w:rPr>
          <w:rFonts w:eastAsia="仿宋_GB2312" w:cs="仿宋_GB2312" w:hint="eastAsia"/>
          <w:sz w:val="32"/>
          <w:szCs w:val="32"/>
        </w:rPr>
        <w:tab/>
        <w:t>16</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九、国有资本经营预算支出决算情况说明</w:t>
      </w:r>
      <w:r>
        <w:rPr>
          <w:rFonts w:eastAsia="仿宋_GB2312" w:cs="仿宋_GB2312" w:hint="eastAsia"/>
          <w:sz w:val="32"/>
          <w:szCs w:val="32"/>
        </w:rPr>
        <w:tab/>
        <w:t>16</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十、其他重要事项的情况说明</w:t>
      </w:r>
      <w:r>
        <w:rPr>
          <w:rFonts w:eastAsia="仿宋_GB2312" w:cs="仿宋_GB2312" w:hint="eastAsia"/>
          <w:sz w:val="32"/>
          <w:szCs w:val="32"/>
        </w:rPr>
        <w:tab/>
        <w:t>16</w:t>
      </w:r>
    </w:p>
    <w:p w:rsidR="00B37DCD" w:rsidRDefault="00EC4EEF">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ascii="Times New Roman" w:eastAsia="黑体" w:hAnsi="Times New Roman" w:cs="黑体" w:hint="eastAsia"/>
          <w:sz w:val="32"/>
          <w:szCs w:val="32"/>
        </w:rPr>
        <w:tab/>
        <w:t>19</w:t>
      </w:r>
    </w:p>
    <w:p w:rsidR="00B37DCD" w:rsidRDefault="00EC4EEF">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ascii="Times New Roman" w:eastAsia="黑体" w:hAnsi="Times New Roman" w:cs="黑体" w:hint="eastAsia"/>
          <w:sz w:val="32"/>
          <w:szCs w:val="32"/>
        </w:rPr>
        <w:tab/>
        <w:t>23</w:t>
      </w:r>
    </w:p>
    <w:p w:rsidR="00B37DCD" w:rsidRDefault="00EC4EEF">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ascii="Times New Roman" w:eastAsia="黑体" w:hAnsi="Times New Roman" w:cs="黑体"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四、财政拨款收入支出决算总表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rFonts w:eastAsia="仿宋_GB2312" w:cs="仿宋_GB2312" w:hint="eastAsia"/>
          <w:sz w:val="32"/>
          <w:szCs w:val="32"/>
        </w:rPr>
        <w:tab/>
      </w:r>
      <w:r>
        <w:rPr>
          <w:rFonts w:eastAsia="仿宋_GB2312" w:cs="仿宋_GB2312" w:hint="eastAsia"/>
          <w:sz w:val="32"/>
          <w:szCs w:val="32"/>
        </w:rPr>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rFonts w:eastAsia="仿宋_GB2312" w:cs="仿宋_GB2312" w:hint="eastAsia"/>
          <w:sz w:val="32"/>
          <w:szCs w:val="32"/>
        </w:rPr>
        <w:tab/>
        <w:t>24</w:t>
      </w:r>
    </w:p>
    <w:p w:rsidR="00B37DCD" w:rsidRDefault="00EC4EEF">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rFonts w:eastAsia="仿宋_GB2312" w:cs="仿宋_GB2312" w:hint="eastAsia"/>
          <w:sz w:val="32"/>
          <w:szCs w:val="32"/>
        </w:rPr>
        <w:tab/>
        <w:t>24</w:t>
      </w:r>
    </w:p>
    <w:p w:rsidR="00B37DCD" w:rsidRDefault="00EC4EEF">
      <w:pPr>
        <w:widowControl/>
        <w:spacing w:line="560" w:lineRule="exact"/>
        <w:jc w:val="left"/>
        <w:rPr>
          <w:rFonts w:eastAsia="仿宋_GB2312" w:cs="仿宋_GB2312"/>
          <w:bCs/>
          <w:kern w:val="44"/>
          <w:sz w:val="32"/>
          <w:szCs w:val="32"/>
        </w:rPr>
      </w:pPr>
      <w:bookmarkStart w:id="13" w:name="_Toc15396599"/>
      <w:bookmarkStart w:id="14" w:name="_Toc15377196"/>
      <w:r>
        <w:rPr>
          <w:rFonts w:eastAsia="仿宋_GB2312" w:cs="仿宋_GB2312" w:hint="eastAsia"/>
          <w:b/>
          <w:sz w:val="32"/>
          <w:szCs w:val="32"/>
        </w:rPr>
        <w:br w:type="page"/>
      </w:r>
    </w:p>
    <w:p w:rsidR="00B37DCD" w:rsidRDefault="00EC4EEF">
      <w:pPr>
        <w:pStyle w:val="1"/>
        <w:jc w:val="center"/>
        <w:rPr>
          <w:rStyle w:val="1Char"/>
          <w:rFonts w:eastAsia="方正小标宋简体" w:cs="方正小标宋简体"/>
          <w:b/>
        </w:rPr>
      </w:pPr>
      <w:r>
        <w:rPr>
          <w:rFonts w:eastAsia="方正小标宋简体" w:cs="方正小标宋简体" w:hint="eastAsia"/>
          <w:b w:val="0"/>
        </w:rPr>
        <w:lastRenderedPageBreak/>
        <w:t>第一部分</w:t>
      </w:r>
      <w:r>
        <w:rPr>
          <w:rStyle w:val="1Char"/>
          <w:rFonts w:eastAsia="方正小标宋简体" w:cs="方正小标宋简体" w:hint="eastAsia"/>
        </w:rPr>
        <w:t>部门概况</w:t>
      </w:r>
      <w:bookmarkEnd w:id="13"/>
      <w:bookmarkEnd w:id="14"/>
    </w:p>
    <w:p w:rsidR="00B37DCD" w:rsidRDefault="00B37DCD">
      <w:pPr>
        <w:widowControl/>
        <w:jc w:val="left"/>
        <w:rPr>
          <w:rFonts w:eastAsia="黑体"/>
          <w:sz w:val="32"/>
          <w:szCs w:val="32"/>
        </w:rPr>
      </w:pPr>
    </w:p>
    <w:p w:rsidR="00B37DCD" w:rsidRDefault="00EC4EEF">
      <w:pPr>
        <w:pStyle w:val="2"/>
        <w:rPr>
          <w:rStyle w:val="2Char"/>
          <w:rFonts w:ascii="Times New Roman" w:eastAsia="黑体" w:hAnsi="Times New Roman"/>
        </w:rPr>
      </w:pPr>
      <w:bookmarkStart w:id="15" w:name="_Toc15396600"/>
      <w:bookmarkStart w:id="16" w:name="_Toc15377197"/>
      <w:r>
        <w:rPr>
          <w:rFonts w:ascii="Times New Roman" w:eastAsia="黑体" w:hAnsi="Times New Roman" w:hint="eastAsia"/>
          <w:b w:val="0"/>
        </w:rPr>
        <w:t>一、</w:t>
      </w:r>
      <w:bookmarkEnd w:id="15"/>
      <w:bookmarkEnd w:id="16"/>
      <w:r>
        <w:rPr>
          <w:rFonts w:ascii="Times New Roman" w:eastAsia="黑体" w:hAnsi="Times New Roman" w:hint="eastAsia"/>
          <w:b w:val="0"/>
        </w:rPr>
        <w:t>部门职责</w:t>
      </w:r>
    </w:p>
    <w:p w:rsidR="00B37DCD" w:rsidRDefault="00EC4EEF">
      <w:pPr>
        <w:pStyle w:val="2"/>
        <w:ind w:firstLineChars="200" w:firstLine="640"/>
        <w:rPr>
          <w:rFonts w:ascii="Times New Roman" w:eastAsia="黑体" w:hAnsi="Times New Roman"/>
          <w:b w:val="0"/>
        </w:rPr>
      </w:pPr>
      <w:bookmarkStart w:id="17" w:name="_Toc15396601"/>
      <w:bookmarkStart w:id="18" w:name="_Toc15377200"/>
      <w:r>
        <w:rPr>
          <w:rFonts w:ascii="仿宋_GB2312" w:eastAsia="仿宋_GB2312" w:hAnsi="仿宋_GB2312" w:cs="仿宋_GB2312" w:hint="eastAsia"/>
          <w:b w:val="0"/>
          <w:bCs w:val="0"/>
        </w:rPr>
        <w:t>攀枝花市特殊教育学校校本部位于西区河石坝春风巷</w:t>
      </w:r>
      <w:r>
        <w:rPr>
          <w:rFonts w:ascii="仿宋_GB2312" w:eastAsia="仿宋_GB2312" w:hAnsi="仿宋_GB2312" w:cs="仿宋_GB2312" w:hint="eastAsia"/>
          <w:b w:val="0"/>
          <w:bCs w:val="0"/>
        </w:rPr>
        <w:t>2</w:t>
      </w:r>
      <w:r>
        <w:rPr>
          <w:rFonts w:ascii="仿宋_GB2312" w:eastAsia="仿宋_GB2312" w:hAnsi="仿宋_GB2312" w:cs="仿宋_GB2312" w:hint="eastAsia"/>
          <w:b w:val="0"/>
          <w:bCs w:val="0"/>
        </w:rPr>
        <w:t>号，学校创办于</w:t>
      </w:r>
      <w:r>
        <w:rPr>
          <w:rFonts w:ascii="仿宋_GB2312" w:eastAsia="仿宋_GB2312" w:hAnsi="仿宋_GB2312" w:cs="仿宋_GB2312" w:hint="eastAsia"/>
          <w:b w:val="0"/>
          <w:bCs w:val="0"/>
        </w:rPr>
        <w:t>1982</w:t>
      </w:r>
      <w:r>
        <w:rPr>
          <w:rFonts w:ascii="仿宋_GB2312" w:eastAsia="仿宋_GB2312" w:hAnsi="仿宋_GB2312" w:cs="仿宋_GB2312" w:hint="eastAsia"/>
          <w:b w:val="0"/>
          <w:bCs w:val="0"/>
        </w:rPr>
        <w:t>年，是一所为聋哑盲、智力障碍等残疾学生提供教育教学的</w:t>
      </w:r>
      <w:r>
        <w:rPr>
          <w:rFonts w:ascii="仿宋_GB2312" w:eastAsia="仿宋_GB2312" w:hAnsi="仿宋_GB2312" w:cs="仿宋_GB2312" w:hint="eastAsia"/>
          <w:b w:val="0"/>
          <w:bCs w:val="0"/>
        </w:rPr>
        <w:t>十五年一贯制学校</w:t>
      </w:r>
      <w:r>
        <w:rPr>
          <w:rFonts w:ascii="仿宋_GB2312" w:eastAsia="仿宋_GB2312" w:hAnsi="仿宋_GB2312" w:cs="仿宋_GB2312" w:hint="eastAsia"/>
          <w:b w:val="0"/>
          <w:bCs w:val="0"/>
        </w:rPr>
        <w:t>。</w:t>
      </w:r>
    </w:p>
    <w:p w:rsidR="00B37DCD" w:rsidRDefault="00EC4EEF">
      <w:pPr>
        <w:pStyle w:val="2"/>
        <w:rPr>
          <w:rStyle w:val="2Char"/>
          <w:rFonts w:ascii="Times New Roman" w:hAnsi="Times New Roman"/>
        </w:rPr>
      </w:pPr>
      <w:r>
        <w:rPr>
          <w:rFonts w:ascii="Times New Roman" w:eastAsia="黑体" w:hAnsi="Times New Roman" w:hint="eastAsia"/>
          <w:b w:val="0"/>
        </w:rPr>
        <w:t>二、机</w:t>
      </w:r>
      <w:r>
        <w:rPr>
          <w:rStyle w:val="2Char"/>
          <w:rFonts w:ascii="Times New Roman" w:eastAsia="黑体" w:hAnsi="Times New Roman" w:hint="eastAsia"/>
        </w:rPr>
        <w:t>构设置</w:t>
      </w:r>
      <w:bookmarkEnd w:id="17"/>
      <w:bookmarkEnd w:id="18"/>
    </w:p>
    <w:p w:rsidR="00B37DCD" w:rsidRDefault="00EC4EEF">
      <w:pPr>
        <w:ind w:firstLineChars="250" w:firstLine="800"/>
        <w:rPr>
          <w:rFonts w:eastAsia="仿宋_GB2312" w:cs="仿宋_GB2312"/>
          <w:sz w:val="32"/>
          <w:szCs w:val="32"/>
        </w:rPr>
      </w:pPr>
      <w:r>
        <w:rPr>
          <w:rFonts w:ascii="仿宋_GB2312" w:eastAsia="仿宋_GB2312" w:hAnsi="仿宋_GB2312" w:cs="仿宋_GB2312" w:hint="eastAsia"/>
          <w:sz w:val="32"/>
          <w:szCs w:val="32"/>
        </w:rPr>
        <w:t>攀枝花市特殊教育学校</w:t>
      </w:r>
      <w:r>
        <w:rPr>
          <w:rFonts w:eastAsia="仿宋_GB2312" w:cs="仿宋_GB2312" w:hint="eastAsia"/>
          <w:sz w:val="32"/>
          <w:szCs w:val="32"/>
        </w:rPr>
        <w:t>下属二级预算单位</w:t>
      </w:r>
      <w:r>
        <w:rPr>
          <w:rFonts w:eastAsia="仿宋_GB2312" w:cs="仿宋_GB2312" w:hint="eastAsia"/>
          <w:sz w:val="32"/>
          <w:szCs w:val="32"/>
        </w:rPr>
        <w:t>0</w:t>
      </w:r>
      <w:r>
        <w:rPr>
          <w:rFonts w:eastAsia="仿宋_GB2312" w:cs="仿宋_GB2312" w:hint="eastAsia"/>
          <w:sz w:val="32"/>
          <w:szCs w:val="32"/>
        </w:rPr>
        <w:t>个，其中行政单位</w:t>
      </w:r>
      <w:r>
        <w:rPr>
          <w:rFonts w:eastAsia="仿宋_GB2312" w:cs="仿宋_GB2312" w:hint="eastAsia"/>
          <w:sz w:val="32"/>
          <w:szCs w:val="32"/>
        </w:rPr>
        <w:t>0</w:t>
      </w:r>
      <w:r>
        <w:rPr>
          <w:rFonts w:eastAsia="仿宋_GB2312" w:cs="仿宋_GB2312" w:hint="eastAsia"/>
          <w:sz w:val="32"/>
          <w:szCs w:val="32"/>
        </w:rPr>
        <w:t>个，参照公务员法管理的事业单位</w:t>
      </w:r>
      <w:r>
        <w:rPr>
          <w:rFonts w:eastAsia="仿宋_GB2312" w:cs="仿宋_GB2312" w:hint="eastAsia"/>
          <w:bCs/>
          <w:sz w:val="32"/>
          <w:szCs w:val="32"/>
        </w:rPr>
        <w:t>0</w:t>
      </w:r>
      <w:r>
        <w:rPr>
          <w:rFonts w:eastAsia="仿宋_GB2312" w:cs="仿宋_GB2312" w:hint="eastAsia"/>
          <w:sz w:val="32"/>
          <w:szCs w:val="32"/>
        </w:rPr>
        <w:t>个，其他事业单位</w:t>
      </w:r>
      <w:r>
        <w:rPr>
          <w:rFonts w:eastAsia="仿宋_GB2312" w:cs="仿宋_GB2312" w:hint="eastAsia"/>
          <w:sz w:val="32"/>
          <w:szCs w:val="32"/>
        </w:rPr>
        <w:t>0</w:t>
      </w:r>
      <w:r>
        <w:rPr>
          <w:rFonts w:eastAsia="仿宋_GB2312" w:cs="仿宋_GB2312" w:hint="eastAsia"/>
          <w:sz w:val="32"/>
          <w:szCs w:val="32"/>
        </w:rPr>
        <w:t>个。</w:t>
      </w:r>
    </w:p>
    <w:p w:rsidR="00B37DCD" w:rsidRDefault="00EC4EEF">
      <w:pPr>
        <w:widowControl/>
        <w:jc w:val="left"/>
        <w:rPr>
          <w:rFonts w:eastAsia="仿宋"/>
          <w:kern w:val="0"/>
          <w:sz w:val="32"/>
          <w:szCs w:val="32"/>
        </w:rPr>
      </w:pPr>
      <w:r>
        <w:rPr>
          <w:rFonts w:eastAsia="仿宋"/>
          <w:sz w:val="32"/>
          <w:szCs w:val="32"/>
        </w:rPr>
        <w:br w:type="page"/>
      </w:r>
    </w:p>
    <w:p w:rsidR="00B37DCD" w:rsidRDefault="00EC4EEF">
      <w:pPr>
        <w:pStyle w:val="1"/>
        <w:jc w:val="center"/>
        <w:rPr>
          <w:rFonts w:eastAsia="方正小标宋简体" w:cs="方正小标宋简体"/>
          <w:b w:val="0"/>
        </w:rPr>
      </w:pPr>
      <w:bookmarkStart w:id="19" w:name="_Toc15396602"/>
      <w:bookmarkStart w:id="20" w:name="_Toc15377204"/>
      <w:r>
        <w:rPr>
          <w:rFonts w:eastAsia="方正小标宋简体" w:cs="方正小标宋简体" w:hint="eastAsia"/>
          <w:b w:val="0"/>
        </w:rPr>
        <w:lastRenderedPageBreak/>
        <w:t>第二部分</w:t>
      </w:r>
      <w:r>
        <w:rPr>
          <w:rFonts w:eastAsia="方正小标宋简体" w:cs="方正小标宋简体" w:hint="eastAsia"/>
          <w:b w:val="0"/>
        </w:rPr>
        <w:t>2025</w:t>
      </w:r>
      <w:r>
        <w:rPr>
          <w:rFonts w:eastAsia="方正小标宋简体" w:cs="方正小标宋简体" w:hint="eastAsia"/>
          <w:b w:val="0"/>
        </w:rPr>
        <w:t>年度部门决算情况说明</w:t>
      </w:r>
      <w:bookmarkEnd w:id="19"/>
      <w:bookmarkEnd w:id="20"/>
    </w:p>
    <w:p w:rsidR="00B37DCD" w:rsidRDefault="00B37DCD"/>
    <w:p w:rsidR="00B37DCD" w:rsidRDefault="00EC4EEF">
      <w:pPr>
        <w:pStyle w:val="ab"/>
        <w:spacing w:line="600" w:lineRule="exact"/>
        <w:ind w:firstLine="640"/>
        <w:outlineLvl w:val="1"/>
        <w:rPr>
          <w:rStyle w:val="2Char"/>
          <w:rFonts w:ascii="Times New Roman" w:eastAsia="黑体" w:hAnsi="Times New Roman"/>
          <w:b w:val="0"/>
        </w:rPr>
      </w:pPr>
      <w:bookmarkStart w:id="21" w:name="_Toc15396603"/>
      <w:bookmarkStart w:id="22" w:name="_Toc15377205"/>
      <w:r>
        <w:rPr>
          <w:rFonts w:eastAsia="黑体" w:hint="eastAsia"/>
          <w:sz w:val="32"/>
          <w:szCs w:val="32"/>
        </w:rPr>
        <w:t>一、收</w:t>
      </w:r>
      <w:r>
        <w:rPr>
          <w:rStyle w:val="2Char"/>
          <w:rFonts w:ascii="Times New Roman" w:eastAsia="黑体" w:hAnsi="Times New Roman" w:hint="eastAsia"/>
          <w:b w:val="0"/>
        </w:rPr>
        <w:t>入支出决算总体情况说明</w:t>
      </w:r>
      <w:bookmarkEnd w:id="21"/>
      <w:bookmarkEnd w:id="22"/>
    </w:p>
    <w:p w:rsidR="00B37DCD" w:rsidRDefault="00EC4EEF">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年度收入、支出总计均为</w:t>
      </w:r>
      <w:r>
        <w:rPr>
          <w:rFonts w:eastAsia="仿宋_GB2312" w:cs="仿宋_GB2312" w:hint="eastAsia"/>
          <w:sz w:val="32"/>
          <w:szCs w:val="32"/>
        </w:rPr>
        <w:t>1375.36</w:t>
      </w:r>
      <w:r>
        <w:rPr>
          <w:rFonts w:eastAsia="仿宋_GB2312" w:cs="仿宋_GB2312" w:hint="eastAsia"/>
          <w:sz w:val="32"/>
          <w:szCs w:val="32"/>
        </w:rPr>
        <w:t>万元。与上年度相比，收入、支出总计各增加</w:t>
      </w:r>
      <w:r>
        <w:rPr>
          <w:rFonts w:eastAsia="仿宋_GB2312" w:cs="仿宋_GB2312" w:hint="eastAsia"/>
          <w:sz w:val="32"/>
          <w:szCs w:val="32"/>
        </w:rPr>
        <w:t>160.76</w:t>
      </w:r>
      <w:r>
        <w:rPr>
          <w:rFonts w:eastAsia="仿宋_GB2312" w:cs="仿宋_GB2312" w:hint="eastAsia"/>
          <w:sz w:val="32"/>
          <w:szCs w:val="32"/>
        </w:rPr>
        <w:t>万元，增长</w:t>
      </w:r>
      <w:r>
        <w:rPr>
          <w:rFonts w:eastAsia="仿宋_GB2312" w:cs="仿宋_GB2312" w:hint="eastAsia"/>
          <w:sz w:val="32"/>
          <w:szCs w:val="32"/>
        </w:rPr>
        <w:t>13.2%</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年收入、支出较上年增加，主要因学校正常增人增资及教育、社会保障等相关经费增长，其中一般公共预算财政拨款收入较上年增加</w:t>
      </w:r>
      <w:r>
        <w:rPr>
          <w:rFonts w:eastAsia="仿宋_GB2312" w:cs="仿宋_GB2312" w:hint="eastAsia"/>
          <w:sz w:val="32"/>
          <w:szCs w:val="32"/>
        </w:rPr>
        <w:t>188.9</w:t>
      </w:r>
      <w:r>
        <w:rPr>
          <w:rFonts w:eastAsia="仿宋_GB2312" w:cs="仿宋_GB2312" w:hint="eastAsia"/>
          <w:sz w:val="32"/>
          <w:szCs w:val="32"/>
        </w:rPr>
        <w:t>万元，生均公用经费、特殊教育专项等经费相应增加；同时政府性基金预算财政拨款收入（体育事业彩票公益金）较上年减少</w:t>
      </w:r>
      <w:r>
        <w:rPr>
          <w:rFonts w:eastAsia="仿宋_GB2312" w:cs="仿宋_GB2312" w:hint="eastAsia"/>
          <w:sz w:val="32"/>
          <w:szCs w:val="32"/>
        </w:rPr>
        <w:t>26.79</w:t>
      </w:r>
      <w:r>
        <w:rPr>
          <w:rFonts w:eastAsia="仿宋_GB2312" w:cs="仿宋_GB2312" w:hint="eastAsia"/>
          <w:sz w:val="32"/>
          <w:szCs w:val="32"/>
        </w:rPr>
        <w:t>万元。</w:t>
      </w:r>
    </w:p>
    <w:p w:rsidR="00B37DCD" w:rsidRDefault="00EC4EEF" w:rsidP="006B6E52">
      <w:pPr>
        <w:pStyle w:val="ab"/>
        <w:spacing w:line="600" w:lineRule="exact"/>
        <w:jc w:val="center"/>
        <w:outlineLvl w:val="1"/>
        <w:rPr>
          <w:rFonts w:eastAsia="仿宋_GB2312" w:cs="仿宋_GB2312"/>
          <w:sz w:val="32"/>
          <w:szCs w:val="32"/>
        </w:rPr>
      </w:pPr>
      <w:r>
        <w:t>（图</w:t>
      </w:r>
      <w:r>
        <w:t>1</w:t>
      </w:r>
      <w:r>
        <w:t>：收入、支出决算总计变动情况图）</w:t>
      </w:r>
    </w:p>
    <w:p w:rsidR="00B37DCD" w:rsidRDefault="00EC4EEF">
      <w:pPr>
        <w:jc w:val="center"/>
      </w:pPr>
      <w:r>
        <w:rPr>
          <w:noProof/>
        </w:rPr>
        <w:drawing>
          <wp:inline distT="0" distB="0" distL="114300" distR="114300">
            <wp:extent cx="5039995" cy="3192780"/>
            <wp:effectExtent l="0" t="0" r="825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5"/>
                    <a:stretch>
                      <a:fillRect/>
                    </a:stretch>
                  </pic:blipFill>
                  <pic:spPr>
                    <a:xfrm>
                      <a:off x="0" y="0"/>
                      <a:ext cx="5040000" cy="3193403"/>
                    </a:xfrm>
                    <a:prstGeom prst="rect">
                      <a:avLst/>
                    </a:prstGeom>
                  </pic:spPr>
                </pic:pic>
              </a:graphicData>
            </a:graphic>
          </wp:inline>
        </w:drawing>
      </w:r>
    </w:p>
    <w:p w:rsidR="00B37DCD" w:rsidRDefault="00B37DCD">
      <w:pPr>
        <w:ind w:firstLineChars="200" w:firstLine="640"/>
        <w:rPr>
          <w:rFonts w:eastAsia="仿宋_GB2312" w:cs="仿宋_GB2312"/>
          <w:sz w:val="32"/>
          <w:szCs w:val="32"/>
        </w:rPr>
      </w:pPr>
    </w:p>
    <w:p w:rsidR="00B37DCD" w:rsidRDefault="00B37DCD">
      <w:pPr>
        <w:pStyle w:val="ab"/>
        <w:spacing w:line="600" w:lineRule="exact"/>
        <w:ind w:firstLine="640"/>
        <w:outlineLvl w:val="1"/>
        <w:rPr>
          <w:rFonts w:eastAsia="黑体"/>
          <w:sz w:val="32"/>
          <w:szCs w:val="32"/>
        </w:rPr>
      </w:pPr>
      <w:bookmarkStart w:id="23" w:name="_Toc15377206"/>
      <w:bookmarkStart w:id="24" w:name="_Toc15396604"/>
    </w:p>
    <w:p w:rsidR="00B37DCD" w:rsidRDefault="00EC4EEF">
      <w:pPr>
        <w:pStyle w:val="ab"/>
        <w:spacing w:line="600" w:lineRule="exact"/>
        <w:ind w:firstLine="640"/>
        <w:outlineLvl w:val="1"/>
        <w:rPr>
          <w:rFonts w:eastAsia="黑体"/>
          <w:sz w:val="32"/>
          <w:szCs w:val="32"/>
        </w:rPr>
      </w:pPr>
      <w:r>
        <w:rPr>
          <w:rFonts w:eastAsia="黑体" w:hint="eastAsia"/>
          <w:sz w:val="32"/>
          <w:szCs w:val="32"/>
        </w:rPr>
        <w:lastRenderedPageBreak/>
        <w:t>二、收入决算情况说明</w:t>
      </w:r>
      <w:bookmarkEnd w:id="23"/>
      <w:bookmarkEnd w:id="24"/>
    </w:p>
    <w:p w:rsidR="00B37DCD" w:rsidRDefault="00EC4EEF">
      <w:pPr>
        <w:pStyle w:val="ab"/>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年度本年收入合计</w:t>
      </w:r>
      <w:r>
        <w:rPr>
          <w:rFonts w:ascii="仿宋_GB2312" w:eastAsia="仿宋_GB2312" w:hAnsi="仿宋_GB2312" w:cs="仿宋_GB2312" w:hint="eastAsia"/>
          <w:sz w:val="32"/>
          <w:szCs w:val="32"/>
        </w:rPr>
        <w:t>1374.73</w:t>
      </w:r>
      <w:r>
        <w:rPr>
          <w:rFonts w:eastAsia="仿宋_GB2312" w:cs="仿宋_GB2312" w:hint="eastAsia"/>
          <w:sz w:val="32"/>
          <w:szCs w:val="32"/>
        </w:rPr>
        <w:t>万元，其中：一般公共预算财政拨款收入</w:t>
      </w:r>
      <w:r>
        <w:rPr>
          <w:rFonts w:ascii="仿宋_GB2312" w:eastAsia="仿宋_GB2312" w:hAnsi="仿宋_GB2312" w:cs="仿宋_GB2312" w:hint="eastAsia"/>
          <w:sz w:val="32"/>
          <w:szCs w:val="32"/>
        </w:rPr>
        <w:t>1360.98</w:t>
      </w:r>
      <w:r>
        <w:rPr>
          <w:rFonts w:eastAsia="仿宋_GB2312" w:cs="仿宋_GB2312" w:hint="eastAsia"/>
          <w:sz w:val="32"/>
          <w:szCs w:val="32"/>
        </w:rPr>
        <w:t>万元，占</w:t>
      </w:r>
      <w:r>
        <w:rPr>
          <w:rFonts w:ascii="仿宋_GB2312" w:eastAsia="仿宋_GB2312" w:hAnsi="仿宋_GB2312" w:cs="仿宋_GB2312" w:hint="eastAsia"/>
          <w:sz w:val="32"/>
          <w:szCs w:val="32"/>
        </w:rPr>
        <w:t>99</w:t>
      </w:r>
      <w:r>
        <w:rPr>
          <w:rFonts w:eastAsia="仿宋_GB2312" w:cs="仿宋_GB2312" w:hint="eastAsia"/>
          <w:sz w:val="32"/>
          <w:szCs w:val="32"/>
        </w:rPr>
        <w:t>%</w:t>
      </w:r>
      <w:r>
        <w:rPr>
          <w:rFonts w:eastAsia="仿宋_GB2312" w:cs="仿宋_GB2312" w:hint="eastAsia"/>
          <w:sz w:val="32"/>
          <w:szCs w:val="32"/>
        </w:rPr>
        <w:t>；政府性基金预算财政拨款收入</w:t>
      </w:r>
      <w:r>
        <w:rPr>
          <w:rFonts w:ascii="仿宋_GB2312" w:eastAsia="仿宋_GB2312" w:hAnsi="仿宋_GB2312" w:cs="仿宋_GB2312" w:hint="eastAsia"/>
          <w:sz w:val="32"/>
          <w:szCs w:val="32"/>
        </w:rPr>
        <w:t>13.74</w:t>
      </w:r>
      <w:r>
        <w:rPr>
          <w:rFonts w:eastAsia="仿宋_GB2312" w:cs="仿宋_GB2312" w:hint="eastAsia"/>
          <w:sz w:val="32"/>
          <w:szCs w:val="32"/>
        </w:rPr>
        <w:t>万元，占</w:t>
      </w:r>
      <w:r>
        <w:rPr>
          <w:rFonts w:ascii="仿宋_GB2312" w:eastAsia="仿宋_GB2312" w:hAnsi="仿宋_GB2312" w:cs="仿宋_GB2312" w:hint="eastAsia"/>
          <w:sz w:val="32"/>
          <w:szCs w:val="32"/>
        </w:rPr>
        <w:t>0.99</w:t>
      </w:r>
      <w:r>
        <w:rPr>
          <w:rFonts w:eastAsia="仿宋_GB2312" w:cs="仿宋_GB2312" w:hint="eastAsia"/>
          <w:sz w:val="32"/>
          <w:szCs w:val="32"/>
        </w:rPr>
        <w:t>%</w:t>
      </w:r>
      <w:r>
        <w:rPr>
          <w:rFonts w:eastAsia="仿宋_GB2312" w:cs="仿宋_GB2312" w:hint="eastAsia"/>
          <w:sz w:val="32"/>
          <w:szCs w:val="32"/>
        </w:rPr>
        <w:t>；国有资本经营预算财政拨款收入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；上级补助收入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；事业收入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；经营收入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；附属单位上缴收入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；其他收入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B37DCD" w:rsidRDefault="00EC4EEF" w:rsidP="006B6E52">
      <w:pPr>
        <w:pStyle w:val="ab"/>
        <w:spacing w:line="600" w:lineRule="exact"/>
        <w:jc w:val="center"/>
        <w:outlineLvl w:val="1"/>
        <w:rPr>
          <w:rFonts w:eastAsia="仿宋_GB2312" w:cs="仿宋_GB2312"/>
          <w:sz w:val="32"/>
          <w:szCs w:val="32"/>
        </w:rPr>
      </w:pPr>
      <w:r>
        <w:t>（图</w:t>
      </w:r>
      <w:r>
        <w:t>2</w:t>
      </w:r>
      <w:r>
        <w:t>：收入决算结构图）</w:t>
      </w:r>
    </w:p>
    <w:p w:rsidR="00B37DCD" w:rsidRDefault="00B37DCD">
      <w:pPr>
        <w:jc w:val="center"/>
      </w:pPr>
    </w:p>
    <w:p w:rsidR="00B37DCD" w:rsidRDefault="00B37DCD">
      <w:pPr>
        <w:pStyle w:val="a0"/>
      </w:pPr>
    </w:p>
    <w:p w:rsidR="00B37DCD" w:rsidRDefault="00EC4EEF" w:rsidP="006B6E52">
      <w:pPr>
        <w:pStyle w:val="20"/>
        <w:ind w:left="420"/>
      </w:pPr>
      <w:r>
        <w:rPr>
          <w:rFonts w:hint="eastAsia"/>
          <w:noProof/>
        </w:rPr>
        <w:drawing>
          <wp:inline distT="0" distB="0" distL="114300" distR="114300">
            <wp:extent cx="4410710" cy="4390390"/>
            <wp:effectExtent l="0" t="0" r="8890" b="10160"/>
            <wp:docPr id="8" name="图片 8" descr="图2_收入决算结构_99%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2_收入决算结构_99%与1%"/>
                    <pic:cNvPicPr>
                      <a:picLocks noChangeAspect="1"/>
                    </pic:cNvPicPr>
                  </pic:nvPicPr>
                  <pic:blipFill>
                    <a:blip r:embed="rId16"/>
                    <a:stretch>
                      <a:fillRect/>
                    </a:stretch>
                  </pic:blipFill>
                  <pic:spPr>
                    <a:xfrm>
                      <a:off x="0" y="0"/>
                      <a:ext cx="4410710" cy="4390390"/>
                    </a:xfrm>
                    <a:prstGeom prst="rect">
                      <a:avLst/>
                    </a:prstGeom>
                  </pic:spPr>
                </pic:pic>
              </a:graphicData>
            </a:graphic>
          </wp:inline>
        </w:drawing>
      </w:r>
    </w:p>
    <w:p w:rsidR="00B37DCD" w:rsidRDefault="00B37DCD"/>
    <w:p w:rsidR="00B37DCD" w:rsidRDefault="00B37DCD">
      <w:pPr>
        <w:pStyle w:val="a0"/>
      </w:pPr>
    </w:p>
    <w:p w:rsidR="00B37DCD" w:rsidRDefault="00B37DCD" w:rsidP="006B6E52">
      <w:pPr>
        <w:pStyle w:val="20"/>
        <w:ind w:left="420"/>
      </w:pPr>
    </w:p>
    <w:p w:rsidR="00B37DCD" w:rsidRDefault="00B37DCD">
      <w:pPr>
        <w:ind w:firstLineChars="250" w:firstLine="800"/>
        <w:rPr>
          <w:rFonts w:eastAsia="仿宋_GB2312" w:cs="仿宋_GB2312"/>
          <w:sz w:val="32"/>
          <w:szCs w:val="32"/>
        </w:rPr>
      </w:pPr>
    </w:p>
    <w:p w:rsidR="00B37DCD" w:rsidRDefault="00EC4EEF">
      <w:pPr>
        <w:pStyle w:val="ab"/>
        <w:spacing w:line="600" w:lineRule="exact"/>
        <w:ind w:firstLine="640"/>
        <w:outlineLvl w:val="1"/>
        <w:rPr>
          <w:rStyle w:val="2Char"/>
          <w:rFonts w:ascii="Times New Roman" w:eastAsia="黑体" w:hAnsi="Times New Roman"/>
          <w:b w:val="0"/>
        </w:rPr>
      </w:pPr>
      <w:bookmarkStart w:id="25" w:name="_Toc15377207"/>
      <w:bookmarkStart w:id="26" w:name="_Toc15396605"/>
      <w:r>
        <w:rPr>
          <w:rFonts w:eastAsia="黑体" w:hint="eastAsia"/>
          <w:sz w:val="32"/>
          <w:szCs w:val="32"/>
        </w:rPr>
        <w:t>三、支</w:t>
      </w:r>
      <w:r>
        <w:rPr>
          <w:rStyle w:val="2Char"/>
          <w:rFonts w:ascii="Times New Roman" w:eastAsia="黑体" w:hAnsi="Times New Roman" w:hint="eastAsia"/>
          <w:b w:val="0"/>
        </w:rPr>
        <w:t>出决算情况说明</w:t>
      </w:r>
      <w:bookmarkEnd w:id="25"/>
      <w:bookmarkEnd w:id="26"/>
    </w:p>
    <w:p w:rsidR="00B37DCD" w:rsidRDefault="00EC4EEF">
      <w:pPr>
        <w:pStyle w:val="ab"/>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年度本年支出合计</w:t>
      </w:r>
      <w:r>
        <w:rPr>
          <w:rFonts w:ascii="仿宋_GB2312" w:eastAsia="仿宋_GB2312" w:hAnsi="仿宋_GB2312" w:cs="仿宋_GB2312" w:hint="eastAsia"/>
          <w:sz w:val="32"/>
          <w:szCs w:val="32"/>
        </w:rPr>
        <w:t>1375.34</w:t>
      </w:r>
      <w:r>
        <w:rPr>
          <w:rFonts w:eastAsia="仿宋_GB2312" w:cs="仿宋_GB2312" w:hint="eastAsia"/>
          <w:sz w:val="32"/>
          <w:szCs w:val="32"/>
        </w:rPr>
        <w:t>万元，其中：基本支出</w:t>
      </w:r>
      <w:r>
        <w:rPr>
          <w:rFonts w:ascii="仿宋_GB2312" w:eastAsia="仿宋_GB2312" w:hAnsi="仿宋_GB2312" w:cs="仿宋_GB2312" w:hint="eastAsia"/>
          <w:sz w:val="32"/>
          <w:szCs w:val="32"/>
        </w:rPr>
        <w:t>1129.23</w:t>
      </w:r>
      <w:r>
        <w:rPr>
          <w:rFonts w:eastAsia="仿宋_GB2312" w:cs="仿宋_GB2312" w:hint="eastAsia"/>
          <w:sz w:val="32"/>
          <w:szCs w:val="32"/>
        </w:rPr>
        <w:t>万元，占</w:t>
      </w:r>
      <w:r>
        <w:rPr>
          <w:rFonts w:ascii="仿宋_GB2312" w:eastAsia="仿宋_GB2312" w:hAnsi="仿宋_GB2312" w:cs="仿宋_GB2312" w:hint="eastAsia"/>
          <w:sz w:val="32"/>
          <w:szCs w:val="32"/>
        </w:rPr>
        <w:t>82.1</w:t>
      </w:r>
      <w:r>
        <w:rPr>
          <w:rFonts w:eastAsia="仿宋_GB2312" w:cs="仿宋_GB2312" w:hint="eastAsia"/>
          <w:sz w:val="32"/>
          <w:szCs w:val="32"/>
        </w:rPr>
        <w:t>%</w:t>
      </w:r>
      <w:r>
        <w:rPr>
          <w:rFonts w:eastAsia="仿宋_GB2312" w:cs="仿宋_GB2312" w:hint="eastAsia"/>
          <w:sz w:val="32"/>
          <w:szCs w:val="32"/>
        </w:rPr>
        <w:t>；项目支出</w:t>
      </w:r>
      <w:r>
        <w:rPr>
          <w:rFonts w:ascii="仿宋_GB2312" w:eastAsia="仿宋_GB2312" w:hAnsi="仿宋_GB2312" w:cs="仿宋_GB2312" w:hint="eastAsia"/>
          <w:sz w:val="32"/>
          <w:szCs w:val="32"/>
        </w:rPr>
        <w:t>246.11</w:t>
      </w:r>
      <w:r>
        <w:rPr>
          <w:rFonts w:eastAsia="仿宋_GB2312" w:cs="仿宋_GB2312" w:hint="eastAsia"/>
          <w:sz w:val="32"/>
          <w:szCs w:val="32"/>
        </w:rPr>
        <w:t>万元，占</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9</w:t>
      </w:r>
      <w:r>
        <w:rPr>
          <w:rFonts w:eastAsia="仿宋_GB2312" w:cs="仿宋_GB2312" w:hint="eastAsia"/>
          <w:sz w:val="32"/>
          <w:szCs w:val="32"/>
        </w:rPr>
        <w:t>%</w:t>
      </w:r>
      <w:r>
        <w:rPr>
          <w:rFonts w:eastAsia="仿宋_GB2312" w:cs="仿宋_GB2312" w:hint="eastAsia"/>
          <w:sz w:val="32"/>
          <w:szCs w:val="32"/>
        </w:rPr>
        <w:t>；上缴上级支出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；经营支出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；对附属单位补助支出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rsidR="00B37DCD" w:rsidRDefault="00EC4EEF" w:rsidP="006B6E52">
      <w:pPr>
        <w:pStyle w:val="ab"/>
        <w:spacing w:line="600" w:lineRule="exact"/>
        <w:jc w:val="center"/>
        <w:outlineLvl w:val="1"/>
        <w:rPr>
          <w:rFonts w:eastAsia="仿宋_GB2312" w:cs="仿宋_GB2312"/>
          <w:sz w:val="32"/>
          <w:szCs w:val="32"/>
        </w:rPr>
      </w:pPr>
      <w:r>
        <w:t>（图</w:t>
      </w:r>
      <w:r>
        <w:t>3</w:t>
      </w:r>
      <w:r>
        <w:t>：支出决算结构图）</w:t>
      </w:r>
    </w:p>
    <w:p w:rsidR="00B37DCD" w:rsidRDefault="00B37DCD">
      <w:pPr>
        <w:jc w:val="center"/>
      </w:pPr>
    </w:p>
    <w:p w:rsidR="00B37DCD" w:rsidRDefault="00B37DCD">
      <w:pPr>
        <w:ind w:firstLineChars="250" w:firstLine="800"/>
        <w:rPr>
          <w:rFonts w:eastAsia="仿宋_GB2312" w:cs="仿宋_GB2312"/>
          <w:sz w:val="32"/>
          <w:szCs w:val="32"/>
        </w:rPr>
      </w:pPr>
    </w:p>
    <w:p w:rsidR="00B37DCD" w:rsidRDefault="00EC4EEF">
      <w:pPr>
        <w:spacing w:line="600" w:lineRule="exact"/>
        <w:ind w:firstLineChars="200" w:firstLine="640"/>
        <w:outlineLvl w:val="1"/>
        <w:rPr>
          <w:rFonts w:eastAsia="黑体"/>
          <w:sz w:val="32"/>
          <w:szCs w:val="32"/>
        </w:rPr>
      </w:pPr>
      <w:bookmarkStart w:id="27" w:name="_Toc15377208"/>
      <w:bookmarkStart w:id="28" w:name="_Toc15396606"/>
      <w:r>
        <w:rPr>
          <w:rFonts w:eastAsia="黑体" w:hint="eastAsia"/>
          <w:noProof/>
          <w:sz w:val="32"/>
          <w:szCs w:val="32"/>
        </w:rPr>
        <w:drawing>
          <wp:anchor distT="0" distB="0" distL="114300" distR="114300" simplePos="0" relativeHeight="251659264" behindDoc="0" locked="0" layoutInCell="1" allowOverlap="1">
            <wp:simplePos x="0" y="0"/>
            <wp:positionH relativeFrom="column">
              <wp:posOffset>473075</wp:posOffset>
            </wp:positionH>
            <wp:positionV relativeFrom="paragraph">
              <wp:posOffset>428625</wp:posOffset>
            </wp:positionV>
            <wp:extent cx="4277360" cy="4521200"/>
            <wp:effectExtent l="0" t="0" r="8890" b="12700"/>
            <wp:wrapTopAndBottom/>
            <wp:docPr id="12" name="图片 12" descr="图3_支出决算结构_82.1%与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3_支出决算结构_82.1%与17.9%"/>
                    <pic:cNvPicPr>
                      <a:picLocks noChangeAspect="1"/>
                    </pic:cNvPicPr>
                  </pic:nvPicPr>
                  <pic:blipFill>
                    <a:blip r:embed="rId17"/>
                    <a:stretch>
                      <a:fillRect/>
                    </a:stretch>
                  </pic:blipFill>
                  <pic:spPr>
                    <a:xfrm>
                      <a:off x="0" y="0"/>
                      <a:ext cx="4277360" cy="4521200"/>
                    </a:xfrm>
                    <a:prstGeom prst="rect">
                      <a:avLst/>
                    </a:prstGeom>
                  </pic:spPr>
                </pic:pic>
              </a:graphicData>
            </a:graphic>
          </wp:anchor>
        </w:drawing>
      </w:r>
    </w:p>
    <w:p w:rsidR="00B37DCD" w:rsidRDefault="00B37DCD">
      <w:pPr>
        <w:spacing w:line="600" w:lineRule="exact"/>
        <w:ind w:firstLineChars="200" w:firstLine="640"/>
        <w:outlineLvl w:val="1"/>
        <w:rPr>
          <w:rFonts w:eastAsia="黑体"/>
          <w:sz w:val="32"/>
          <w:szCs w:val="32"/>
        </w:rPr>
      </w:pPr>
    </w:p>
    <w:p w:rsidR="00B37DCD" w:rsidRDefault="00EC4EEF">
      <w:pPr>
        <w:spacing w:line="600" w:lineRule="exact"/>
        <w:ind w:firstLineChars="200" w:firstLine="640"/>
        <w:outlineLvl w:val="1"/>
        <w:rPr>
          <w:rStyle w:val="2Char"/>
          <w:rFonts w:ascii="Times New Roman" w:eastAsia="黑体" w:hAnsi="Times New Roman"/>
          <w:b w:val="0"/>
        </w:rPr>
      </w:pPr>
      <w:r>
        <w:rPr>
          <w:rFonts w:eastAsia="黑体" w:hint="eastAsia"/>
          <w:sz w:val="32"/>
          <w:szCs w:val="32"/>
        </w:rPr>
        <w:lastRenderedPageBreak/>
        <w:t>四、财</w:t>
      </w:r>
      <w:r>
        <w:rPr>
          <w:rStyle w:val="2Char"/>
          <w:rFonts w:ascii="Times New Roman" w:eastAsia="黑体" w:hAnsi="Times New Roman" w:hint="eastAsia"/>
          <w:b w:val="0"/>
        </w:rPr>
        <w:t>政拨款收入支出决算总体情况说明</w:t>
      </w:r>
      <w:bookmarkEnd w:id="27"/>
      <w:bookmarkEnd w:id="28"/>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eastAsia="仿宋_GB2312" w:cs="仿宋_GB2312" w:hint="eastAsia"/>
          <w:sz w:val="32"/>
          <w:szCs w:val="32"/>
        </w:rPr>
        <w:t>1374.73</w:t>
      </w:r>
      <w:r>
        <w:rPr>
          <w:rFonts w:eastAsia="仿宋_GB2312" w:cs="仿宋_GB2312" w:hint="eastAsia"/>
          <w:sz w:val="32"/>
          <w:szCs w:val="32"/>
        </w:rPr>
        <w:t>万元。与上年度相比，财政拨款收入、支出总计各增加</w:t>
      </w:r>
      <w:r>
        <w:rPr>
          <w:rFonts w:eastAsia="仿宋_GB2312" w:cs="仿宋_GB2312" w:hint="eastAsia"/>
          <w:sz w:val="32"/>
          <w:szCs w:val="32"/>
        </w:rPr>
        <w:t>162.13</w:t>
      </w:r>
      <w:r>
        <w:rPr>
          <w:rFonts w:eastAsia="仿宋_GB2312" w:cs="仿宋_GB2312" w:hint="eastAsia"/>
          <w:sz w:val="32"/>
          <w:szCs w:val="32"/>
        </w:rPr>
        <w:t>万元，增长</w:t>
      </w:r>
      <w:r>
        <w:rPr>
          <w:rFonts w:eastAsia="仿宋_GB2312" w:cs="仿宋_GB2312" w:hint="eastAsia"/>
          <w:sz w:val="32"/>
          <w:szCs w:val="32"/>
        </w:rPr>
        <w:t>13.</w:t>
      </w:r>
      <w:r>
        <w:rPr>
          <w:rFonts w:eastAsia="仿宋_GB2312" w:cs="仿宋_GB2312" w:hint="eastAsia"/>
          <w:sz w:val="32"/>
          <w:szCs w:val="32"/>
        </w:rPr>
        <w:t>4</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年一般公共预算财政拨款收入较上年增加</w:t>
      </w:r>
      <w:r>
        <w:rPr>
          <w:rFonts w:eastAsia="仿宋_GB2312" w:cs="仿宋_GB2312" w:hint="eastAsia"/>
          <w:sz w:val="32"/>
          <w:szCs w:val="32"/>
        </w:rPr>
        <w:t>188.90</w:t>
      </w:r>
      <w:r>
        <w:rPr>
          <w:rFonts w:eastAsia="仿宋_GB2312" w:cs="仿宋_GB2312" w:hint="eastAsia"/>
          <w:sz w:val="32"/>
          <w:szCs w:val="32"/>
        </w:rPr>
        <w:t>万元，教育及社会保障等支出相应增长；政府性基金预算财政拨款收入较上年减少</w:t>
      </w:r>
      <w:r>
        <w:rPr>
          <w:rFonts w:eastAsia="仿宋_GB2312" w:cs="仿宋_GB2312" w:hint="eastAsia"/>
          <w:sz w:val="32"/>
          <w:szCs w:val="32"/>
        </w:rPr>
        <w:t>26.79</w:t>
      </w:r>
      <w:r>
        <w:rPr>
          <w:rFonts w:eastAsia="仿宋_GB2312" w:cs="仿宋_GB2312" w:hint="eastAsia"/>
          <w:sz w:val="32"/>
          <w:szCs w:val="32"/>
        </w:rPr>
        <w:t>万元。</w:t>
      </w:r>
    </w:p>
    <w:p w:rsidR="00B37DCD" w:rsidRDefault="00EC4EEF">
      <w:pPr>
        <w:spacing w:line="600" w:lineRule="exact"/>
        <w:ind w:firstLineChars="200" w:firstLine="420"/>
        <w:jc w:val="center"/>
        <w:rPr>
          <w:rFonts w:eastAsia="仿宋_GB2312" w:cs="仿宋_GB2312"/>
          <w:sz w:val="32"/>
          <w:szCs w:val="32"/>
        </w:rPr>
      </w:pPr>
      <w:r>
        <w:t>（图</w:t>
      </w:r>
      <w:r>
        <w:t>4</w:t>
      </w:r>
      <w:r>
        <w:t>：财政拨款收、支决算总计变动情况）</w:t>
      </w:r>
    </w:p>
    <w:p w:rsidR="00B37DCD" w:rsidRDefault="00EC4EEF">
      <w:pPr>
        <w:jc w:val="center"/>
      </w:pPr>
      <w:r>
        <w:rPr>
          <w:noProof/>
        </w:rPr>
        <w:drawing>
          <wp:inline distT="0" distB="0" distL="114300" distR="114300">
            <wp:extent cx="5039995" cy="3192780"/>
            <wp:effectExtent l="0" t="0" r="825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8"/>
                    <a:stretch>
                      <a:fillRect/>
                    </a:stretch>
                  </pic:blipFill>
                  <pic:spPr>
                    <a:xfrm>
                      <a:off x="0" y="0"/>
                      <a:ext cx="5040000" cy="3193403"/>
                    </a:xfrm>
                    <a:prstGeom prst="rect">
                      <a:avLst/>
                    </a:prstGeom>
                  </pic:spPr>
                </pic:pic>
              </a:graphicData>
            </a:graphic>
          </wp:inline>
        </w:drawing>
      </w:r>
    </w:p>
    <w:p w:rsidR="00B37DCD" w:rsidRDefault="00B37DCD">
      <w:pPr>
        <w:spacing w:line="600" w:lineRule="exact"/>
        <w:ind w:firstLine="640"/>
        <w:rPr>
          <w:rFonts w:eastAsia="仿宋_GB2312" w:cs="仿宋_GB2312"/>
          <w:sz w:val="32"/>
          <w:szCs w:val="32"/>
        </w:rPr>
      </w:pPr>
    </w:p>
    <w:p w:rsidR="00B37DCD" w:rsidRDefault="00EC4EEF">
      <w:pPr>
        <w:spacing w:line="600" w:lineRule="exact"/>
        <w:ind w:firstLineChars="200" w:firstLine="640"/>
        <w:outlineLvl w:val="1"/>
        <w:rPr>
          <w:rStyle w:val="2Char"/>
          <w:rFonts w:ascii="Times New Roman" w:eastAsia="黑体" w:hAnsi="Times New Roman"/>
          <w:b w:val="0"/>
        </w:rPr>
      </w:pPr>
      <w:bookmarkStart w:id="29" w:name="_Toc15377209"/>
      <w:bookmarkStart w:id="30" w:name="_Toc1539660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9"/>
      <w:bookmarkEnd w:id="30"/>
    </w:p>
    <w:p w:rsidR="00B37DCD" w:rsidRDefault="00EC4EEF" w:rsidP="006B6E52">
      <w:pPr>
        <w:spacing w:line="600" w:lineRule="exact"/>
        <w:ind w:firstLineChars="200" w:firstLine="640"/>
        <w:outlineLvl w:val="2"/>
        <w:rPr>
          <w:rFonts w:eastAsia="楷体_GB2312" w:cs="楷体_GB2312"/>
          <w:b/>
          <w:sz w:val="32"/>
          <w:szCs w:val="32"/>
        </w:rPr>
      </w:pPr>
      <w:bookmarkStart w:id="31" w:name="_Toc15377210"/>
      <w:r>
        <w:rPr>
          <w:rFonts w:eastAsia="楷体_GB2312" w:cs="楷体_GB2312" w:hint="eastAsia"/>
          <w:b/>
          <w:sz w:val="32"/>
          <w:szCs w:val="32"/>
        </w:rPr>
        <w:t>（一）一般公共预算财政拨款支出决算总体情况</w:t>
      </w:r>
      <w:bookmarkEnd w:id="31"/>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eastAsia="仿宋_GB2312" w:cs="仿宋_GB2312" w:hint="eastAsia"/>
          <w:sz w:val="32"/>
          <w:szCs w:val="32"/>
        </w:rPr>
        <w:t>1360.98</w:t>
      </w:r>
      <w:r>
        <w:rPr>
          <w:rFonts w:eastAsia="仿宋_GB2312" w:cs="仿宋_GB2312" w:hint="eastAsia"/>
          <w:sz w:val="32"/>
          <w:szCs w:val="32"/>
        </w:rPr>
        <w:t>万元，占本年支出合计的</w:t>
      </w:r>
      <w:r>
        <w:rPr>
          <w:rFonts w:eastAsia="仿宋_GB2312" w:cs="仿宋_GB2312" w:hint="eastAsia"/>
          <w:sz w:val="32"/>
          <w:szCs w:val="32"/>
        </w:rPr>
        <w:t>9</w:t>
      </w:r>
      <w:r>
        <w:rPr>
          <w:rFonts w:eastAsia="仿宋_GB2312" w:cs="仿宋_GB2312" w:hint="eastAsia"/>
          <w:sz w:val="32"/>
          <w:szCs w:val="32"/>
        </w:rPr>
        <w:t>9</w:t>
      </w:r>
      <w:r>
        <w:rPr>
          <w:rFonts w:eastAsia="仿宋_GB2312" w:cs="仿宋_GB2312" w:hint="eastAsia"/>
          <w:sz w:val="32"/>
          <w:szCs w:val="32"/>
        </w:rPr>
        <w:t>%</w:t>
      </w:r>
      <w:r>
        <w:rPr>
          <w:rFonts w:eastAsia="仿宋_GB2312" w:cs="仿宋_GB2312" w:hint="eastAsia"/>
          <w:sz w:val="32"/>
          <w:szCs w:val="32"/>
        </w:rPr>
        <w:t>。与上年度相比，一般公共预算财政拨款支出增加</w:t>
      </w:r>
      <w:r>
        <w:rPr>
          <w:rFonts w:eastAsia="仿宋_GB2312" w:cs="仿宋_GB2312" w:hint="eastAsia"/>
          <w:sz w:val="32"/>
          <w:szCs w:val="32"/>
        </w:rPr>
        <w:t>188.90</w:t>
      </w:r>
      <w:r>
        <w:rPr>
          <w:rFonts w:eastAsia="仿宋_GB2312" w:cs="仿宋_GB2312" w:hint="eastAsia"/>
          <w:sz w:val="32"/>
          <w:szCs w:val="32"/>
        </w:rPr>
        <w:t>万元，增长</w:t>
      </w:r>
      <w:r>
        <w:rPr>
          <w:rFonts w:eastAsia="仿宋_GB2312" w:cs="仿宋_GB2312" w:hint="eastAsia"/>
          <w:sz w:val="32"/>
          <w:szCs w:val="32"/>
        </w:rPr>
        <w:t>16.1%</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年教育支出（特殊学校教育、生均公用经费等）及社会保障</w:t>
      </w:r>
      <w:r>
        <w:rPr>
          <w:rFonts w:eastAsia="仿宋_GB2312" w:cs="仿宋_GB2312" w:hint="eastAsia"/>
          <w:sz w:val="32"/>
          <w:szCs w:val="32"/>
        </w:rPr>
        <w:lastRenderedPageBreak/>
        <w:t>和就业支出较上年增加，带动一般公共预算财政拨款支出增长。</w:t>
      </w:r>
    </w:p>
    <w:p w:rsidR="00B37DCD" w:rsidRDefault="00EC4EEF">
      <w:pPr>
        <w:spacing w:line="600" w:lineRule="exact"/>
        <w:ind w:firstLine="640"/>
        <w:jc w:val="center"/>
        <w:rPr>
          <w:rFonts w:eastAsia="仿宋_GB2312" w:cs="仿宋_GB2312"/>
          <w:sz w:val="32"/>
          <w:szCs w:val="32"/>
        </w:rPr>
      </w:pPr>
      <w:r>
        <w:t>（图</w:t>
      </w:r>
      <w:r>
        <w:t>5</w:t>
      </w:r>
      <w:r>
        <w:t>：一般公共预算财政拨款支出决算变动情况）</w:t>
      </w:r>
    </w:p>
    <w:p w:rsidR="00B37DCD" w:rsidRDefault="00EC4EEF">
      <w:pPr>
        <w:jc w:val="center"/>
      </w:pPr>
      <w:r>
        <w:rPr>
          <w:noProof/>
        </w:rPr>
        <w:drawing>
          <wp:inline distT="0" distB="0" distL="114300" distR="114300">
            <wp:extent cx="5039995" cy="3118485"/>
            <wp:effectExtent l="0" t="0" r="825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9"/>
                    <a:stretch>
                      <a:fillRect/>
                    </a:stretch>
                  </pic:blipFill>
                  <pic:spPr>
                    <a:xfrm>
                      <a:off x="0" y="0"/>
                      <a:ext cx="5040000" cy="3118532"/>
                    </a:xfrm>
                    <a:prstGeom prst="rect">
                      <a:avLst/>
                    </a:prstGeom>
                  </pic:spPr>
                </pic:pic>
              </a:graphicData>
            </a:graphic>
          </wp:inline>
        </w:drawing>
      </w:r>
    </w:p>
    <w:p w:rsidR="00B37DCD" w:rsidRDefault="00B37DCD">
      <w:pPr>
        <w:spacing w:line="600" w:lineRule="exact"/>
        <w:ind w:firstLine="640"/>
        <w:rPr>
          <w:rFonts w:eastAsia="仿宋_GB2312" w:cs="仿宋_GB2312"/>
          <w:sz w:val="32"/>
          <w:szCs w:val="32"/>
        </w:rPr>
      </w:pPr>
    </w:p>
    <w:p w:rsidR="00B37DCD" w:rsidRDefault="00EC4EEF" w:rsidP="006B6E52">
      <w:pPr>
        <w:spacing w:line="600" w:lineRule="exact"/>
        <w:ind w:firstLineChars="200" w:firstLine="640"/>
        <w:outlineLvl w:val="2"/>
        <w:rPr>
          <w:rFonts w:eastAsia="楷体_GB2312" w:cs="楷体_GB2312"/>
          <w:b/>
          <w:sz w:val="32"/>
          <w:szCs w:val="32"/>
        </w:rPr>
      </w:pPr>
      <w:bookmarkStart w:id="32" w:name="_Toc15377211"/>
      <w:r>
        <w:rPr>
          <w:rFonts w:eastAsia="楷体_GB2312" w:cs="楷体_GB2312" w:hint="eastAsia"/>
          <w:b/>
          <w:sz w:val="32"/>
          <w:szCs w:val="32"/>
        </w:rPr>
        <w:t>（二）一般公共预算财政拨款支出决算结构情况</w:t>
      </w:r>
      <w:bookmarkEnd w:id="32"/>
    </w:p>
    <w:p w:rsidR="00B37DCD" w:rsidRDefault="00EC4EEF">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eastAsia="仿宋_GB2312" w:cs="仿宋_GB2312" w:hint="eastAsia"/>
          <w:sz w:val="32"/>
          <w:szCs w:val="32"/>
        </w:rPr>
        <w:t>1360</w:t>
      </w:r>
      <w:r>
        <w:rPr>
          <w:rFonts w:eastAsia="仿宋_GB2312" w:cs="仿宋_GB2312" w:hint="eastAsia"/>
          <w:sz w:val="32"/>
          <w:szCs w:val="32"/>
        </w:rPr>
        <w:t>.98</w:t>
      </w:r>
      <w:r>
        <w:rPr>
          <w:rFonts w:eastAsia="仿宋_GB2312" w:cs="仿宋_GB2312" w:hint="eastAsia"/>
          <w:sz w:val="32"/>
          <w:szCs w:val="32"/>
        </w:rPr>
        <w:t>万元，主要用于以下方面：教育支出</w:t>
      </w:r>
      <w:r>
        <w:rPr>
          <w:rFonts w:eastAsia="仿宋_GB2312" w:cs="仿宋_GB2312" w:hint="eastAsia"/>
          <w:sz w:val="32"/>
          <w:szCs w:val="32"/>
        </w:rPr>
        <w:t>1039.37</w:t>
      </w:r>
      <w:r>
        <w:rPr>
          <w:rFonts w:eastAsia="仿宋_GB2312" w:cs="仿宋_GB2312" w:hint="eastAsia"/>
          <w:sz w:val="32"/>
          <w:szCs w:val="32"/>
        </w:rPr>
        <w:t>万元，占</w:t>
      </w:r>
      <w:r>
        <w:rPr>
          <w:rFonts w:eastAsia="仿宋_GB2312" w:cs="仿宋_GB2312" w:hint="eastAsia"/>
          <w:sz w:val="32"/>
          <w:szCs w:val="32"/>
        </w:rPr>
        <w:t>76.</w:t>
      </w:r>
      <w:r>
        <w:rPr>
          <w:rFonts w:eastAsia="仿宋_GB2312" w:cs="仿宋_GB2312" w:hint="eastAsia"/>
          <w:sz w:val="32"/>
          <w:szCs w:val="32"/>
        </w:rPr>
        <w:t>4</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hint="eastAsia"/>
          <w:sz w:val="32"/>
          <w:szCs w:val="32"/>
        </w:rPr>
        <w:t>183.50</w:t>
      </w:r>
      <w:r>
        <w:rPr>
          <w:rFonts w:eastAsia="仿宋_GB2312" w:cs="仿宋_GB2312" w:hint="eastAsia"/>
          <w:sz w:val="32"/>
          <w:szCs w:val="32"/>
        </w:rPr>
        <w:t>万元，占</w:t>
      </w:r>
      <w:r>
        <w:rPr>
          <w:rFonts w:eastAsia="仿宋_GB2312" w:cs="仿宋_GB2312" w:hint="eastAsia"/>
          <w:sz w:val="32"/>
          <w:szCs w:val="32"/>
        </w:rPr>
        <w:t>13.</w:t>
      </w:r>
      <w:r>
        <w:rPr>
          <w:rFonts w:eastAsia="仿宋_GB2312" w:cs="仿宋_GB2312" w:hint="eastAsia"/>
          <w:sz w:val="32"/>
          <w:szCs w:val="32"/>
        </w:rPr>
        <w:t>5</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58.04</w:t>
      </w:r>
      <w:r>
        <w:rPr>
          <w:rFonts w:eastAsia="仿宋_GB2312" w:cs="仿宋_GB2312" w:hint="eastAsia"/>
          <w:sz w:val="32"/>
          <w:szCs w:val="32"/>
        </w:rPr>
        <w:t>万元，占</w:t>
      </w:r>
      <w:r>
        <w:rPr>
          <w:rFonts w:eastAsia="仿宋_GB2312" w:cs="仿宋_GB2312" w:hint="eastAsia"/>
          <w:sz w:val="32"/>
          <w:szCs w:val="32"/>
        </w:rPr>
        <w:t>4.</w:t>
      </w:r>
      <w:r>
        <w:rPr>
          <w:rFonts w:eastAsia="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80.07</w:t>
      </w:r>
      <w:r>
        <w:rPr>
          <w:rFonts w:eastAsia="仿宋_GB2312" w:cs="仿宋_GB2312" w:hint="eastAsia"/>
          <w:sz w:val="32"/>
          <w:szCs w:val="32"/>
        </w:rPr>
        <w:t>万元，占</w:t>
      </w:r>
      <w:r>
        <w:rPr>
          <w:rFonts w:eastAsia="仿宋_GB2312" w:cs="仿宋_GB2312" w:hint="eastAsia"/>
          <w:sz w:val="32"/>
          <w:szCs w:val="32"/>
        </w:rPr>
        <w:t>5.</w:t>
      </w:r>
      <w:r>
        <w:rPr>
          <w:rFonts w:eastAsia="仿宋_GB2312" w:cs="仿宋_GB2312" w:hint="eastAsia"/>
          <w:sz w:val="32"/>
          <w:szCs w:val="32"/>
        </w:rPr>
        <w:t>9</w:t>
      </w:r>
      <w:r>
        <w:rPr>
          <w:rFonts w:eastAsia="仿宋_GB2312" w:cs="仿宋_GB2312" w:hint="eastAsia"/>
          <w:sz w:val="32"/>
          <w:szCs w:val="32"/>
        </w:rPr>
        <w:t>%</w:t>
      </w:r>
      <w:r>
        <w:rPr>
          <w:rFonts w:eastAsia="仿宋_GB2312" w:cs="仿宋_GB2312" w:hint="eastAsia"/>
          <w:sz w:val="32"/>
          <w:szCs w:val="32"/>
        </w:rPr>
        <w:t>。</w:t>
      </w:r>
    </w:p>
    <w:p w:rsidR="00B37DCD" w:rsidRDefault="00EC4EEF">
      <w:pPr>
        <w:spacing w:line="600" w:lineRule="exact"/>
        <w:ind w:firstLine="640"/>
        <w:jc w:val="center"/>
        <w:rPr>
          <w:rFonts w:eastAsia="仿宋_GB2312" w:cs="仿宋_GB2312"/>
          <w:sz w:val="32"/>
          <w:szCs w:val="32"/>
        </w:rPr>
      </w:pPr>
      <w:r>
        <w:t>（图</w:t>
      </w:r>
      <w:r>
        <w:t>6</w:t>
      </w:r>
      <w:r>
        <w:t>：一般公共预算财政拨款支出决算结构）</w:t>
      </w:r>
    </w:p>
    <w:p w:rsidR="00B37DCD" w:rsidRDefault="00B37DCD">
      <w:pPr>
        <w:jc w:val="center"/>
      </w:pPr>
    </w:p>
    <w:p w:rsidR="00B37DCD" w:rsidRDefault="00B37DCD">
      <w:pPr>
        <w:pStyle w:val="a0"/>
      </w:pPr>
    </w:p>
    <w:p w:rsidR="00B37DCD" w:rsidRDefault="00B37DCD" w:rsidP="006B6E52">
      <w:pPr>
        <w:pStyle w:val="20"/>
        <w:ind w:left="420"/>
      </w:pPr>
    </w:p>
    <w:p w:rsidR="00B37DCD" w:rsidRDefault="00B37DCD"/>
    <w:p w:rsidR="00B37DCD" w:rsidRDefault="00B37DCD">
      <w:pPr>
        <w:pStyle w:val="a0"/>
      </w:pPr>
    </w:p>
    <w:p w:rsidR="00B37DCD" w:rsidRDefault="00B37DCD" w:rsidP="006B6E52">
      <w:pPr>
        <w:pStyle w:val="20"/>
        <w:ind w:left="420"/>
      </w:pPr>
    </w:p>
    <w:p w:rsidR="00B37DCD" w:rsidRDefault="00B37DCD"/>
    <w:p w:rsidR="00B37DCD" w:rsidRDefault="00B37DCD">
      <w:pPr>
        <w:pStyle w:val="a0"/>
      </w:pPr>
    </w:p>
    <w:p w:rsidR="00B37DCD" w:rsidRDefault="00B37DCD">
      <w:pPr>
        <w:pStyle w:val="20"/>
        <w:ind w:leftChars="0" w:left="0" w:firstLineChars="0" w:firstLine="0"/>
      </w:pPr>
    </w:p>
    <w:p w:rsidR="00B37DCD" w:rsidRDefault="00EC4EEF">
      <w:r>
        <w:rPr>
          <w:rFonts w:hint="eastAsia"/>
          <w:noProof/>
        </w:rPr>
        <w:drawing>
          <wp:inline distT="0" distB="0" distL="114300" distR="114300">
            <wp:extent cx="5193665" cy="5394960"/>
            <wp:effectExtent l="0" t="0" r="6985" b="15240"/>
            <wp:docPr id="13" name="图片 13" descr="图6_一般公共预算财政拨款支出决算结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6_一般公共预算财政拨款支出决算结构"/>
                    <pic:cNvPicPr>
                      <a:picLocks noChangeAspect="1"/>
                    </pic:cNvPicPr>
                  </pic:nvPicPr>
                  <pic:blipFill>
                    <a:blip r:embed="rId20"/>
                    <a:stretch>
                      <a:fillRect/>
                    </a:stretch>
                  </pic:blipFill>
                  <pic:spPr>
                    <a:xfrm>
                      <a:off x="0" y="0"/>
                      <a:ext cx="5193665" cy="5394960"/>
                    </a:xfrm>
                    <a:prstGeom prst="rect">
                      <a:avLst/>
                    </a:prstGeom>
                  </pic:spPr>
                </pic:pic>
              </a:graphicData>
            </a:graphic>
          </wp:inline>
        </w:drawing>
      </w:r>
    </w:p>
    <w:p w:rsidR="00B37DCD" w:rsidRDefault="00B37DCD">
      <w:pPr>
        <w:pStyle w:val="a0"/>
      </w:pPr>
    </w:p>
    <w:p w:rsidR="00B37DCD" w:rsidRDefault="00B37DCD">
      <w:pPr>
        <w:spacing w:line="600" w:lineRule="exact"/>
        <w:rPr>
          <w:rFonts w:eastAsia="仿宋_GB2312" w:cs="仿宋_GB2312"/>
          <w:sz w:val="32"/>
          <w:szCs w:val="32"/>
        </w:rPr>
      </w:pPr>
    </w:p>
    <w:p w:rsidR="00B37DCD" w:rsidRDefault="00EC4EEF" w:rsidP="006B6E52">
      <w:pPr>
        <w:spacing w:line="600" w:lineRule="exact"/>
        <w:ind w:firstLineChars="200" w:firstLine="640"/>
        <w:outlineLvl w:val="2"/>
        <w:rPr>
          <w:rFonts w:eastAsia="楷体_GB2312" w:cs="楷体_GB2312"/>
          <w:b/>
          <w:sz w:val="32"/>
          <w:szCs w:val="32"/>
        </w:rPr>
      </w:pPr>
      <w:bookmarkStart w:id="33" w:name="_Toc15377212"/>
      <w:r>
        <w:rPr>
          <w:rFonts w:eastAsia="楷体_GB2312" w:cs="楷体_GB2312" w:hint="eastAsia"/>
          <w:b/>
          <w:sz w:val="32"/>
          <w:szCs w:val="32"/>
        </w:rPr>
        <w:t>（三）一般公共预算财政拨款支出决算具体情况</w:t>
      </w:r>
      <w:bookmarkEnd w:id="33"/>
    </w:p>
    <w:p w:rsidR="00B37DCD" w:rsidRDefault="00EC4EEF">
      <w:pPr>
        <w:spacing w:line="600" w:lineRule="exact"/>
        <w:ind w:firstLine="640"/>
        <w:rPr>
          <w:rFonts w:eastAsia="仿宋_GB2312" w:cs="仿宋_GB2312"/>
          <w:sz w:val="32"/>
          <w:szCs w:val="32"/>
        </w:rPr>
      </w:pPr>
      <w:bookmarkStart w:id="34" w:name="_Toc15378460"/>
      <w:bookmarkStart w:id="35" w:name="_Toc15377213"/>
      <w:bookmarkStart w:id="36" w:name="_Toc15377444"/>
      <w:r>
        <w:rPr>
          <w:rFonts w:eastAsia="仿宋_GB2312" w:cs="仿宋_GB2312" w:hint="eastAsia"/>
          <w:sz w:val="32"/>
          <w:szCs w:val="32"/>
        </w:rPr>
        <w:t>2025</w:t>
      </w:r>
      <w:r>
        <w:rPr>
          <w:rFonts w:eastAsia="仿宋_GB2312" w:cs="仿宋_GB2312" w:hint="eastAsia"/>
          <w:sz w:val="32"/>
          <w:szCs w:val="32"/>
        </w:rPr>
        <w:t>年度一般公共预算支出决算数为</w:t>
      </w:r>
      <w:r>
        <w:rPr>
          <w:rFonts w:eastAsia="仿宋_GB2312" w:cs="仿宋_GB2312" w:hint="eastAsia"/>
          <w:sz w:val="32"/>
          <w:szCs w:val="32"/>
        </w:rPr>
        <w:t>1360.98</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bookmarkEnd w:id="34"/>
      <w:bookmarkEnd w:id="35"/>
      <w:bookmarkEnd w:id="36"/>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教育支出（类）特殊教育（款）特殊学校教育（项）：支出决算为</w:t>
      </w:r>
      <w:r>
        <w:rPr>
          <w:rFonts w:eastAsia="仿宋_GB2312" w:cs="仿宋_GB2312" w:hint="eastAsia"/>
          <w:sz w:val="32"/>
          <w:szCs w:val="32"/>
        </w:rPr>
        <w:t>1017.78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w:t>
      </w:r>
      <w:r>
        <w:rPr>
          <w:rFonts w:eastAsia="仿宋_GB2312" w:cs="仿宋_GB2312" w:hint="eastAsia"/>
          <w:sz w:val="32"/>
          <w:szCs w:val="32"/>
        </w:rPr>
        <w:lastRenderedPageBreak/>
        <w:t>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教育支出（类）特殊教育（款）其他特殊教育支出（项）：支出决算为</w:t>
      </w:r>
      <w:r>
        <w:rPr>
          <w:rFonts w:eastAsia="仿宋_GB2312" w:cs="仿宋_GB2312" w:hint="eastAsia"/>
          <w:sz w:val="32"/>
          <w:szCs w:val="32"/>
        </w:rPr>
        <w:t>1.32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教育支出（类）教育费附加安排的支出（款）其他教育费附加安排的支出（项）：支出决算为</w:t>
      </w:r>
      <w:r>
        <w:rPr>
          <w:rFonts w:eastAsia="仿宋_GB2312" w:cs="仿宋_GB2312" w:hint="eastAsia"/>
          <w:sz w:val="32"/>
          <w:szCs w:val="32"/>
        </w:rPr>
        <w:t>20.27</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社会保障和就业支出（类）人力资源和社会保障管理事务（款）其他人力资源和社会保障管理事务支出（项）：支出决算为</w:t>
      </w:r>
      <w:r>
        <w:rPr>
          <w:rFonts w:eastAsia="仿宋_GB2312" w:cs="仿宋_GB2312" w:hint="eastAsia"/>
          <w:sz w:val="32"/>
          <w:szCs w:val="32"/>
        </w:rPr>
        <w:t>2.88</w:t>
      </w:r>
      <w:r>
        <w:rPr>
          <w:rFonts w:eastAsia="仿宋_GB2312" w:cs="仿宋_GB2312" w:hint="eastAsia"/>
          <w:sz w:val="32"/>
          <w:szCs w:val="32"/>
        </w:rPr>
        <w:t>万元，完</w:t>
      </w:r>
      <w:r>
        <w:rPr>
          <w:rFonts w:eastAsia="仿宋_GB2312" w:cs="仿宋_GB2312" w:hint="eastAsia"/>
          <w:sz w:val="32"/>
          <w:szCs w:val="32"/>
        </w:rPr>
        <w:t>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社会保障和就业支出（类）行政事业单位养老支出（款）事业单位离退休（项）：支出决算为</w:t>
      </w:r>
      <w:r>
        <w:rPr>
          <w:rFonts w:eastAsia="仿宋_GB2312" w:cs="仿宋_GB2312" w:hint="eastAsia"/>
          <w:sz w:val="32"/>
          <w:szCs w:val="32"/>
        </w:rPr>
        <w:t>59.68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社会保障和就业支出（类）行政事业单位养老支出（款）机关事业单位基本养老保险缴费支出（项）：支出决算为</w:t>
      </w:r>
      <w:r>
        <w:rPr>
          <w:rFonts w:eastAsia="仿宋_GB2312" w:cs="仿宋_GB2312" w:hint="eastAsia"/>
          <w:sz w:val="32"/>
          <w:szCs w:val="32"/>
        </w:rPr>
        <w:t>109.28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社会保障和就业支出（类）行政事业单位养老支出（款）机关事业单位职业年金缴费支出（项）：支出决算为</w:t>
      </w:r>
      <w:r>
        <w:rPr>
          <w:rFonts w:eastAsia="仿宋_GB2312" w:cs="仿宋_GB2312" w:hint="eastAsia"/>
          <w:sz w:val="32"/>
          <w:szCs w:val="32"/>
        </w:rPr>
        <w:t>11.66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8.</w:t>
      </w:r>
      <w:r>
        <w:rPr>
          <w:rFonts w:eastAsia="仿宋_GB2312" w:cs="仿宋_GB2312" w:hint="eastAsia"/>
          <w:sz w:val="32"/>
          <w:szCs w:val="32"/>
        </w:rPr>
        <w:t>卫生健康支</w:t>
      </w:r>
      <w:r>
        <w:rPr>
          <w:rFonts w:eastAsia="仿宋_GB2312" w:cs="仿宋_GB2312" w:hint="eastAsia"/>
          <w:sz w:val="32"/>
          <w:szCs w:val="32"/>
        </w:rPr>
        <w:t>出（类）行政事业单位医疗（款）事业单位医疗（项）：支出决算为</w:t>
      </w:r>
      <w:r>
        <w:rPr>
          <w:rFonts w:eastAsia="仿宋_GB2312" w:cs="仿宋_GB2312" w:hint="eastAsia"/>
          <w:sz w:val="32"/>
          <w:szCs w:val="32"/>
        </w:rPr>
        <w:t>52.64</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lastRenderedPageBreak/>
        <w:t>9.</w:t>
      </w:r>
      <w:r>
        <w:rPr>
          <w:rFonts w:eastAsia="仿宋_GB2312" w:cs="仿宋_GB2312" w:hint="eastAsia"/>
          <w:sz w:val="32"/>
          <w:szCs w:val="32"/>
        </w:rPr>
        <w:t>卫生健康支出（类）行政事业单位医疗（款）公务员医疗补助（项）：支出决算为</w:t>
      </w:r>
      <w:r>
        <w:rPr>
          <w:rFonts w:eastAsia="仿宋_GB2312" w:cs="仿宋_GB2312" w:hint="eastAsia"/>
          <w:sz w:val="32"/>
          <w:szCs w:val="32"/>
        </w:rPr>
        <w:t>5.40</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住房保障支出（类）住房改革支出（款）住房公积金（项）：支出决算为</w:t>
      </w:r>
      <w:r>
        <w:rPr>
          <w:rFonts w:eastAsia="仿宋_GB2312" w:cs="仿宋_GB2312" w:hint="eastAsia"/>
          <w:sz w:val="32"/>
          <w:szCs w:val="32"/>
        </w:rPr>
        <w:t>80.07</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，决算数与预算数持平。</w:t>
      </w:r>
    </w:p>
    <w:p w:rsidR="00B37DCD" w:rsidRDefault="00EC4EEF">
      <w:pPr>
        <w:tabs>
          <w:tab w:val="right" w:pos="8306"/>
        </w:tabs>
        <w:spacing w:line="600" w:lineRule="exact"/>
        <w:ind w:firstLine="640"/>
        <w:outlineLvl w:val="1"/>
        <w:rPr>
          <w:rStyle w:val="2Char"/>
          <w:rFonts w:ascii="Times New Roman" w:hAnsi="Times New Roman"/>
        </w:rPr>
      </w:pPr>
      <w:bookmarkStart w:id="37" w:name="_Toc15396608"/>
      <w:bookmarkStart w:id="38" w:name="_Toc15377214"/>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37"/>
      <w:bookmarkEnd w:id="38"/>
      <w:r>
        <w:rPr>
          <w:rStyle w:val="2Char"/>
          <w:rFonts w:ascii="Times New Roman" w:eastAsia="黑体" w:hAnsi="Times New Roman"/>
          <w:b w:val="0"/>
        </w:rPr>
        <w:tab/>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1129.23</w:t>
      </w:r>
      <w:r>
        <w:rPr>
          <w:rFonts w:eastAsia="仿宋_GB2312" w:cs="仿宋_GB2312" w:hint="eastAsia"/>
          <w:sz w:val="32"/>
          <w:szCs w:val="32"/>
        </w:rPr>
        <w:t>万元，其中：</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1067.08</w:t>
      </w:r>
      <w:r>
        <w:rPr>
          <w:rFonts w:eastAsia="仿宋_GB2312" w:cs="仿宋_GB2312" w:hint="eastAsia"/>
          <w:sz w:val="32"/>
          <w:szCs w:val="32"/>
        </w:rPr>
        <w:t>万</w:t>
      </w:r>
      <w:r>
        <w:rPr>
          <w:rFonts w:eastAsia="仿宋_GB2312" w:cs="仿宋_GB2312" w:hint="eastAsia"/>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62.15</w:t>
      </w:r>
      <w:r>
        <w:rPr>
          <w:rFonts w:eastAsia="仿宋_GB2312" w:cs="仿宋_GB2312" w:hint="eastAsia"/>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w:t>
      </w:r>
      <w:r>
        <w:rPr>
          <w:rFonts w:eastAsia="仿宋_GB2312" w:cs="仿宋_GB2312" w:hint="eastAsia"/>
          <w:sz w:val="32"/>
          <w:szCs w:val="32"/>
        </w:rPr>
        <w:t>、其他商品和服务支出、办公设备购置、专用设备购置、信息网络及软件购置更新、其他资本性支出等。</w:t>
      </w:r>
    </w:p>
    <w:p w:rsidR="00B37DCD" w:rsidRDefault="00EC4EEF">
      <w:pPr>
        <w:spacing w:line="600" w:lineRule="exact"/>
        <w:ind w:firstLine="640"/>
        <w:outlineLvl w:val="1"/>
        <w:rPr>
          <w:rStyle w:val="2Char"/>
          <w:rFonts w:ascii="Times New Roman" w:eastAsia="黑体" w:hAnsi="Times New Roman"/>
          <w:b w:val="0"/>
        </w:rPr>
      </w:pPr>
      <w:bookmarkStart w:id="39" w:name="_Toc15396609"/>
      <w:bookmarkStart w:id="40" w:name="_Toc15377215"/>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39"/>
      <w:bookmarkEnd w:id="40"/>
    </w:p>
    <w:p w:rsidR="00B37DCD" w:rsidRDefault="00EC4EEF" w:rsidP="006B6E52">
      <w:pPr>
        <w:spacing w:line="600" w:lineRule="exact"/>
        <w:ind w:firstLineChars="200" w:firstLine="640"/>
        <w:outlineLvl w:val="2"/>
        <w:rPr>
          <w:rFonts w:eastAsia="楷体_GB2312" w:cs="楷体_GB2312"/>
          <w:b/>
          <w:sz w:val="32"/>
          <w:szCs w:val="32"/>
        </w:rPr>
      </w:pPr>
      <w:bookmarkStart w:id="41" w:name="_Toc15377216"/>
      <w:r>
        <w:rPr>
          <w:rFonts w:eastAsia="楷体_GB2312" w:cs="楷体_GB2312" w:hint="eastAsia"/>
          <w:b/>
          <w:sz w:val="32"/>
          <w:szCs w:val="32"/>
        </w:rPr>
        <w:t>（一）财政拨款“三公”经费支出决算总体情况说明</w:t>
      </w:r>
      <w:bookmarkEnd w:id="41"/>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lastRenderedPageBreak/>
        <w:t>2025</w:t>
      </w:r>
      <w:r>
        <w:rPr>
          <w:rFonts w:eastAsia="仿宋_GB2312" w:cs="仿宋_GB2312" w:hint="eastAsia"/>
          <w:sz w:val="32"/>
          <w:szCs w:val="32"/>
        </w:rPr>
        <w:t>年度财政拨款“三公”经费支出决算为</w:t>
      </w:r>
      <w:r>
        <w:rPr>
          <w:rFonts w:eastAsia="仿宋_GB2312" w:cs="仿宋_GB2312" w:hint="eastAsia"/>
          <w:sz w:val="32"/>
          <w:szCs w:val="32"/>
        </w:rPr>
        <w:t>0.35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，较上年度减少</w:t>
      </w:r>
      <w:r>
        <w:rPr>
          <w:rFonts w:eastAsia="仿宋_GB2312" w:cs="仿宋_GB2312" w:hint="eastAsia"/>
          <w:sz w:val="32"/>
          <w:szCs w:val="32"/>
        </w:rPr>
        <w:t>0.48</w:t>
      </w:r>
      <w:r>
        <w:rPr>
          <w:rFonts w:eastAsia="仿宋_GB2312" w:cs="仿宋_GB2312" w:hint="eastAsia"/>
          <w:sz w:val="32"/>
          <w:szCs w:val="32"/>
        </w:rPr>
        <w:t>万元，下降</w:t>
      </w:r>
      <w:r>
        <w:rPr>
          <w:rFonts w:eastAsia="仿宋_GB2312" w:cs="仿宋_GB2312" w:hint="eastAsia"/>
          <w:sz w:val="32"/>
          <w:szCs w:val="32"/>
        </w:rPr>
        <w:t>57.8%</w:t>
      </w:r>
      <w:r>
        <w:rPr>
          <w:rFonts w:eastAsia="仿宋_GB2312" w:cs="仿宋_GB2312" w:hint="eastAsia"/>
          <w:sz w:val="32"/>
          <w:szCs w:val="32"/>
        </w:rPr>
        <w:t>。决算数与预算数持平，主要是我校严格落实“三公”经费管理要求，从严控制公务用车运行维护费支出。</w:t>
      </w:r>
    </w:p>
    <w:p w:rsidR="00B37DCD" w:rsidRDefault="00EC4EEF" w:rsidP="006B6E52">
      <w:pPr>
        <w:spacing w:line="600" w:lineRule="exact"/>
        <w:ind w:firstLineChars="200" w:firstLine="640"/>
        <w:outlineLvl w:val="2"/>
        <w:rPr>
          <w:rFonts w:eastAsia="楷体_GB2312" w:cs="楷体_GB2312"/>
          <w:b/>
          <w:sz w:val="32"/>
          <w:szCs w:val="32"/>
        </w:rPr>
      </w:pPr>
      <w:bookmarkStart w:id="42" w:name="_Toc15377217"/>
      <w:r>
        <w:rPr>
          <w:rFonts w:eastAsia="楷体_GB2312" w:cs="楷体_GB2312" w:hint="eastAsia"/>
          <w:b/>
          <w:sz w:val="32"/>
          <w:szCs w:val="32"/>
        </w:rPr>
        <w:t>（二）财政拨款“三公”经费支出决算具体情况说明</w:t>
      </w:r>
      <w:bookmarkEnd w:id="42"/>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年度财政拨款“三公”经费支出决算中，因公出国（境）费支出决算</w:t>
      </w:r>
      <w:r>
        <w:rPr>
          <w:rFonts w:eastAsia="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；公务用车购置及运行维护费支出决算</w:t>
      </w:r>
      <w:r>
        <w:rPr>
          <w:rFonts w:eastAsia="仿宋_GB2312" w:cs="仿宋_GB2312" w:hint="eastAsia"/>
          <w:sz w:val="32"/>
          <w:szCs w:val="32"/>
        </w:rPr>
        <w:t>0.35</w:t>
      </w:r>
      <w:r>
        <w:rPr>
          <w:rFonts w:eastAsia="仿宋_GB2312" w:cs="仿宋_GB2312" w:hint="eastAsia"/>
          <w:sz w:val="32"/>
          <w:szCs w:val="32"/>
        </w:rPr>
        <w:t>万元，占</w:t>
      </w:r>
      <w:r>
        <w:rPr>
          <w:rFonts w:eastAsia="仿宋_GB2312" w:cs="仿宋_GB2312" w:hint="eastAsia"/>
          <w:sz w:val="32"/>
          <w:szCs w:val="32"/>
        </w:rPr>
        <w:t>100%</w:t>
      </w:r>
      <w:r>
        <w:rPr>
          <w:rFonts w:eastAsia="仿宋_GB2312" w:cs="仿宋_GB2312" w:hint="eastAsia"/>
          <w:sz w:val="32"/>
          <w:szCs w:val="32"/>
        </w:rPr>
        <w:t>；公务接待费支出决算</w:t>
      </w:r>
      <w:r>
        <w:rPr>
          <w:rFonts w:eastAsia="仿宋_GB2312" w:cs="仿宋_GB2312" w:hint="eastAsia"/>
          <w:sz w:val="32"/>
          <w:szCs w:val="32"/>
        </w:rPr>
        <w:t>0</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hint="eastAsia"/>
          <w:sz w:val="32"/>
          <w:szCs w:val="32"/>
        </w:rPr>
        <w:t>。具体情况如下：</w:t>
      </w:r>
    </w:p>
    <w:p w:rsidR="00B37DCD" w:rsidRDefault="00EC4EEF">
      <w:pPr>
        <w:spacing w:line="600" w:lineRule="exact"/>
        <w:ind w:firstLine="640"/>
        <w:jc w:val="center"/>
        <w:rPr>
          <w:rFonts w:eastAsia="仿宋_GB2312" w:cs="仿宋_GB2312"/>
          <w:sz w:val="32"/>
          <w:szCs w:val="32"/>
        </w:rPr>
      </w:pPr>
      <w:r>
        <w:t>（图</w:t>
      </w:r>
      <w:r>
        <w:t>7</w:t>
      </w:r>
      <w:r>
        <w:t>：财政拨款</w:t>
      </w:r>
      <w:r>
        <w:t>“</w:t>
      </w:r>
      <w:r>
        <w:t>三公</w:t>
      </w:r>
      <w:r>
        <w:t>”</w:t>
      </w:r>
      <w:r>
        <w:t>经费支出结构）</w:t>
      </w:r>
    </w:p>
    <w:p w:rsidR="00B37DCD" w:rsidRDefault="00EC4EEF">
      <w:pPr>
        <w:jc w:val="center"/>
      </w:pPr>
      <w:r>
        <w:rPr>
          <w:noProof/>
        </w:rPr>
        <w:drawing>
          <wp:inline distT="0" distB="0" distL="114300" distR="114300">
            <wp:extent cx="4139565" cy="4375785"/>
            <wp:effectExtent l="0" t="0" r="1333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1"/>
                    <a:stretch>
                      <a:fillRect/>
                    </a:stretch>
                  </pic:blipFill>
                  <pic:spPr>
                    <a:xfrm>
                      <a:off x="0" y="0"/>
                      <a:ext cx="4140000" cy="4376150"/>
                    </a:xfrm>
                    <a:prstGeom prst="rect">
                      <a:avLst/>
                    </a:prstGeom>
                  </pic:spPr>
                </pic:pic>
              </a:graphicData>
            </a:graphic>
          </wp:inline>
        </w:drawing>
      </w:r>
    </w:p>
    <w:p w:rsidR="00B37DCD" w:rsidRDefault="00EC4EEF">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w:t>
      </w:r>
      <w:r>
        <w:rPr>
          <w:rFonts w:eastAsia="仿宋_GB2312" w:cs="仿宋_GB2312" w:hint="eastAsia"/>
          <w:sz w:val="32"/>
          <w:szCs w:val="32"/>
        </w:rPr>
        <w:lastRenderedPageBreak/>
        <w:t>年安排因公出国（境）团组</w:t>
      </w:r>
      <w:r>
        <w:rPr>
          <w:rFonts w:eastAsia="仿宋_GB2312" w:cs="仿宋_GB2312" w:hint="eastAsia"/>
          <w:sz w:val="32"/>
          <w:szCs w:val="32"/>
        </w:rPr>
        <w:t>0</w:t>
      </w:r>
      <w:r>
        <w:rPr>
          <w:rFonts w:eastAsia="仿宋_GB2312" w:cs="仿宋_GB2312" w:hint="eastAsia"/>
          <w:sz w:val="32"/>
          <w:szCs w:val="32"/>
        </w:rPr>
        <w:t>次，出国（境）</w:t>
      </w:r>
      <w:r>
        <w:rPr>
          <w:rFonts w:eastAsia="仿宋_GB2312" w:cs="仿宋_GB2312" w:hint="eastAsia"/>
          <w:sz w:val="32"/>
          <w:szCs w:val="32"/>
        </w:rPr>
        <w:t>0</w:t>
      </w:r>
      <w:r>
        <w:rPr>
          <w:rFonts w:eastAsia="仿宋_GB2312" w:cs="仿宋_GB2312" w:hint="eastAsia"/>
          <w:sz w:val="32"/>
          <w:szCs w:val="32"/>
        </w:rPr>
        <w:t>人。因公出国（境）支出决算与</w:t>
      </w:r>
      <w:r>
        <w:rPr>
          <w:rFonts w:eastAsia="仿宋_GB2312" w:cs="仿宋_GB2312" w:hint="eastAsia"/>
          <w:sz w:val="32"/>
          <w:szCs w:val="32"/>
        </w:rPr>
        <w:t>2024</w:t>
      </w:r>
      <w:r>
        <w:rPr>
          <w:rFonts w:eastAsia="仿宋_GB2312" w:cs="仿宋_GB2312" w:hint="eastAsia"/>
          <w:sz w:val="32"/>
          <w:szCs w:val="32"/>
        </w:rPr>
        <w:t>年度持平。开支内容包括：未安排，不涉及。</w:t>
      </w:r>
    </w:p>
    <w:p w:rsidR="00B37DCD" w:rsidRDefault="00EC4EEF">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eastAsia="仿宋_GB2312" w:cs="仿宋_GB2312" w:hint="eastAsia"/>
          <w:b/>
          <w:bCs/>
          <w:sz w:val="32"/>
          <w:szCs w:val="32"/>
        </w:rPr>
        <w:t>0.35</w:t>
      </w:r>
      <w:r>
        <w:rPr>
          <w:rFonts w:eastAsia="仿宋_GB2312" w:cs="仿宋_GB2312" w:hint="eastAsia"/>
          <w:b/>
          <w:bCs/>
          <w:sz w:val="32"/>
          <w:szCs w:val="32"/>
        </w:rPr>
        <w:t>万元，完成预算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2024</w:t>
      </w:r>
      <w:r>
        <w:rPr>
          <w:rFonts w:eastAsia="仿宋_GB2312" w:cs="仿宋_GB2312" w:hint="eastAsia"/>
          <w:sz w:val="32"/>
          <w:szCs w:val="32"/>
        </w:rPr>
        <w:t>年度减少</w:t>
      </w:r>
      <w:r>
        <w:rPr>
          <w:rFonts w:eastAsia="仿宋_GB2312" w:cs="仿宋_GB2312" w:hint="eastAsia"/>
          <w:sz w:val="32"/>
          <w:szCs w:val="32"/>
        </w:rPr>
        <w:t>0.48</w:t>
      </w:r>
      <w:r>
        <w:rPr>
          <w:rFonts w:eastAsia="仿宋_GB2312" w:cs="仿宋_GB2312" w:hint="eastAsia"/>
          <w:sz w:val="32"/>
          <w:szCs w:val="32"/>
        </w:rPr>
        <w:t>万元，下降</w:t>
      </w:r>
      <w:r>
        <w:rPr>
          <w:rFonts w:eastAsia="仿宋_GB2312" w:cs="仿宋_GB2312" w:hint="eastAsia"/>
          <w:sz w:val="32"/>
          <w:szCs w:val="32"/>
        </w:rPr>
        <w:t>57.8%</w:t>
      </w:r>
      <w:r>
        <w:rPr>
          <w:rFonts w:eastAsia="仿宋_GB2312" w:cs="仿宋_GB2312" w:hint="eastAsia"/>
          <w:sz w:val="32"/>
          <w:szCs w:val="32"/>
        </w:rPr>
        <w:t>。主要原因是：</w:t>
      </w:r>
      <w:r>
        <w:rPr>
          <w:rFonts w:eastAsia="仿宋_GB2312" w:cs="仿宋_GB2312" w:hint="eastAsia"/>
          <w:sz w:val="32"/>
          <w:szCs w:val="32"/>
        </w:rPr>
        <w:t>2025</w:t>
      </w:r>
      <w:r>
        <w:rPr>
          <w:rFonts w:eastAsia="仿宋_GB2312" w:cs="仿宋_GB2312" w:hint="eastAsia"/>
          <w:sz w:val="32"/>
          <w:szCs w:val="32"/>
        </w:rPr>
        <w:t>年我校在保障送教上门、学生就医、校际交流等必要公务出行的前提下，加强公务用车使用管理和合理调度，燃料费、维修费、过路过桥费、保险费等支出较上年减少。</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1</w:t>
      </w:r>
      <w:r>
        <w:rPr>
          <w:rFonts w:eastAsia="仿宋_GB2312" w:cs="仿宋_GB2312" w:hint="eastAsia"/>
          <w:sz w:val="32"/>
          <w:szCs w:val="32"/>
        </w:rPr>
        <w:t>辆，其中：轿车</w:t>
      </w:r>
      <w:r>
        <w:rPr>
          <w:rFonts w:eastAsia="仿宋_GB2312" w:cs="仿宋_GB2312" w:hint="eastAsia"/>
          <w:sz w:val="32"/>
          <w:szCs w:val="32"/>
        </w:rPr>
        <w:t>1</w:t>
      </w:r>
      <w:r>
        <w:rPr>
          <w:rFonts w:eastAsia="仿宋_GB2312" w:cs="仿宋_GB2312" w:hint="eastAsia"/>
          <w:sz w:val="32"/>
          <w:szCs w:val="32"/>
        </w:rPr>
        <w:t>辆、越野车</w:t>
      </w:r>
      <w:r>
        <w:rPr>
          <w:rFonts w:eastAsia="仿宋_GB2312" w:cs="仿宋_GB2312" w:hint="eastAsia"/>
          <w:sz w:val="32"/>
          <w:szCs w:val="32"/>
        </w:rPr>
        <w:t>0</w:t>
      </w:r>
      <w:r>
        <w:rPr>
          <w:rFonts w:eastAsia="仿宋_GB2312" w:cs="仿宋_GB2312" w:hint="eastAsia"/>
          <w:sz w:val="32"/>
          <w:szCs w:val="32"/>
        </w:rPr>
        <w:t>辆、载客汽车</w:t>
      </w:r>
      <w:r>
        <w:rPr>
          <w:rFonts w:eastAsia="仿宋_GB2312" w:cs="仿宋_GB2312" w:hint="eastAsia"/>
          <w:sz w:val="32"/>
          <w:szCs w:val="32"/>
        </w:rPr>
        <w:t>0</w:t>
      </w:r>
      <w:r>
        <w:rPr>
          <w:rFonts w:eastAsia="仿宋_GB2312" w:cs="仿宋_GB2312" w:hint="eastAsia"/>
          <w:sz w:val="32"/>
          <w:szCs w:val="32"/>
        </w:rPr>
        <w:t>辆。</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eastAsia="仿宋_GB2312" w:cs="仿宋_GB2312" w:hint="eastAsia"/>
          <w:sz w:val="32"/>
          <w:szCs w:val="32"/>
        </w:rPr>
        <w:t>0.35</w:t>
      </w:r>
      <w:r>
        <w:rPr>
          <w:rFonts w:eastAsia="仿宋_GB2312" w:cs="仿宋_GB2312" w:hint="eastAsia"/>
          <w:sz w:val="32"/>
          <w:szCs w:val="32"/>
        </w:rPr>
        <w:t>万元。主要用于接送学生就医、送教上门、与</w:t>
      </w:r>
      <w:r>
        <w:rPr>
          <w:rFonts w:eastAsia="仿宋_GB2312" w:cs="仿宋_GB2312" w:hint="eastAsia"/>
          <w:sz w:val="32"/>
          <w:szCs w:val="32"/>
        </w:rPr>
        <w:t>其他学校交流学习、教学办公紧急会议等所需的公务用车燃料费、维修费、过路过桥费、保险费等支出。</w:t>
      </w:r>
    </w:p>
    <w:p w:rsidR="00B37DCD" w:rsidRDefault="00EC4EEF">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公务接待费支出决算与</w:t>
      </w:r>
      <w:r>
        <w:rPr>
          <w:rFonts w:eastAsia="仿宋_GB2312" w:cs="仿宋_GB2312" w:hint="eastAsia"/>
          <w:sz w:val="32"/>
          <w:szCs w:val="32"/>
        </w:rPr>
        <w:t>2024</w:t>
      </w:r>
      <w:r>
        <w:rPr>
          <w:rFonts w:eastAsia="仿宋_GB2312" w:cs="仿宋_GB2312" w:hint="eastAsia"/>
          <w:sz w:val="32"/>
          <w:szCs w:val="32"/>
        </w:rPr>
        <w:t>年度持平。其中：</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国内公务接待支出</w:t>
      </w:r>
      <w:r>
        <w:rPr>
          <w:rFonts w:eastAsia="仿宋_GB2312" w:cs="仿宋_GB2312" w:hint="eastAsia"/>
          <w:sz w:val="32"/>
          <w:szCs w:val="32"/>
        </w:rPr>
        <w:t>0</w:t>
      </w:r>
      <w:r>
        <w:rPr>
          <w:rFonts w:eastAsia="仿宋_GB2312" w:cs="仿宋_GB2312" w:hint="eastAsia"/>
          <w:sz w:val="32"/>
          <w:szCs w:val="32"/>
        </w:rPr>
        <w:t>万元。国内公务接待</w:t>
      </w:r>
      <w:r>
        <w:rPr>
          <w:rFonts w:eastAsia="仿宋_GB2312" w:cs="仿宋_GB2312" w:hint="eastAsia"/>
          <w:sz w:val="32"/>
          <w:szCs w:val="32"/>
        </w:rPr>
        <w:t>0</w:t>
      </w:r>
      <w:r>
        <w:rPr>
          <w:rFonts w:eastAsia="仿宋_GB2312" w:cs="仿宋_GB2312" w:hint="eastAsia"/>
          <w:sz w:val="32"/>
          <w:szCs w:val="32"/>
        </w:rPr>
        <w:t>批次，</w:t>
      </w:r>
      <w:r>
        <w:rPr>
          <w:rFonts w:eastAsia="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hint="eastAsia"/>
          <w:sz w:val="32"/>
          <w:szCs w:val="32"/>
        </w:rPr>
        <w:t>0</w:t>
      </w:r>
      <w:r>
        <w:rPr>
          <w:rFonts w:eastAsia="仿宋_GB2312" w:cs="仿宋_GB2312" w:hint="eastAsia"/>
          <w:sz w:val="32"/>
          <w:szCs w:val="32"/>
        </w:rPr>
        <w:t>万元。</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外事接待支出</w:t>
      </w:r>
      <w:r>
        <w:rPr>
          <w:rFonts w:eastAsia="仿宋_GB2312" w:cs="仿宋_GB2312" w:hint="eastAsia"/>
          <w:sz w:val="32"/>
          <w:szCs w:val="32"/>
        </w:rPr>
        <w:t>0</w:t>
      </w:r>
      <w:r>
        <w:rPr>
          <w:rFonts w:eastAsia="仿宋_GB2312" w:cs="仿宋_GB2312" w:hint="eastAsia"/>
          <w:sz w:val="32"/>
          <w:szCs w:val="32"/>
        </w:rPr>
        <w:t>万元。外事接待</w:t>
      </w:r>
      <w:r>
        <w:rPr>
          <w:rFonts w:eastAsia="仿宋_GB2312" w:cs="仿宋_GB2312" w:hint="eastAsia"/>
          <w:sz w:val="32"/>
          <w:szCs w:val="32"/>
        </w:rPr>
        <w:t>0</w:t>
      </w:r>
      <w:r>
        <w:rPr>
          <w:rFonts w:eastAsia="仿宋_GB2312" w:cs="仿宋_GB2312" w:hint="eastAsia"/>
          <w:sz w:val="32"/>
          <w:szCs w:val="32"/>
        </w:rPr>
        <w:t>批次，</w:t>
      </w:r>
      <w:r>
        <w:rPr>
          <w:rFonts w:eastAsia="仿宋_GB2312" w:cs="仿宋_GB2312" w:hint="eastAsia"/>
          <w:sz w:val="32"/>
          <w:szCs w:val="32"/>
        </w:rPr>
        <w:t>0</w:t>
      </w:r>
      <w:r>
        <w:rPr>
          <w:rFonts w:eastAsia="仿宋_GB2312" w:cs="仿宋_GB2312" w:hint="eastAsia"/>
          <w:sz w:val="32"/>
          <w:szCs w:val="32"/>
        </w:rPr>
        <w:t>人次（不包</w:t>
      </w:r>
      <w:r>
        <w:rPr>
          <w:rFonts w:eastAsia="仿宋_GB2312" w:cs="仿宋_GB2312" w:hint="eastAsia"/>
          <w:sz w:val="32"/>
          <w:szCs w:val="32"/>
        </w:rPr>
        <w:lastRenderedPageBreak/>
        <w:t>括陪同人员），共计支出</w:t>
      </w:r>
      <w:r>
        <w:rPr>
          <w:rFonts w:eastAsia="仿宋_GB2312" w:cs="仿宋_GB2312" w:hint="eastAsia"/>
          <w:sz w:val="32"/>
          <w:szCs w:val="32"/>
        </w:rPr>
        <w:t>0</w:t>
      </w:r>
      <w:r>
        <w:rPr>
          <w:rFonts w:eastAsia="仿宋_GB2312" w:cs="仿宋_GB2312" w:hint="eastAsia"/>
          <w:sz w:val="32"/>
          <w:szCs w:val="32"/>
        </w:rPr>
        <w:t>万元。</w:t>
      </w:r>
      <w:bookmarkStart w:id="43" w:name="_Toc15396610"/>
      <w:bookmarkStart w:id="44" w:name="_Toc15377218"/>
    </w:p>
    <w:p w:rsidR="00B37DCD" w:rsidRDefault="00B37DCD">
      <w:pPr>
        <w:spacing w:line="600" w:lineRule="exact"/>
        <w:ind w:firstLine="640"/>
        <w:outlineLvl w:val="1"/>
        <w:rPr>
          <w:rFonts w:eastAsia="黑体"/>
          <w:sz w:val="32"/>
          <w:szCs w:val="32"/>
        </w:rPr>
      </w:pPr>
    </w:p>
    <w:p w:rsidR="00B37DCD" w:rsidRDefault="00EC4EEF">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43"/>
      <w:bookmarkEnd w:id="44"/>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Pr>
          <w:rFonts w:eastAsia="仿宋_GB2312" w:cs="仿宋_GB2312" w:hint="eastAsia"/>
          <w:sz w:val="32"/>
          <w:szCs w:val="32"/>
        </w:rPr>
        <w:t>13.74</w:t>
      </w:r>
      <w:r>
        <w:rPr>
          <w:rFonts w:eastAsia="仿宋_GB2312" w:cs="仿宋_GB2312" w:hint="eastAsia"/>
          <w:sz w:val="32"/>
          <w:szCs w:val="32"/>
        </w:rPr>
        <w:t>万元，占本年支出合计的</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。与上年度相比，政府性基金预算财政拨款支出减少</w:t>
      </w:r>
      <w:r>
        <w:rPr>
          <w:rFonts w:eastAsia="仿宋_GB2312" w:cs="仿宋_GB2312" w:hint="eastAsia"/>
          <w:sz w:val="32"/>
          <w:szCs w:val="32"/>
        </w:rPr>
        <w:t>26.79</w:t>
      </w:r>
      <w:r>
        <w:rPr>
          <w:rFonts w:eastAsia="仿宋_GB2312" w:cs="仿宋_GB2312" w:hint="eastAsia"/>
          <w:sz w:val="32"/>
          <w:szCs w:val="32"/>
        </w:rPr>
        <w:t>万元，下降</w:t>
      </w:r>
      <w:r>
        <w:rPr>
          <w:rFonts w:eastAsia="仿宋_GB2312" w:cs="仿宋_GB2312" w:hint="eastAsia"/>
          <w:sz w:val="32"/>
          <w:szCs w:val="32"/>
        </w:rPr>
        <w:t>66.1%</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年度用于体育事业的彩票公益金支出较上年减少，相关残疾学生体育教学及康复赛事专项经费安排减少。</w:t>
      </w:r>
    </w:p>
    <w:p w:rsidR="00B37DCD" w:rsidRDefault="00EC4EEF">
      <w:pPr>
        <w:spacing w:line="600" w:lineRule="exact"/>
        <w:ind w:left="630"/>
        <w:outlineLvl w:val="1"/>
        <w:rPr>
          <w:rStyle w:val="2Char"/>
          <w:rFonts w:ascii="Times New Roman" w:eastAsia="黑体" w:hAnsi="Times New Roman"/>
          <w:b w:val="0"/>
        </w:rPr>
      </w:pPr>
      <w:bookmarkStart w:id="45" w:name="_Toc15396611"/>
      <w:bookmarkStart w:id="46" w:name="_Toc15377219"/>
      <w:r>
        <w:rPr>
          <w:rStyle w:val="2Char"/>
          <w:rFonts w:ascii="Times New Roman" w:eastAsia="黑体" w:hAnsi="Times New Roman" w:hint="eastAsia"/>
          <w:b w:val="0"/>
        </w:rPr>
        <w:t>九、国有资本经营预算支出决算情况说明</w:t>
      </w:r>
      <w:bookmarkEnd w:id="45"/>
      <w:bookmarkEnd w:id="46"/>
    </w:p>
    <w:p w:rsidR="00B37DCD" w:rsidRDefault="00EC4EEF">
      <w:pPr>
        <w:spacing w:line="600" w:lineRule="exact"/>
        <w:ind w:firstLine="640"/>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eastAsia="仿宋_GB2312" w:cs="仿宋_GB2312" w:hint="eastAsia"/>
          <w:sz w:val="32"/>
          <w:szCs w:val="32"/>
        </w:rPr>
        <w:t>0</w:t>
      </w:r>
      <w:r>
        <w:rPr>
          <w:rFonts w:eastAsia="仿宋_GB2312" w:cs="仿宋_GB2312" w:hint="eastAsia"/>
          <w:sz w:val="32"/>
          <w:szCs w:val="32"/>
        </w:rPr>
        <w:t>万元，占本年支出合计的</w:t>
      </w:r>
      <w:r>
        <w:rPr>
          <w:rFonts w:eastAsia="仿宋_GB2312" w:cs="仿宋_GB2312" w:hint="eastAsia"/>
          <w:sz w:val="32"/>
          <w:szCs w:val="32"/>
        </w:rPr>
        <w:t>0%</w:t>
      </w:r>
      <w:r>
        <w:rPr>
          <w:rFonts w:eastAsia="仿宋_GB2312" w:cs="仿宋_GB2312" w:hint="eastAsia"/>
          <w:sz w:val="32"/>
          <w:szCs w:val="32"/>
        </w:rPr>
        <w:t>。与上年度相比，国有资本经营预算财政拨款支出与</w:t>
      </w:r>
      <w:r>
        <w:rPr>
          <w:rFonts w:eastAsia="仿宋_GB2312" w:cs="仿宋_GB2312" w:hint="eastAsia"/>
          <w:sz w:val="32"/>
          <w:szCs w:val="32"/>
        </w:rPr>
        <w:t>2024</w:t>
      </w:r>
      <w:r>
        <w:rPr>
          <w:rFonts w:eastAsia="仿宋_GB2312" w:cs="仿宋_GB2312" w:hint="eastAsia"/>
          <w:sz w:val="32"/>
          <w:szCs w:val="32"/>
        </w:rPr>
        <w:t>年度决算数持平。</w:t>
      </w:r>
    </w:p>
    <w:p w:rsidR="00B37DCD" w:rsidRDefault="00EC4EEF">
      <w:pPr>
        <w:spacing w:line="600" w:lineRule="exact"/>
        <w:ind w:left="630"/>
        <w:outlineLvl w:val="1"/>
        <w:rPr>
          <w:rStyle w:val="2Char"/>
          <w:rFonts w:ascii="Times New Roman" w:eastAsia="黑体" w:hAnsi="Times New Roman"/>
          <w:b w:val="0"/>
        </w:rPr>
      </w:pPr>
      <w:bookmarkStart w:id="47" w:name="_Toc15396612"/>
      <w:bookmarkStart w:id="48" w:name="_Toc15377221"/>
      <w:r>
        <w:rPr>
          <w:rStyle w:val="2Char"/>
          <w:rFonts w:ascii="Times New Roman" w:eastAsia="黑体" w:hAnsi="Times New Roman" w:hint="eastAsia"/>
          <w:b w:val="0"/>
        </w:rPr>
        <w:t>十、其他重要事项的情况说明</w:t>
      </w:r>
      <w:bookmarkEnd w:id="47"/>
      <w:bookmarkEnd w:id="48"/>
    </w:p>
    <w:p w:rsidR="00B37DCD" w:rsidRDefault="00EC4EEF" w:rsidP="006B6E52">
      <w:pPr>
        <w:spacing w:line="600" w:lineRule="exact"/>
        <w:ind w:firstLineChars="200" w:firstLine="640"/>
        <w:outlineLvl w:val="2"/>
        <w:rPr>
          <w:rFonts w:eastAsia="楷体_GB2312" w:cs="楷体_GB2312"/>
          <w:b/>
          <w:sz w:val="32"/>
          <w:szCs w:val="32"/>
        </w:rPr>
      </w:pPr>
      <w:bookmarkStart w:id="49" w:name="_Toc15377222"/>
      <w:r>
        <w:rPr>
          <w:rFonts w:eastAsia="楷体_GB2312" w:cs="楷体_GB2312" w:hint="eastAsia"/>
          <w:b/>
          <w:sz w:val="32"/>
          <w:szCs w:val="32"/>
        </w:rPr>
        <w:t>（一）机关运行经费支出情况</w:t>
      </w:r>
      <w:bookmarkEnd w:id="49"/>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年度，攀枝花市特殊教育学校机关运行经费支出</w:t>
      </w:r>
      <w:r>
        <w:rPr>
          <w:rFonts w:eastAsia="仿宋_GB2312" w:cs="仿宋_GB2312" w:hint="eastAsia"/>
          <w:sz w:val="32"/>
          <w:szCs w:val="32"/>
        </w:rPr>
        <w:t>0</w:t>
      </w:r>
      <w:r>
        <w:rPr>
          <w:rFonts w:eastAsia="仿宋_GB2312" w:cs="仿宋_GB2312" w:hint="eastAsia"/>
          <w:sz w:val="32"/>
          <w:szCs w:val="32"/>
        </w:rPr>
        <w:t>万元，与</w:t>
      </w:r>
      <w:r>
        <w:rPr>
          <w:rFonts w:eastAsia="仿宋_GB2312" w:cs="仿宋_GB2312" w:hint="eastAsia"/>
          <w:sz w:val="32"/>
          <w:szCs w:val="32"/>
        </w:rPr>
        <w:t>2024</w:t>
      </w:r>
      <w:r>
        <w:rPr>
          <w:rFonts w:eastAsia="仿宋_GB2312" w:cs="仿宋_GB2312" w:hint="eastAsia"/>
          <w:sz w:val="32"/>
          <w:szCs w:val="32"/>
        </w:rPr>
        <w:t>年度决算数持</w:t>
      </w:r>
      <w:r>
        <w:rPr>
          <w:rFonts w:eastAsia="仿宋_GB2312" w:cs="仿宋_GB2312" w:hint="eastAsia"/>
          <w:sz w:val="32"/>
          <w:szCs w:val="32"/>
        </w:rPr>
        <w:t>平。我校为事业单位，不属于行政单位或参照公务员法管理的事业单位，无机关运行经费。</w:t>
      </w:r>
    </w:p>
    <w:p w:rsidR="00B37DCD" w:rsidRDefault="00EC4EEF" w:rsidP="006B6E52">
      <w:pPr>
        <w:spacing w:line="600" w:lineRule="exact"/>
        <w:ind w:firstLineChars="200" w:firstLine="640"/>
        <w:outlineLvl w:val="2"/>
        <w:rPr>
          <w:rFonts w:eastAsia="楷体_GB2312" w:cs="楷体_GB2312"/>
          <w:b/>
          <w:sz w:val="32"/>
          <w:szCs w:val="32"/>
        </w:rPr>
      </w:pPr>
      <w:bookmarkStart w:id="50" w:name="_Toc15377223"/>
      <w:r>
        <w:rPr>
          <w:rFonts w:eastAsia="楷体_GB2312" w:cs="楷体_GB2312" w:hint="eastAsia"/>
          <w:b/>
          <w:sz w:val="32"/>
          <w:szCs w:val="32"/>
        </w:rPr>
        <w:t>（二）政府采购支出情况</w:t>
      </w:r>
      <w:bookmarkEnd w:id="50"/>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年度，攀枝花市特殊教育学校政府采购支出总额</w:t>
      </w:r>
      <w:r>
        <w:rPr>
          <w:rFonts w:eastAsia="仿宋_GB2312" w:cs="仿宋_GB2312" w:hint="eastAsia"/>
          <w:sz w:val="32"/>
          <w:szCs w:val="32"/>
        </w:rPr>
        <w:t>142.6</w:t>
      </w:r>
      <w:r>
        <w:rPr>
          <w:rFonts w:eastAsia="仿宋_GB2312" w:cs="仿宋_GB2312" w:hint="eastAsia"/>
          <w:sz w:val="32"/>
          <w:szCs w:val="32"/>
        </w:rPr>
        <w:t>万元，其中：政府采购货物支出</w:t>
      </w:r>
      <w:r>
        <w:rPr>
          <w:rFonts w:eastAsia="仿宋_GB2312" w:cs="仿宋_GB2312" w:hint="eastAsia"/>
          <w:sz w:val="32"/>
          <w:szCs w:val="32"/>
        </w:rPr>
        <w:t>16.86</w:t>
      </w:r>
      <w:r>
        <w:rPr>
          <w:rFonts w:eastAsia="仿宋_GB2312" w:cs="仿宋_GB2312" w:hint="eastAsia"/>
          <w:sz w:val="32"/>
          <w:szCs w:val="32"/>
        </w:rPr>
        <w:t>万元、政府采购工程支出</w:t>
      </w:r>
      <w:r>
        <w:rPr>
          <w:rFonts w:eastAsia="仿宋_GB2312" w:cs="仿宋_GB2312" w:hint="eastAsia"/>
          <w:sz w:val="32"/>
          <w:szCs w:val="32"/>
        </w:rPr>
        <w:t>125.3</w:t>
      </w:r>
      <w:r>
        <w:rPr>
          <w:rFonts w:eastAsia="仿宋_GB2312" w:cs="仿宋_GB2312" w:hint="eastAsia"/>
          <w:sz w:val="32"/>
          <w:szCs w:val="32"/>
        </w:rPr>
        <w:t>万元、政府采购服务支出</w:t>
      </w:r>
      <w:r>
        <w:rPr>
          <w:rFonts w:eastAsia="仿宋_GB2312" w:cs="仿宋_GB2312" w:hint="eastAsia"/>
          <w:sz w:val="32"/>
          <w:szCs w:val="32"/>
        </w:rPr>
        <w:t>0.44</w:t>
      </w:r>
      <w:r>
        <w:rPr>
          <w:rFonts w:eastAsia="仿宋_GB2312" w:cs="仿宋_GB2312" w:hint="eastAsia"/>
          <w:sz w:val="32"/>
          <w:szCs w:val="32"/>
        </w:rPr>
        <w:t>万元。主要用于综合楼防水及瓷砖翻新等校舍修缮工程、教学设备购置及公务车加油保险等。授予中小企业合同金额</w:t>
      </w:r>
      <w:r>
        <w:rPr>
          <w:rFonts w:eastAsia="仿宋_GB2312" w:cs="仿宋_GB2312" w:hint="eastAsia"/>
          <w:sz w:val="32"/>
          <w:szCs w:val="32"/>
        </w:rPr>
        <w:t>142.46</w:t>
      </w:r>
      <w:r>
        <w:rPr>
          <w:rFonts w:eastAsia="仿宋_GB2312" w:cs="仿宋_GB2312" w:hint="eastAsia"/>
          <w:sz w:val="32"/>
          <w:szCs w:val="32"/>
        </w:rPr>
        <w:t>万元，占</w:t>
      </w:r>
      <w:r>
        <w:rPr>
          <w:rFonts w:eastAsia="仿宋_GB2312" w:cs="仿宋_GB2312" w:hint="eastAsia"/>
          <w:sz w:val="32"/>
          <w:szCs w:val="32"/>
        </w:rPr>
        <w:lastRenderedPageBreak/>
        <w:t>政府采购支出总额的</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，其中：授予小微企业合同金额</w:t>
      </w:r>
      <w:r>
        <w:rPr>
          <w:rFonts w:eastAsia="仿宋_GB2312" w:cs="仿宋_GB2312" w:hint="eastAsia"/>
          <w:sz w:val="32"/>
          <w:szCs w:val="32"/>
        </w:rPr>
        <w:t>17.16</w:t>
      </w:r>
      <w:r>
        <w:rPr>
          <w:rFonts w:eastAsia="仿宋_GB2312" w:cs="仿宋_GB2312" w:hint="eastAsia"/>
          <w:sz w:val="32"/>
          <w:szCs w:val="32"/>
        </w:rPr>
        <w:t>万元，占政府采购支出总额的</w:t>
      </w:r>
      <w:r>
        <w:rPr>
          <w:rFonts w:eastAsia="仿宋_GB2312" w:cs="仿宋_GB2312" w:hint="eastAsia"/>
          <w:sz w:val="32"/>
          <w:szCs w:val="32"/>
        </w:rPr>
        <w:t>12%</w:t>
      </w:r>
      <w:r>
        <w:rPr>
          <w:rFonts w:eastAsia="仿宋_GB2312" w:cs="仿宋_GB2312" w:hint="eastAsia"/>
          <w:sz w:val="32"/>
          <w:szCs w:val="32"/>
        </w:rPr>
        <w:t>。</w:t>
      </w:r>
    </w:p>
    <w:p w:rsidR="00B37DCD" w:rsidRDefault="00EC4EEF" w:rsidP="006B6E52">
      <w:pPr>
        <w:spacing w:line="600" w:lineRule="exact"/>
        <w:ind w:firstLineChars="200" w:firstLine="640"/>
        <w:outlineLvl w:val="2"/>
        <w:rPr>
          <w:rFonts w:eastAsia="楷体_GB2312" w:cs="楷体_GB2312"/>
          <w:b/>
          <w:sz w:val="32"/>
          <w:szCs w:val="32"/>
        </w:rPr>
      </w:pPr>
      <w:bookmarkStart w:id="51" w:name="_Toc15377224"/>
      <w:r>
        <w:rPr>
          <w:rFonts w:eastAsia="楷体_GB2312" w:cs="楷体_GB2312" w:hint="eastAsia"/>
          <w:b/>
          <w:sz w:val="32"/>
          <w:szCs w:val="32"/>
        </w:rPr>
        <w:t>（三）国有资产占有使用情况</w:t>
      </w:r>
      <w:bookmarkEnd w:id="51"/>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日，攀枝花市特殊教育学校共有车辆</w:t>
      </w:r>
      <w:r>
        <w:rPr>
          <w:rFonts w:eastAsia="仿宋_GB2312" w:cs="仿宋_GB2312" w:hint="eastAsia"/>
          <w:sz w:val="32"/>
          <w:szCs w:val="32"/>
        </w:rPr>
        <w:t>1</w:t>
      </w:r>
      <w:r>
        <w:rPr>
          <w:rFonts w:eastAsia="仿宋_GB2312" w:cs="仿宋_GB2312" w:hint="eastAsia"/>
          <w:sz w:val="32"/>
          <w:szCs w:val="32"/>
        </w:rPr>
        <w:t>辆，其中：副部（省）级及以上领导用车</w:t>
      </w:r>
      <w:r>
        <w:rPr>
          <w:rFonts w:eastAsia="仿宋_GB2312" w:cs="仿宋_GB2312" w:hint="eastAsia"/>
          <w:sz w:val="32"/>
          <w:szCs w:val="32"/>
        </w:rPr>
        <w:t>0</w:t>
      </w:r>
      <w:r>
        <w:rPr>
          <w:rFonts w:eastAsia="仿宋_GB2312" w:cs="仿宋_GB2312" w:hint="eastAsia"/>
          <w:sz w:val="32"/>
          <w:szCs w:val="32"/>
        </w:rPr>
        <w:t>辆、主要负责人用车</w:t>
      </w:r>
      <w:r>
        <w:rPr>
          <w:rFonts w:eastAsia="仿宋_GB2312" w:cs="仿宋_GB2312" w:hint="eastAsia"/>
          <w:sz w:val="32"/>
          <w:szCs w:val="32"/>
        </w:rPr>
        <w:t>0</w:t>
      </w:r>
      <w:r>
        <w:rPr>
          <w:rFonts w:eastAsia="仿宋_GB2312" w:cs="仿宋_GB2312" w:hint="eastAsia"/>
          <w:sz w:val="32"/>
          <w:szCs w:val="32"/>
        </w:rPr>
        <w:t>辆、机要通信用车</w:t>
      </w:r>
      <w:r>
        <w:rPr>
          <w:rFonts w:eastAsia="仿宋_GB2312" w:cs="仿宋_GB2312" w:hint="eastAsia"/>
          <w:sz w:val="32"/>
          <w:szCs w:val="32"/>
        </w:rPr>
        <w:t>0</w:t>
      </w:r>
      <w:r>
        <w:rPr>
          <w:rFonts w:eastAsia="仿宋_GB2312" w:cs="仿宋_GB2312" w:hint="eastAsia"/>
          <w:sz w:val="32"/>
          <w:szCs w:val="32"/>
        </w:rPr>
        <w:t>辆、应急保障用车</w:t>
      </w:r>
      <w:r>
        <w:rPr>
          <w:rFonts w:eastAsia="仿宋_GB2312" w:cs="仿宋_GB2312" w:hint="eastAsia"/>
          <w:sz w:val="32"/>
          <w:szCs w:val="32"/>
        </w:rPr>
        <w:t>1</w:t>
      </w:r>
      <w:r>
        <w:rPr>
          <w:rFonts w:eastAsia="仿宋_GB2312" w:cs="仿宋_GB2312" w:hint="eastAsia"/>
          <w:sz w:val="32"/>
          <w:szCs w:val="32"/>
        </w:rPr>
        <w:t>辆、执法执勤用车</w:t>
      </w:r>
      <w:r>
        <w:rPr>
          <w:rFonts w:eastAsia="仿宋_GB2312" w:cs="仿宋_GB2312" w:hint="eastAsia"/>
          <w:sz w:val="32"/>
          <w:szCs w:val="32"/>
        </w:rPr>
        <w:t>0</w:t>
      </w:r>
      <w:r>
        <w:rPr>
          <w:rFonts w:eastAsia="仿宋_GB2312" w:cs="仿宋_GB2312" w:hint="eastAsia"/>
          <w:sz w:val="32"/>
          <w:szCs w:val="32"/>
        </w:rPr>
        <w:t>辆、特种专业技术用车</w:t>
      </w:r>
      <w:r>
        <w:rPr>
          <w:rFonts w:eastAsia="仿宋_GB2312" w:cs="仿宋_GB2312" w:hint="eastAsia"/>
          <w:sz w:val="32"/>
          <w:szCs w:val="32"/>
        </w:rPr>
        <w:t>0</w:t>
      </w:r>
      <w:r>
        <w:rPr>
          <w:rFonts w:eastAsia="仿宋_GB2312" w:cs="仿宋_GB2312" w:hint="eastAsia"/>
          <w:sz w:val="32"/>
          <w:szCs w:val="32"/>
        </w:rPr>
        <w:t>辆、离退休干部服务用车</w:t>
      </w:r>
      <w:r>
        <w:rPr>
          <w:rFonts w:eastAsia="仿宋_GB2312" w:cs="仿宋_GB2312" w:hint="eastAsia"/>
          <w:sz w:val="32"/>
          <w:szCs w:val="32"/>
        </w:rPr>
        <w:t>0</w:t>
      </w:r>
      <w:r>
        <w:rPr>
          <w:rFonts w:eastAsia="仿宋_GB2312" w:cs="仿宋_GB2312" w:hint="eastAsia"/>
          <w:sz w:val="32"/>
          <w:szCs w:val="32"/>
        </w:rPr>
        <w:t>辆、其他用车</w:t>
      </w:r>
      <w:r>
        <w:rPr>
          <w:rFonts w:eastAsia="仿宋_GB2312" w:cs="仿宋_GB2312" w:hint="eastAsia"/>
          <w:sz w:val="32"/>
          <w:szCs w:val="32"/>
        </w:rPr>
        <w:t>0</w:t>
      </w:r>
      <w:r>
        <w:rPr>
          <w:rFonts w:eastAsia="仿宋_GB2312" w:cs="仿宋_GB2312" w:hint="eastAsia"/>
          <w:sz w:val="32"/>
          <w:szCs w:val="32"/>
        </w:rPr>
        <w:t>辆。单价</w:t>
      </w:r>
      <w:r>
        <w:rPr>
          <w:rFonts w:eastAsia="仿宋_GB2312" w:cs="仿宋_GB2312" w:hint="eastAsia"/>
          <w:sz w:val="32"/>
          <w:szCs w:val="32"/>
        </w:rPr>
        <w:t>100</w:t>
      </w:r>
      <w:r>
        <w:rPr>
          <w:rFonts w:eastAsia="仿宋_GB2312" w:cs="仿宋_GB2312" w:hint="eastAsia"/>
          <w:sz w:val="32"/>
          <w:szCs w:val="32"/>
        </w:rPr>
        <w:t>万元（含）以上设备（不含车辆）</w:t>
      </w:r>
      <w:r>
        <w:rPr>
          <w:rFonts w:eastAsia="仿宋_GB2312" w:cs="仿宋_GB2312" w:hint="eastAsia"/>
          <w:sz w:val="32"/>
          <w:szCs w:val="32"/>
        </w:rPr>
        <w:t>0</w:t>
      </w:r>
      <w:r>
        <w:rPr>
          <w:rFonts w:eastAsia="仿宋_GB2312" w:cs="仿宋_GB2312" w:hint="eastAsia"/>
          <w:sz w:val="32"/>
          <w:szCs w:val="32"/>
        </w:rPr>
        <w:t>台（套）。</w:t>
      </w:r>
    </w:p>
    <w:p w:rsidR="00B37DCD" w:rsidRDefault="00EC4EEF" w:rsidP="006B6E52">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根据预算绩效管理要求，攀枝花市特殊教育学校在</w:t>
      </w:r>
      <w:r>
        <w:rPr>
          <w:rFonts w:eastAsia="仿宋_GB2312" w:cs="仿宋_GB2312" w:hint="eastAsia"/>
          <w:sz w:val="32"/>
          <w:szCs w:val="32"/>
        </w:rPr>
        <w:t>2025</w:t>
      </w:r>
      <w:r>
        <w:rPr>
          <w:rFonts w:eastAsia="仿宋_GB2312" w:cs="仿宋_GB2312" w:hint="eastAsia"/>
          <w:sz w:val="32"/>
          <w:szCs w:val="32"/>
        </w:rPr>
        <w:t>年度预算编制阶段，组织对体育康复进校园赛事补助（体彩公益金）、特殊教育补助资金、纳入高层次人才管理骨干教师津贴（市特校）</w:t>
      </w:r>
      <w:r>
        <w:rPr>
          <w:rFonts w:eastAsia="仿宋_GB2312" w:cs="仿宋_GB2312" w:hint="eastAsia"/>
          <w:sz w:val="32"/>
          <w:szCs w:val="32"/>
        </w:rPr>
        <w:t>、义务教育阶段学校聘请食堂工勤人员经费、聘请保安人员经费、义务教育阶段特殊教育学校和随班就读残疾学生生均公用经费（中央）、义务教育阶段特殊教育学校和随班就读残疾学生生均公用经费（省级）、义务教育免费作业本资金等</w:t>
      </w:r>
      <w:r>
        <w:rPr>
          <w:rFonts w:eastAsia="仿宋_GB2312" w:cs="仿宋_GB2312" w:hint="eastAsia"/>
          <w:sz w:val="32"/>
          <w:szCs w:val="32"/>
        </w:rPr>
        <w:t>8</w:t>
      </w:r>
      <w:r>
        <w:rPr>
          <w:rFonts w:eastAsia="仿宋_GB2312" w:cs="仿宋_GB2312" w:hint="eastAsia"/>
          <w:sz w:val="32"/>
          <w:szCs w:val="32"/>
        </w:rPr>
        <w:t>个项目开展了预算事前绩效评估，对</w:t>
      </w:r>
      <w:r>
        <w:rPr>
          <w:rFonts w:eastAsia="仿宋_GB2312" w:cs="仿宋_GB2312" w:hint="eastAsia"/>
          <w:sz w:val="32"/>
          <w:szCs w:val="32"/>
        </w:rPr>
        <w:t>8</w:t>
      </w:r>
      <w:r>
        <w:rPr>
          <w:rFonts w:eastAsia="仿宋_GB2312" w:cs="仿宋_GB2312" w:hint="eastAsia"/>
          <w:sz w:val="32"/>
          <w:szCs w:val="32"/>
        </w:rPr>
        <w:t>个项目编制了绩效目标，预算执行过程中，选取</w:t>
      </w:r>
      <w:r>
        <w:rPr>
          <w:rFonts w:eastAsia="仿宋_GB2312" w:cs="仿宋_GB2312" w:hint="eastAsia"/>
          <w:sz w:val="32"/>
          <w:szCs w:val="32"/>
        </w:rPr>
        <w:t>8</w:t>
      </w:r>
      <w:r>
        <w:rPr>
          <w:rFonts w:eastAsia="仿宋_GB2312" w:cs="仿宋_GB2312" w:hint="eastAsia"/>
          <w:sz w:val="32"/>
          <w:szCs w:val="32"/>
        </w:rPr>
        <w:t>个项目开展绩效监控。</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组织对</w:t>
      </w:r>
      <w:r>
        <w:rPr>
          <w:rFonts w:eastAsia="仿宋_GB2312" w:cs="仿宋_GB2312" w:hint="eastAsia"/>
          <w:sz w:val="32"/>
          <w:szCs w:val="32"/>
        </w:rPr>
        <w:t>2025</w:t>
      </w:r>
      <w:r>
        <w:rPr>
          <w:rFonts w:eastAsia="仿宋_GB2312" w:cs="仿宋_GB2312" w:hint="eastAsia"/>
          <w:sz w:val="32"/>
          <w:szCs w:val="32"/>
        </w:rPr>
        <w:t>年度一般公共预算、政府性基金预算等全面开展绩效自评，形成上述</w:t>
      </w:r>
      <w:r>
        <w:rPr>
          <w:rFonts w:eastAsia="仿宋_GB2312" w:cs="仿宋_GB2312" w:hint="eastAsia"/>
          <w:sz w:val="32"/>
          <w:szCs w:val="32"/>
        </w:rPr>
        <w:t>8</w:t>
      </w:r>
      <w:r>
        <w:rPr>
          <w:rFonts w:eastAsia="仿宋_GB2312" w:cs="仿宋_GB2312" w:hint="eastAsia"/>
          <w:sz w:val="32"/>
          <w:szCs w:val="32"/>
        </w:rPr>
        <w:t>个专项预算项目绩效自评报告。经自评，体育康复进校园赛事补助（体彩公益金）等</w:t>
      </w:r>
      <w:r>
        <w:rPr>
          <w:rFonts w:eastAsia="仿宋_GB2312" w:cs="仿宋_GB2312" w:hint="eastAsia"/>
          <w:sz w:val="32"/>
          <w:szCs w:val="32"/>
        </w:rPr>
        <w:t>8</w:t>
      </w:r>
      <w:r>
        <w:rPr>
          <w:rFonts w:eastAsia="仿宋_GB2312" w:cs="仿宋_GB2312" w:hint="eastAsia"/>
          <w:sz w:val="32"/>
          <w:szCs w:val="32"/>
        </w:rPr>
        <w:t>个专</w:t>
      </w:r>
      <w:r>
        <w:rPr>
          <w:rFonts w:eastAsia="仿宋_GB2312" w:cs="仿宋_GB2312" w:hint="eastAsia"/>
          <w:sz w:val="32"/>
          <w:szCs w:val="32"/>
        </w:rPr>
        <w:lastRenderedPageBreak/>
        <w:t>项预算项目绩效自评得分均为</w:t>
      </w:r>
      <w:r>
        <w:rPr>
          <w:rFonts w:eastAsia="仿宋_GB2312" w:cs="仿宋_GB2312" w:hint="eastAsia"/>
          <w:sz w:val="32"/>
          <w:szCs w:val="32"/>
        </w:rPr>
        <w:t>100</w:t>
      </w:r>
      <w:r>
        <w:rPr>
          <w:rFonts w:eastAsia="仿宋_GB2312" w:cs="仿宋_GB2312" w:hint="eastAsia"/>
          <w:sz w:val="32"/>
          <w:szCs w:val="32"/>
        </w:rPr>
        <w:t>分，绩效自评</w:t>
      </w:r>
      <w:r>
        <w:rPr>
          <w:rFonts w:eastAsia="仿宋_GB2312" w:cs="仿宋_GB2312" w:hint="eastAsia"/>
          <w:sz w:val="32"/>
          <w:szCs w:val="32"/>
        </w:rPr>
        <w:t>综述综合来看，本特殊教育学校义务教育阶段生均公用经费专项在项目实施、资金使用、绩效达成等方面均表现出色。项目组织管理规范有序，严格遵循国家特殊教育相关政策法规以及项目管理办法。资金使用合理、安全、规范，到位及时且支出符合预算安排，资金使用效益显著。项目目标完成度高，在完成数量、质量、时效、成本控制等方面均达到或超过预期目标。取得了显著的经济效益、社会效益、生态效益以及可持续效益，服务对象满意度高。依据专项项目支出绩效评价指标体系，从项目决策、项目过程、项目产出、项目效益等多个维度进行综合评价，项目总体评价为</w:t>
      </w:r>
      <w:r>
        <w:rPr>
          <w:rFonts w:eastAsia="仿宋_GB2312" w:cs="仿宋_GB2312" w:hint="eastAsia"/>
          <w:sz w:val="32"/>
          <w:szCs w:val="32"/>
        </w:rPr>
        <w:t>优秀。该项目的成功实施，为提升特殊教育质量、促进教育公平、推动特殊教育事业发展发挥了重要作用，同时也为其他地区开展类似项目提供了宝贵的经验借鉴。绩效自评报告详见附件。各项目均按计划完成年度目标，预算执行率</w:t>
      </w:r>
      <w:r>
        <w:rPr>
          <w:rFonts w:eastAsia="仿宋_GB2312" w:cs="仿宋_GB2312" w:hint="eastAsia"/>
          <w:sz w:val="32"/>
          <w:szCs w:val="32"/>
        </w:rPr>
        <w:t>100%</w:t>
      </w:r>
      <w:r>
        <w:rPr>
          <w:rFonts w:eastAsia="仿宋_GB2312" w:cs="仿宋_GB2312" w:hint="eastAsia"/>
          <w:sz w:val="32"/>
          <w:szCs w:val="32"/>
        </w:rPr>
        <w:t>，产出、效益、满意度等指标全部达标，资金使用规范、效益显著。绩效自评报告详见附件。</w:t>
      </w:r>
    </w:p>
    <w:p w:rsidR="00B37DCD" w:rsidRDefault="00B37DCD">
      <w:pPr>
        <w:spacing w:line="600" w:lineRule="exact"/>
        <w:jc w:val="center"/>
        <w:outlineLvl w:val="0"/>
        <w:rPr>
          <w:rFonts w:eastAsia="黑体"/>
          <w:sz w:val="44"/>
          <w:szCs w:val="44"/>
        </w:rPr>
      </w:pPr>
      <w:bookmarkStart w:id="52" w:name="_Toc15377225"/>
      <w:bookmarkStart w:id="53" w:name="_Toc15396613"/>
    </w:p>
    <w:p w:rsidR="00B37DCD" w:rsidRDefault="00B37DCD">
      <w:pPr>
        <w:spacing w:line="600" w:lineRule="exact"/>
        <w:jc w:val="center"/>
        <w:outlineLvl w:val="0"/>
        <w:rPr>
          <w:rFonts w:eastAsia="黑体"/>
          <w:sz w:val="44"/>
          <w:szCs w:val="44"/>
        </w:rPr>
      </w:pPr>
    </w:p>
    <w:p w:rsidR="00B37DCD" w:rsidRDefault="00B37DCD">
      <w:pPr>
        <w:spacing w:line="600" w:lineRule="exact"/>
        <w:jc w:val="center"/>
        <w:outlineLvl w:val="0"/>
        <w:rPr>
          <w:rFonts w:eastAsia="黑体"/>
          <w:sz w:val="44"/>
          <w:szCs w:val="44"/>
        </w:rPr>
      </w:pPr>
    </w:p>
    <w:p w:rsidR="00B37DCD" w:rsidRDefault="00B37DCD">
      <w:pPr>
        <w:spacing w:line="600" w:lineRule="exact"/>
        <w:jc w:val="center"/>
        <w:outlineLvl w:val="0"/>
        <w:rPr>
          <w:rFonts w:eastAsia="黑体"/>
          <w:sz w:val="44"/>
          <w:szCs w:val="44"/>
        </w:rPr>
      </w:pPr>
    </w:p>
    <w:p w:rsidR="00B37DCD" w:rsidRDefault="00B37DCD">
      <w:pPr>
        <w:spacing w:line="600" w:lineRule="exact"/>
        <w:jc w:val="center"/>
        <w:outlineLvl w:val="0"/>
        <w:rPr>
          <w:rFonts w:eastAsia="黑体"/>
          <w:sz w:val="44"/>
          <w:szCs w:val="44"/>
        </w:rPr>
      </w:pPr>
    </w:p>
    <w:p w:rsidR="00B37DCD" w:rsidRDefault="00B37DCD">
      <w:pPr>
        <w:spacing w:line="600" w:lineRule="exact"/>
        <w:jc w:val="center"/>
        <w:outlineLvl w:val="0"/>
        <w:rPr>
          <w:rFonts w:eastAsia="黑体"/>
          <w:sz w:val="44"/>
          <w:szCs w:val="44"/>
        </w:rPr>
      </w:pPr>
    </w:p>
    <w:p w:rsidR="00B37DCD" w:rsidRDefault="00B37DCD">
      <w:pPr>
        <w:spacing w:line="600" w:lineRule="exact"/>
        <w:jc w:val="center"/>
        <w:outlineLvl w:val="0"/>
        <w:rPr>
          <w:rFonts w:eastAsia="黑体"/>
          <w:sz w:val="44"/>
          <w:szCs w:val="44"/>
        </w:rPr>
      </w:pPr>
    </w:p>
    <w:p w:rsidR="00B37DCD" w:rsidRDefault="00B37DCD">
      <w:pPr>
        <w:spacing w:line="600" w:lineRule="exact"/>
        <w:outlineLvl w:val="0"/>
        <w:rPr>
          <w:rFonts w:eastAsia="黑体"/>
          <w:sz w:val="44"/>
          <w:szCs w:val="44"/>
        </w:rPr>
      </w:pPr>
    </w:p>
    <w:p w:rsidR="00B37DCD" w:rsidRDefault="00EC4EEF">
      <w:pPr>
        <w:spacing w:line="600" w:lineRule="exact"/>
        <w:jc w:val="center"/>
        <w:outlineLvl w:val="0"/>
        <w:rPr>
          <w:rFonts w:eastAsia="黑体"/>
          <w:sz w:val="44"/>
          <w:szCs w:val="44"/>
        </w:rPr>
      </w:pPr>
      <w:r>
        <w:rPr>
          <w:rFonts w:eastAsia="黑体" w:hint="eastAsia"/>
          <w:sz w:val="44"/>
          <w:szCs w:val="44"/>
        </w:rPr>
        <w:t>第三部分名词解释</w:t>
      </w:r>
      <w:bookmarkEnd w:id="52"/>
      <w:bookmarkEnd w:id="53"/>
    </w:p>
    <w:p w:rsidR="00B37DCD" w:rsidRDefault="00B37DCD">
      <w:pPr>
        <w:spacing w:line="600" w:lineRule="exact"/>
        <w:jc w:val="left"/>
        <w:rPr>
          <w:b/>
          <w:sz w:val="44"/>
          <w:szCs w:val="44"/>
        </w:rPr>
      </w:pP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事业收入：指事业单位开展专业业务活动及辅助活动取得的收入。</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经营收入：指事业单位在专业业务活动及其辅助活动之外开展非独立核算经营活动取得的收入。</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其他收入：指单位取得的除上述收入以外的各项收入。</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使用非财政拨款结余（含专用结余）：指事业单位使用以前年度积累的非财政拨款结余弥补当年收支差额的金额。</w:t>
      </w:r>
      <w:r>
        <w:rPr>
          <w:rFonts w:eastAsia="仿宋_GB2312" w:cs="仿宋_GB2312" w:hint="eastAsia"/>
          <w:sz w:val="32"/>
          <w:szCs w:val="32"/>
        </w:rPr>
        <w:t xml:space="preserve"> </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年初结转和结余：指以前年度尚未完成、结转到本年按有关规定继续使用的资金。</w:t>
      </w:r>
      <w:r>
        <w:rPr>
          <w:rFonts w:eastAsia="仿宋_GB2312" w:cs="仿宋_GB2312" w:hint="eastAsia"/>
          <w:sz w:val="32"/>
          <w:szCs w:val="32"/>
        </w:rPr>
        <w:t xml:space="preserve"> </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7.</w:t>
      </w:r>
      <w:r>
        <w:rPr>
          <w:rFonts w:eastAsia="仿宋_GB2312" w:cs="仿宋_GB2312" w:hint="eastAsia"/>
          <w:sz w:val="32"/>
          <w:szCs w:val="32"/>
        </w:rPr>
        <w:t>结余分配：指事业单位按照会计制度规定缴纳的所得税、提取的专用结余以及转入非财政拨款结余的金额等。</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8.</w:t>
      </w:r>
      <w:r>
        <w:rPr>
          <w:rFonts w:eastAsia="仿宋_GB2312" w:cs="仿宋_GB2312" w:hint="eastAsia"/>
          <w:sz w:val="32"/>
          <w:szCs w:val="32"/>
        </w:rPr>
        <w:t>年末结转和结余：指单位按有关规定结转到下年或以后年度继续使用的资金。</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教育支出（类）特殊教育（款）特殊学校教育（项）：指反映各部门举办盲童学校、聋哑学校、智力落后儿童学校、其他生理缺陷儿童学校的支出。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教育支出（类）特殊教育（款）其他特殊教育支出（项）：</w:t>
      </w:r>
      <w:r>
        <w:rPr>
          <w:rFonts w:eastAsia="仿宋_GB2312" w:cs="仿宋_GB2312" w:hint="eastAsia"/>
          <w:sz w:val="32"/>
          <w:szCs w:val="32"/>
        </w:rPr>
        <w:lastRenderedPageBreak/>
        <w:t>指反映除上述项目以外其他用于特殊教育方面的支出。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教育支出（类）教育费附加安排的支出（款）其他教育费附加安排的支出（项）：指反映除农村中小学校舍建设、农村中小学教学设施、城市中小学校舍建设、城市中小学教学设施、中等职业学校教学设施支出以外的教育费附加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社会保障和就业支出（类）人力资源和社会保障管理事务（款）其他人力资源和社会保障管理事务支出（项）：指反映除上述项目以外其他用于人力资源和社会保障管理事务方面的支出。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社会保障和就业支出（类）行政事业单位养老支出（款）事业单位离退休（项）：指反映事业单位开支的离退休经费。</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社会保障和就业支出（类）行政事业单位养老支出（款）机关事业单位基本养老保险缴费支出（项）：指机关事业单位用于实施养老保险制度由单位缴纳基本养老保险缴费的支出。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社会保障和就业支出（类）行政事业单位养老支出（款）机关事业单位职业年金缴费支出</w:t>
      </w:r>
      <w:r>
        <w:rPr>
          <w:rFonts w:eastAsia="仿宋_GB2312" w:cs="仿宋_GB2312" w:hint="eastAsia"/>
          <w:sz w:val="32"/>
          <w:szCs w:val="32"/>
        </w:rPr>
        <w:t>（项）：指机关事业单位用于实施养老保险制度由单位缴纳的职业年金缴费支出。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卫生健康支出（类）行政事业单位医疗（款）事业单位医疗（项）：指机关事业单位用于实施医疗保险制度由单位缴纳基本医疗保险缴费的支出。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卫生健康支出（类）行政事业单位医疗（款）公务员医疗补助（项）：指机关事业单位用于实施公务员医疗保险制</w:t>
      </w:r>
      <w:r>
        <w:rPr>
          <w:rFonts w:eastAsia="仿宋_GB2312" w:cs="仿宋_GB2312" w:hint="eastAsia"/>
          <w:sz w:val="32"/>
          <w:szCs w:val="32"/>
        </w:rPr>
        <w:lastRenderedPageBreak/>
        <w:t>度由单位缴纳的公务员医疗补助缴费支出。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2</w:t>
      </w:r>
      <w:r>
        <w:rPr>
          <w:rFonts w:eastAsia="仿宋_GB2312" w:cs="仿宋_GB2312" w:hint="eastAsia"/>
          <w:sz w:val="32"/>
          <w:szCs w:val="32"/>
        </w:rPr>
        <w:t>.</w:t>
      </w:r>
      <w:r>
        <w:rPr>
          <w:rFonts w:eastAsia="仿宋_GB2312" w:cs="仿宋_GB2312" w:hint="eastAsia"/>
          <w:sz w:val="32"/>
          <w:szCs w:val="32"/>
        </w:rPr>
        <w:t>住房保障支出（类）住房改革支出（款）住房公积金（项）：指反映行政事业单位按人力资源和社会保障部、财政部规定的基本工资和津贴补贴以及规定比例为职工缴纳的住房公</w:t>
      </w:r>
      <w:r>
        <w:rPr>
          <w:rFonts w:eastAsia="仿宋_GB2312" w:cs="仿宋_GB2312" w:hint="eastAsia"/>
          <w:sz w:val="32"/>
          <w:szCs w:val="32"/>
        </w:rPr>
        <w:t>积金。</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其他支出（类）彩票公益金安排的支出（款）用于体育事业的彩票公益金支出（项）：指反映用于体育事业的彩票公益金支出。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14</w:t>
      </w:r>
      <w:r>
        <w:rPr>
          <w:rFonts w:eastAsia="仿宋_GB2312" w:cs="仿宋_GB2312" w:hint="eastAsia"/>
          <w:sz w:val="32"/>
          <w:szCs w:val="32"/>
        </w:rPr>
        <w:t>.</w:t>
      </w:r>
      <w:r>
        <w:rPr>
          <w:rFonts w:eastAsia="仿宋_GB2312" w:cs="仿宋_GB2312" w:hint="eastAsia"/>
          <w:sz w:val="32"/>
          <w:szCs w:val="32"/>
        </w:rPr>
        <w:t>基本支出：指为保障机构正常运转、完成日常工作任务而发生的人员支出和公用支出。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15</w:t>
      </w:r>
      <w:r>
        <w:rPr>
          <w:rFonts w:eastAsia="仿宋_GB2312" w:cs="仿宋_GB2312" w:hint="eastAsia"/>
          <w:sz w:val="32"/>
          <w:szCs w:val="32"/>
        </w:rPr>
        <w:t>.</w:t>
      </w:r>
      <w:r>
        <w:rPr>
          <w:rFonts w:eastAsia="仿宋_GB2312" w:cs="仿宋_GB2312" w:hint="eastAsia"/>
          <w:sz w:val="32"/>
          <w:szCs w:val="32"/>
        </w:rPr>
        <w:t>项目支出：指在基本支出之外为完成特定行政任务和事业发展目标所发生的支出。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16</w:t>
      </w:r>
      <w:r>
        <w:rPr>
          <w:rFonts w:eastAsia="仿宋_GB2312" w:cs="仿宋_GB2312" w:hint="eastAsia"/>
          <w:sz w:val="32"/>
          <w:szCs w:val="32"/>
        </w:rPr>
        <w:t>.</w:t>
      </w:r>
      <w:r>
        <w:rPr>
          <w:rFonts w:eastAsia="仿宋_GB2312" w:cs="仿宋_GB2312" w:hint="eastAsia"/>
          <w:sz w:val="32"/>
          <w:szCs w:val="32"/>
        </w:rPr>
        <w:t>经营支出：指事业单位在专业业务活动及其辅助活动之外开展非独立核算经营活动发生的支出。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17</w:t>
      </w:r>
      <w:r>
        <w:rPr>
          <w:rFonts w:eastAsia="仿宋_GB2312" w:cs="仿宋_GB2312" w:hint="eastAsia"/>
          <w:sz w:val="32"/>
          <w:szCs w:val="32"/>
        </w:rPr>
        <w:t>.</w:t>
      </w:r>
      <w:r>
        <w:rPr>
          <w:rFonts w:eastAsia="仿宋_GB2312" w:cs="仿宋_GB2312" w:hint="eastAsia"/>
          <w:sz w:val="32"/>
          <w:szCs w:val="32"/>
        </w:rPr>
        <w:t>“三公”经费：指部门用财政拨款安排的因公出国（境）费、公务用车购置及运行费和公务接待费。其中，因公出国（境）费反映单位公务</w:t>
      </w:r>
      <w:r>
        <w:rPr>
          <w:rFonts w:eastAsia="仿宋_GB2312" w:cs="仿宋_GB2312" w:hint="eastAsia"/>
          <w:sz w:val="32"/>
          <w:szCs w:val="32"/>
        </w:rPr>
        <w:t>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B37DCD" w:rsidRDefault="00EC4EEF">
      <w:pPr>
        <w:spacing w:line="600" w:lineRule="exact"/>
        <w:ind w:firstLine="640"/>
        <w:rPr>
          <w:rFonts w:eastAsia="仿宋_GB2312" w:cs="仿宋_GB2312"/>
          <w:sz w:val="32"/>
          <w:szCs w:val="32"/>
        </w:rPr>
      </w:pPr>
      <w:r>
        <w:rPr>
          <w:rFonts w:eastAsia="仿宋_GB2312" w:cs="仿宋_GB2312" w:hint="eastAsia"/>
          <w:sz w:val="32"/>
          <w:szCs w:val="32"/>
        </w:rPr>
        <w:t>18</w:t>
      </w:r>
      <w:r>
        <w:rPr>
          <w:rFonts w:eastAsia="仿宋_GB2312" w:cs="仿宋_GB2312" w:hint="eastAsia"/>
          <w:sz w:val="32"/>
          <w:szCs w:val="32"/>
        </w:rPr>
        <w:t>.</w:t>
      </w:r>
      <w:r>
        <w:rPr>
          <w:rFonts w:eastAsia="仿宋_GB2312" w:cs="仿宋_GB2312" w:hint="eastAsia"/>
          <w:sz w:val="32"/>
          <w:szCs w:val="32"/>
        </w:rPr>
        <w:t>机关运行经费：为保障行政单位（含参照公务员法管</w:t>
      </w:r>
      <w:r>
        <w:rPr>
          <w:rFonts w:eastAsia="仿宋_GB2312" w:cs="仿宋_GB2312" w:hint="eastAsia"/>
          <w:sz w:val="32"/>
          <w:szCs w:val="32"/>
        </w:rPr>
        <w:lastRenderedPageBreak/>
        <w:t>理的事业单位）运行用于购买货物和服务的各项资金，包括办公及印刷费、邮电费、差旅费、会议费、福利费、日常维修费、专用材料及一般设备购置费、办公用房水电费、办公用房取暖费、办公用房物业管理费、公务用车运行维</w:t>
      </w:r>
      <w:r>
        <w:rPr>
          <w:rFonts w:eastAsia="仿宋_GB2312" w:cs="仿宋_GB2312" w:hint="eastAsia"/>
          <w:sz w:val="32"/>
          <w:szCs w:val="32"/>
        </w:rPr>
        <w:t>护费以及其他费用。</w:t>
      </w:r>
    </w:p>
    <w:p w:rsidR="00B37DCD" w:rsidRDefault="00EC4EEF">
      <w:pPr>
        <w:spacing w:line="600" w:lineRule="exact"/>
        <w:jc w:val="center"/>
        <w:outlineLvl w:val="0"/>
        <w:rPr>
          <w:rStyle w:val="1Char"/>
          <w:rFonts w:ascii="方正小标宋简体" w:eastAsia="方正小标宋简体" w:hAnsi="方正小标宋简体" w:cs="方正小标宋简体"/>
          <w:b w:val="0"/>
        </w:rPr>
      </w:pPr>
      <w:bookmarkStart w:id="54" w:name="_Toc15377226"/>
      <w:r>
        <w:rPr>
          <w:rFonts w:eastAsia="仿宋_GB2312" w:cs="仿宋_GB2312" w:hint="eastAsia"/>
          <w:sz w:val="32"/>
          <w:szCs w:val="32"/>
        </w:rPr>
        <w:br w:type="page"/>
      </w:r>
      <w:r>
        <w:rPr>
          <w:rFonts w:ascii="方正小标宋简体" w:eastAsia="方正小标宋简体" w:hAnsi="方正小标宋简体" w:cs="方正小标宋简体" w:hint="eastAsia"/>
          <w:sz w:val="44"/>
          <w:szCs w:val="44"/>
        </w:rPr>
        <w:lastRenderedPageBreak/>
        <w:t>第</w:t>
      </w:r>
      <w:r>
        <w:rPr>
          <w:rStyle w:val="1Char"/>
          <w:rFonts w:ascii="方正小标宋简体" w:eastAsia="方正小标宋简体" w:hAnsi="方正小标宋简体" w:cs="方正小标宋简体" w:hint="eastAsia"/>
          <w:b w:val="0"/>
        </w:rPr>
        <w:t>四部分</w:t>
      </w:r>
      <w:r>
        <w:rPr>
          <w:rStyle w:val="1Char"/>
          <w:rFonts w:ascii="方正小标宋简体" w:eastAsia="方正小标宋简体" w:hAnsi="方正小标宋简体" w:cs="方正小标宋简体" w:hint="eastAsia"/>
          <w:b w:val="0"/>
        </w:rPr>
        <w:t xml:space="preserve"> </w:t>
      </w:r>
      <w:r>
        <w:rPr>
          <w:rStyle w:val="1Char"/>
          <w:rFonts w:ascii="方正小标宋简体" w:eastAsia="方正小标宋简体" w:hAnsi="方正小标宋简体" w:cs="方正小标宋简体" w:hint="eastAsia"/>
          <w:b w:val="0"/>
        </w:rPr>
        <w:t>附件</w:t>
      </w:r>
    </w:p>
    <w:p w:rsidR="00B37DCD" w:rsidRDefault="00B37DCD">
      <w:pPr>
        <w:spacing w:line="572" w:lineRule="exact"/>
        <w:jc w:val="left"/>
        <w:outlineLvl w:val="0"/>
        <w:rPr>
          <w:rFonts w:ascii="仿宋_GB2312" w:eastAsia="仿宋_GB2312" w:hAnsi="仿宋_GB2312" w:cs="仿宋_GB2312"/>
          <w:sz w:val="32"/>
          <w:szCs w:val="32"/>
        </w:rPr>
      </w:pPr>
    </w:p>
    <w:p w:rsidR="00B37DCD" w:rsidRDefault="00EC4EEF">
      <w:pPr>
        <w:spacing w:line="600" w:lineRule="exact"/>
        <w:jc w:val="center"/>
        <w:outlineLvl w:val="0"/>
        <w:rPr>
          <w:rFonts w:ascii="黑体" w:eastAsia="黑体" w:hAnsi="黑体"/>
          <w:color w:val="FF0000"/>
          <w:sz w:val="44"/>
          <w:szCs w:val="44"/>
        </w:rPr>
      </w:pPr>
      <w:r>
        <w:rPr>
          <w:rFonts w:hint="eastAsia"/>
          <w:sz w:val="32"/>
          <w:szCs w:val="32"/>
        </w:rPr>
        <w:t>部门预算项目支出绩效自评表（</w:t>
      </w:r>
      <w:r>
        <w:rPr>
          <w:rFonts w:hint="eastAsia"/>
          <w:sz w:val="32"/>
          <w:szCs w:val="32"/>
        </w:rPr>
        <w:t>202</w:t>
      </w:r>
      <w:r>
        <w:rPr>
          <w:rFonts w:hint="eastAsia"/>
          <w:sz w:val="32"/>
          <w:szCs w:val="32"/>
        </w:rPr>
        <w:t>5</w:t>
      </w:r>
      <w:r>
        <w:rPr>
          <w:rFonts w:hint="eastAsia"/>
          <w:sz w:val="32"/>
          <w:szCs w:val="32"/>
        </w:rPr>
        <w:t>年度）</w:t>
      </w:r>
    </w:p>
    <w:p w:rsidR="00B37DCD" w:rsidRDefault="00B37DCD">
      <w:pPr>
        <w:spacing w:line="572" w:lineRule="exact"/>
        <w:jc w:val="left"/>
        <w:outlineLvl w:val="0"/>
        <w:rPr>
          <w:rFonts w:eastAsia="黑体" w:cs="方正小标宋简体"/>
          <w:sz w:val="44"/>
          <w:szCs w:val="44"/>
        </w:rPr>
      </w:pPr>
    </w:p>
    <w:p w:rsidR="00B37DCD" w:rsidRDefault="00B37DCD">
      <w:pPr>
        <w:widowControl/>
        <w:spacing w:line="578" w:lineRule="exact"/>
        <w:contextualSpacing/>
        <w:jc w:val="center"/>
        <w:rPr>
          <w:rFonts w:eastAsia="方正小标宋简体"/>
          <w:bCs/>
          <w:sz w:val="44"/>
          <w:szCs w:val="44"/>
          <w:shd w:val="clear" w:color="auto" w:fill="FFFFFF"/>
        </w:rPr>
      </w:pPr>
    </w:p>
    <w:p w:rsidR="00B37DCD" w:rsidRDefault="00B37DCD">
      <w:pPr>
        <w:spacing w:line="578" w:lineRule="exact"/>
        <w:ind w:firstLine="640"/>
        <w:rPr>
          <w:rFonts w:eastAsia="仿宋_GB2312" w:cs="仿宋_GB2312"/>
          <w:kern w:val="0"/>
          <w:sz w:val="32"/>
          <w:szCs w:val="32"/>
        </w:rPr>
      </w:pPr>
    </w:p>
    <w:p w:rsidR="00B37DCD" w:rsidRDefault="00EC4EEF">
      <w:pPr>
        <w:spacing w:line="578" w:lineRule="exact"/>
        <w:ind w:firstLine="640"/>
        <w:rPr>
          <w:rFonts w:eastAsia="仿宋_GB2312" w:cs="仿宋_GB2312"/>
          <w:kern w:val="0"/>
          <w:sz w:val="32"/>
          <w:szCs w:val="32"/>
        </w:rPr>
      </w:pPr>
      <w:bookmarkStart w:id="55" w:name="_Toc15396618"/>
      <w:r>
        <w:rPr>
          <w:rFonts w:eastAsia="仿宋_GB2312" w:cs="仿宋_GB2312" w:hint="eastAsia"/>
          <w:kern w:val="0"/>
          <w:sz w:val="32"/>
          <w:szCs w:val="32"/>
        </w:rPr>
        <w:br w:type="page"/>
      </w:r>
    </w:p>
    <w:p w:rsidR="00B37DCD" w:rsidRDefault="00EC4EEF">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56" w:name="_Toc15396619"/>
      <w:bookmarkEnd w:id="54"/>
      <w:bookmarkEnd w:id="55"/>
    </w:p>
    <w:p w:rsidR="00B37DCD" w:rsidRDefault="00B37DCD">
      <w:pPr>
        <w:pStyle w:val="21"/>
        <w:adjustRightInd w:val="0"/>
        <w:snapToGrid w:val="0"/>
        <w:spacing w:line="560" w:lineRule="exact"/>
        <w:jc w:val="left"/>
        <w:rPr>
          <w:rFonts w:eastAsia="仿宋_GB2312" w:cs="仿宋_GB2312"/>
          <w:sz w:val="32"/>
          <w:szCs w:val="32"/>
        </w:rPr>
      </w:pPr>
    </w:p>
    <w:p w:rsidR="00B37DCD" w:rsidRDefault="00EC4EEF">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56"/>
    </w:p>
    <w:p w:rsidR="00B37DCD" w:rsidRDefault="00EC4EEF">
      <w:pPr>
        <w:pStyle w:val="21"/>
        <w:adjustRightInd w:val="0"/>
        <w:snapToGrid w:val="0"/>
        <w:spacing w:line="560" w:lineRule="exact"/>
        <w:jc w:val="left"/>
        <w:rPr>
          <w:rFonts w:eastAsia="仿宋_GB2312" w:cs="仿宋_GB2312"/>
          <w:sz w:val="32"/>
          <w:szCs w:val="32"/>
        </w:rPr>
      </w:pPr>
      <w:bookmarkStart w:id="57" w:name="_Toc15396620"/>
      <w:r>
        <w:rPr>
          <w:rFonts w:eastAsia="仿宋_GB2312" w:cs="仿宋_GB2312" w:hint="eastAsia"/>
          <w:sz w:val="32"/>
          <w:szCs w:val="32"/>
        </w:rPr>
        <w:t>二、收入决算表</w:t>
      </w:r>
      <w:bookmarkEnd w:id="57"/>
    </w:p>
    <w:p w:rsidR="00B37DCD" w:rsidRDefault="00EC4EEF">
      <w:pPr>
        <w:pStyle w:val="21"/>
        <w:adjustRightInd w:val="0"/>
        <w:snapToGrid w:val="0"/>
        <w:spacing w:line="560" w:lineRule="exact"/>
        <w:jc w:val="left"/>
        <w:rPr>
          <w:rFonts w:eastAsia="仿宋_GB2312" w:cs="仿宋_GB2312"/>
          <w:sz w:val="32"/>
          <w:szCs w:val="32"/>
        </w:rPr>
      </w:pPr>
      <w:bookmarkStart w:id="58" w:name="_Toc15396621"/>
      <w:r>
        <w:rPr>
          <w:rFonts w:eastAsia="仿宋_GB2312" w:cs="仿宋_GB2312" w:hint="eastAsia"/>
          <w:sz w:val="32"/>
          <w:szCs w:val="32"/>
        </w:rPr>
        <w:t>三、支出决算表</w:t>
      </w:r>
      <w:bookmarkEnd w:id="58"/>
    </w:p>
    <w:p w:rsidR="00B37DCD" w:rsidRDefault="00EC4EEF">
      <w:pPr>
        <w:pStyle w:val="21"/>
        <w:adjustRightInd w:val="0"/>
        <w:snapToGrid w:val="0"/>
        <w:spacing w:line="560" w:lineRule="exact"/>
        <w:jc w:val="left"/>
        <w:rPr>
          <w:rFonts w:eastAsia="仿宋_GB2312" w:cs="仿宋_GB2312"/>
          <w:sz w:val="32"/>
          <w:szCs w:val="32"/>
        </w:rPr>
      </w:pPr>
      <w:bookmarkStart w:id="59" w:name="_Toc15396622"/>
      <w:r>
        <w:rPr>
          <w:rFonts w:eastAsia="仿宋_GB2312" w:cs="仿宋_GB2312" w:hint="eastAsia"/>
          <w:sz w:val="32"/>
          <w:szCs w:val="32"/>
        </w:rPr>
        <w:t>四、财政拨款收入支出决算总表</w:t>
      </w:r>
      <w:bookmarkEnd w:id="59"/>
    </w:p>
    <w:p w:rsidR="00B37DCD" w:rsidRDefault="00EC4EEF">
      <w:pPr>
        <w:pStyle w:val="21"/>
        <w:adjustRightInd w:val="0"/>
        <w:snapToGrid w:val="0"/>
        <w:spacing w:line="560" w:lineRule="exact"/>
        <w:jc w:val="left"/>
        <w:rPr>
          <w:rFonts w:eastAsia="仿宋_GB2312" w:cs="仿宋_GB2312"/>
          <w:sz w:val="32"/>
          <w:szCs w:val="32"/>
        </w:rPr>
      </w:pPr>
      <w:bookmarkStart w:id="60" w:name="_Toc15396623"/>
      <w:r>
        <w:rPr>
          <w:rFonts w:eastAsia="仿宋_GB2312" w:cs="仿宋_GB2312" w:hint="eastAsia"/>
          <w:sz w:val="32"/>
          <w:szCs w:val="32"/>
        </w:rPr>
        <w:t>五、财政拨款支出决算明细表</w:t>
      </w:r>
      <w:bookmarkStart w:id="61" w:name="_Toc15396624"/>
      <w:bookmarkEnd w:id="60"/>
    </w:p>
    <w:p w:rsidR="00B37DCD" w:rsidRDefault="00EC4EEF">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1"/>
    </w:p>
    <w:p w:rsidR="00B37DCD" w:rsidRDefault="00EC4EEF">
      <w:pPr>
        <w:pStyle w:val="21"/>
        <w:adjustRightInd w:val="0"/>
        <w:snapToGrid w:val="0"/>
        <w:spacing w:line="560" w:lineRule="exact"/>
        <w:jc w:val="left"/>
        <w:rPr>
          <w:rFonts w:eastAsia="仿宋_GB2312" w:cs="仿宋_GB2312"/>
          <w:sz w:val="32"/>
          <w:szCs w:val="32"/>
        </w:rPr>
      </w:pPr>
      <w:bookmarkStart w:id="62" w:name="_Toc15396625"/>
      <w:r>
        <w:rPr>
          <w:rFonts w:eastAsia="仿宋_GB2312" w:cs="仿宋_GB2312" w:hint="eastAsia"/>
          <w:sz w:val="32"/>
          <w:szCs w:val="32"/>
        </w:rPr>
        <w:t>七、一般公共预算财政拨款支出决算明细表</w:t>
      </w:r>
      <w:bookmarkEnd w:id="62"/>
    </w:p>
    <w:p w:rsidR="00B37DCD" w:rsidRDefault="00EC4EEF">
      <w:pPr>
        <w:pStyle w:val="21"/>
        <w:adjustRightInd w:val="0"/>
        <w:snapToGrid w:val="0"/>
        <w:spacing w:line="560" w:lineRule="exact"/>
        <w:jc w:val="left"/>
        <w:rPr>
          <w:rFonts w:eastAsia="仿宋_GB2312" w:cs="仿宋_GB2312"/>
          <w:sz w:val="32"/>
          <w:szCs w:val="32"/>
        </w:rPr>
      </w:pPr>
      <w:bookmarkStart w:id="63" w:name="_Toc15396626"/>
      <w:r>
        <w:rPr>
          <w:rFonts w:eastAsia="仿宋_GB2312" w:cs="仿宋_GB2312" w:hint="eastAsia"/>
          <w:sz w:val="32"/>
          <w:szCs w:val="32"/>
        </w:rPr>
        <w:t>八、一般公共预算财政拨款基本支出决算表</w:t>
      </w:r>
      <w:bookmarkEnd w:id="63"/>
    </w:p>
    <w:p w:rsidR="00B37DCD" w:rsidRDefault="00EC4EEF">
      <w:pPr>
        <w:pStyle w:val="21"/>
        <w:adjustRightInd w:val="0"/>
        <w:snapToGrid w:val="0"/>
        <w:spacing w:line="560" w:lineRule="exact"/>
        <w:jc w:val="left"/>
        <w:rPr>
          <w:rFonts w:eastAsia="仿宋_GB2312" w:cs="仿宋_GB2312"/>
          <w:sz w:val="32"/>
          <w:szCs w:val="32"/>
        </w:rPr>
      </w:pPr>
      <w:bookmarkStart w:id="64" w:name="_Toc15396627"/>
      <w:r>
        <w:rPr>
          <w:rFonts w:eastAsia="仿宋_GB2312" w:cs="仿宋_GB2312" w:hint="eastAsia"/>
          <w:sz w:val="32"/>
          <w:szCs w:val="32"/>
        </w:rPr>
        <w:t>九、一般公共预算财政拨款项目支出决算表</w:t>
      </w:r>
      <w:bookmarkEnd w:id="64"/>
    </w:p>
    <w:p w:rsidR="00B37DCD" w:rsidRDefault="00EC4EEF">
      <w:pPr>
        <w:pStyle w:val="21"/>
        <w:adjustRightInd w:val="0"/>
        <w:snapToGrid w:val="0"/>
        <w:spacing w:line="560" w:lineRule="exact"/>
        <w:jc w:val="left"/>
        <w:rPr>
          <w:rFonts w:eastAsia="仿宋_GB2312" w:cs="仿宋_GB2312"/>
          <w:sz w:val="32"/>
          <w:szCs w:val="32"/>
        </w:rPr>
      </w:pPr>
      <w:bookmarkStart w:id="65" w:name="_Toc15396628"/>
      <w:r>
        <w:rPr>
          <w:rFonts w:eastAsia="仿宋_GB2312" w:cs="仿宋_GB2312" w:hint="eastAsia"/>
          <w:sz w:val="32"/>
          <w:szCs w:val="32"/>
        </w:rPr>
        <w:t>十、</w:t>
      </w:r>
      <w:bookmarkEnd w:id="65"/>
      <w:r>
        <w:rPr>
          <w:rFonts w:eastAsia="仿宋_GB2312" w:cs="仿宋_GB2312" w:hint="eastAsia"/>
          <w:sz w:val="32"/>
          <w:szCs w:val="32"/>
        </w:rPr>
        <w:t>政府性基金预算财政拨款收入支出决算表</w:t>
      </w:r>
    </w:p>
    <w:p w:rsidR="00B37DCD" w:rsidRDefault="00EC4EEF">
      <w:pPr>
        <w:pStyle w:val="21"/>
        <w:adjustRightInd w:val="0"/>
        <w:snapToGrid w:val="0"/>
        <w:spacing w:line="560" w:lineRule="exact"/>
        <w:jc w:val="left"/>
        <w:rPr>
          <w:rFonts w:eastAsia="仿宋_GB2312" w:cs="仿宋_GB2312"/>
          <w:sz w:val="32"/>
          <w:szCs w:val="32"/>
        </w:rPr>
      </w:pPr>
      <w:bookmarkStart w:id="66" w:name="_Toc15396629"/>
      <w:r>
        <w:rPr>
          <w:rFonts w:eastAsia="仿宋_GB2312" w:cs="仿宋_GB2312" w:hint="eastAsia"/>
          <w:sz w:val="32"/>
          <w:szCs w:val="32"/>
        </w:rPr>
        <w:t>十一、</w:t>
      </w:r>
      <w:bookmarkEnd w:id="66"/>
      <w:r>
        <w:rPr>
          <w:rFonts w:eastAsia="仿宋_GB2312" w:cs="仿宋_GB2312" w:hint="eastAsia"/>
          <w:sz w:val="32"/>
          <w:szCs w:val="32"/>
        </w:rPr>
        <w:t>国有资本经营预算财政拨款收入支出决算表（此表无数据）</w:t>
      </w:r>
    </w:p>
    <w:p w:rsidR="00B37DCD" w:rsidRDefault="00EC4EEF">
      <w:pPr>
        <w:pStyle w:val="21"/>
        <w:adjustRightInd w:val="0"/>
        <w:snapToGrid w:val="0"/>
        <w:spacing w:line="560" w:lineRule="exact"/>
        <w:jc w:val="left"/>
        <w:rPr>
          <w:rFonts w:eastAsia="仿宋_GB2312" w:cs="仿宋_GB2312"/>
          <w:sz w:val="32"/>
          <w:szCs w:val="32"/>
        </w:rPr>
      </w:pPr>
      <w:bookmarkStart w:id="67" w:name="_Toc15396630"/>
      <w:r>
        <w:rPr>
          <w:rFonts w:eastAsia="仿宋_GB2312" w:cs="仿宋_GB2312" w:hint="eastAsia"/>
          <w:sz w:val="32"/>
          <w:szCs w:val="32"/>
        </w:rPr>
        <w:t>十二、</w:t>
      </w:r>
      <w:bookmarkEnd w:id="67"/>
      <w:r>
        <w:rPr>
          <w:rFonts w:eastAsia="仿宋_GB2312" w:cs="仿宋_GB2312" w:hint="eastAsia"/>
          <w:sz w:val="32"/>
          <w:szCs w:val="32"/>
        </w:rPr>
        <w:t>国有资本经营预算财政拨款支出决算表（此表无数据）</w:t>
      </w:r>
    </w:p>
    <w:p w:rsidR="00B37DCD" w:rsidRDefault="00EC4EEF">
      <w:pPr>
        <w:pStyle w:val="21"/>
        <w:adjustRightInd w:val="0"/>
        <w:snapToGrid w:val="0"/>
        <w:spacing w:line="560" w:lineRule="exact"/>
        <w:jc w:val="left"/>
        <w:rPr>
          <w:rFonts w:eastAsia="仿宋_GB2312" w:cs="仿宋_GB2312"/>
          <w:sz w:val="32"/>
          <w:szCs w:val="32"/>
        </w:rPr>
      </w:pPr>
      <w:bookmarkStart w:id="68" w:name="_Toc15396631"/>
      <w:r>
        <w:rPr>
          <w:rFonts w:eastAsia="仿宋_GB2312" w:cs="仿宋_GB2312" w:hint="eastAsia"/>
          <w:sz w:val="32"/>
          <w:szCs w:val="32"/>
        </w:rPr>
        <w:t>十三、</w:t>
      </w:r>
      <w:bookmarkEnd w:id="68"/>
      <w:r>
        <w:rPr>
          <w:rFonts w:eastAsia="仿宋_GB2312" w:cs="仿宋_GB2312" w:hint="eastAsia"/>
          <w:sz w:val="32"/>
          <w:szCs w:val="32"/>
        </w:rPr>
        <w:t>财政拨款“三公”经费支出决算表</w:t>
      </w:r>
    </w:p>
    <w:p w:rsidR="00B37DCD" w:rsidRDefault="00B37DCD"/>
    <w:sectPr w:rsidR="00B37DCD" w:rsidSect="00B37DCD">
      <w:footerReference w:type="default" r:id="rId22"/>
      <w:footerReference w:type="first" r:id="rId23"/>
      <w:pgSz w:w="11906" w:h="16838"/>
      <w:pgMar w:top="1440" w:right="1800" w:bottom="1440" w:left="1800" w:header="851" w:footer="992" w:gutter="0"/>
      <w:pgNumType w:start="3"/>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EEF" w:rsidRDefault="00EC4EEF" w:rsidP="00B37DCD">
      <w:r>
        <w:separator/>
      </w:r>
    </w:p>
  </w:endnote>
  <w:endnote w:type="continuationSeparator" w:id="1">
    <w:p w:rsidR="00EC4EEF" w:rsidRDefault="00EC4EEF" w:rsidP="00B37D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Arial Unicode MS"/>
    <w:charset w:val="86"/>
    <w:family w:val="modern"/>
    <w:pitch w:val="default"/>
    <w:sig w:usb0="00000000" w:usb1="080E0000" w:usb2="0000000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sig w:usb0="00000000" w:usb1="00000000" w:usb2="00000000" w:usb3="00000000" w:csb0="00000000" w:csb1="00000000"/>
  </w:font>
  <w:font w:name="方正小标宋简体">
    <w:altName w:val="Arial Unicode MS"/>
    <w:charset w:val="86"/>
    <w:family w:val="script"/>
    <w:pitch w:val="default"/>
    <w:sig w:usb0="00000000" w:usb1="080E0000" w:usb2="00000000" w:usb3="00000000" w:csb0="00040000" w:csb1="00000000"/>
  </w:font>
  <w:font w:name="楷体_GB2312">
    <w:altName w:val="Arial Unicode MS"/>
    <w:charset w:val="86"/>
    <w:family w:val="auto"/>
    <w:pitch w:val="default"/>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7"/>
      <w:jc w:val="center"/>
    </w:pPr>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61312;mso-wrap-style:none;mso-position-horizontal:center;mso-position-horizontal-relative:margin" filled="f" stroked="f">
          <v:textbox style="mso-fit-shape-to-text:t" inset="0,0,0,0">
            <w:txbxContent>
              <w:p w:rsidR="00B37DCD" w:rsidRDefault="00B37DCD">
                <w:pPr>
                  <w:pStyle w:val="a7"/>
                </w:pPr>
                <w:r>
                  <w:fldChar w:fldCharType="begin"/>
                </w:r>
                <w:r w:rsidR="00EC4EEF">
                  <w:instrText xml:space="preserve"> PAGE  \* MERGEFORMAT </w:instrText>
                </w:r>
                <w:r>
                  <w:fldChar w:fldCharType="separate"/>
                </w:r>
                <w:r w:rsidR="00EC4EEF">
                  <w:t>1</w:t>
                </w:r>
                <w:r>
                  <w:fldChar w:fldCharType="end"/>
                </w:r>
              </w:p>
            </w:txbxContent>
          </v:textbox>
          <w10:wrap anchorx="margin"/>
        </v:shape>
      </w:pict>
    </w:r>
  </w:p>
  <w:p w:rsidR="00B37DCD" w:rsidRDefault="00B37DCD">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7"/>
    </w:pPr>
    <w:r>
      <w:pict>
        <v:shapetype id="_x0000_t202" coordsize="21600,21600" o:spt="202" path="m,l,21600r21600,l21600,xe">
          <v:stroke joinstyle="miter"/>
          <v:path gradientshapeok="t" o:connecttype="rect"/>
        </v:shapetype>
        <v:shape id="_x0000_s1028" type="#_x0000_t202" style="position:absolute;margin-left:0;margin-top:0;width:2in;height:2in;z-index:251662336;mso-wrap-style:none;mso-position-horizontal:center;mso-position-horizontal-relative:margin" filled="f" stroked="f">
          <v:textbox style="mso-fit-shape-to-text:t" inset="0,0,0,0">
            <w:txbxContent>
              <w:p w:rsidR="00B37DCD" w:rsidRDefault="00B37DCD">
                <w:pPr>
                  <w:pStyle w:val="a7"/>
                </w:pPr>
                <w:r>
                  <w:fldChar w:fldCharType="begin"/>
                </w:r>
                <w:r w:rsidR="00EC4EEF">
                  <w:instrText xml:space="preserve"> PAGE  \* MERGEFORMAT </w:instrText>
                </w:r>
                <w:r>
                  <w:fldChar w:fldCharType="separate"/>
                </w:r>
                <w:r w:rsidR="006B6E52">
                  <w:rPr>
                    <w:noProof/>
                  </w:rPr>
                  <w:t>1</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7"/>
      <w:jc w:val="center"/>
    </w:pPr>
    <w:r>
      <w:pict>
        <v:shapetype id="_x0000_t202" coordsize="21600,21600" o:spt="202" path="m,l,21600r21600,l21600,xe">
          <v:stroke joinstyle="miter"/>
          <v:path gradientshapeok="t" o:connecttype="rect"/>
        </v:shapetype>
        <v:shape id="_x0000_s1029" type="#_x0000_t202" style="position:absolute;left:0;text-align:left;margin-left:0;margin-top:0;width:2in;height:2in;z-index:251663360;mso-wrap-style:none;mso-position-horizontal:center;mso-position-horizontal-relative:margin" filled="f" stroked="f">
          <v:textbox style="mso-fit-shape-to-text:t" inset="0,0,0,0">
            <w:txbxContent>
              <w:p w:rsidR="00B37DCD" w:rsidRDefault="00B37DCD">
                <w:pPr>
                  <w:pStyle w:val="a7"/>
                </w:pPr>
                <w:r>
                  <w:fldChar w:fldCharType="begin"/>
                </w:r>
                <w:r w:rsidR="00EC4EEF">
                  <w:instrText xml:space="preserve"> PAGE  \* MERGEFORMAT </w:instrText>
                </w:r>
                <w:r>
                  <w:fldChar w:fldCharType="separate"/>
                </w:r>
                <w:r w:rsidR="00EC4EEF">
                  <w:t>1</w:t>
                </w:r>
                <w:r>
                  <w:fldChar w:fldCharType="end"/>
                </w:r>
              </w:p>
            </w:txbxContent>
          </v:textbox>
          <w10:wrap anchorx="margin"/>
        </v:shape>
      </w:pict>
    </w:r>
  </w:p>
  <w:p w:rsidR="00B37DCD" w:rsidRDefault="00B37DCD">
    <w:pPr>
      <w:pStyle w:val="a7"/>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7"/>
    </w:pPr>
    <w:r>
      <w:pict>
        <v:shapetype id="_x0000_t202" coordsize="21600,21600" o:spt="202" path="m,l,21600r21600,l21600,xe">
          <v:stroke joinstyle="miter"/>
          <v:path gradientshapeok="t" o:connecttype="rect"/>
        </v:shapetype>
        <v:shape id="_x0000_s1030" type="#_x0000_t202" style="position:absolute;margin-left:0;margin-top:0;width:2in;height:2in;z-index:251664384;mso-wrap-style:none;mso-position-horizontal:center;mso-position-horizontal-relative:margin" filled="f" stroked="f">
          <v:textbox style="mso-fit-shape-to-text:t" inset="0,0,0,0">
            <w:txbxContent>
              <w:p w:rsidR="00B37DCD" w:rsidRDefault="00B37DCD">
                <w:pPr>
                  <w:pStyle w:val="a7"/>
                </w:pPr>
                <w:r>
                  <w:fldChar w:fldCharType="begin"/>
                </w:r>
                <w:r w:rsidR="00EC4EEF">
                  <w:instrText xml:space="preserve"> PAGE  \* MERGEFORMAT </w:instrText>
                </w:r>
                <w:r>
                  <w:fldChar w:fldCharType="separate"/>
                </w:r>
                <w:r w:rsidR="006B6E52">
                  <w:rPr>
                    <w:noProof/>
                  </w:rPr>
                  <w:t>2</w:t>
                </w:r>
                <w: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7"/>
      <w:jc w:val="center"/>
    </w:pPr>
    <w:r>
      <w:pict>
        <v:shapetype id="_x0000_t202" coordsize="21600,21600" o:spt="202" path="m,l,21600r21600,l21600,xe">
          <v:stroke joinstyle="miter"/>
          <v:path gradientshapeok="t" o:connecttype="rect"/>
        </v:shapetype>
        <v:shape id="_x0000_s1031" type="#_x0000_t202" style="position:absolute;left:0;text-align:left;margin-left:0;margin-top:0;width:2in;height:2in;z-index:251665408;mso-wrap-style:none;mso-position-horizontal:center;mso-position-horizontal-relative:margin" filled="f" stroked="f">
          <v:textbox style="mso-fit-shape-to-text:t" inset="0,0,0,0">
            <w:txbxContent>
              <w:p w:rsidR="00B37DCD" w:rsidRDefault="00B37DCD">
                <w:pPr>
                  <w:pStyle w:val="a7"/>
                </w:pPr>
                <w:r>
                  <w:fldChar w:fldCharType="begin"/>
                </w:r>
                <w:r w:rsidR="00EC4EEF">
                  <w:instrText xml:space="preserve"> PAGE  \* MERGEFORMAT </w:instrText>
                </w:r>
                <w:r>
                  <w:fldChar w:fldCharType="separate"/>
                </w:r>
                <w:r w:rsidR="006B6E52">
                  <w:rPr>
                    <w:noProof/>
                  </w:rPr>
                  <w:t>24</w:t>
                </w:r>
                <w:r>
                  <w:fldChar w:fldCharType="end"/>
                </w:r>
              </w:p>
            </w:txbxContent>
          </v:textbox>
          <w10:wrap anchorx="margin"/>
        </v:shape>
      </w:pict>
    </w:r>
  </w:p>
  <w:p w:rsidR="00B37DCD" w:rsidRDefault="00B37DCD">
    <w:pPr>
      <w:pStyle w:val="a7"/>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7"/>
    </w:pPr>
    <w:r>
      <w:pict>
        <v:shapetype id="_x0000_t202" coordsize="21600,21600" o:spt="202" path="m,l,21600r21600,l21600,xe">
          <v:stroke joinstyle="miter"/>
          <v:path gradientshapeok="t" o:connecttype="rect"/>
        </v:shapetype>
        <v:shape id="_x0000_s1026" type="#_x0000_t202" style="position:absolute;margin-left:0;margin-top:0;width:2in;height:2in;z-index:251660288;mso-wrap-style:none;mso-position-horizontal:center;mso-position-horizontal-relative:margin" filled="f" stroked="f" strokeweight=".5pt">
          <v:textbox style="mso-fit-shape-to-text:t" inset="0,0,0,0">
            <w:txbxContent>
              <w:p w:rsidR="00B37DCD" w:rsidRDefault="00B37DCD">
                <w:pPr>
                  <w:pStyle w:val="a7"/>
                </w:pPr>
                <w:r>
                  <w:rPr>
                    <w:rFonts w:hint="eastAsia"/>
                  </w:rPr>
                  <w:fldChar w:fldCharType="begin"/>
                </w:r>
                <w:r w:rsidR="00EC4EEF">
                  <w:rPr>
                    <w:rFonts w:hint="eastAsia"/>
                  </w:rPr>
                  <w:instrText xml:space="preserve"> PAGE  \* MERGEFORMAT </w:instrText>
                </w:r>
                <w:r>
                  <w:rPr>
                    <w:rFonts w:hint="eastAsia"/>
                  </w:rPr>
                  <w:fldChar w:fldCharType="separate"/>
                </w:r>
                <w:r w:rsidR="00EC4EEF">
                  <w:rPr>
                    <w:rFonts w:hint="eastAsia"/>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EEF" w:rsidRDefault="00EC4EEF" w:rsidP="00B37DCD">
      <w:r>
        <w:separator/>
      </w:r>
    </w:p>
  </w:footnote>
  <w:footnote w:type="continuationSeparator" w:id="1">
    <w:p w:rsidR="00EC4EEF" w:rsidRDefault="00EC4EEF" w:rsidP="00B37D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CD" w:rsidRDefault="00B37DCD">
    <w:pPr>
      <w:pStyle w:val="a8"/>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E52" w:rsidRDefault="006B6E52">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fillcolor="white">
      <v:fill color="white"/>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1ED7"/>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B6E52"/>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2052F"/>
    <w:rsid w:val="00B310B9"/>
    <w:rsid w:val="00B35F3F"/>
    <w:rsid w:val="00B36CBB"/>
    <w:rsid w:val="00B37DCD"/>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12B34"/>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C4EEF"/>
    <w:rsid w:val="00ED1B63"/>
    <w:rsid w:val="00ED3C1F"/>
    <w:rsid w:val="00ED4085"/>
    <w:rsid w:val="00ED420E"/>
    <w:rsid w:val="00ED6FBE"/>
    <w:rsid w:val="00EE2F57"/>
    <w:rsid w:val="00EF4C34"/>
    <w:rsid w:val="00EF77C6"/>
    <w:rsid w:val="00F05438"/>
    <w:rsid w:val="00F07783"/>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070BCC"/>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6C7DE4"/>
    <w:rsid w:val="3B7EF35A"/>
    <w:rsid w:val="3B9FDB6C"/>
    <w:rsid w:val="3BF5BC2F"/>
    <w:rsid w:val="3C463D45"/>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37DCD"/>
    <w:pPr>
      <w:widowControl w:val="0"/>
      <w:jc w:val="both"/>
    </w:pPr>
    <w:rPr>
      <w:kern w:val="2"/>
      <w:sz w:val="21"/>
      <w:szCs w:val="24"/>
    </w:rPr>
  </w:style>
  <w:style w:type="paragraph" w:styleId="1">
    <w:name w:val="heading 1"/>
    <w:basedOn w:val="a"/>
    <w:next w:val="a"/>
    <w:link w:val="1Char"/>
    <w:uiPriority w:val="9"/>
    <w:qFormat/>
    <w:rsid w:val="00B37DC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B37DC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B37DCD"/>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B37DCD"/>
    <w:pPr>
      <w:snapToGrid w:val="0"/>
      <w:jc w:val="left"/>
    </w:pPr>
    <w:rPr>
      <w:sz w:val="18"/>
      <w:szCs w:val="18"/>
    </w:rPr>
  </w:style>
  <w:style w:type="paragraph" w:styleId="20">
    <w:name w:val="Body Text First Indent 2"/>
    <w:basedOn w:val="a4"/>
    <w:next w:val="a"/>
    <w:uiPriority w:val="99"/>
    <w:unhideWhenUsed/>
    <w:qFormat/>
    <w:rsid w:val="00B37DCD"/>
    <w:pPr>
      <w:ind w:firstLineChars="200" w:firstLine="420"/>
    </w:pPr>
  </w:style>
  <w:style w:type="paragraph" w:styleId="a4">
    <w:name w:val="Body Text Indent"/>
    <w:basedOn w:val="a"/>
    <w:next w:val="20"/>
    <w:qFormat/>
    <w:rsid w:val="00B37DCD"/>
    <w:pPr>
      <w:spacing w:after="120"/>
      <w:ind w:leftChars="200" w:left="200"/>
    </w:pPr>
    <w:rPr>
      <w:rFonts w:ascii="仿宋_GB2312"/>
      <w:szCs w:val="32"/>
    </w:rPr>
  </w:style>
  <w:style w:type="paragraph" w:styleId="a5">
    <w:name w:val="Body Text"/>
    <w:basedOn w:val="a"/>
    <w:link w:val="Char"/>
    <w:uiPriority w:val="99"/>
    <w:qFormat/>
    <w:rsid w:val="00B37DCD"/>
    <w:pPr>
      <w:spacing w:beforeLines="30"/>
    </w:pPr>
    <w:rPr>
      <w:rFonts w:ascii="仿宋_GB2312" w:eastAsia="仿宋_GB2312"/>
      <w:kern w:val="0"/>
      <w:sz w:val="30"/>
    </w:rPr>
  </w:style>
  <w:style w:type="paragraph" w:styleId="30">
    <w:name w:val="toc 3"/>
    <w:basedOn w:val="a"/>
    <w:next w:val="a"/>
    <w:uiPriority w:val="39"/>
    <w:unhideWhenUsed/>
    <w:qFormat/>
    <w:rsid w:val="00B37DCD"/>
    <w:pPr>
      <w:tabs>
        <w:tab w:val="right" w:leader="dot" w:pos="8296"/>
      </w:tabs>
      <w:ind w:leftChars="400" w:left="840"/>
    </w:pPr>
  </w:style>
  <w:style w:type="paragraph" w:styleId="a6">
    <w:name w:val="Balloon Text"/>
    <w:basedOn w:val="a"/>
    <w:link w:val="Char0"/>
    <w:uiPriority w:val="99"/>
    <w:semiHidden/>
    <w:unhideWhenUsed/>
    <w:qFormat/>
    <w:rsid w:val="00B37DCD"/>
    <w:rPr>
      <w:sz w:val="18"/>
      <w:szCs w:val="18"/>
    </w:rPr>
  </w:style>
  <w:style w:type="paragraph" w:styleId="a7">
    <w:name w:val="footer"/>
    <w:basedOn w:val="a"/>
    <w:link w:val="Char1"/>
    <w:uiPriority w:val="99"/>
    <w:qFormat/>
    <w:rsid w:val="00B37DCD"/>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B37DCD"/>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B37DCD"/>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rsid w:val="00B37DCD"/>
    <w:pPr>
      <w:tabs>
        <w:tab w:val="right" w:leader="dot" w:pos="8296"/>
      </w:tabs>
      <w:ind w:leftChars="200" w:left="420"/>
    </w:pPr>
  </w:style>
  <w:style w:type="character" w:styleId="a9">
    <w:name w:val="Strong"/>
    <w:basedOn w:val="a1"/>
    <w:uiPriority w:val="99"/>
    <w:qFormat/>
    <w:rsid w:val="00B37DCD"/>
    <w:rPr>
      <w:b/>
    </w:rPr>
  </w:style>
  <w:style w:type="character" w:styleId="aa">
    <w:name w:val="Hyperlink"/>
    <w:basedOn w:val="a1"/>
    <w:uiPriority w:val="99"/>
    <w:unhideWhenUsed/>
    <w:qFormat/>
    <w:rsid w:val="00B37DCD"/>
    <w:rPr>
      <w:color w:val="0000FF" w:themeColor="hyperlink"/>
      <w:u w:val="single"/>
    </w:rPr>
  </w:style>
  <w:style w:type="paragraph" w:customStyle="1" w:styleId="5">
    <w:name w:val="标题 5（有编号）（绿盟科技）"/>
    <w:next w:val="a"/>
    <w:uiPriority w:val="99"/>
    <w:qFormat/>
    <w:rsid w:val="00B37DCD"/>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sid w:val="00B37DCD"/>
    <w:rPr>
      <w:rFonts w:ascii="Times New Roman" w:hAnsi="Times New Roman"/>
      <w:sz w:val="18"/>
      <w:szCs w:val="18"/>
    </w:rPr>
  </w:style>
  <w:style w:type="character" w:customStyle="1" w:styleId="Char2">
    <w:name w:val="页眉 Char"/>
    <w:link w:val="a8"/>
    <w:uiPriority w:val="99"/>
    <w:semiHidden/>
    <w:qFormat/>
    <w:locked/>
    <w:rsid w:val="00B37DCD"/>
    <w:rPr>
      <w:sz w:val="18"/>
    </w:rPr>
  </w:style>
  <w:style w:type="character" w:customStyle="1" w:styleId="FooterChar">
    <w:name w:val="Footer Char"/>
    <w:basedOn w:val="a1"/>
    <w:uiPriority w:val="99"/>
    <w:semiHidden/>
    <w:qFormat/>
    <w:rsid w:val="00B37DCD"/>
    <w:rPr>
      <w:rFonts w:ascii="Times New Roman" w:hAnsi="Times New Roman"/>
      <w:sz w:val="18"/>
      <w:szCs w:val="18"/>
    </w:rPr>
  </w:style>
  <w:style w:type="character" w:customStyle="1" w:styleId="Char1">
    <w:name w:val="页脚 Char"/>
    <w:link w:val="a7"/>
    <w:uiPriority w:val="99"/>
    <w:qFormat/>
    <w:locked/>
    <w:rsid w:val="00B37DCD"/>
    <w:rPr>
      <w:sz w:val="18"/>
    </w:rPr>
  </w:style>
  <w:style w:type="character" w:customStyle="1" w:styleId="BodyTextChar">
    <w:name w:val="Body Text Char"/>
    <w:basedOn w:val="a1"/>
    <w:uiPriority w:val="99"/>
    <w:semiHidden/>
    <w:qFormat/>
    <w:rsid w:val="00B37DCD"/>
    <w:rPr>
      <w:rFonts w:ascii="Times New Roman" w:hAnsi="Times New Roman"/>
      <w:szCs w:val="24"/>
    </w:rPr>
  </w:style>
  <w:style w:type="character" w:customStyle="1" w:styleId="Char">
    <w:name w:val="正文文本 Char"/>
    <w:link w:val="a5"/>
    <w:uiPriority w:val="99"/>
    <w:qFormat/>
    <w:locked/>
    <w:rsid w:val="00B37DCD"/>
    <w:rPr>
      <w:rFonts w:ascii="仿宋_GB2312" w:eastAsia="仿宋_GB2312" w:hAnsi="Times New Roman"/>
      <w:sz w:val="24"/>
    </w:rPr>
  </w:style>
  <w:style w:type="paragraph" w:customStyle="1" w:styleId="Default">
    <w:name w:val="Default"/>
    <w:uiPriority w:val="99"/>
    <w:qFormat/>
    <w:rsid w:val="00B37DCD"/>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rsid w:val="00B37DCD"/>
    <w:pPr>
      <w:ind w:firstLineChars="200" w:firstLine="420"/>
    </w:pPr>
  </w:style>
  <w:style w:type="character" w:customStyle="1" w:styleId="1Char">
    <w:name w:val="标题 1 Char"/>
    <w:basedOn w:val="a1"/>
    <w:link w:val="1"/>
    <w:uiPriority w:val="9"/>
    <w:qFormat/>
    <w:rsid w:val="00B37DCD"/>
    <w:rPr>
      <w:rFonts w:ascii="Times New Roman" w:hAnsi="Times New Roman"/>
      <w:b/>
      <w:bCs/>
      <w:kern w:val="44"/>
      <w:sz w:val="44"/>
      <w:szCs w:val="44"/>
    </w:rPr>
  </w:style>
  <w:style w:type="character" w:customStyle="1" w:styleId="2Char">
    <w:name w:val="标题 2 Char"/>
    <w:basedOn w:val="a1"/>
    <w:link w:val="2"/>
    <w:uiPriority w:val="9"/>
    <w:qFormat/>
    <w:rsid w:val="00B37DCD"/>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B37DC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B37DCD"/>
    <w:rPr>
      <w:rFonts w:ascii="Times New Roman" w:hAnsi="Times New Roman"/>
      <w:kern w:val="2"/>
      <w:sz w:val="18"/>
      <w:szCs w:val="18"/>
    </w:rPr>
  </w:style>
  <w:style w:type="character" w:customStyle="1" w:styleId="3Char">
    <w:name w:val="标题 3 Char"/>
    <w:basedOn w:val="a1"/>
    <w:link w:val="3"/>
    <w:uiPriority w:val="9"/>
    <w:qFormat/>
    <w:rsid w:val="00B37DCD"/>
    <w:rPr>
      <w:rFonts w:ascii="Times New Roman" w:hAnsi="Times New Roman"/>
      <w:b/>
      <w:bCs/>
      <w:kern w:val="2"/>
      <w:sz w:val="32"/>
      <w:szCs w:val="32"/>
    </w:rPr>
  </w:style>
  <w:style w:type="paragraph" w:customStyle="1" w:styleId="TOC2">
    <w:name w:val="TOC 标题2"/>
    <w:basedOn w:val="1"/>
    <w:next w:val="a"/>
    <w:uiPriority w:val="39"/>
    <w:unhideWhenUsed/>
    <w:qFormat/>
    <w:rsid w:val="00B37DC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rsid w:val="00B37DCD"/>
    <w:pPr>
      <w:spacing w:line="360" w:lineRule="auto"/>
    </w:pPr>
    <w:rPr>
      <w:rFonts w:ascii="??" w:hAnsi="??"/>
      <w:color w:val="000000"/>
      <w:kern w:val="0"/>
      <w:sz w:val="28"/>
      <w:szCs w:val="21"/>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textRotate="1"/>
    <customShpInfo spid="_x0000_s1028" textRotate="1"/>
    <customShpInfo spid="_x0000_s1029" textRotate="1"/>
    <customShpInfo spid="_x0000_s1030" textRotate="1"/>
    <customShpInfo spid="_x0000_s1031" textRotate="1"/>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1091</Words>
  <Characters>6222</Characters>
  <Application>Microsoft Office Word</Application>
  <DocSecurity>0</DocSecurity>
  <Lines>51</Lines>
  <Paragraphs>14</Paragraphs>
  <ScaleCrop>false</ScaleCrop>
  <Company>四川省财政厅</Company>
  <LinksUpToDate>false</LinksUpToDate>
  <CharactersWithSpaces>7299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admin</cp:lastModifiedBy>
  <cp:revision>34</cp:revision>
  <cp:lastPrinted>2026-08-03T09:27:00Z</cp:lastPrinted>
  <dcterms:created xsi:type="dcterms:W3CDTF">2020-08-08T17:49:00Z</dcterms:created>
  <dcterms:modified xsi:type="dcterms:W3CDTF">2026-09-02T09:47:00Z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400D301575C74348A5277D00A7902E06</vt:lpwstr>
  </property>
  <property fmtid="{D5CDD505-2E9C-101B-9397-08002B2CF9AE}" pid="4" name="KSOTemplateDocerSaveRecord">
    <vt:lpwstr>eyJoZGlkIjoiNWMwNGQ3N2RiZTJhMjFkYWQwNmQyYWVkZDU5ZGZkOTkiLCJ1c2VySWQiOiIxNDYyNDIxMTcwIn0=</vt:lpwstr>
  </property>
</Properties>
</file>