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93"/>
        <w:jc w:val="center"/>
        <w:rPr>
          <w:rFonts w:ascii="方正小标宋简体" w:hAnsi="宋体" w:eastAsia="方正小标宋简体"/>
          <w:kern w:val="2"/>
          <w:sz w:val="44"/>
          <w:szCs w:val="44"/>
        </w:rPr>
      </w:pPr>
    </w:p>
    <w:p>
      <w:pPr>
        <w:pStyle w:val="8"/>
        <w:spacing w:before="93"/>
        <w:jc w:val="center"/>
        <w:rPr>
          <w:rFonts w:ascii="方正小标宋简体" w:hAnsi="宋体" w:eastAsia="方正小标宋简体"/>
          <w:kern w:val="2"/>
          <w:sz w:val="44"/>
          <w:szCs w:val="44"/>
        </w:rPr>
      </w:pPr>
      <w:r>
        <w:rPr>
          <w:rFonts w:hint="eastAsia" w:ascii="方正小标宋简体" w:hAnsi="宋体" w:eastAsia="方正小标宋简体"/>
          <w:kern w:val="2"/>
          <w:sz w:val="44"/>
          <w:szCs w:val="44"/>
        </w:rPr>
        <w:t>2025年度</w:t>
      </w:r>
    </w:p>
    <w:p>
      <w:pPr>
        <w:pStyle w:val="8"/>
        <w:spacing w:before="93"/>
        <w:jc w:val="center"/>
        <w:rPr>
          <w:rFonts w:ascii="方正小标宋简体" w:hAnsi="宋体" w:eastAsia="方正小标宋简体"/>
          <w:kern w:val="2"/>
          <w:sz w:val="44"/>
          <w:szCs w:val="44"/>
        </w:rPr>
      </w:pPr>
      <w:r>
        <w:rPr>
          <w:rFonts w:hint="eastAsia" w:ascii="方正小标宋简体" w:hAnsi="宋体" w:eastAsia="方正小标宋简体"/>
          <w:kern w:val="2"/>
          <w:sz w:val="44"/>
          <w:szCs w:val="44"/>
        </w:rPr>
        <w:t>攀枝花市第三高级中学校</w:t>
      </w:r>
    </w:p>
    <w:p>
      <w:pPr>
        <w:pStyle w:val="8"/>
        <w:spacing w:before="93"/>
        <w:jc w:val="center"/>
        <w:rPr>
          <w:rFonts w:ascii="方正小标宋简体" w:hAnsi="宋体" w:eastAsia="方正小标宋简体"/>
          <w:kern w:val="2"/>
          <w:sz w:val="44"/>
          <w:szCs w:val="44"/>
        </w:rPr>
      </w:pPr>
      <w:r>
        <w:rPr>
          <w:rFonts w:hint="eastAsia" w:ascii="方正小标宋简体" w:hAnsi="宋体" w:eastAsia="方正小标宋简体"/>
          <w:kern w:val="2"/>
          <w:sz w:val="44"/>
          <w:szCs w:val="44"/>
        </w:rPr>
        <w:t>单位决算</w:t>
      </w:r>
    </w:p>
    <w:p>
      <w:pPr>
        <w:pStyle w:val="8"/>
        <w:spacing w:before="93"/>
        <w:jc w:val="center"/>
        <w:rPr>
          <w:rFonts w:ascii="方正小标宋简体" w:hAnsi="宋体" w:eastAsia="方正小标宋简体"/>
          <w:kern w:val="2"/>
          <w:sz w:val="44"/>
          <w:szCs w:val="44"/>
        </w:rPr>
      </w:pPr>
    </w:p>
    <w:p>
      <w:pPr>
        <w:pStyle w:val="8"/>
        <w:spacing w:before="93"/>
        <w:jc w:val="center"/>
        <w:rPr>
          <w:rFonts w:ascii="方正小标宋简体" w:hAnsi="宋体" w:eastAsia="方正小标宋简体"/>
          <w:kern w:val="2"/>
          <w:sz w:val="44"/>
          <w:szCs w:val="44"/>
        </w:rPr>
      </w:pPr>
    </w:p>
    <w:p>
      <w:pPr>
        <w:pStyle w:val="8"/>
        <w:spacing w:before="93"/>
        <w:jc w:val="center"/>
        <w:rPr>
          <w:rFonts w:ascii="方正小标宋简体" w:hAnsi="宋体" w:eastAsia="方正小标宋简体"/>
          <w:kern w:val="2"/>
          <w:sz w:val="44"/>
          <w:szCs w:val="44"/>
        </w:rPr>
      </w:pPr>
    </w:p>
    <w:p>
      <w:pPr>
        <w:pStyle w:val="8"/>
        <w:spacing w:before="93"/>
        <w:jc w:val="center"/>
        <w:rPr>
          <w:rFonts w:ascii="方正小标宋简体" w:hAnsi="宋体" w:eastAsia="方正小标宋简体"/>
          <w:kern w:val="2"/>
          <w:sz w:val="44"/>
          <w:szCs w:val="44"/>
        </w:rPr>
      </w:pPr>
    </w:p>
    <w:p>
      <w:pPr>
        <w:pStyle w:val="8"/>
        <w:spacing w:before="93"/>
        <w:jc w:val="center"/>
        <w:rPr>
          <w:rFonts w:ascii="方正小标宋简体" w:hAnsi="宋体" w:eastAsia="方正小标宋简体"/>
          <w:kern w:val="2"/>
          <w:sz w:val="44"/>
          <w:szCs w:val="44"/>
        </w:rPr>
      </w:pPr>
    </w:p>
    <w:p>
      <w:pPr>
        <w:pStyle w:val="8"/>
        <w:spacing w:before="93"/>
        <w:jc w:val="center"/>
        <w:rPr>
          <w:rFonts w:ascii="方正小标宋简体" w:hAnsi="宋体" w:eastAsia="方正小标宋简体"/>
          <w:kern w:val="2"/>
          <w:sz w:val="44"/>
          <w:szCs w:val="44"/>
        </w:rPr>
      </w:pPr>
    </w:p>
    <w:p>
      <w:pPr>
        <w:pStyle w:val="8"/>
        <w:spacing w:before="93"/>
        <w:jc w:val="center"/>
        <w:rPr>
          <w:rFonts w:ascii="方正小标宋简体" w:hAnsi="宋体" w:eastAsia="方正小标宋简体"/>
          <w:kern w:val="2"/>
          <w:sz w:val="44"/>
          <w:szCs w:val="44"/>
        </w:rPr>
      </w:pPr>
    </w:p>
    <w:p>
      <w:pPr>
        <w:pStyle w:val="8"/>
        <w:spacing w:before="93"/>
        <w:jc w:val="center"/>
        <w:rPr>
          <w:rFonts w:ascii="方正小标宋简体" w:hAnsi="宋体" w:eastAsia="方正小标宋简体"/>
          <w:kern w:val="2"/>
          <w:sz w:val="44"/>
          <w:szCs w:val="44"/>
        </w:rPr>
      </w:pPr>
    </w:p>
    <w:p>
      <w:pPr>
        <w:pStyle w:val="8"/>
        <w:spacing w:before="93"/>
        <w:jc w:val="center"/>
        <w:rPr>
          <w:rFonts w:ascii="方正小标宋简体" w:hAnsi="宋体" w:eastAsia="方正小标宋简体"/>
          <w:kern w:val="2"/>
          <w:sz w:val="44"/>
          <w:szCs w:val="44"/>
        </w:rPr>
      </w:pPr>
    </w:p>
    <w:p>
      <w:pPr>
        <w:widowControl/>
        <w:jc w:val="center"/>
        <w:rPr>
          <w:rFonts w:ascii="黑体" w:hAnsi="黑体" w:eastAsia="黑体"/>
          <w:sz w:val="48"/>
          <w:szCs w:val="48"/>
        </w:rPr>
      </w:pPr>
      <w:r>
        <w:rPr>
          <w:rFonts w:hint="eastAsia" w:ascii="黑体" w:hAnsi="黑体" w:eastAsia="黑体"/>
          <w:sz w:val="48"/>
          <w:szCs w:val="48"/>
        </w:rPr>
        <w:t>目录</w:t>
      </w:r>
    </w:p>
    <w:p>
      <w:pPr>
        <w:widowControl/>
        <w:jc w:val="center"/>
        <w:rPr>
          <w:rFonts w:ascii="黑体" w:hAnsi="黑体" w:eastAsia="黑体"/>
          <w:sz w:val="28"/>
          <w:szCs w:val="28"/>
        </w:rPr>
      </w:pPr>
    </w:p>
    <w:p>
      <w:pPr>
        <w:pStyle w:val="11"/>
      </w:pPr>
      <w:r>
        <w:rPr>
          <w:rFonts w:hint="eastAsia"/>
        </w:rPr>
        <w:t>公开时间：2026年9月1</w:t>
      </w:r>
      <w:r>
        <w:rPr>
          <w:rFonts w:hint="eastAsia"/>
          <w:lang w:val="en-US" w:eastAsia="zh-CN"/>
        </w:rPr>
        <w:t>1</w:t>
      </w:r>
      <w:bookmarkStart w:id="0" w:name="_GoBack"/>
      <w:bookmarkEnd w:id="0"/>
      <w:r>
        <w:rPr>
          <w:rFonts w:hint="eastAsia"/>
        </w:rPr>
        <w:t>日</w:t>
      </w:r>
    </w:p>
    <w:p/>
    <w:p>
      <w:pPr>
        <w:pStyle w:val="11"/>
        <w:adjustRightInd w:val="0"/>
        <w:snapToGrid w:val="0"/>
        <w:spacing w:before="0" w:line="440" w:lineRule="exact"/>
        <w:jc w:val="left"/>
        <w:rPr>
          <w:sz w:val="24"/>
          <w:szCs w:val="24"/>
        </w:rPr>
      </w:pPr>
      <w:r>
        <w:rPr>
          <w:rFonts w:hint="eastAsia"/>
          <w:sz w:val="24"/>
        </w:rPr>
        <w:t>第一部分单位概况 ...................................................4</w:t>
      </w:r>
    </w:p>
    <w:p>
      <w:pPr>
        <w:pStyle w:val="12"/>
        <w:adjustRightInd w:val="0"/>
        <w:snapToGrid w:val="0"/>
        <w:spacing w:line="440" w:lineRule="exact"/>
        <w:jc w:val="left"/>
        <w:rPr>
          <w:sz w:val="24"/>
        </w:rPr>
      </w:pPr>
      <w:r>
        <w:rPr>
          <w:rFonts w:hint="eastAsia"/>
          <w:sz w:val="24"/>
        </w:rPr>
        <w:t>一、主要职责</w:t>
      </w:r>
      <w:r>
        <w:rPr>
          <w:rFonts w:cstheme="minorBidi"/>
          <w:sz w:val="24"/>
        </w:rPr>
        <w:tab/>
      </w:r>
      <w:r>
        <w:rPr>
          <w:rFonts w:hint="eastAsia" w:cstheme="minorBidi"/>
          <w:sz w:val="24"/>
        </w:rPr>
        <w:t>4</w:t>
      </w:r>
    </w:p>
    <w:p>
      <w:pPr>
        <w:pStyle w:val="12"/>
        <w:adjustRightInd w:val="0"/>
        <w:snapToGrid w:val="0"/>
        <w:spacing w:line="440" w:lineRule="exact"/>
        <w:jc w:val="left"/>
      </w:pPr>
      <w:r>
        <w:rPr>
          <w:rFonts w:hint="eastAsia"/>
          <w:sz w:val="24"/>
        </w:rPr>
        <w:t>二、机构设置</w:t>
      </w:r>
      <w:r>
        <w:rPr>
          <w:rFonts w:cstheme="minorBidi"/>
          <w:sz w:val="24"/>
        </w:rPr>
        <w:tab/>
      </w:r>
      <w:r>
        <w:rPr>
          <w:rFonts w:hint="eastAsia" w:cstheme="minorBidi"/>
          <w:sz w:val="24"/>
        </w:rPr>
        <w:t>4</w:t>
      </w:r>
    </w:p>
    <w:p>
      <w:pPr>
        <w:pStyle w:val="11"/>
        <w:adjustRightInd w:val="0"/>
        <w:snapToGrid w:val="0"/>
        <w:spacing w:before="0" w:line="440" w:lineRule="exact"/>
        <w:jc w:val="left"/>
        <w:rPr>
          <w:sz w:val="24"/>
          <w:szCs w:val="24"/>
        </w:rPr>
      </w:pPr>
      <w:r>
        <w:rPr>
          <w:rFonts w:hint="eastAsia"/>
          <w:sz w:val="24"/>
        </w:rPr>
        <w:t>第二部分 2025年度单位决算情况说明.................................. 5</w:t>
      </w:r>
    </w:p>
    <w:p>
      <w:pPr>
        <w:pStyle w:val="12"/>
        <w:adjustRightInd w:val="0"/>
        <w:snapToGrid w:val="0"/>
        <w:spacing w:line="440" w:lineRule="exact"/>
        <w:jc w:val="left"/>
        <w:rPr>
          <w:rFonts w:ascii="仿宋" w:hAnsi="仿宋" w:eastAsia="仿宋"/>
          <w:sz w:val="24"/>
        </w:rPr>
      </w:pPr>
      <w:r>
        <w:rPr>
          <w:rFonts w:hint="eastAsia"/>
          <w:sz w:val="24"/>
        </w:rPr>
        <w:t>一、收入支出决算总体情况说明</w:t>
      </w:r>
      <w:r>
        <w:rPr>
          <w:rFonts w:cstheme="minorBidi"/>
          <w:sz w:val="24"/>
        </w:rPr>
        <w:tab/>
      </w:r>
      <w:r>
        <w:rPr>
          <w:rFonts w:hint="eastAsia" w:cstheme="minorBidi"/>
          <w:sz w:val="24"/>
        </w:rPr>
        <w:t>5</w:t>
      </w:r>
    </w:p>
    <w:p>
      <w:pPr>
        <w:pStyle w:val="12"/>
        <w:adjustRightInd w:val="0"/>
        <w:snapToGrid w:val="0"/>
        <w:spacing w:line="440" w:lineRule="exact"/>
        <w:jc w:val="left"/>
        <w:rPr>
          <w:rFonts w:ascii="仿宋" w:hAnsi="仿宋" w:eastAsia="仿宋"/>
          <w:sz w:val="24"/>
        </w:rPr>
      </w:pPr>
      <w:r>
        <w:rPr>
          <w:rFonts w:hint="eastAsia"/>
          <w:sz w:val="24"/>
        </w:rPr>
        <w:t>二、收入决算情况说明</w:t>
      </w:r>
      <w:r>
        <w:rPr>
          <w:rFonts w:cstheme="minorBidi"/>
          <w:sz w:val="24"/>
        </w:rPr>
        <w:tab/>
      </w:r>
      <w:r>
        <w:rPr>
          <w:rFonts w:hint="eastAsia" w:cstheme="minorBidi"/>
          <w:sz w:val="24"/>
        </w:rPr>
        <w:t>5</w:t>
      </w:r>
    </w:p>
    <w:p>
      <w:pPr>
        <w:pStyle w:val="12"/>
        <w:adjustRightInd w:val="0"/>
        <w:snapToGrid w:val="0"/>
        <w:spacing w:line="440" w:lineRule="exact"/>
        <w:jc w:val="left"/>
        <w:rPr>
          <w:rFonts w:ascii="仿宋" w:hAnsi="仿宋"/>
          <w:sz w:val="24"/>
        </w:rPr>
      </w:pPr>
      <w:r>
        <w:rPr>
          <w:rFonts w:hint="eastAsia"/>
          <w:sz w:val="24"/>
        </w:rPr>
        <w:t>三、支出决算情况说明</w:t>
      </w:r>
      <w:r>
        <w:rPr>
          <w:rFonts w:cstheme="minorBidi"/>
          <w:sz w:val="24"/>
        </w:rPr>
        <w:tab/>
      </w:r>
      <w:r>
        <w:rPr>
          <w:rFonts w:hint="eastAsia" w:cstheme="minorBidi"/>
          <w:sz w:val="24"/>
        </w:rPr>
        <w:t>6</w:t>
      </w:r>
    </w:p>
    <w:p>
      <w:pPr>
        <w:pStyle w:val="12"/>
        <w:adjustRightInd w:val="0"/>
        <w:snapToGrid w:val="0"/>
        <w:spacing w:line="440" w:lineRule="exact"/>
        <w:jc w:val="left"/>
        <w:rPr>
          <w:rFonts w:ascii="仿宋" w:hAnsi="仿宋"/>
          <w:sz w:val="24"/>
        </w:rPr>
      </w:pPr>
      <w:r>
        <w:rPr>
          <w:rFonts w:hint="eastAsia"/>
          <w:sz w:val="24"/>
        </w:rPr>
        <w:t>四、财政拨款收入支出决算总体情况说明</w:t>
      </w:r>
      <w:r>
        <w:rPr>
          <w:rFonts w:cstheme="minorBidi"/>
          <w:sz w:val="24"/>
        </w:rPr>
        <w:tab/>
      </w:r>
      <w:r>
        <w:rPr>
          <w:rFonts w:hint="eastAsia" w:cstheme="minorBidi"/>
          <w:sz w:val="24"/>
        </w:rPr>
        <w:t>7</w:t>
      </w:r>
    </w:p>
    <w:p>
      <w:pPr>
        <w:pStyle w:val="12"/>
        <w:adjustRightInd w:val="0"/>
        <w:snapToGrid w:val="0"/>
        <w:spacing w:line="440" w:lineRule="exact"/>
        <w:jc w:val="left"/>
        <w:rPr>
          <w:rFonts w:ascii="仿宋" w:hAnsi="仿宋"/>
          <w:sz w:val="24"/>
        </w:rPr>
      </w:pPr>
      <w:r>
        <w:rPr>
          <w:rFonts w:hint="eastAsia"/>
          <w:sz w:val="24"/>
        </w:rPr>
        <w:t>五、一般公共预算财政拨款支出决算情况说明</w:t>
      </w:r>
      <w:r>
        <w:rPr>
          <w:rFonts w:cstheme="minorBidi"/>
          <w:sz w:val="24"/>
        </w:rPr>
        <w:tab/>
      </w:r>
      <w:r>
        <w:rPr>
          <w:rFonts w:hint="eastAsia" w:cstheme="minorBidi"/>
          <w:sz w:val="24"/>
        </w:rPr>
        <w:t>8</w:t>
      </w:r>
    </w:p>
    <w:p>
      <w:pPr>
        <w:pStyle w:val="12"/>
        <w:adjustRightInd w:val="0"/>
        <w:snapToGrid w:val="0"/>
        <w:spacing w:line="440" w:lineRule="exact"/>
        <w:jc w:val="left"/>
        <w:rPr>
          <w:rFonts w:ascii="仿宋" w:hAnsi="仿宋" w:eastAsia="仿宋"/>
          <w:sz w:val="24"/>
        </w:rPr>
      </w:pPr>
      <w:r>
        <w:rPr>
          <w:rFonts w:hint="eastAsia"/>
          <w:sz w:val="24"/>
        </w:rPr>
        <w:t>六、一般公共预算财政拨款基本支出决算情况说明</w:t>
      </w:r>
      <w:r>
        <w:rPr>
          <w:rFonts w:cstheme="minorBidi"/>
          <w:sz w:val="24"/>
        </w:rPr>
        <w:tab/>
      </w:r>
      <w:r>
        <w:rPr>
          <w:rFonts w:hint="eastAsia" w:cstheme="minorBidi"/>
          <w:sz w:val="24"/>
        </w:rPr>
        <w:t>.........11</w:t>
      </w:r>
    </w:p>
    <w:p>
      <w:pPr>
        <w:pStyle w:val="12"/>
        <w:adjustRightInd w:val="0"/>
        <w:snapToGrid w:val="0"/>
        <w:spacing w:line="440" w:lineRule="exact"/>
        <w:jc w:val="left"/>
        <w:rPr>
          <w:rFonts w:ascii="仿宋" w:hAnsi="仿宋"/>
          <w:sz w:val="24"/>
        </w:rPr>
      </w:pPr>
      <w:r>
        <w:rPr>
          <w:rFonts w:hint="eastAsia"/>
          <w:sz w:val="24"/>
        </w:rPr>
        <w:t>七、财政拨款“三公”经费支出决算情况说明</w:t>
      </w:r>
      <w:r>
        <w:rPr>
          <w:rFonts w:cstheme="minorBidi"/>
          <w:sz w:val="24"/>
        </w:rPr>
        <w:tab/>
      </w:r>
      <w:r>
        <w:rPr>
          <w:rFonts w:hint="eastAsia" w:cstheme="minorBidi"/>
          <w:sz w:val="24"/>
        </w:rPr>
        <w:t>11</w:t>
      </w:r>
    </w:p>
    <w:p>
      <w:pPr>
        <w:pStyle w:val="12"/>
        <w:adjustRightInd w:val="0"/>
        <w:snapToGrid w:val="0"/>
        <w:spacing w:line="440" w:lineRule="exact"/>
        <w:jc w:val="left"/>
        <w:rPr>
          <w:rFonts w:ascii="仿宋" w:hAnsi="仿宋"/>
          <w:sz w:val="24"/>
        </w:rPr>
      </w:pPr>
      <w:r>
        <w:rPr>
          <w:rFonts w:hint="eastAsia"/>
          <w:sz w:val="24"/>
        </w:rPr>
        <w:t>八、政府性基金预算支出决算情况说明</w:t>
      </w:r>
      <w:r>
        <w:rPr>
          <w:rFonts w:cstheme="minorBidi"/>
          <w:sz w:val="24"/>
        </w:rPr>
        <w:tab/>
      </w:r>
      <w:r>
        <w:rPr>
          <w:rFonts w:hint="eastAsia" w:cstheme="minorBidi"/>
          <w:sz w:val="24"/>
        </w:rPr>
        <w:t>12</w:t>
      </w:r>
    </w:p>
    <w:p>
      <w:pPr>
        <w:pStyle w:val="12"/>
        <w:adjustRightInd w:val="0"/>
        <w:snapToGrid w:val="0"/>
        <w:spacing w:line="440" w:lineRule="exact"/>
        <w:jc w:val="left"/>
        <w:rPr>
          <w:rFonts w:cstheme="minorBidi"/>
          <w:sz w:val="24"/>
        </w:rPr>
      </w:pPr>
      <w:r>
        <w:rPr>
          <w:rFonts w:hint="eastAsia"/>
          <w:sz w:val="24"/>
        </w:rPr>
        <w:t>九、国有资本经营预算支出决算情况说明</w:t>
      </w:r>
      <w:r>
        <w:rPr>
          <w:rFonts w:cstheme="minorBidi"/>
          <w:sz w:val="24"/>
        </w:rPr>
        <w:tab/>
      </w:r>
      <w:r>
        <w:rPr>
          <w:rFonts w:hint="eastAsia" w:cstheme="minorBidi"/>
          <w:sz w:val="24"/>
        </w:rPr>
        <w:t>12</w:t>
      </w:r>
    </w:p>
    <w:p>
      <w:pPr>
        <w:pStyle w:val="12"/>
        <w:adjustRightInd w:val="0"/>
        <w:snapToGrid w:val="0"/>
        <w:spacing w:line="440" w:lineRule="exact"/>
        <w:jc w:val="left"/>
        <w:rPr>
          <w:sz w:val="24"/>
        </w:rPr>
      </w:pPr>
      <w:r>
        <w:rPr>
          <w:rFonts w:hint="eastAsia"/>
          <w:sz w:val="24"/>
        </w:rPr>
        <w:t>十、其他重要事项的情况说明</w:t>
      </w:r>
      <w:r>
        <w:rPr>
          <w:rFonts w:cstheme="minorBidi"/>
          <w:sz w:val="24"/>
        </w:rPr>
        <w:tab/>
      </w:r>
      <w:r>
        <w:rPr>
          <w:rFonts w:hint="eastAsia" w:cstheme="minorBidi"/>
          <w:sz w:val="24"/>
        </w:rPr>
        <w:t>.12</w:t>
      </w:r>
    </w:p>
    <w:p>
      <w:pPr>
        <w:pStyle w:val="11"/>
        <w:adjustRightInd w:val="0"/>
        <w:snapToGrid w:val="0"/>
        <w:spacing w:before="0" w:line="440" w:lineRule="exact"/>
        <w:jc w:val="left"/>
        <w:rPr>
          <w:sz w:val="24"/>
          <w:szCs w:val="24"/>
        </w:rPr>
      </w:pPr>
      <w:r>
        <w:rPr>
          <w:rFonts w:hint="eastAsia"/>
          <w:sz w:val="24"/>
        </w:rPr>
        <w:t>第三部分名词解释...................................................13</w:t>
      </w:r>
    </w:p>
    <w:p>
      <w:pPr>
        <w:pStyle w:val="11"/>
        <w:adjustRightInd w:val="0"/>
        <w:snapToGrid w:val="0"/>
        <w:spacing w:before="0" w:line="440" w:lineRule="exact"/>
        <w:jc w:val="left"/>
        <w:rPr>
          <w:sz w:val="24"/>
          <w:szCs w:val="24"/>
        </w:rPr>
      </w:pPr>
      <w:r>
        <w:rPr>
          <w:rFonts w:hint="eastAsia"/>
          <w:sz w:val="24"/>
        </w:rPr>
        <w:t>第四部分附件.......................................................16</w:t>
      </w:r>
    </w:p>
    <w:p>
      <w:pPr>
        <w:pStyle w:val="11"/>
        <w:adjustRightInd w:val="0"/>
        <w:snapToGrid w:val="0"/>
        <w:spacing w:before="0" w:line="440" w:lineRule="exact"/>
        <w:jc w:val="left"/>
        <w:rPr>
          <w:sz w:val="24"/>
          <w:szCs w:val="24"/>
        </w:rPr>
      </w:pPr>
      <w:r>
        <w:rPr>
          <w:rFonts w:hint="eastAsia"/>
          <w:sz w:val="24"/>
        </w:rPr>
        <w:t>第五部分附表.......................................................17</w:t>
      </w:r>
    </w:p>
    <w:p>
      <w:pPr>
        <w:pStyle w:val="12"/>
        <w:adjustRightInd w:val="0"/>
        <w:snapToGrid w:val="0"/>
        <w:spacing w:line="440" w:lineRule="exact"/>
        <w:jc w:val="left"/>
        <w:rPr>
          <w:sz w:val="24"/>
        </w:rPr>
      </w:pPr>
      <w:r>
        <w:rPr>
          <w:rFonts w:hint="eastAsia"/>
          <w:sz w:val="24"/>
        </w:rPr>
        <w:t>一、收入支出决算总表</w:t>
      </w:r>
      <w:r>
        <w:rPr>
          <w:rFonts w:cstheme="minorBidi"/>
          <w:sz w:val="24"/>
        </w:rPr>
        <w:tab/>
      </w:r>
      <w:r>
        <w:rPr>
          <w:rFonts w:hint="eastAsia" w:cstheme="minorBidi"/>
          <w:sz w:val="24"/>
        </w:rPr>
        <w:t>17</w:t>
      </w:r>
    </w:p>
    <w:p>
      <w:pPr>
        <w:pStyle w:val="12"/>
        <w:adjustRightInd w:val="0"/>
        <w:snapToGrid w:val="0"/>
        <w:spacing w:line="440" w:lineRule="exact"/>
        <w:jc w:val="left"/>
        <w:rPr>
          <w:sz w:val="24"/>
        </w:rPr>
      </w:pPr>
      <w:r>
        <w:rPr>
          <w:rFonts w:hint="eastAsia"/>
          <w:sz w:val="24"/>
        </w:rPr>
        <w:t>二、收入决算表</w:t>
      </w:r>
      <w:r>
        <w:rPr>
          <w:rFonts w:cstheme="minorBidi"/>
          <w:sz w:val="24"/>
        </w:rPr>
        <w:tab/>
      </w:r>
      <w:r>
        <w:rPr>
          <w:rFonts w:hint="eastAsia" w:cstheme="minorBidi"/>
          <w:sz w:val="24"/>
        </w:rPr>
        <w:t>17</w:t>
      </w:r>
    </w:p>
    <w:p>
      <w:pPr>
        <w:pStyle w:val="12"/>
        <w:adjustRightInd w:val="0"/>
        <w:snapToGrid w:val="0"/>
        <w:spacing w:line="440" w:lineRule="exact"/>
        <w:jc w:val="left"/>
        <w:rPr>
          <w:sz w:val="24"/>
        </w:rPr>
      </w:pPr>
      <w:r>
        <w:rPr>
          <w:rFonts w:hint="eastAsia"/>
          <w:sz w:val="24"/>
        </w:rPr>
        <w:t>三、支出决算表</w:t>
      </w:r>
      <w:r>
        <w:rPr>
          <w:rFonts w:cstheme="minorBidi"/>
          <w:sz w:val="24"/>
        </w:rPr>
        <w:tab/>
      </w:r>
      <w:r>
        <w:rPr>
          <w:rFonts w:hint="eastAsia" w:cstheme="minorBidi"/>
          <w:sz w:val="24"/>
        </w:rPr>
        <w:t>17</w:t>
      </w:r>
    </w:p>
    <w:p>
      <w:pPr>
        <w:pStyle w:val="12"/>
        <w:adjustRightInd w:val="0"/>
        <w:snapToGrid w:val="0"/>
        <w:spacing w:line="440" w:lineRule="exact"/>
        <w:jc w:val="left"/>
        <w:rPr>
          <w:sz w:val="24"/>
        </w:rPr>
      </w:pPr>
      <w:r>
        <w:rPr>
          <w:rFonts w:hint="eastAsia"/>
          <w:sz w:val="24"/>
        </w:rPr>
        <w:t>四、财政拨款收入支出决算总表</w:t>
      </w:r>
      <w:r>
        <w:rPr>
          <w:rFonts w:cstheme="minorBidi"/>
          <w:sz w:val="24"/>
        </w:rPr>
        <w:tab/>
      </w:r>
      <w:r>
        <w:rPr>
          <w:rFonts w:hint="eastAsia" w:cstheme="minorBidi"/>
          <w:sz w:val="24"/>
        </w:rPr>
        <w:t>17</w:t>
      </w:r>
    </w:p>
    <w:p>
      <w:pPr>
        <w:pStyle w:val="12"/>
        <w:adjustRightInd w:val="0"/>
        <w:snapToGrid w:val="0"/>
        <w:spacing w:line="440" w:lineRule="exact"/>
        <w:jc w:val="left"/>
        <w:rPr>
          <w:sz w:val="24"/>
        </w:rPr>
      </w:pPr>
      <w:r>
        <w:rPr>
          <w:rFonts w:hint="eastAsia"/>
          <w:sz w:val="24"/>
        </w:rPr>
        <w:t>五、财政拨款支出决算明细表</w:t>
      </w:r>
      <w:r>
        <w:rPr>
          <w:rFonts w:cstheme="minorBidi"/>
          <w:sz w:val="24"/>
        </w:rPr>
        <w:tab/>
      </w:r>
      <w:r>
        <w:rPr>
          <w:rFonts w:hint="eastAsia" w:cstheme="minorBidi"/>
          <w:sz w:val="24"/>
        </w:rPr>
        <w:t>17</w:t>
      </w:r>
    </w:p>
    <w:p>
      <w:pPr>
        <w:pStyle w:val="12"/>
        <w:adjustRightInd w:val="0"/>
        <w:snapToGrid w:val="0"/>
        <w:spacing w:line="440" w:lineRule="exact"/>
        <w:jc w:val="left"/>
        <w:rPr>
          <w:sz w:val="24"/>
        </w:rPr>
      </w:pPr>
      <w:r>
        <w:rPr>
          <w:rFonts w:hint="eastAsia"/>
          <w:sz w:val="24"/>
        </w:rPr>
        <w:t>六、一般公共预算财政拨款支出决算表</w:t>
      </w:r>
      <w:r>
        <w:rPr>
          <w:rFonts w:cstheme="minorBidi"/>
          <w:sz w:val="24"/>
        </w:rPr>
        <w:tab/>
      </w:r>
      <w:r>
        <w:rPr>
          <w:rFonts w:hint="eastAsia" w:cstheme="minorBidi"/>
          <w:sz w:val="24"/>
        </w:rPr>
        <w:t>17</w:t>
      </w:r>
    </w:p>
    <w:p>
      <w:pPr>
        <w:pStyle w:val="12"/>
        <w:adjustRightInd w:val="0"/>
        <w:snapToGrid w:val="0"/>
        <w:spacing w:line="440" w:lineRule="exact"/>
        <w:jc w:val="left"/>
        <w:rPr>
          <w:sz w:val="24"/>
        </w:rPr>
      </w:pPr>
      <w:r>
        <w:rPr>
          <w:rFonts w:hint="eastAsia"/>
          <w:sz w:val="24"/>
        </w:rPr>
        <w:t>七、一般公共预算财政拨款支出决算明细表</w:t>
      </w:r>
      <w:r>
        <w:rPr>
          <w:rFonts w:cstheme="minorBidi"/>
          <w:sz w:val="24"/>
        </w:rPr>
        <w:tab/>
      </w:r>
      <w:r>
        <w:rPr>
          <w:rFonts w:hint="eastAsia" w:cstheme="minorBidi"/>
          <w:sz w:val="24"/>
        </w:rPr>
        <w:t>17</w:t>
      </w:r>
    </w:p>
    <w:p>
      <w:pPr>
        <w:pStyle w:val="12"/>
        <w:adjustRightInd w:val="0"/>
        <w:snapToGrid w:val="0"/>
        <w:spacing w:line="440" w:lineRule="exact"/>
        <w:jc w:val="left"/>
        <w:rPr>
          <w:sz w:val="24"/>
        </w:rPr>
      </w:pPr>
      <w:r>
        <w:rPr>
          <w:rFonts w:hint="eastAsia"/>
          <w:sz w:val="24"/>
        </w:rPr>
        <w:t>八、一般公共预算财政拨款基本支出决算明细表</w:t>
      </w:r>
      <w:r>
        <w:rPr>
          <w:rFonts w:cstheme="minorBidi"/>
          <w:sz w:val="24"/>
        </w:rPr>
        <w:tab/>
      </w:r>
      <w:r>
        <w:rPr>
          <w:rFonts w:hint="eastAsia" w:cstheme="minorBidi"/>
          <w:sz w:val="24"/>
        </w:rPr>
        <w:t>17</w:t>
      </w:r>
    </w:p>
    <w:p>
      <w:pPr>
        <w:pStyle w:val="12"/>
        <w:adjustRightInd w:val="0"/>
        <w:snapToGrid w:val="0"/>
        <w:spacing w:line="440" w:lineRule="exact"/>
        <w:jc w:val="left"/>
        <w:rPr>
          <w:sz w:val="24"/>
        </w:rPr>
      </w:pPr>
      <w:r>
        <w:rPr>
          <w:rFonts w:hint="eastAsia"/>
          <w:sz w:val="24"/>
        </w:rPr>
        <w:t>九、一般公共预算财政拨款项目支出决算表</w:t>
      </w:r>
      <w:r>
        <w:rPr>
          <w:rFonts w:cstheme="minorBidi"/>
          <w:sz w:val="24"/>
        </w:rPr>
        <w:tab/>
      </w:r>
      <w:r>
        <w:rPr>
          <w:rFonts w:hint="eastAsia" w:cstheme="minorBidi"/>
          <w:sz w:val="24"/>
        </w:rPr>
        <w:t>17</w:t>
      </w:r>
    </w:p>
    <w:p>
      <w:pPr>
        <w:pStyle w:val="12"/>
        <w:adjustRightInd w:val="0"/>
        <w:snapToGrid w:val="0"/>
        <w:spacing w:line="440" w:lineRule="exact"/>
        <w:jc w:val="left"/>
        <w:rPr>
          <w:sz w:val="24"/>
        </w:rPr>
      </w:pPr>
      <w:r>
        <w:rPr>
          <w:rFonts w:hint="eastAsia"/>
          <w:sz w:val="24"/>
        </w:rPr>
        <w:t>十、政府性基金预算财政拨款收入支出决算表</w:t>
      </w:r>
      <w:r>
        <w:rPr>
          <w:rFonts w:cstheme="minorBidi"/>
          <w:sz w:val="24"/>
        </w:rPr>
        <w:tab/>
      </w:r>
      <w:r>
        <w:rPr>
          <w:rFonts w:hint="eastAsia" w:cstheme="minorBidi"/>
          <w:sz w:val="24"/>
        </w:rPr>
        <w:t>17</w:t>
      </w:r>
    </w:p>
    <w:p>
      <w:pPr>
        <w:pStyle w:val="12"/>
        <w:adjustRightInd w:val="0"/>
        <w:snapToGrid w:val="0"/>
        <w:spacing w:line="440" w:lineRule="exact"/>
        <w:jc w:val="left"/>
        <w:rPr>
          <w:sz w:val="24"/>
        </w:rPr>
      </w:pPr>
      <w:r>
        <w:rPr>
          <w:rFonts w:hint="eastAsia"/>
          <w:sz w:val="24"/>
        </w:rPr>
        <w:t>十一、国有资本经营预算财政拨款收入支出决算表</w:t>
      </w:r>
      <w:r>
        <w:rPr>
          <w:rFonts w:cstheme="minorBidi"/>
          <w:sz w:val="24"/>
        </w:rPr>
        <w:tab/>
      </w:r>
      <w:r>
        <w:rPr>
          <w:rFonts w:hint="eastAsia" w:cstheme="minorBidi"/>
          <w:sz w:val="24"/>
        </w:rPr>
        <w:t>17</w:t>
      </w:r>
    </w:p>
    <w:p>
      <w:pPr>
        <w:pStyle w:val="12"/>
        <w:adjustRightInd w:val="0"/>
        <w:snapToGrid w:val="0"/>
        <w:spacing w:line="440" w:lineRule="exact"/>
        <w:jc w:val="left"/>
        <w:rPr>
          <w:sz w:val="24"/>
        </w:rPr>
      </w:pPr>
      <w:r>
        <w:rPr>
          <w:rFonts w:hint="eastAsia"/>
          <w:sz w:val="24"/>
        </w:rPr>
        <w:t>十二、国有资本经营预算财政拨款支出决算表</w:t>
      </w:r>
      <w:r>
        <w:rPr>
          <w:rFonts w:cstheme="minorBidi"/>
          <w:sz w:val="24"/>
        </w:rPr>
        <w:tab/>
      </w:r>
      <w:r>
        <w:rPr>
          <w:rFonts w:hint="eastAsia" w:cstheme="minorBidi"/>
          <w:sz w:val="24"/>
        </w:rPr>
        <w:t>17</w:t>
      </w:r>
    </w:p>
    <w:p>
      <w:pPr>
        <w:pStyle w:val="12"/>
        <w:adjustRightInd w:val="0"/>
        <w:snapToGrid w:val="0"/>
        <w:spacing w:line="440" w:lineRule="exact"/>
        <w:jc w:val="left"/>
        <w:rPr>
          <w:rFonts w:cstheme="minorBidi"/>
          <w:sz w:val="24"/>
        </w:rPr>
      </w:pPr>
      <w:r>
        <w:rPr>
          <w:rFonts w:hint="eastAsia"/>
          <w:sz w:val="24"/>
        </w:rPr>
        <w:t>十三、财政拨款“三公”经费支出决算表</w:t>
      </w:r>
      <w:r>
        <w:rPr>
          <w:rFonts w:cstheme="minorBidi"/>
          <w:sz w:val="24"/>
        </w:rPr>
        <w:tab/>
      </w:r>
      <w:r>
        <w:rPr>
          <w:rFonts w:hint="eastAsia" w:cstheme="minorBidi"/>
          <w:sz w:val="24"/>
        </w:rPr>
        <w:t>17</w:t>
      </w:r>
    </w:p>
    <w:p>
      <w:pPr>
        <w:rPr>
          <w:rFonts w:cstheme="minorBidi"/>
          <w:sz w:val="24"/>
        </w:rPr>
      </w:pPr>
    </w:p>
    <w:p>
      <w:pPr>
        <w:pStyle w:val="8"/>
        <w:spacing w:before="93"/>
        <w:rPr>
          <w:rFonts w:cstheme="minorBidi"/>
          <w:sz w:val="24"/>
        </w:rPr>
      </w:pPr>
    </w:p>
    <w:p>
      <w:pPr>
        <w:pStyle w:val="8"/>
        <w:spacing w:before="93"/>
        <w:rPr>
          <w:rFonts w:cstheme="minorBidi"/>
          <w:sz w:val="24"/>
        </w:rPr>
      </w:pPr>
    </w:p>
    <w:p>
      <w:pPr>
        <w:pStyle w:val="8"/>
        <w:spacing w:before="93"/>
        <w:rPr>
          <w:rFonts w:cstheme="minorBidi"/>
          <w:sz w:val="24"/>
        </w:rPr>
      </w:pPr>
    </w:p>
    <w:p>
      <w:pPr>
        <w:pStyle w:val="8"/>
        <w:spacing w:before="93"/>
        <w:rPr>
          <w:rFonts w:cstheme="minorBidi"/>
          <w:sz w:val="24"/>
        </w:rPr>
      </w:pPr>
    </w:p>
    <w:p>
      <w:pPr>
        <w:pStyle w:val="8"/>
        <w:spacing w:before="93"/>
        <w:rPr>
          <w:rFonts w:cstheme="minorBidi"/>
          <w:sz w:val="24"/>
        </w:rPr>
      </w:pPr>
    </w:p>
    <w:p>
      <w:pPr>
        <w:pStyle w:val="8"/>
        <w:spacing w:before="93"/>
        <w:rPr>
          <w:rFonts w:cstheme="minorBidi"/>
          <w:sz w:val="24"/>
        </w:rPr>
      </w:pPr>
    </w:p>
    <w:p>
      <w:pPr>
        <w:pStyle w:val="8"/>
        <w:spacing w:before="93"/>
        <w:rPr>
          <w:rFonts w:cstheme="minorBidi"/>
          <w:sz w:val="24"/>
        </w:rPr>
      </w:pPr>
    </w:p>
    <w:p>
      <w:pPr>
        <w:pStyle w:val="8"/>
        <w:spacing w:before="93"/>
        <w:rPr>
          <w:rFonts w:cstheme="minorBidi"/>
          <w:sz w:val="24"/>
        </w:rPr>
      </w:pPr>
    </w:p>
    <w:p>
      <w:pPr>
        <w:pStyle w:val="8"/>
        <w:spacing w:before="93"/>
        <w:rPr>
          <w:rFonts w:cstheme="minorBidi"/>
          <w:sz w:val="24"/>
        </w:rPr>
      </w:pPr>
    </w:p>
    <w:p>
      <w:pPr>
        <w:pStyle w:val="8"/>
        <w:spacing w:before="93"/>
        <w:rPr>
          <w:rFonts w:cstheme="minorBidi"/>
          <w:sz w:val="24"/>
        </w:rPr>
      </w:pPr>
    </w:p>
    <w:p>
      <w:pPr>
        <w:pStyle w:val="8"/>
        <w:spacing w:before="93"/>
        <w:rPr>
          <w:rFonts w:cstheme="minorBidi"/>
          <w:sz w:val="24"/>
        </w:rPr>
      </w:pPr>
    </w:p>
    <w:p>
      <w:pPr>
        <w:pStyle w:val="8"/>
        <w:spacing w:before="93"/>
        <w:rPr>
          <w:rFonts w:cstheme="minorBidi"/>
          <w:sz w:val="24"/>
        </w:rPr>
      </w:pPr>
    </w:p>
    <w:p>
      <w:pPr>
        <w:pStyle w:val="8"/>
        <w:spacing w:before="93"/>
        <w:rPr>
          <w:rFonts w:cstheme="minorBidi"/>
          <w:sz w:val="24"/>
        </w:rPr>
      </w:pPr>
    </w:p>
    <w:p>
      <w:pPr>
        <w:pStyle w:val="8"/>
        <w:spacing w:before="93"/>
        <w:rPr>
          <w:rFonts w:cstheme="minorBidi"/>
          <w:sz w:val="24"/>
        </w:rPr>
      </w:pPr>
    </w:p>
    <w:p>
      <w:pPr>
        <w:pStyle w:val="8"/>
        <w:spacing w:before="93"/>
        <w:rPr>
          <w:rFonts w:cstheme="minorBidi"/>
          <w:sz w:val="24"/>
        </w:rPr>
      </w:pPr>
    </w:p>
    <w:p>
      <w:pPr>
        <w:pStyle w:val="8"/>
        <w:spacing w:before="93"/>
        <w:rPr>
          <w:rFonts w:cstheme="minorBidi"/>
          <w:sz w:val="24"/>
        </w:rPr>
      </w:pPr>
    </w:p>
    <w:p>
      <w:pPr>
        <w:pStyle w:val="8"/>
        <w:spacing w:before="93"/>
        <w:rPr>
          <w:rFonts w:cstheme="minorBidi"/>
          <w:sz w:val="24"/>
        </w:rPr>
      </w:pPr>
    </w:p>
    <w:p>
      <w:pPr>
        <w:pStyle w:val="8"/>
        <w:spacing w:before="93"/>
        <w:rPr>
          <w:rFonts w:cstheme="minorBidi"/>
          <w:sz w:val="24"/>
        </w:rPr>
      </w:pPr>
    </w:p>
    <w:p>
      <w:pPr>
        <w:pStyle w:val="8"/>
        <w:spacing w:before="93"/>
        <w:rPr>
          <w:rFonts w:cstheme="minorBidi"/>
          <w:sz w:val="24"/>
        </w:rPr>
      </w:pPr>
    </w:p>
    <w:p>
      <w:pPr>
        <w:pStyle w:val="8"/>
        <w:spacing w:before="93"/>
        <w:rPr>
          <w:rFonts w:cstheme="minorBidi"/>
          <w:sz w:val="24"/>
        </w:rPr>
      </w:pPr>
    </w:p>
    <w:p>
      <w:pPr>
        <w:pStyle w:val="8"/>
        <w:spacing w:before="93"/>
        <w:rPr>
          <w:rFonts w:cstheme="minorBidi"/>
          <w:sz w:val="24"/>
        </w:rPr>
      </w:pPr>
    </w:p>
    <w:p>
      <w:pPr>
        <w:pStyle w:val="8"/>
        <w:spacing w:before="93"/>
        <w:rPr>
          <w:rFonts w:cstheme="minorBidi"/>
          <w:sz w:val="24"/>
        </w:rPr>
      </w:pPr>
    </w:p>
    <w:p>
      <w:pPr>
        <w:pStyle w:val="8"/>
        <w:spacing w:before="93"/>
        <w:rPr>
          <w:rFonts w:cstheme="minorBidi"/>
          <w:sz w:val="24"/>
        </w:rPr>
      </w:pPr>
    </w:p>
    <w:p>
      <w:pPr>
        <w:pStyle w:val="8"/>
        <w:spacing w:before="93"/>
        <w:rPr>
          <w:rFonts w:cstheme="minorBidi"/>
          <w:sz w:val="24"/>
        </w:rPr>
      </w:pPr>
    </w:p>
    <w:p>
      <w:pPr>
        <w:pStyle w:val="5"/>
        <w:jc w:val="center"/>
        <w:rPr>
          <w:rFonts w:ascii="黑体" w:hAnsi="黑体" w:eastAsia="黑体"/>
          <w:b w:val="0"/>
        </w:rPr>
      </w:pPr>
      <w:r>
        <w:rPr>
          <w:rFonts w:hint="eastAsia" w:ascii="黑体" w:hAnsi="黑体" w:eastAsia="黑体"/>
          <w:b w:val="0"/>
        </w:rPr>
        <w:t>第一部分 单位概况</w:t>
      </w:r>
    </w:p>
    <w:p>
      <w:pPr>
        <w:pStyle w:val="6"/>
        <w:suppressAutoHyphens/>
      </w:pPr>
      <w:r>
        <w:rPr>
          <w:rFonts w:hint="eastAsia"/>
        </w:rPr>
        <w:t>一、主要职责</w:t>
      </w:r>
    </w:p>
    <w:p>
      <w:pPr>
        <w:ind w:firstLine="800" w:firstLineChars="250"/>
        <w:rPr>
          <w:rFonts w:ascii="仿宋" w:hAnsi="仿宋" w:eastAsia="仿宋"/>
          <w:sz w:val="32"/>
          <w:szCs w:val="32"/>
        </w:rPr>
      </w:pPr>
      <w:r>
        <w:rPr>
          <w:rFonts w:hint="eastAsia" w:ascii="仿宋" w:hAnsi="仿宋" w:eastAsia="仿宋"/>
          <w:sz w:val="32"/>
          <w:szCs w:val="32"/>
        </w:rPr>
        <w:t>攀枝花市第三高级中学校（以下简称市三中）为市教育和体育局直属高中，从事高中学历教育。学校始建于1978年，1982年学校被评为四川省首批办好的省重点中学之一，2002年学校被评为四川省国家级示范性高中之一，2013年学校被确认为四川省一级示范性普通高中。</w:t>
      </w:r>
    </w:p>
    <w:p>
      <w:pPr>
        <w:jc w:val="left"/>
      </w:pPr>
    </w:p>
    <w:p>
      <w:pPr>
        <w:pStyle w:val="6"/>
        <w:suppressAutoHyphens/>
        <w:rPr>
          <w:rFonts w:ascii="黑体" w:hAnsi="黑体" w:eastAsia="黑体"/>
          <w:b w:val="0"/>
        </w:rPr>
      </w:pPr>
      <w:r>
        <w:rPr>
          <w:rFonts w:hint="eastAsia" w:ascii="黑体" w:hAnsi="黑体" w:eastAsia="黑体"/>
          <w:b w:val="0"/>
        </w:rPr>
        <w:t>二、机构设置</w:t>
      </w:r>
    </w:p>
    <w:p>
      <w:pPr>
        <w:ind w:firstLine="800" w:firstLineChars="250"/>
        <w:rPr>
          <w:rFonts w:ascii="仿宋" w:hAnsi="仿宋" w:eastAsia="仿宋"/>
          <w:sz w:val="32"/>
          <w:szCs w:val="32"/>
        </w:rPr>
      </w:pPr>
      <w:r>
        <w:rPr>
          <w:rFonts w:hint="eastAsia" w:ascii="仿宋" w:hAnsi="仿宋" w:eastAsia="仿宋"/>
          <w:sz w:val="32"/>
          <w:szCs w:val="32"/>
        </w:rPr>
        <w:t>攀枝花市第三高级中学校内设15个内设机构，其中正科级干部职数15人，副科级干部职数21人。学校包含学园路（东区学园路 1 号）和钒钛高新区（仁和区绒花路 36 号）两个校区，占地面积 16.05 万平方米，建筑面积 10.9 万平方米。现有81个教学班，在编教职工人数366人，另含3名占编聘用86号文工勤人员。学校有正高级教师9人，副高职称以上教职工111人；第三类高层次人才1人，第四类高层次人才8人、第五类高层次人才1人，第六类高层次人才26人，第七类高层次人才10人，县级以上骨干教师63人。</w:t>
      </w:r>
    </w:p>
    <w:p>
      <w:pPr>
        <w:pStyle w:val="5"/>
        <w:jc w:val="center"/>
        <w:rPr>
          <w:rFonts w:ascii="黑体" w:hAnsi="黑体" w:eastAsia="黑体"/>
          <w:b w:val="0"/>
        </w:rPr>
      </w:pPr>
      <w:r>
        <w:rPr>
          <w:rFonts w:hint="eastAsia" w:ascii="黑体" w:hAnsi="黑体" w:eastAsia="黑体"/>
          <w:b w:val="0"/>
        </w:rPr>
        <w:t>第二部分 2025年度单位决算情况说明</w:t>
      </w:r>
    </w:p>
    <w:p/>
    <w:p>
      <w:pPr>
        <w:pStyle w:val="19"/>
        <w:numPr>
          <w:ilvl w:val="0"/>
          <w:numId w:val="0"/>
        </w:numPr>
        <w:spacing w:line="600" w:lineRule="exact"/>
        <w:ind w:left="640"/>
        <w:outlineLvl w:val="1"/>
        <w:rPr>
          <w:rFonts w:ascii="黑体" w:hAnsi="黑体" w:eastAsia="黑体"/>
          <w:color w:val="auto"/>
          <w:sz w:val="32"/>
          <w:szCs w:val="32"/>
        </w:rPr>
      </w:pPr>
      <w:r>
        <w:rPr>
          <w:rFonts w:hint="eastAsia" w:ascii="黑体" w:hAnsi="黑体" w:eastAsia="黑体"/>
          <w:color w:val="auto"/>
          <w:sz w:val="32"/>
          <w:szCs w:val="32"/>
        </w:rPr>
        <w:t>一、收入支出决算总体情况说明</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2025年度收、支总计均为14,201.08万元。与2024年度相比，收、支总计各增加1,484.29万元，增长11.7%。主要变动原因：学校持续两校区办学模式，教职工人员经费刚性增长，教学设施及基础性建设投入加大，同时部分资金结转使用。</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（图1：收、支决算总计变动情况图）（柱状图）</w:t>
      </w:r>
    </w:p>
    <w:p>
      <w:pPr>
        <w:pStyle w:val="8"/>
        <w:spacing w:before="93"/>
        <w:jc w:val="center"/>
      </w:pPr>
      <w:r>
        <w:rPr>
          <w:rFonts w:hint="eastAsia"/>
        </w:rPr>
        <w:drawing>
          <wp:inline distT="0" distB="0" distL="0" distR="0">
            <wp:extent cx="4724400" cy="2924175"/>
            <wp:effectExtent l="6350" t="6350" r="12700" b="22225"/>
            <wp:docPr id="2"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pPr>
        <w:pStyle w:val="8"/>
        <w:spacing w:before="93"/>
        <w:rPr>
          <w:rFonts w:ascii="黑体" w:hAnsi="黑体" w:eastAsia="黑体" w:cs="方正仿宋_GB2312"/>
          <w:sz w:val="32"/>
          <w:szCs w:val="32"/>
        </w:rPr>
      </w:pPr>
    </w:p>
    <w:p>
      <w:pPr>
        <w:pStyle w:val="8"/>
        <w:spacing w:before="93"/>
        <w:rPr>
          <w:rFonts w:ascii="仿宋" w:hAnsi="仿宋" w:eastAsia="仿宋"/>
          <w:kern w:val="2"/>
          <w:sz w:val="32"/>
          <w:szCs w:val="32"/>
        </w:rPr>
      </w:pPr>
      <w:r>
        <w:rPr>
          <w:rFonts w:hint="eastAsia" w:ascii="黑体" w:hAnsi="黑体" w:eastAsia="黑体" w:cs="方正仿宋_GB2312"/>
          <w:sz w:val="32"/>
          <w:szCs w:val="32"/>
        </w:rPr>
        <w:t>二、收入决算情况说明</w:t>
      </w:r>
      <w:r>
        <w:rPr>
          <w:rFonts w:ascii="仿宋" w:hAnsi="仿宋" w:eastAsia="仿宋"/>
          <w:kern w:val="2"/>
          <w:sz w:val="32"/>
          <w:szCs w:val="32"/>
        </w:rPr>
        <w:t>​</w:t>
      </w:r>
    </w:p>
    <w:p>
      <w:pPr>
        <w:pStyle w:val="8"/>
        <w:spacing w:before="93"/>
        <w:ind w:firstLine="640" w:firstLineChars="200"/>
        <w:rPr>
          <w:rFonts w:ascii="仿宋" w:hAnsi="仿宋" w:eastAsia="仿宋"/>
          <w:kern w:val="2"/>
          <w:sz w:val="32"/>
          <w:szCs w:val="32"/>
        </w:rPr>
      </w:pPr>
      <w:r>
        <w:rPr>
          <w:rFonts w:hint="eastAsia" w:ascii="仿宋" w:hAnsi="仿宋" w:eastAsia="仿宋"/>
          <w:kern w:val="2"/>
          <w:sz w:val="32"/>
          <w:szCs w:val="32"/>
        </w:rPr>
        <w:t>2025</w:t>
      </w:r>
      <w:r>
        <w:rPr>
          <w:rFonts w:ascii="仿宋" w:hAnsi="仿宋" w:eastAsia="仿宋"/>
          <w:kern w:val="2"/>
          <w:sz w:val="32"/>
          <w:szCs w:val="32"/>
        </w:rPr>
        <w:t>年度本年收入合计13,964.12万元。</w:t>
      </w:r>
      <w:r>
        <w:rPr>
          <w:rFonts w:hint="eastAsia" w:ascii="仿宋" w:hAnsi="仿宋" w:eastAsia="仿宋"/>
          <w:kern w:val="2"/>
          <w:sz w:val="32"/>
          <w:szCs w:val="32"/>
        </w:rPr>
        <w:t>结构如下</w:t>
      </w:r>
      <w:r>
        <w:rPr>
          <w:rFonts w:ascii="仿宋" w:hAnsi="仿宋" w:eastAsia="仿宋"/>
          <w:kern w:val="2"/>
          <w:sz w:val="32"/>
          <w:szCs w:val="32"/>
        </w:rPr>
        <w:t>：</w:t>
      </w:r>
    </w:p>
    <w:p>
      <w:pPr>
        <w:pStyle w:val="8"/>
        <w:spacing w:before="93"/>
        <w:rPr>
          <w:rFonts w:ascii="仿宋" w:hAnsi="仿宋" w:eastAsia="仿宋"/>
          <w:kern w:val="2"/>
          <w:sz w:val="32"/>
          <w:szCs w:val="32"/>
        </w:rPr>
      </w:pPr>
      <w:r>
        <w:rPr>
          <w:rFonts w:ascii="仿宋" w:hAnsi="仿宋" w:eastAsia="仿宋"/>
          <w:kern w:val="2"/>
          <w:sz w:val="32"/>
          <w:szCs w:val="32"/>
        </w:rPr>
        <w:t>一般公共预算财政拨款收入：13,079.83万元，占比93.7%；政府性基金预算财政拨款收入：61.09万元，占比0.4%；</w:t>
      </w:r>
    </w:p>
    <w:p>
      <w:pPr>
        <w:pStyle w:val="8"/>
        <w:spacing w:before="93"/>
        <w:jc w:val="center"/>
        <w:rPr>
          <w:rFonts w:ascii="仿宋" w:hAnsi="仿宋" w:eastAsia="仿宋"/>
          <w:kern w:val="2"/>
          <w:sz w:val="32"/>
          <w:szCs w:val="32"/>
        </w:rPr>
      </w:pPr>
    </w:p>
    <w:p>
      <w:pPr>
        <w:pStyle w:val="8"/>
        <w:spacing w:before="93"/>
        <w:rPr>
          <w:rFonts w:ascii="仿宋" w:hAnsi="仿宋" w:eastAsia="仿宋"/>
          <w:kern w:val="2"/>
          <w:sz w:val="32"/>
          <w:szCs w:val="32"/>
        </w:rPr>
      </w:pPr>
      <w:r>
        <w:rPr>
          <w:rFonts w:ascii="仿宋" w:hAnsi="仿宋" w:eastAsia="仿宋"/>
          <w:kern w:val="2"/>
          <w:sz w:val="32"/>
          <w:szCs w:val="32"/>
        </w:rPr>
        <w:t>事业收入：756.65万元，占比5.4%；其他收入：66.56万元，占比0.5%。收入结构以财政拨款为主、事业收入为辅，体现学校经费来源的稳定性。</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（图2：收入决算结构图）（饼状图）</w:t>
      </w:r>
    </w:p>
    <w:p>
      <w:pPr>
        <w:pStyle w:val="8"/>
        <w:spacing w:before="93"/>
        <w:jc w:val="center"/>
        <w:rPr>
          <w:rFonts w:ascii="仿宋" w:hAnsi="仿宋" w:eastAsia="仿宋"/>
          <w:kern w:val="2"/>
          <w:sz w:val="32"/>
          <w:szCs w:val="32"/>
        </w:rPr>
      </w:pPr>
      <w:r>
        <w:rPr>
          <w:rFonts w:hint="eastAsia"/>
        </w:rPr>
        <w:drawing>
          <wp:inline distT="0" distB="0" distL="0" distR="0">
            <wp:extent cx="4819650" cy="3171825"/>
            <wp:effectExtent l="6350" t="6350" r="12700" b="22225"/>
            <wp:docPr id="3"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pStyle w:val="19"/>
        <w:numPr>
          <w:ilvl w:val="0"/>
          <w:numId w:val="0"/>
        </w:numPr>
        <w:spacing w:line="600" w:lineRule="exact"/>
        <w:ind w:left="640"/>
        <w:outlineLvl w:val="1"/>
        <w:rPr>
          <w:rFonts w:ascii="黑体" w:hAnsi="黑体" w:eastAsia="黑体"/>
          <w:color w:val="auto"/>
          <w:sz w:val="32"/>
          <w:szCs w:val="32"/>
        </w:rPr>
      </w:pPr>
      <w:r>
        <w:rPr>
          <w:rFonts w:ascii="黑体" w:hAnsi="黑体" w:eastAsia="黑体"/>
          <w:color w:val="auto"/>
          <w:sz w:val="32"/>
          <w:szCs w:val="32"/>
        </w:rPr>
        <w:t>三、支出决算情况说明​</w:t>
      </w:r>
    </w:p>
    <w:p>
      <w:pPr>
        <w:spacing w:line="600" w:lineRule="exact"/>
        <w:ind w:firstLine="640" w:firstLineChars="200"/>
        <w:outlineLvl w:val="1"/>
        <w:rPr>
          <w:rFonts w:ascii="仿宋" w:hAnsi="仿宋" w:eastAsia="仿宋"/>
          <w:sz w:val="32"/>
          <w:szCs w:val="32"/>
        </w:rPr>
      </w:pPr>
      <w:r>
        <w:rPr>
          <w:rFonts w:ascii="仿宋" w:hAnsi="仿宋" w:eastAsia="仿宋"/>
          <w:sz w:val="32"/>
          <w:szCs w:val="32"/>
        </w:rPr>
        <w:t>2025年度本年支出合计13,851.87万元。</w:t>
      </w:r>
      <w:r>
        <w:rPr>
          <w:rFonts w:hint="eastAsia" w:ascii="仿宋" w:hAnsi="仿宋" w:eastAsia="仿宋"/>
          <w:sz w:val="32"/>
          <w:szCs w:val="32"/>
        </w:rPr>
        <w:t>其中</w:t>
      </w:r>
      <w:r>
        <w:rPr>
          <w:rFonts w:ascii="仿宋" w:hAnsi="仿宋" w:eastAsia="仿宋"/>
          <w:sz w:val="32"/>
          <w:szCs w:val="32"/>
        </w:rPr>
        <w:t>：基本支出：9,712.77万元，占比70.1%；项目支出：4,139.1万元，占比29.9%。基本支出重点保障人员经费和日常运转，项目支出主要用于教学设施更新、大型修缮、两校区运转维护及教育费附加安排的项目等。</w:t>
      </w:r>
    </w:p>
    <w:p>
      <w:pPr>
        <w:spacing w:line="600" w:lineRule="exact"/>
        <w:ind w:firstLine="640" w:firstLineChars="200"/>
        <w:outlineLvl w:val="1"/>
        <w:rPr>
          <w:rFonts w:ascii="仿宋" w:hAnsi="仿宋" w:eastAsia="仿宋"/>
          <w:sz w:val="32"/>
          <w:szCs w:val="32"/>
        </w:rPr>
      </w:pPr>
      <w:r>
        <w:rPr>
          <w:rFonts w:hint="eastAsia" w:ascii="仿宋" w:hAnsi="仿宋" w:eastAsia="仿宋"/>
          <w:sz w:val="32"/>
          <w:szCs w:val="32"/>
        </w:rPr>
        <w:t>（图3：支出决算结构图）（饼状图）</w:t>
      </w:r>
    </w:p>
    <w:p>
      <w:pPr>
        <w:spacing w:line="600" w:lineRule="exact"/>
        <w:ind w:firstLine="640" w:firstLineChars="200"/>
        <w:outlineLvl w:val="1"/>
        <w:rPr>
          <w:rFonts w:ascii="仿宋_GB2312" w:eastAsia="仿宋_GB2312"/>
          <w:sz w:val="32"/>
          <w:szCs w:val="32"/>
        </w:rPr>
      </w:pPr>
    </w:p>
    <w:p>
      <w:pPr>
        <w:pStyle w:val="8"/>
        <w:spacing w:before="93"/>
        <w:jc w:val="center"/>
        <w:rPr>
          <w:rFonts w:ascii="仿宋" w:hAnsi="仿宋" w:eastAsia="仿宋"/>
          <w:kern w:val="2"/>
          <w:sz w:val="32"/>
          <w:szCs w:val="32"/>
        </w:rPr>
      </w:pPr>
      <w:r>
        <w:rPr>
          <w:rFonts w:hint="eastAsia"/>
        </w:rPr>
        <w:drawing>
          <wp:inline distT="0" distB="0" distL="0" distR="0">
            <wp:extent cx="4865370" cy="2916555"/>
            <wp:effectExtent l="6350" t="6350" r="24130" b="10795"/>
            <wp:docPr id="4"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spacing w:line="600" w:lineRule="exact"/>
        <w:ind w:firstLine="640" w:firstLineChars="200"/>
        <w:outlineLvl w:val="1"/>
        <w:rPr>
          <w:rFonts w:ascii="黑体" w:hAnsi="黑体" w:eastAsia="黑体"/>
          <w:sz w:val="32"/>
          <w:szCs w:val="32"/>
        </w:rPr>
      </w:pPr>
      <w:r>
        <w:rPr>
          <w:rFonts w:ascii="黑体" w:hAnsi="黑体" w:eastAsia="黑体"/>
          <w:sz w:val="32"/>
          <w:szCs w:val="32"/>
        </w:rPr>
        <w:t>四、财政拨款收入支出决算总体情况说明​</w:t>
      </w:r>
    </w:p>
    <w:p>
      <w:pPr>
        <w:spacing w:line="600" w:lineRule="exact"/>
        <w:ind w:firstLine="640"/>
        <w:rPr>
          <w:rFonts w:ascii="仿宋" w:hAnsi="仿宋" w:eastAsia="仿宋"/>
          <w:sz w:val="32"/>
          <w:szCs w:val="32"/>
        </w:rPr>
      </w:pPr>
      <w:r>
        <w:rPr>
          <w:rFonts w:ascii="仿宋" w:hAnsi="仿宋" w:eastAsia="仿宋"/>
          <w:sz w:val="32"/>
          <w:szCs w:val="32"/>
        </w:rPr>
        <w:t>2025年度财政拨款收、支总计均为13,140.91万元。与2024年度相比，财政拨款收、支总计各增加1,494.31万元，增长12.8%。主要变动原因：两校区办学深化，新进教职工及设施投入和基础性建设增加。</w:t>
      </w:r>
    </w:p>
    <w:p>
      <w:pPr>
        <w:spacing w:line="600" w:lineRule="exact"/>
        <w:ind w:firstLine="640"/>
        <w:rPr>
          <w:rFonts w:ascii="仿宋" w:hAnsi="仿宋" w:eastAsia="仿宋"/>
          <w:sz w:val="32"/>
          <w:szCs w:val="32"/>
        </w:rPr>
      </w:pPr>
      <w:r>
        <w:rPr>
          <w:rFonts w:hint="eastAsia" w:ascii="仿宋" w:hAnsi="仿宋" w:eastAsia="仿宋"/>
          <w:sz w:val="32"/>
          <w:szCs w:val="32"/>
        </w:rPr>
        <w:t>（图4：财政拨款收、支决算总计变动情况）（柱状图）</w:t>
      </w:r>
    </w:p>
    <w:p>
      <w:pPr>
        <w:spacing w:line="600" w:lineRule="exact"/>
        <w:ind w:firstLine="640"/>
        <w:rPr>
          <w:rFonts w:ascii="仿宋" w:hAnsi="仿宋" w:eastAsia="仿宋"/>
          <w:b/>
          <w:sz w:val="32"/>
          <w:szCs w:val="32"/>
        </w:rPr>
      </w:pPr>
    </w:p>
    <w:p>
      <w:pPr>
        <w:pStyle w:val="8"/>
        <w:spacing w:before="93"/>
        <w:jc w:val="center"/>
        <w:rPr>
          <w:rFonts w:ascii="仿宋" w:hAnsi="仿宋" w:eastAsia="仿宋"/>
          <w:kern w:val="2"/>
          <w:sz w:val="32"/>
          <w:szCs w:val="32"/>
        </w:rPr>
      </w:pPr>
      <w:r>
        <w:rPr>
          <w:rFonts w:hint="eastAsia"/>
        </w:rPr>
        <w:drawing>
          <wp:inline distT="0" distB="0" distL="0" distR="0">
            <wp:extent cx="5274310" cy="3371850"/>
            <wp:effectExtent l="6350" t="6350" r="15240" b="12700"/>
            <wp:docPr id="5"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8"/>
        <w:spacing w:before="93"/>
        <w:rPr>
          <w:rFonts w:ascii="黑体" w:hAnsi="黑体" w:eastAsia="黑体" w:cs="方正仿宋_GB2312"/>
          <w:sz w:val="32"/>
          <w:szCs w:val="32"/>
        </w:rPr>
      </w:pPr>
      <w:r>
        <w:rPr>
          <w:rFonts w:ascii="黑体" w:hAnsi="黑体" w:eastAsia="黑体" w:cs="方正仿宋_GB2312"/>
          <w:sz w:val="32"/>
          <w:szCs w:val="32"/>
        </w:rPr>
        <w:t>​</w:t>
      </w:r>
      <w:r>
        <w:rPr>
          <w:rFonts w:ascii="黑体" w:hAnsi="黑体" w:eastAsia="黑体"/>
          <w:kern w:val="2"/>
          <w:sz w:val="32"/>
          <w:szCs w:val="32"/>
        </w:rPr>
        <w:t>五、一般公共预算财政拨款支出决算情况说明​</w:t>
      </w:r>
    </w:p>
    <w:p>
      <w:pPr>
        <w:spacing w:line="600" w:lineRule="exact"/>
        <w:ind w:firstLine="643" w:firstLineChars="200"/>
        <w:outlineLvl w:val="2"/>
        <w:rPr>
          <w:rFonts w:ascii="仿宋" w:hAnsi="仿宋" w:eastAsia="仿宋"/>
          <w:b/>
          <w:sz w:val="32"/>
          <w:szCs w:val="32"/>
        </w:rPr>
      </w:pPr>
      <w:r>
        <w:rPr>
          <w:rFonts w:ascii="仿宋" w:hAnsi="仿宋" w:eastAsia="仿宋"/>
          <w:b/>
          <w:sz w:val="32"/>
          <w:szCs w:val="32"/>
        </w:rPr>
        <w:t>（一）</w:t>
      </w:r>
      <w:r>
        <w:rPr>
          <w:rFonts w:hint="eastAsia" w:ascii="仿宋" w:hAnsi="仿宋" w:eastAsia="仿宋"/>
          <w:b/>
          <w:sz w:val="32"/>
          <w:szCs w:val="32"/>
        </w:rPr>
        <w:t>一般公共预算财政拨款</w:t>
      </w:r>
      <w:r>
        <w:rPr>
          <w:rFonts w:ascii="仿宋" w:hAnsi="仿宋" w:eastAsia="仿宋"/>
          <w:b/>
          <w:sz w:val="32"/>
          <w:szCs w:val="32"/>
        </w:rPr>
        <w:t>支出决算总体情况​</w:t>
      </w:r>
    </w:p>
    <w:p>
      <w:pPr>
        <w:spacing w:line="600" w:lineRule="exact"/>
        <w:ind w:firstLine="640" w:firstLineChars="200"/>
        <w:rPr>
          <w:rFonts w:ascii="仿宋" w:hAnsi="仿宋" w:eastAsia="仿宋"/>
          <w:sz w:val="32"/>
          <w:szCs w:val="32"/>
        </w:rPr>
      </w:pPr>
      <w:r>
        <w:rPr>
          <w:rFonts w:ascii="仿宋" w:hAnsi="仿宋" w:eastAsia="仿宋"/>
          <w:sz w:val="32"/>
          <w:szCs w:val="32"/>
        </w:rPr>
        <w:t>2025年度一般公共预算财政拨款支出13,079.83万元，占本年支出合计的94.4%。与2024年度相比，增加1,436.97万元，增长12.3%，主要因人员经费刚性增长及校区运维、修缮成本上升。</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（图5：一般公共预算财政拨款支出决算变动情况）（柱状图）</w:t>
      </w:r>
    </w:p>
    <w:p>
      <w:pPr>
        <w:pStyle w:val="8"/>
        <w:spacing w:before="93"/>
        <w:jc w:val="center"/>
        <w:rPr>
          <w:rFonts w:ascii="仿宋" w:hAnsi="仿宋" w:eastAsia="仿宋"/>
          <w:kern w:val="2"/>
          <w:sz w:val="32"/>
          <w:szCs w:val="32"/>
        </w:rPr>
      </w:pPr>
      <w:r>
        <w:rPr>
          <w:rFonts w:hint="eastAsia"/>
        </w:rPr>
        <w:drawing>
          <wp:inline distT="0" distB="0" distL="0" distR="0">
            <wp:extent cx="5274310" cy="3076575"/>
            <wp:effectExtent l="6350" t="6350" r="15240" b="22225"/>
            <wp:docPr id="7"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spacing w:line="600" w:lineRule="exact"/>
        <w:ind w:firstLine="643" w:firstLineChars="200"/>
        <w:outlineLvl w:val="2"/>
        <w:rPr>
          <w:rFonts w:ascii="仿宋" w:hAnsi="仿宋" w:eastAsia="仿宋"/>
          <w:b/>
          <w:sz w:val="32"/>
          <w:szCs w:val="32"/>
        </w:rPr>
      </w:pPr>
      <w:r>
        <w:rPr>
          <w:rFonts w:ascii="仿宋" w:hAnsi="仿宋" w:eastAsia="仿宋"/>
          <w:b/>
          <w:sz w:val="32"/>
          <w:szCs w:val="32"/>
        </w:rPr>
        <w:t>（二）</w:t>
      </w:r>
      <w:r>
        <w:rPr>
          <w:rFonts w:hint="eastAsia" w:ascii="仿宋" w:hAnsi="仿宋" w:eastAsia="仿宋"/>
          <w:b/>
          <w:sz w:val="32"/>
          <w:szCs w:val="32"/>
        </w:rPr>
        <w:t>一般公共预算财政拨款</w:t>
      </w:r>
      <w:r>
        <w:rPr>
          <w:rFonts w:ascii="仿宋" w:hAnsi="仿宋" w:eastAsia="仿宋"/>
          <w:b/>
          <w:sz w:val="32"/>
          <w:szCs w:val="32"/>
        </w:rPr>
        <w:t>支出决算结构</w:t>
      </w:r>
      <w:r>
        <w:rPr>
          <w:rFonts w:hint="eastAsia" w:ascii="仿宋" w:hAnsi="仿宋" w:eastAsia="仿宋"/>
          <w:b/>
          <w:sz w:val="32"/>
          <w:szCs w:val="32"/>
        </w:rPr>
        <w:t>情况</w:t>
      </w:r>
      <w:r>
        <w:rPr>
          <w:rFonts w:ascii="仿宋" w:hAnsi="仿宋" w:eastAsia="仿宋"/>
          <w:b/>
          <w:sz w:val="32"/>
          <w:szCs w:val="32"/>
        </w:rPr>
        <w:t>​</w:t>
      </w:r>
    </w:p>
    <w:p>
      <w:pPr>
        <w:spacing w:line="600" w:lineRule="exact"/>
        <w:ind w:firstLine="640"/>
        <w:rPr>
          <w:rFonts w:ascii="仿宋" w:hAnsi="仿宋" w:eastAsia="仿宋"/>
          <w:sz w:val="32"/>
          <w:szCs w:val="32"/>
        </w:rPr>
      </w:pPr>
      <w:r>
        <w:rPr>
          <w:rFonts w:ascii="仿宋" w:hAnsi="仿宋" w:eastAsia="仿宋"/>
          <w:sz w:val="32"/>
          <w:szCs w:val="32"/>
        </w:rPr>
        <w:t>2025年度一般公共预算财政拨款支出主要用于：教育支出：10,237.77万元，占比78.</w:t>
      </w:r>
      <w:r>
        <w:rPr>
          <w:rFonts w:hint="eastAsia" w:ascii="仿宋" w:hAnsi="仿宋" w:eastAsia="仿宋"/>
          <w:sz w:val="32"/>
          <w:szCs w:val="32"/>
        </w:rPr>
        <w:t>2</w:t>
      </w:r>
      <w:r>
        <w:rPr>
          <w:rFonts w:ascii="仿宋" w:hAnsi="仿宋" w:eastAsia="仿宋"/>
          <w:sz w:val="32"/>
          <w:szCs w:val="32"/>
        </w:rPr>
        <w:t>%；社会保障和就业支出：1,719.91万元，占比13.1%；住房保障支出：652.14万元，占比5%；卫生健康支出：465.01万元，占比3.</w:t>
      </w:r>
      <w:r>
        <w:rPr>
          <w:rFonts w:hint="eastAsia" w:ascii="仿宋" w:hAnsi="仿宋" w:eastAsia="仿宋"/>
          <w:sz w:val="32"/>
          <w:szCs w:val="32"/>
        </w:rPr>
        <w:t>6</w:t>
      </w:r>
      <w:r>
        <w:rPr>
          <w:rFonts w:ascii="仿宋" w:hAnsi="仿宋" w:eastAsia="仿宋"/>
          <w:sz w:val="32"/>
          <w:szCs w:val="32"/>
        </w:rPr>
        <w:t>%；科学技术支出：5万元</w:t>
      </w:r>
      <w:r>
        <w:rPr>
          <w:rFonts w:hint="eastAsia" w:ascii="仿宋" w:hAnsi="仿宋" w:eastAsia="仿宋"/>
          <w:sz w:val="32"/>
          <w:szCs w:val="32"/>
        </w:rPr>
        <w:t>，</w:t>
      </w:r>
      <w:r>
        <w:rPr>
          <w:rFonts w:ascii="仿宋" w:hAnsi="仿宋" w:eastAsia="仿宋"/>
          <w:sz w:val="32"/>
          <w:szCs w:val="32"/>
        </w:rPr>
        <w:t>占比</w:t>
      </w:r>
      <w:r>
        <w:rPr>
          <w:rFonts w:hint="eastAsia" w:ascii="仿宋" w:hAnsi="仿宋" w:eastAsia="仿宋"/>
          <w:sz w:val="32"/>
          <w:szCs w:val="32"/>
        </w:rPr>
        <w:t>0.1%</w:t>
      </w:r>
      <w:r>
        <w:rPr>
          <w:rFonts w:ascii="仿宋" w:hAnsi="仿宋" w:eastAsia="仿宋"/>
          <w:sz w:val="32"/>
          <w:szCs w:val="32"/>
        </w:rPr>
        <w:t>。（图6：一般公共预算财政拨款支出决算结构）（饼状图）</w:t>
      </w:r>
    </w:p>
    <w:p>
      <w:pPr>
        <w:spacing w:line="600" w:lineRule="exact"/>
        <w:ind w:firstLine="640"/>
        <w:rPr>
          <w:rFonts w:ascii="仿宋" w:hAnsi="仿宋" w:eastAsia="仿宋"/>
          <w:sz w:val="32"/>
          <w:szCs w:val="32"/>
        </w:rPr>
      </w:pPr>
    </w:p>
    <w:p>
      <w:pPr>
        <w:pStyle w:val="8"/>
        <w:spacing w:before="93"/>
        <w:jc w:val="center"/>
        <w:rPr>
          <w:rFonts w:ascii="仿宋" w:hAnsi="仿宋" w:eastAsia="仿宋"/>
          <w:kern w:val="2"/>
          <w:sz w:val="32"/>
          <w:szCs w:val="32"/>
        </w:rPr>
      </w:pPr>
      <w:r>
        <w:rPr>
          <w:rFonts w:hint="eastAsia"/>
        </w:rPr>
        <w:drawing>
          <wp:inline distT="0" distB="0" distL="0" distR="0">
            <wp:extent cx="5615940" cy="3407410"/>
            <wp:effectExtent l="6350" t="6350" r="16510" b="15240"/>
            <wp:docPr id="6"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8"/>
        <w:spacing w:before="93"/>
        <w:jc w:val="center"/>
        <w:rPr>
          <w:rFonts w:ascii="仿宋" w:hAnsi="仿宋" w:eastAsia="仿宋"/>
          <w:kern w:val="2"/>
          <w:sz w:val="32"/>
          <w:szCs w:val="32"/>
        </w:rPr>
      </w:pPr>
    </w:p>
    <w:p>
      <w:pPr>
        <w:spacing w:line="600" w:lineRule="exact"/>
        <w:ind w:firstLine="643" w:firstLineChars="200"/>
        <w:outlineLvl w:val="2"/>
        <w:rPr>
          <w:rFonts w:ascii="仿宋" w:hAnsi="仿宋" w:eastAsia="仿宋"/>
          <w:color w:val="000000" w:themeColor="text1"/>
          <w:sz w:val="32"/>
          <w:szCs w:val="32"/>
        </w:rPr>
      </w:pPr>
      <w:r>
        <w:rPr>
          <w:rFonts w:ascii="仿宋" w:hAnsi="仿宋" w:eastAsia="仿宋"/>
          <w:b/>
          <w:sz w:val="32"/>
          <w:szCs w:val="32"/>
        </w:rPr>
        <w:t>（三）支出决算具体情况​</w:t>
      </w:r>
    </w:p>
    <w:p>
      <w:pPr>
        <w:spacing w:line="600" w:lineRule="exact"/>
        <w:ind w:firstLine="645"/>
        <w:rPr>
          <w:rFonts w:ascii="仿宋" w:hAnsi="仿宋" w:eastAsia="仿宋"/>
          <w:sz w:val="32"/>
          <w:szCs w:val="32"/>
        </w:rPr>
      </w:pPr>
      <w:r>
        <w:rPr>
          <w:rFonts w:ascii="仿宋" w:hAnsi="仿宋" w:eastAsia="仿宋"/>
          <w:sz w:val="32"/>
          <w:szCs w:val="32"/>
        </w:rPr>
        <w:t>2025年度一般公共预算财政拨款支出按功能分类项级科目明细如下：</w:t>
      </w:r>
    </w:p>
    <w:p>
      <w:pPr>
        <w:spacing w:line="600" w:lineRule="exact"/>
        <w:ind w:firstLine="645"/>
        <w:rPr>
          <w:rFonts w:ascii="仿宋" w:hAnsi="仿宋" w:eastAsia="仿宋"/>
          <w:sz w:val="32"/>
          <w:szCs w:val="32"/>
        </w:rPr>
      </w:pPr>
      <w:r>
        <w:rPr>
          <w:rFonts w:ascii="仿宋" w:hAnsi="仿宋" w:eastAsia="仿宋"/>
          <w:sz w:val="32"/>
          <w:szCs w:val="32"/>
        </w:rPr>
        <w:t>教育（类）普通教育（款）高中教育（项）：支出9,859.22万元；</w:t>
      </w:r>
    </w:p>
    <w:p>
      <w:pPr>
        <w:spacing w:line="600" w:lineRule="exact"/>
        <w:ind w:firstLine="645"/>
        <w:rPr>
          <w:rFonts w:ascii="仿宋" w:hAnsi="仿宋" w:eastAsia="仿宋"/>
          <w:sz w:val="32"/>
          <w:szCs w:val="32"/>
        </w:rPr>
      </w:pPr>
      <w:r>
        <w:rPr>
          <w:rFonts w:ascii="仿宋" w:hAnsi="仿宋" w:eastAsia="仿宋"/>
          <w:sz w:val="32"/>
          <w:szCs w:val="32"/>
        </w:rPr>
        <w:t>教育（类）教育费附加安排的支出（款）其他教育费附加安排的支出（项）：支出269.34万元；</w:t>
      </w:r>
    </w:p>
    <w:p>
      <w:pPr>
        <w:spacing w:line="600" w:lineRule="exact"/>
        <w:ind w:firstLine="645"/>
        <w:rPr>
          <w:rFonts w:ascii="仿宋" w:hAnsi="仿宋" w:eastAsia="仿宋"/>
          <w:sz w:val="32"/>
          <w:szCs w:val="32"/>
        </w:rPr>
      </w:pPr>
      <w:r>
        <w:rPr>
          <w:rFonts w:ascii="仿宋" w:hAnsi="仿宋" w:eastAsia="仿宋"/>
          <w:sz w:val="32"/>
          <w:szCs w:val="32"/>
        </w:rPr>
        <w:t>教育（类）其他教育支出（款）其他教育支出（项）：支出109.21万元；</w:t>
      </w:r>
    </w:p>
    <w:p>
      <w:pPr>
        <w:spacing w:line="600" w:lineRule="exact"/>
        <w:ind w:firstLine="645"/>
        <w:rPr>
          <w:rFonts w:ascii="仿宋" w:hAnsi="仿宋" w:eastAsia="仿宋"/>
          <w:sz w:val="32"/>
          <w:szCs w:val="32"/>
        </w:rPr>
      </w:pPr>
      <w:r>
        <w:rPr>
          <w:rFonts w:ascii="仿宋" w:hAnsi="仿宋" w:eastAsia="仿宋"/>
          <w:sz w:val="32"/>
          <w:szCs w:val="32"/>
        </w:rPr>
        <w:t>科学技术（类）社会科学（款）社科基金支出（项）：支出5万元；</w:t>
      </w:r>
    </w:p>
    <w:p>
      <w:pPr>
        <w:spacing w:line="600" w:lineRule="exact"/>
        <w:ind w:firstLine="645"/>
        <w:rPr>
          <w:rFonts w:ascii="仿宋" w:hAnsi="仿宋" w:eastAsia="仿宋"/>
          <w:sz w:val="32"/>
          <w:szCs w:val="32"/>
        </w:rPr>
      </w:pPr>
      <w:r>
        <w:rPr>
          <w:rFonts w:ascii="仿宋" w:hAnsi="仿宋" w:eastAsia="仿宋"/>
          <w:sz w:val="32"/>
          <w:szCs w:val="32"/>
        </w:rPr>
        <w:t>社会保障和就业（类）人力资源和社会保障管理事务（款）其他人力资源和社会保障管理事务支出（项）：支出42.39万元；</w:t>
      </w:r>
    </w:p>
    <w:p>
      <w:pPr>
        <w:spacing w:line="600" w:lineRule="exact"/>
        <w:ind w:firstLine="645"/>
        <w:rPr>
          <w:rFonts w:ascii="仿宋" w:hAnsi="仿宋" w:eastAsia="仿宋"/>
          <w:sz w:val="32"/>
          <w:szCs w:val="32"/>
        </w:rPr>
      </w:pPr>
      <w:r>
        <w:rPr>
          <w:rFonts w:ascii="仿宋" w:hAnsi="仿宋" w:eastAsia="仿宋"/>
          <w:sz w:val="32"/>
          <w:szCs w:val="32"/>
        </w:rPr>
        <w:t>社会保障和就业（类）行政事业单位养老支出（款）事业单位离退休（项）：支出553.21万元；</w:t>
      </w:r>
    </w:p>
    <w:p>
      <w:pPr>
        <w:spacing w:line="600" w:lineRule="exact"/>
        <w:ind w:firstLine="645"/>
        <w:rPr>
          <w:rFonts w:ascii="仿宋" w:hAnsi="仿宋" w:eastAsia="仿宋"/>
          <w:sz w:val="32"/>
          <w:szCs w:val="32"/>
        </w:rPr>
      </w:pPr>
      <w:r>
        <w:rPr>
          <w:rFonts w:ascii="仿宋" w:hAnsi="仿宋" w:eastAsia="仿宋"/>
          <w:sz w:val="32"/>
          <w:szCs w:val="32"/>
        </w:rPr>
        <w:t>社会保障和就业（类）行政事业单位养老支出（款）机关事业单位基本养老保险缴费支出（项）：支出875.5万元；</w:t>
      </w:r>
    </w:p>
    <w:p>
      <w:pPr>
        <w:spacing w:line="600" w:lineRule="exact"/>
        <w:ind w:firstLine="645"/>
        <w:rPr>
          <w:rFonts w:ascii="仿宋" w:hAnsi="仿宋" w:eastAsia="仿宋"/>
          <w:sz w:val="32"/>
          <w:szCs w:val="32"/>
        </w:rPr>
      </w:pPr>
      <w:r>
        <w:rPr>
          <w:rFonts w:ascii="仿宋" w:hAnsi="仿宋" w:eastAsia="仿宋"/>
          <w:sz w:val="32"/>
          <w:szCs w:val="32"/>
        </w:rPr>
        <w:t>社会保障和就业（类）行政事业单位养老支出（款）机关事业单位职业年金缴费支出（项）：支出222.91万元；</w:t>
      </w:r>
    </w:p>
    <w:p>
      <w:pPr>
        <w:spacing w:line="600" w:lineRule="exact"/>
        <w:ind w:firstLine="645"/>
        <w:rPr>
          <w:rFonts w:ascii="仿宋" w:hAnsi="仿宋" w:eastAsia="仿宋"/>
          <w:sz w:val="32"/>
          <w:szCs w:val="32"/>
        </w:rPr>
      </w:pPr>
      <w:r>
        <w:rPr>
          <w:rFonts w:ascii="仿宋" w:hAnsi="仿宋" w:eastAsia="仿宋"/>
          <w:sz w:val="32"/>
          <w:szCs w:val="32"/>
        </w:rPr>
        <w:t>社会保障和就业（类）抚恤（款）死亡抚恤（项）：支出25.9万元；</w:t>
      </w:r>
    </w:p>
    <w:p>
      <w:pPr>
        <w:spacing w:line="600" w:lineRule="exact"/>
        <w:ind w:firstLine="645"/>
        <w:rPr>
          <w:rFonts w:ascii="仿宋" w:hAnsi="仿宋" w:eastAsia="仿宋"/>
          <w:sz w:val="32"/>
          <w:szCs w:val="32"/>
        </w:rPr>
      </w:pPr>
      <w:r>
        <w:rPr>
          <w:rFonts w:ascii="仿宋" w:hAnsi="仿宋" w:eastAsia="仿宋"/>
          <w:sz w:val="32"/>
          <w:szCs w:val="32"/>
        </w:rPr>
        <w:t>卫生健康（类）行政事业单位医疗（款）事业单位医疗（项）：支出422.41万元；</w:t>
      </w:r>
    </w:p>
    <w:p>
      <w:pPr>
        <w:spacing w:line="600" w:lineRule="exact"/>
        <w:ind w:firstLine="645"/>
        <w:rPr>
          <w:rFonts w:ascii="仿宋" w:hAnsi="仿宋" w:eastAsia="仿宋"/>
          <w:sz w:val="32"/>
          <w:szCs w:val="32"/>
        </w:rPr>
      </w:pPr>
      <w:r>
        <w:rPr>
          <w:rFonts w:ascii="仿宋" w:hAnsi="仿宋" w:eastAsia="仿宋"/>
          <w:sz w:val="32"/>
          <w:szCs w:val="32"/>
        </w:rPr>
        <w:t>卫生健康（类）行政事业单位医疗（款）公务员医疗补助（项）：支出42.6万元；</w:t>
      </w:r>
    </w:p>
    <w:p>
      <w:pPr>
        <w:spacing w:line="600" w:lineRule="exact"/>
        <w:ind w:firstLine="645"/>
        <w:rPr>
          <w:rFonts w:ascii="仿宋" w:hAnsi="仿宋" w:eastAsia="仿宋"/>
          <w:sz w:val="32"/>
          <w:szCs w:val="32"/>
        </w:rPr>
      </w:pPr>
      <w:r>
        <w:rPr>
          <w:rFonts w:ascii="仿宋" w:hAnsi="仿宋" w:eastAsia="仿宋"/>
          <w:sz w:val="32"/>
          <w:szCs w:val="32"/>
        </w:rPr>
        <w:t>住房保障支出（类）住房改革支出（款）住房公积金（项）：支出652.14万元。</w:t>
      </w:r>
    </w:p>
    <w:p>
      <w:pPr>
        <w:pStyle w:val="8"/>
        <w:spacing w:before="93"/>
        <w:jc w:val="center"/>
        <w:rPr>
          <w:rFonts w:ascii="仿宋" w:hAnsi="仿宋" w:eastAsia="仿宋"/>
          <w:kern w:val="2"/>
          <w:sz w:val="32"/>
          <w:szCs w:val="32"/>
        </w:rPr>
      </w:pPr>
      <w:r>
        <w:rPr>
          <w:rFonts w:ascii="黑体" w:eastAsia="黑体"/>
          <w:kern w:val="2"/>
          <w:sz w:val="32"/>
          <w:szCs w:val="32"/>
        </w:rPr>
        <w:t>​六、一般公共预算财政拨款基本支出决算情况说明</w:t>
      </w:r>
      <w:r>
        <w:rPr>
          <w:rFonts w:ascii="仿宋" w:hAnsi="仿宋" w:eastAsia="仿宋"/>
          <w:kern w:val="2"/>
          <w:sz w:val="32"/>
          <w:szCs w:val="32"/>
        </w:rPr>
        <w:t>​</w:t>
      </w:r>
    </w:p>
    <w:p>
      <w:pPr>
        <w:spacing w:line="600" w:lineRule="exact"/>
        <w:ind w:firstLine="645"/>
        <w:rPr>
          <w:rFonts w:ascii="仿宋" w:hAnsi="仿宋" w:eastAsia="仿宋"/>
          <w:sz w:val="32"/>
          <w:szCs w:val="32"/>
        </w:rPr>
      </w:pPr>
      <w:r>
        <w:rPr>
          <w:rFonts w:ascii="仿宋" w:hAnsi="仿宋" w:eastAsia="仿宋"/>
          <w:sz w:val="32"/>
          <w:szCs w:val="32"/>
        </w:rPr>
        <w:t>2025年度一般公共预算财政拨款基本支出9,140.42万元，其中：人员经费：9,065.79万元（含基本工资2,180.07万元、绩效工资3,508.71万元、机关事业单位基本养老保险缴费875.5万元、住房公积金652.14万元等）；公用经费：74.63万元（主要为工会经费64.65万元等）。</w:t>
      </w:r>
    </w:p>
    <w:p>
      <w:pPr>
        <w:spacing w:line="600" w:lineRule="exact"/>
        <w:ind w:firstLine="640"/>
        <w:outlineLvl w:val="1"/>
        <w:rPr>
          <w:rFonts w:ascii="仿宋" w:hAnsi="仿宋" w:eastAsia="仿宋"/>
          <w:sz w:val="32"/>
          <w:szCs w:val="32"/>
        </w:rPr>
      </w:pPr>
      <w:r>
        <w:rPr>
          <w:rFonts w:ascii="黑体" w:eastAsia="黑体"/>
          <w:sz w:val="32"/>
          <w:szCs w:val="32"/>
        </w:rPr>
        <w:t>​七、财政拨款“三公”经费支出决算情况说明</w:t>
      </w:r>
      <w:r>
        <w:rPr>
          <w:rFonts w:ascii="仿宋" w:hAnsi="仿宋" w:eastAsia="仿宋"/>
          <w:sz w:val="32"/>
          <w:szCs w:val="32"/>
        </w:rPr>
        <w:t>​</w:t>
      </w:r>
    </w:p>
    <w:p>
      <w:pPr>
        <w:spacing w:line="600" w:lineRule="exact"/>
        <w:ind w:firstLine="640"/>
        <w:rPr>
          <w:rFonts w:ascii="仿宋_GB2312" w:eastAsia="仿宋_GB2312"/>
          <w:sz w:val="32"/>
          <w:szCs w:val="32"/>
        </w:rPr>
      </w:pPr>
      <w:r>
        <w:rPr>
          <w:rFonts w:ascii="仿宋_GB2312" w:eastAsia="仿宋_GB2312"/>
          <w:sz w:val="32"/>
          <w:szCs w:val="32"/>
        </w:rPr>
        <w:t>2025年度“三公”经费财政拨款支出决算为0万元，与2024年持平。其中：因公出国（境）费0万元，公务用车购置及运行维护费0万元，公务接待费0万元。原因：“三公”经费由事业收入安排，财政拨款未列支。</w:t>
      </w:r>
    </w:p>
    <w:p>
      <w:pPr>
        <w:spacing w:line="600" w:lineRule="exact"/>
        <w:ind w:firstLine="640"/>
        <w:outlineLvl w:val="1"/>
        <w:rPr>
          <w:rFonts w:ascii="黑体" w:eastAsia="黑体"/>
          <w:sz w:val="32"/>
          <w:szCs w:val="32"/>
        </w:rPr>
      </w:pPr>
      <w:r>
        <w:rPr>
          <w:rFonts w:ascii="黑体" w:eastAsia="黑体"/>
          <w:sz w:val="32"/>
          <w:szCs w:val="32"/>
        </w:rPr>
        <w:t>​八、政府性基金预算支出决算情况说明​</w:t>
      </w:r>
    </w:p>
    <w:p>
      <w:pPr>
        <w:spacing w:line="600" w:lineRule="exact"/>
        <w:ind w:firstLine="640"/>
        <w:rPr>
          <w:rFonts w:ascii="仿宋_GB2312" w:eastAsia="仿宋_GB2312"/>
          <w:sz w:val="32"/>
          <w:szCs w:val="32"/>
        </w:rPr>
      </w:pPr>
      <w:r>
        <w:rPr>
          <w:rFonts w:ascii="仿宋_GB2312" w:eastAsia="仿宋_GB2312"/>
          <w:sz w:val="32"/>
          <w:szCs w:val="32"/>
        </w:rPr>
        <w:t>2025年度政府性基金预算财政拨款支出61.09万元，全部为项目支出，其中：城乡社区支出（国有土地使用权出让收入安排的征地和拆迁补偿支出）60万元；其他支出（用于体育事业的彩票公益金支出）1.09万元。</w:t>
      </w:r>
    </w:p>
    <w:p>
      <w:pPr>
        <w:spacing w:line="600" w:lineRule="exact"/>
        <w:ind w:firstLine="640"/>
        <w:outlineLvl w:val="1"/>
        <w:rPr>
          <w:rFonts w:ascii="黑体" w:eastAsia="黑体"/>
          <w:sz w:val="32"/>
          <w:szCs w:val="32"/>
        </w:rPr>
      </w:pPr>
      <w:r>
        <w:rPr>
          <w:rFonts w:ascii="黑体" w:eastAsia="黑体"/>
          <w:sz w:val="32"/>
          <w:szCs w:val="32"/>
        </w:rPr>
        <w:t>​九、国有资本经营预算支出决算情况说明​</w:t>
      </w:r>
    </w:p>
    <w:p>
      <w:pPr>
        <w:spacing w:line="600" w:lineRule="exact"/>
        <w:ind w:firstLine="640"/>
        <w:rPr>
          <w:rFonts w:ascii="仿宋_GB2312" w:eastAsia="仿宋_GB2312"/>
          <w:sz w:val="32"/>
          <w:szCs w:val="32"/>
        </w:rPr>
      </w:pPr>
      <w:r>
        <w:rPr>
          <w:rFonts w:ascii="仿宋_GB2312" w:eastAsia="仿宋_GB2312"/>
          <w:sz w:val="32"/>
          <w:szCs w:val="32"/>
        </w:rPr>
        <w:t>2025年度国有资本经营预算财政拨款支出0万元，无相关支出。</w:t>
      </w:r>
    </w:p>
    <w:p>
      <w:pPr>
        <w:spacing w:line="600" w:lineRule="exact"/>
        <w:ind w:firstLine="643" w:firstLineChars="200"/>
        <w:outlineLvl w:val="1"/>
        <w:rPr>
          <w:rStyle w:val="20"/>
          <w:rFonts w:ascii="黑体" w:hAnsi="黑体" w:eastAsia="黑体"/>
        </w:rPr>
      </w:pPr>
      <w:r>
        <w:rPr>
          <w:rStyle w:val="20"/>
          <w:rFonts w:ascii="黑体" w:hAnsi="黑体" w:eastAsia="黑体"/>
        </w:rPr>
        <w:t>​十、其他重要事项的情况说明​</w:t>
      </w:r>
    </w:p>
    <w:p>
      <w:pPr>
        <w:spacing w:line="600" w:lineRule="exact"/>
        <w:ind w:firstLine="643" w:firstLineChars="200"/>
        <w:outlineLvl w:val="2"/>
        <w:rPr>
          <w:rFonts w:ascii="仿宋" w:hAnsi="仿宋" w:eastAsia="仿宋"/>
          <w:b/>
          <w:sz w:val="32"/>
          <w:szCs w:val="32"/>
        </w:rPr>
      </w:pPr>
      <w:r>
        <w:rPr>
          <w:rFonts w:hint="eastAsia" w:ascii="仿宋" w:hAnsi="仿宋" w:eastAsia="仿宋"/>
          <w:b/>
          <w:sz w:val="32"/>
          <w:szCs w:val="32"/>
        </w:rPr>
        <w:t>（一）机关运行经费支出情况</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我单位是事业单位，无此项支出。</w:t>
      </w:r>
    </w:p>
    <w:p>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（二）政府采购支出情况</w:t>
      </w:r>
    </w:p>
    <w:p>
      <w:pPr>
        <w:spacing w:line="600" w:lineRule="exact"/>
        <w:ind w:firstLine="640" w:firstLineChars="200"/>
        <w:rPr>
          <w:rFonts w:ascii="仿宋" w:hAnsi="仿宋" w:eastAsia="仿宋"/>
          <w:sz w:val="32"/>
          <w:szCs w:val="32"/>
        </w:rPr>
      </w:pPr>
      <w:r>
        <w:rPr>
          <w:rFonts w:ascii="仿宋_GB2312" w:eastAsia="仿宋_GB2312"/>
          <w:color w:val="000000" w:themeColor="text1"/>
          <w:sz w:val="32"/>
          <w:szCs w:val="32"/>
        </w:rPr>
        <w:t>2025年度资本性支出（基本建设）2,560.39万元、资本性支出794.95万元，合计3,355.34万元，主要用于大型修缮、专用设备及办公设备购置等。</w:t>
      </w:r>
    </w:p>
    <w:p>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（三）国有资产占有使用情况</w:t>
      </w:r>
    </w:p>
    <w:p>
      <w:pPr>
        <w:autoSpaceDE w:val="0"/>
        <w:autoSpaceDN w:val="0"/>
        <w:adjustRightInd w:val="0"/>
        <w:spacing w:line="600" w:lineRule="exact"/>
        <w:ind w:firstLine="640" w:firstLineChars="200"/>
        <w:jc w:val="left"/>
        <w:rPr>
          <w:rFonts w:ascii="仿宋_GB2312" w:eastAsia="仿宋_GB2312"/>
          <w:sz w:val="32"/>
          <w:szCs w:val="32"/>
        </w:rPr>
      </w:pPr>
      <w:r>
        <w:rPr>
          <w:rFonts w:ascii="仿宋_GB2312" w:eastAsia="仿宋_GB2312"/>
          <w:sz w:val="32"/>
          <w:szCs w:val="32"/>
        </w:rPr>
        <w:t>截至2025年12月31日，学校共有车辆3辆，无单价100万元以上专用设备。</w:t>
      </w:r>
    </w:p>
    <w:p>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pPr>
        <w:spacing w:line="600" w:lineRule="exact"/>
        <w:ind w:firstLine="640" w:firstLineChars="200"/>
        <w:rPr>
          <w:rFonts w:ascii="仿宋_GB2312" w:eastAsia="仿宋_GB2312"/>
          <w:sz w:val="32"/>
          <w:szCs w:val="32"/>
        </w:rPr>
      </w:pPr>
      <w:r>
        <w:rPr>
          <w:rFonts w:ascii="仿宋_GB2312" w:eastAsia="仿宋_GB2312"/>
          <w:sz w:val="32"/>
          <w:szCs w:val="32"/>
        </w:rPr>
        <w:t>对</w:t>
      </w:r>
      <w:r>
        <w:rPr>
          <w:rFonts w:hint="eastAsia" w:ascii="仿宋_GB2312" w:eastAsia="仿宋_GB2312"/>
          <w:sz w:val="32"/>
          <w:szCs w:val="32"/>
        </w:rPr>
        <w:t>相关</w:t>
      </w:r>
      <w:r>
        <w:rPr>
          <w:rFonts w:ascii="仿宋_GB2312" w:eastAsia="仿宋_GB2312"/>
          <w:sz w:val="32"/>
          <w:szCs w:val="32"/>
        </w:rPr>
        <w:t>项目开展绩效自评（详见第四部分附件）。</w:t>
      </w:r>
    </w:p>
    <w:p>
      <w:pPr>
        <w:spacing w:line="600" w:lineRule="exact"/>
        <w:ind w:firstLine="880" w:firstLineChars="200"/>
        <w:rPr>
          <w:rFonts w:ascii="黑体" w:hAnsi="黑体" w:eastAsia="黑体"/>
          <w:sz w:val="44"/>
          <w:szCs w:val="44"/>
        </w:rPr>
      </w:pPr>
      <w:r>
        <w:rPr>
          <w:rFonts w:ascii="黑体" w:hAnsi="黑体" w:eastAsia="黑体"/>
          <w:sz w:val="44"/>
          <w:szCs w:val="44"/>
        </w:rPr>
        <w:t>​</w:t>
      </w:r>
    </w:p>
    <w:p>
      <w:pPr>
        <w:pStyle w:val="8"/>
        <w:spacing w:before="93"/>
        <w:jc w:val="center"/>
        <w:rPr>
          <w:rFonts w:ascii="仿宋" w:hAnsi="仿宋" w:eastAsia="仿宋"/>
          <w:kern w:val="2"/>
          <w:sz w:val="32"/>
          <w:szCs w:val="32"/>
        </w:rPr>
      </w:pPr>
      <w:r>
        <w:rPr>
          <w:rFonts w:ascii="黑体" w:hAnsi="黑体" w:eastAsia="黑体"/>
          <w:kern w:val="2"/>
          <w:sz w:val="44"/>
          <w:szCs w:val="44"/>
        </w:rPr>
        <w:t>第三部分 名词解释</w:t>
      </w:r>
      <w:r>
        <w:rPr>
          <w:rFonts w:ascii="仿宋" w:hAnsi="仿宋" w:eastAsia="仿宋"/>
          <w:kern w:val="2"/>
          <w:sz w:val="32"/>
          <w:szCs w:val="32"/>
        </w:rPr>
        <w:t>​</w:t>
      </w:r>
    </w:p>
    <w:p>
      <w:pPr>
        <w:ind w:firstLine="800" w:firstLineChars="250"/>
        <w:rPr>
          <w:rFonts w:ascii="仿宋" w:hAnsi="仿宋" w:eastAsia="仿宋"/>
          <w:sz w:val="32"/>
          <w:szCs w:val="32"/>
        </w:rPr>
      </w:pPr>
      <w:r>
        <w:rPr>
          <w:rFonts w:hint="eastAsia" w:ascii="仿宋" w:hAnsi="仿宋" w:eastAsia="仿宋"/>
          <w:sz w:val="32"/>
          <w:szCs w:val="32"/>
        </w:rPr>
        <w:t>1.财政拨款收入：指单位从同级财政部门取得的财政预算资金。</w:t>
      </w:r>
    </w:p>
    <w:p>
      <w:pPr>
        <w:ind w:firstLine="800" w:firstLineChars="250"/>
        <w:rPr>
          <w:rFonts w:ascii="仿宋" w:hAnsi="仿宋" w:eastAsia="仿宋"/>
          <w:sz w:val="32"/>
          <w:szCs w:val="32"/>
        </w:rPr>
      </w:pPr>
      <w:r>
        <w:rPr>
          <w:rFonts w:hint="eastAsia" w:ascii="仿宋" w:hAnsi="仿宋" w:eastAsia="仿宋"/>
          <w:sz w:val="32"/>
          <w:szCs w:val="32"/>
        </w:rPr>
        <w:t>2.事业收入：指事业单位开展专业业务活动及辅助活动取得的收入。</w:t>
      </w:r>
    </w:p>
    <w:p>
      <w:pPr>
        <w:ind w:firstLine="800" w:firstLineChars="250"/>
        <w:rPr>
          <w:rFonts w:ascii="仿宋" w:hAnsi="仿宋" w:eastAsia="仿宋"/>
          <w:sz w:val="32"/>
          <w:szCs w:val="32"/>
        </w:rPr>
      </w:pPr>
      <w:r>
        <w:rPr>
          <w:rFonts w:hint="eastAsia" w:ascii="仿宋" w:hAnsi="仿宋" w:eastAsia="仿宋"/>
          <w:sz w:val="32"/>
          <w:szCs w:val="32"/>
        </w:rPr>
        <w:t>3.经营收入：指事业单位在专业业务活动及其辅助活动之外开展非独立核算经营活动取得的收入。</w:t>
      </w:r>
    </w:p>
    <w:p>
      <w:pPr>
        <w:ind w:firstLine="800" w:firstLineChars="250"/>
        <w:rPr>
          <w:rFonts w:ascii="仿宋" w:hAnsi="仿宋" w:eastAsia="仿宋"/>
          <w:sz w:val="32"/>
          <w:szCs w:val="32"/>
        </w:rPr>
      </w:pPr>
      <w:r>
        <w:rPr>
          <w:rFonts w:hint="eastAsia" w:ascii="仿宋" w:hAnsi="仿宋" w:eastAsia="仿宋"/>
          <w:sz w:val="32"/>
          <w:szCs w:val="32"/>
        </w:rPr>
        <w:t>4.其他收入：指单位取得的除上述收入以外的各项收入。</w:t>
      </w:r>
    </w:p>
    <w:p>
      <w:pPr>
        <w:ind w:firstLine="800" w:firstLineChars="250"/>
        <w:rPr>
          <w:rFonts w:ascii="仿宋" w:hAnsi="仿宋" w:eastAsia="仿宋"/>
          <w:sz w:val="32"/>
          <w:szCs w:val="32"/>
        </w:rPr>
      </w:pPr>
      <w:r>
        <w:rPr>
          <w:rFonts w:hint="eastAsia" w:ascii="仿宋" w:hAnsi="仿宋" w:eastAsia="仿宋"/>
          <w:sz w:val="32"/>
          <w:szCs w:val="32"/>
        </w:rPr>
        <w:t>5.使用非财政拨款结余：指事业单位使用以前年度积累的非财政拨款结余弥补当年收支差额的金额。</w:t>
      </w:r>
    </w:p>
    <w:p>
      <w:pPr>
        <w:ind w:firstLine="800" w:firstLineChars="250"/>
        <w:rPr>
          <w:rFonts w:ascii="仿宋" w:hAnsi="仿宋" w:eastAsia="仿宋"/>
          <w:sz w:val="32"/>
          <w:szCs w:val="32"/>
        </w:rPr>
      </w:pPr>
      <w:r>
        <w:rPr>
          <w:rFonts w:hint="eastAsia" w:ascii="仿宋" w:hAnsi="仿宋" w:eastAsia="仿宋"/>
          <w:sz w:val="32"/>
          <w:szCs w:val="32"/>
        </w:rPr>
        <w:t>6.年初结转和结余：指以前年度尚未完成、结转到本年按有关规定继续使用的资金。</w:t>
      </w:r>
    </w:p>
    <w:p>
      <w:pPr>
        <w:ind w:firstLine="800" w:firstLineChars="250"/>
        <w:rPr>
          <w:rFonts w:ascii="仿宋" w:hAnsi="仿宋" w:eastAsia="仿宋"/>
          <w:sz w:val="32"/>
          <w:szCs w:val="32"/>
        </w:rPr>
      </w:pPr>
      <w:r>
        <w:rPr>
          <w:rFonts w:hint="eastAsia" w:ascii="仿宋" w:hAnsi="仿宋" w:eastAsia="仿宋"/>
          <w:sz w:val="32"/>
          <w:szCs w:val="32"/>
        </w:rPr>
        <w:t>7.结余分配：指事业单位按照会计制度规定缴纳的所得税、提取的专用结余以及转入非财政拨款结余的金额等。</w:t>
      </w:r>
    </w:p>
    <w:p>
      <w:pPr>
        <w:ind w:firstLine="800" w:firstLineChars="250"/>
        <w:rPr>
          <w:rFonts w:ascii="仿宋" w:hAnsi="仿宋" w:eastAsia="仿宋"/>
          <w:sz w:val="32"/>
          <w:szCs w:val="32"/>
        </w:rPr>
      </w:pPr>
      <w:r>
        <w:rPr>
          <w:rFonts w:hint="eastAsia" w:ascii="仿宋" w:hAnsi="仿宋" w:eastAsia="仿宋"/>
          <w:sz w:val="32"/>
          <w:szCs w:val="32"/>
        </w:rPr>
        <w:t>8.年末结转和结余：指单位按有关规定结转到下年或以后年度继续使用的资金。</w:t>
      </w:r>
    </w:p>
    <w:p>
      <w:pPr>
        <w:ind w:firstLine="800" w:firstLineChars="250"/>
        <w:rPr>
          <w:rFonts w:ascii="仿宋" w:hAnsi="仿宋" w:eastAsia="仿宋"/>
          <w:sz w:val="32"/>
          <w:szCs w:val="32"/>
        </w:rPr>
      </w:pPr>
      <w:r>
        <w:rPr>
          <w:rFonts w:hint="eastAsia" w:ascii="仿宋" w:hAnsi="仿宋" w:eastAsia="仿宋"/>
          <w:sz w:val="32"/>
          <w:szCs w:val="32"/>
        </w:rPr>
        <w:t>9.教育（类）普通教育（款）高中教育（项）：指反映各部门举办的普通高中教育支出。</w:t>
      </w:r>
    </w:p>
    <w:p>
      <w:pPr>
        <w:ind w:firstLine="800" w:firstLineChars="250"/>
        <w:rPr>
          <w:rFonts w:ascii="仿宋" w:hAnsi="仿宋" w:eastAsia="仿宋"/>
          <w:sz w:val="32"/>
          <w:szCs w:val="32"/>
        </w:rPr>
      </w:pPr>
      <w:r>
        <w:rPr>
          <w:rFonts w:hint="eastAsia" w:ascii="仿宋" w:hAnsi="仿宋" w:eastAsia="仿宋"/>
          <w:sz w:val="32"/>
          <w:szCs w:val="32"/>
        </w:rPr>
        <w:t>10.教育（类）普通教育（款）其他普通教育支出（项）：指反映除学前教育等项目以外其他用于普通教育方面的支出。</w:t>
      </w:r>
    </w:p>
    <w:p>
      <w:pPr>
        <w:ind w:firstLine="800" w:firstLineChars="250"/>
        <w:rPr>
          <w:rFonts w:ascii="仿宋" w:hAnsi="仿宋" w:eastAsia="仿宋"/>
          <w:sz w:val="32"/>
          <w:szCs w:val="32"/>
        </w:rPr>
      </w:pPr>
      <w:r>
        <w:rPr>
          <w:rFonts w:hint="eastAsia" w:ascii="仿宋" w:hAnsi="仿宋" w:eastAsia="仿宋"/>
          <w:sz w:val="32"/>
          <w:szCs w:val="32"/>
        </w:rPr>
        <w:t>11.教育（类）教育费附加安排的支出（款）其他教育费附加安排的支出（项）：指反映用教育费附加安排的除农村中小学校校舍建设等以外的教育费附加支出。</w:t>
      </w:r>
    </w:p>
    <w:p>
      <w:pPr>
        <w:ind w:firstLine="800" w:firstLineChars="250"/>
        <w:rPr>
          <w:rFonts w:ascii="仿宋" w:hAnsi="仿宋" w:eastAsia="仿宋"/>
          <w:sz w:val="32"/>
          <w:szCs w:val="32"/>
        </w:rPr>
      </w:pPr>
      <w:r>
        <w:rPr>
          <w:rFonts w:hint="eastAsia" w:ascii="仿宋" w:hAnsi="仿宋" w:eastAsia="仿宋"/>
          <w:sz w:val="32"/>
          <w:szCs w:val="32"/>
        </w:rPr>
        <w:t>12.社会保障和就业（类）行政事业单位养老支出（款）事业单位离退休（项）：指事业单位开支的离退休费。</w:t>
      </w:r>
    </w:p>
    <w:p>
      <w:pPr>
        <w:ind w:firstLine="800" w:firstLineChars="250"/>
        <w:rPr>
          <w:rFonts w:ascii="仿宋" w:hAnsi="仿宋" w:eastAsia="仿宋"/>
          <w:sz w:val="32"/>
          <w:szCs w:val="32"/>
        </w:rPr>
      </w:pPr>
      <w:r>
        <w:rPr>
          <w:rFonts w:hint="eastAsia" w:ascii="仿宋" w:hAnsi="仿宋" w:eastAsia="仿宋"/>
          <w:sz w:val="32"/>
          <w:szCs w:val="32"/>
        </w:rPr>
        <w:t>13.社会保障和就业（类）行政事业单位养老支出（款）机关事业单位基本养老保险缴费支出（项）：指反映机关事业单位实施养老保险制度由单位实际缴纳的基本养老保险费支出。</w:t>
      </w:r>
    </w:p>
    <w:p>
      <w:pPr>
        <w:ind w:firstLine="800" w:firstLineChars="250"/>
        <w:rPr>
          <w:rFonts w:ascii="仿宋" w:hAnsi="仿宋" w:eastAsia="仿宋"/>
          <w:sz w:val="32"/>
          <w:szCs w:val="32"/>
        </w:rPr>
      </w:pPr>
      <w:r>
        <w:rPr>
          <w:rFonts w:hint="eastAsia" w:ascii="仿宋" w:hAnsi="仿宋" w:eastAsia="仿宋"/>
          <w:sz w:val="32"/>
          <w:szCs w:val="32"/>
        </w:rPr>
        <w:t>14.社会保障和就业（类）行政事业单位养老支出（款）机关事业单位职业年金缴费支出（项）：指反映机关事业单位实施养老保险制度由单位实际缴纳的职业年金支出（含职业年金补计支出）。</w:t>
      </w:r>
    </w:p>
    <w:p>
      <w:pPr>
        <w:ind w:firstLine="800" w:firstLineChars="250"/>
        <w:rPr>
          <w:rFonts w:ascii="仿宋" w:hAnsi="仿宋" w:eastAsia="仿宋"/>
          <w:sz w:val="32"/>
          <w:szCs w:val="32"/>
        </w:rPr>
      </w:pPr>
      <w:r>
        <w:rPr>
          <w:rFonts w:hint="eastAsia" w:ascii="仿宋" w:hAnsi="仿宋" w:eastAsia="仿宋"/>
          <w:sz w:val="32"/>
          <w:szCs w:val="32"/>
        </w:rPr>
        <w:t>15.社会保障和就业（类）抚恤（款）死亡抚恤（项）：指反映按规定用于烈士和牺牲、病故人员家属的一次性和定期抚恤金、丧葬补助费以及烈士褒扬金。</w:t>
      </w:r>
    </w:p>
    <w:p>
      <w:pPr>
        <w:ind w:firstLine="800" w:firstLineChars="250"/>
        <w:rPr>
          <w:rFonts w:ascii="仿宋" w:hAnsi="仿宋" w:eastAsia="仿宋"/>
          <w:sz w:val="32"/>
          <w:szCs w:val="32"/>
        </w:rPr>
      </w:pPr>
      <w:r>
        <w:rPr>
          <w:rFonts w:hint="eastAsia" w:ascii="仿宋" w:hAnsi="仿宋" w:eastAsia="仿宋"/>
          <w:sz w:val="32"/>
          <w:szCs w:val="32"/>
        </w:rPr>
        <w:t>16.住房保障支出（类）住房改革支出（款）住房公积金（项）：指反映行政事业单位按人力资源和社会保障部、财政部规定的基本工资和津贴补贴以及规定比例为职工缴纳的住房公积金。</w:t>
      </w:r>
    </w:p>
    <w:p>
      <w:pPr>
        <w:ind w:firstLine="800" w:firstLineChars="250"/>
        <w:rPr>
          <w:rFonts w:ascii="仿宋" w:hAnsi="仿宋" w:eastAsia="仿宋"/>
          <w:sz w:val="32"/>
          <w:szCs w:val="32"/>
        </w:rPr>
      </w:pPr>
      <w:r>
        <w:rPr>
          <w:rFonts w:hint="eastAsia" w:ascii="仿宋" w:hAnsi="仿宋" w:eastAsia="仿宋"/>
          <w:sz w:val="32"/>
          <w:szCs w:val="32"/>
        </w:rPr>
        <w:t>17.基本支出：指为保障机构正常运转、完成日常工作任务而发生的人员支出和公用支出。</w:t>
      </w:r>
    </w:p>
    <w:p>
      <w:pPr>
        <w:ind w:firstLine="800" w:firstLineChars="250"/>
        <w:rPr>
          <w:rFonts w:ascii="仿宋" w:hAnsi="仿宋" w:eastAsia="仿宋"/>
          <w:sz w:val="32"/>
          <w:szCs w:val="32"/>
        </w:rPr>
      </w:pPr>
      <w:r>
        <w:rPr>
          <w:rFonts w:hint="eastAsia" w:ascii="仿宋" w:hAnsi="仿宋" w:eastAsia="仿宋"/>
          <w:sz w:val="32"/>
          <w:szCs w:val="32"/>
        </w:rPr>
        <w:t>18.项目支出：指在基本支出之外为完成特定行政任务和事业发展目标所发生的支出。</w:t>
      </w:r>
    </w:p>
    <w:p>
      <w:pPr>
        <w:ind w:firstLine="800" w:firstLineChars="250"/>
        <w:rPr>
          <w:rFonts w:ascii="仿宋" w:hAnsi="仿宋" w:eastAsia="仿宋"/>
          <w:sz w:val="32"/>
          <w:szCs w:val="32"/>
        </w:rPr>
      </w:pPr>
      <w:r>
        <w:rPr>
          <w:rFonts w:hint="eastAsia" w:ascii="仿宋" w:hAnsi="仿宋" w:eastAsia="仿宋"/>
          <w:sz w:val="32"/>
          <w:szCs w:val="32"/>
        </w:rPr>
        <w:t>19.经营支出：指事业单位在专业业务活动及其辅助活动之外开展非独立核算经营活动发生的支出。</w:t>
      </w:r>
    </w:p>
    <w:p>
      <w:pPr>
        <w:ind w:firstLine="800" w:firstLineChars="250"/>
        <w:rPr>
          <w:rFonts w:ascii="仿宋" w:hAnsi="仿宋" w:eastAsia="仿宋"/>
          <w:sz w:val="32"/>
          <w:szCs w:val="32"/>
        </w:rPr>
      </w:pPr>
      <w:r>
        <w:rPr>
          <w:rFonts w:hint="eastAsia" w:ascii="仿宋" w:hAnsi="仿宋" w:eastAsia="仿宋"/>
          <w:sz w:val="32"/>
          <w:szCs w:val="32"/>
        </w:rPr>
        <w:t>20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ind w:firstLine="800" w:firstLineChars="250"/>
        <w:rPr>
          <w:rFonts w:ascii="仿宋" w:hAnsi="仿宋" w:eastAsia="仿宋"/>
          <w:sz w:val="32"/>
          <w:szCs w:val="32"/>
        </w:rPr>
      </w:pPr>
      <w:r>
        <w:rPr>
          <w:rFonts w:hint="eastAsia" w:ascii="仿宋" w:hAnsi="仿宋" w:eastAsia="仿宋"/>
          <w:sz w:val="32"/>
          <w:szCs w:val="32"/>
        </w:rPr>
        <w:t>21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ind w:firstLine="800" w:firstLineChars="250"/>
        <w:rPr>
          <w:rFonts w:ascii="仿宋" w:hAnsi="仿宋" w:eastAsia="仿宋"/>
          <w:sz w:val="32"/>
          <w:szCs w:val="32"/>
        </w:rPr>
      </w:pPr>
    </w:p>
    <w:p>
      <w:pPr>
        <w:pStyle w:val="8"/>
        <w:spacing w:before="93"/>
        <w:rPr>
          <w:rFonts w:ascii="仿宋" w:hAnsi="仿宋" w:eastAsia="仿宋"/>
          <w:kern w:val="2"/>
          <w:sz w:val="32"/>
          <w:szCs w:val="32"/>
        </w:rPr>
      </w:pPr>
    </w:p>
    <w:p>
      <w:pPr>
        <w:pStyle w:val="8"/>
        <w:spacing w:before="93"/>
        <w:rPr>
          <w:rFonts w:ascii="仿宋" w:hAnsi="仿宋" w:eastAsia="仿宋"/>
          <w:kern w:val="2"/>
          <w:sz w:val="32"/>
          <w:szCs w:val="32"/>
        </w:rPr>
      </w:pPr>
    </w:p>
    <w:p>
      <w:pPr>
        <w:pStyle w:val="8"/>
        <w:spacing w:before="93"/>
        <w:rPr>
          <w:rFonts w:ascii="仿宋" w:hAnsi="仿宋" w:eastAsia="仿宋"/>
          <w:kern w:val="2"/>
          <w:sz w:val="32"/>
          <w:szCs w:val="32"/>
        </w:rPr>
      </w:pPr>
    </w:p>
    <w:p>
      <w:pPr>
        <w:pStyle w:val="8"/>
        <w:spacing w:before="93"/>
        <w:rPr>
          <w:rFonts w:ascii="仿宋" w:hAnsi="仿宋" w:eastAsia="仿宋"/>
          <w:kern w:val="2"/>
          <w:sz w:val="32"/>
          <w:szCs w:val="32"/>
        </w:rPr>
      </w:pPr>
    </w:p>
    <w:p>
      <w:pPr>
        <w:pStyle w:val="8"/>
        <w:spacing w:before="93"/>
        <w:rPr>
          <w:rFonts w:ascii="仿宋" w:hAnsi="仿宋" w:eastAsia="仿宋"/>
          <w:kern w:val="2"/>
          <w:sz w:val="32"/>
          <w:szCs w:val="32"/>
        </w:rPr>
      </w:pPr>
    </w:p>
    <w:p>
      <w:pPr>
        <w:pStyle w:val="8"/>
        <w:spacing w:before="93"/>
        <w:rPr>
          <w:rFonts w:ascii="仿宋" w:hAnsi="仿宋" w:eastAsia="仿宋"/>
          <w:kern w:val="2"/>
          <w:sz w:val="32"/>
          <w:szCs w:val="32"/>
        </w:rPr>
      </w:pPr>
    </w:p>
    <w:p>
      <w:pPr>
        <w:pStyle w:val="8"/>
        <w:spacing w:before="93"/>
        <w:jc w:val="center"/>
        <w:rPr>
          <w:rFonts w:ascii="仿宋" w:hAnsi="仿宋" w:eastAsia="仿宋"/>
          <w:kern w:val="2"/>
          <w:sz w:val="32"/>
          <w:szCs w:val="32"/>
        </w:rPr>
      </w:pPr>
      <w:r>
        <w:rPr>
          <w:rFonts w:ascii="仿宋" w:hAnsi="仿宋" w:eastAsia="仿宋"/>
          <w:kern w:val="2"/>
          <w:sz w:val="32"/>
          <w:szCs w:val="32"/>
        </w:rPr>
        <w:t>​</w:t>
      </w:r>
      <w:r>
        <w:rPr>
          <w:rFonts w:ascii="黑体" w:hAnsi="黑体" w:eastAsia="黑体"/>
          <w:kern w:val="2"/>
          <w:sz w:val="44"/>
          <w:szCs w:val="44"/>
        </w:rPr>
        <w:t>第四部分 附件</w:t>
      </w:r>
      <w:r>
        <w:rPr>
          <w:rFonts w:ascii="仿宋" w:hAnsi="仿宋" w:eastAsia="仿宋"/>
          <w:kern w:val="2"/>
          <w:sz w:val="32"/>
          <w:szCs w:val="32"/>
        </w:rPr>
        <w:t>​</w:t>
      </w:r>
    </w:p>
    <w:p>
      <w:pPr>
        <w:pStyle w:val="8"/>
        <w:spacing w:before="93"/>
        <w:jc w:val="center"/>
        <w:rPr>
          <w:rFonts w:ascii="仿宋" w:hAnsi="仿宋" w:eastAsia="仿宋"/>
          <w:kern w:val="2"/>
          <w:sz w:val="32"/>
          <w:szCs w:val="32"/>
        </w:rPr>
      </w:pPr>
    </w:p>
    <w:p>
      <w:pPr>
        <w:pStyle w:val="8"/>
        <w:spacing w:before="93"/>
        <w:jc w:val="center"/>
        <w:rPr>
          <w:rFonts w:ascii="Times New Roman" w:eastAsia="宋体"/>
          <w:kern w:val="2"/>
          <w:sz w:val="32"/>
          <w:szCs w:val="32"/>
        </w:rPr>
      </w:pPr>
      <w:r>
        <w:rPr>
          <w:rFonts w:ascii="仿宋" w:hAnsi="仿宋" w:eastAsia="仿宋"/>
          <w:kern w:val="2"/>
          <w:sz w:val="32"/>
          <w:szCs w:val="32"/>
        </w:rPr>
        <w:t>​</w:t>
      </w:r>
      <w:r>
        <w:rPr>
          <w:rFonts w:ascii="Times New Roman" w:eastAsia="宋体"/>
          <w:kern w:val="2"/>
          <w:sz w:val="32"/>
          <w:szCs w:val="32"/>
        </w:rPr>
        <w:t>部门预算项目支出绩效自评表（2025年度）​</w:t>
      </w:r>
    </w:p>
    <w:p>
      <w:pPr>
        <w:pStyle w:val="8"/>
        <w:spacing w:before="93"/>
        <w:jc w:val="center"/>
        <w:rPr>
          <w:rFonts w:ascii="Times New Roman" w:eastAsia="宋体"/>
          <w:kern w:val="2"/>
          <w:sz w:val="32"/>
          <w:szCs w:val="32"/>
        </w:rPr>
      </w:pPr>
    </w:p>
    <w:p>
      <w:pPr>
        <w:pStyle w:val="8"/>
        <w:spacing w:before="93"/>
        <w:jc w:val="center"/>
        <w:rPr>
          <w:rFonts w:ascii="Times New Roman" w:eastAsia="宋体"/>
          <w:kern w:val="2"/>
          <w:sz w:val="32"/>
          <w:szCs w:val="32"/>
        </w:rPr>
      </w:pPr>
    </w:p>
    <w:p>
      <w:pPr>
        <w:pStyle w:val="8"/>
        <w:spacing w:before="93"/>
        <w:jc w:val="center"/>
        <w:rPr>
          <w:rFonts w:ascii="Times New Roman" w:eastAsia="宋体"/>
          <w:kern w:val="2"/>
          <w:sz w:val="32"/>
          <w:szCs w:val="32"/>
        </w:rPr>
      </w:pPr>
    </w:p>
    <w:p>
      <w:pPr>
        <w:pStyle w:val="8"/>
        <w:spacing w:before="93"/>
        <w:jc w:val="center"/>
        <w:rPr>
          <w:rFonts w:ascii="Times New Roman" w:eastAsia="宋体"/>
          <w:kern w:val="2"/>
          <w:sz w:val="32"/>
          <w:szCs w:val="32"/>
        </w:rPr>
      </w:pPr>
    </w:p>
    <w:p>
      <w:pPr>
        <w:pStyle w:val="8"/>
        <w:spacing w:before="93"/>
        <w:jc w:val="center"/>
        <w:rPr>
          <w:rFonts w:ascii="Times New Roman" w:eastAsia="宋体"/>
          <w:kern w:val="2"/>
          <w:sz w:val="32"/>
          <w:szCs w:val="32"/>
        </w:rPr>
      </w:pPr>
    </w:p>
    <w:p>
      <w:pPr>
        <w:pStyle w:val="8"/>
        <w:spacing w:before="93"/>
        <w:jc w:val="center"/>
        <w:rPr>
          <w:rFonts w:ascii="Times New Roman" w:eastAsia="宋体"/>
          <w:kern w:val="2"/>
          <w:sz w:val="32"/>
          <w:szCs w:val="32"/>
        </w:rPr>
      </w:pPr>
    </w:p>
    <w:p>
      <w:pPr>
        <w:pStyle w:val="8"/>
        <w:spacing w:before="93"/>
        <w:jc w:val="center"/>
        <w:rPr>
          <w:rFonts w:ascii="Times New Roman" w:eastAsia="宋体"/>
          <w:kern w:val="2"/>
          <w:sz w:val="32"/>
          <w:szCs w:val="32"/>
        </w:rPr>
      </w:pPr>
    </w:p>
    <w:p>
      <w:pPr>
        <w:pStyle w:val="8"/>
        <w:spacing w:before="93"/>
        <w:jc w:val="center"/>
        <w:rPr>
          <w:rFonts w:ascii="Times New Roman" w:eastAsia="宋体"/>
          <w:kern w:val="2"/>
          <w:sz w:val="32"/>
          <w:szCs w:val="32"/>
        </w:rPr>
      </w:pPr>
    </w:p>
    <w:p>
      <w:pPr>
        <w:pStyle w:val="8"/>
        <w:spacing w:before="93"/>
        <w:jc w:val="center"/>
        <w:rPr>
          <w:rFonts w:ascii="Times New Roman" w:eastAsia="宋体"/>
          <w:kern w:val="2"/>
          <w:sz w:val="32"/>
          <w:szCs w:val="32"/>
        </w:rPr>
      </w:pPr>
    </w:p>
    <w:p>
      <w:pPr>
        <w:pStyle w:val="8"/>
        <w:spacing w:before="93"/>
        <w:jc w:val="center"/>
        <w:rPr>
          <w:rFonts w:ascii="Times New Roman" w:eastAsia="宋体"/>
          <w:kern w:val="2"/>
          <w:sz w:val="32"/>
          <w:szCs w:val="32"/>
        </w:rPr>
      </w:pPr>
    </w:p>
    <w:p>
      <w:pPr>
        <w:pStyle w:val="8"/>
        <w:spacing w:before="93"/>
        <w:jc w:val="center"/>
        <w:rPr>
          <w:rFonts w:ascii="Times New Roman" w:eastAsia="宋体"/>
          <w:kern w:val="2"/>
          <w:sz w:val="32"/>
          <w:szCs w:val="32"/>
        </w:rPr>
      </w:pPr>
    </w:p>
    <w:p>
      <w:pPr>
        <w:pStyle w:val="8"/>
        <w:spacing w:before="93"/>
        <w:jc w:val="center"/>
        <w:rPr>
          <w:rFonts w:ascii="Times New Roman" w:eastAsia="宋体"/>
          <w:kern w:val="2"/>
          <w:sz w:val="32"/>
          <w:szCs w:val="32"/>
        </w:rPr>
      </w:pPr>
    </w:p>
    <w:p>
      <w:pPr>
        <w:pStyle w:val="8"/>
        <w:spacing w:before="93"/>
        <w:jc w:val="center"/>
        <w:rPr>
          <w:rFonts w:ascii="Times New Roman" w:eastAsia="宋体"/>
          <w:kern w:val="2"/>
          <w:sz w:val="32"/>
          <w:szCs w:val="32"/>
        </w:rPr>
      </w:pPr>
    </w:p>
    <w:p>
      <w:pPr>
        <w:pStyle w:val="8"/>
        <w:spacing w:before="93"/>
        <w:jc w:val="center"/>
        <w:rPr>
          <w:rFonts w:ascii="Times New Roman" w:eastAsia="宋体"/>
          <w:kern w:val="2"/>
          <w:sz w:val="32"/>
          <w:szCs w:val="32"/>
        </w:rPr>
      </w:pPr>
    </w:p>
    <w:p>
      <w:pPr>
        <w:pStyle w:val="8"/>
        <w:spacing w:before="93"/>
        <w:jc w:val="center"/>
        <w:rPr>
          <w:rFonts w:ascii="Times New Roman" w:eastAsia="宋体"/>
          <w:kern w:val="2"/>
          <w:sz w:val="32"/>
          <w:szCs w:val="32"/>
        </w:rPr>
      </w:pPr>
    </w:p>
    <w:p>
      <w:pPr>
        <w:pStyle w:val="8"/>
        <w:spacing w:before="93"/>
        <w:rPr>
          <w:rFonts w:ascii="仿宋" w:hAnsi="仿宋" w:eastAsia="仿宋"/>
          <w:kern w:val="2"/>
          <w:sz w:val="32"/>
          <w:szCs w:val="32"/>
        </w:rPr>
      </w:pPr>
    </w:p>
    <w:p>
      <w:pPr>
        <w:numPr>
          <w:ilvl w:val="0"/>
          <w:numId w:val="2"/>
        </w:numPr>
        <w:spacing w:line="600" w:lineRule="exact"/>
        <w:jc w:val="center"/>
        <w:outlineLvl w:val="0"/>
        <w:rPr>
          <w:rStyle w:val="18"/>
          <w:rFonts w:ascii="黑体" w:hAnsi="黑体" w:eastAsia="黑体"/>
        </w:rPr>
      </w:pPr>
      <w:r>
        <w:rPr>
          <w:rStyle w:val="18"/>
          <w:rFonts w:hint="eastAsia" w:ascii="黑体" w:hAnsi="黑体" w:eastAsia="黑体"/>
        </w:rPr>
        <w:t>附表</w:t>
      </w:r>
    </w:p>
    <w:p>
      <w:pPr>
        <w:pStyle w:val="12"/>
        <w:suppressAutoHyphens/>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p>
    <w:p>
      <w:pPr>
        <w:pStyle w:val="12"/>
        <w:suppressAutoHyphens/>
        <w:adjustRightInd w:val="0"/>
        <w:snapToGrid w:val="0"/>
        <w:spacing w:line="560" w:lineRule="exact"/>
        <w:jc w:val="left"/>
        <w:rPr>
          <w:rFonts w:eastAsia="仿宋_GB2312" w:cs="仿宋_GB2312"/>
          <w:sz w:val="32"/>
          <w:szCs w:val="32"/>
        </w:rPr>
      </w:pPr>
      <w:r>
        <w:rPr>
          <w:rFonts w:hint="eastAsia" w:eastAsia="仿宋_GB2312" w:cs="仿宋_GB2312"/>
          <w:sz w:val="32"/>
          <w:szCs w:val="32"/>
        </w:rPr>
        <w:t>二、收入决算表</w:t>
      </w:r>
    </w:p>
    <w:p>
      <w:pPr>
        <w:pStyle w:val="12"/>
        <w:suppressAutoHyphens/>
        <w:adjustRightInd w:val="0"/>
        <w:snapToGrid w:val="0"/>
        <w:spacing w:line="560" w:lineRule="exact"/>
        <w:jc w:val="left"/>
        <w:rPr>
          <w:rFonts w:eastAsia="仿宋_GB2312" w:cs="仿宋_GB2312"/>
          <w:sz w:val="32"/>
          <w:szCs w:val="32"/>
        </w:rPr>
      </w:pPr>
      <w:r>
        <w:rPr>
          <w:rFonts w:hint="eastAsia" w:eastAsia="仿宋_GB2312" w:cs="仿宋_GB2312"/>
          <w:sz w:val="32"/>
          <w:szCs w:val="32"/>
        </w:rPr>
        <w:t>三、支出决算表</w:t>
      </w:r>
    </w:p>
    <w:p>
      <w:pPr>
        <w:pStyle w:val="12"/>
        <w:suppressAutoHyphens/>
        <w:adjustRightInd w:val="0"/>
        <w:snapToGrid w:val="0"/>
        <w:spacing w:line="560" w:lineRule="exact"/>
        <w:jc w:val="left"/>
        <w:rPr>
          <w:rFonts w:eastAsia="仿宋_GB2312" w:cs="仿宋_GB2312"/>
          <w:sz w:val="32"/>
          <w:szCs w:val="32"/>
        </w:rPr>
      </w:pPr>
      <w:r>
        <w:rPr>
          <w:rFonts w:hint="eastAsia" w:eastAsia="仿宋_GB2312" w:cs="仿宋_GB2312"/>
          <w:sz w:val="32"/>
          <w:szCs w:val="32"/>
        </w:rPr>
        <w:t>四、财政拨款收入支出决算总表</w:t>
      </w:r>
    </w:p>
    <w:p>
      <w:pPr>
        <w:pStyle w:val="12"/>
        <w:suppressAutoHyphens/>
        <w:adjustRightInd w:val="0"/>
        <w:snapToGrid w:val="0"/>
        <w:spacing w:line="560" w:lineRule="exact"/>
        <w:jc w:val="left"/>
        <w:rPr>
          <w:rFonts w:eastAsia="仿宋_GB2312" w:cs="仿宋_GB2312"/>
          <w:sz w:val="32"/>
          <w:szCs w:val="32"/>
        </w:rPr>
      </w:pPr>
      <w:r>
        <w:rPr>
          <w:rFonts w:hint="eastAsia" w:eastAsia="仿宋_GB2312" w:cs="仿宋_GB2312"/>
          <w:sz w:val="32"/>
          <w:szCs w:val="32"/>
        </w:rPr>
        <w:t>五、财政拨款支出决算明细表</w:t>
      </w:r>
    </w:p>
    <w:p>
      <w:pPr>
        <w:pStyle w:val="12"/>
        <w:suppressAutoHyphens/>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p>
    <w:p>
      <w:pPr>
        <w:pStyle w:val="12"/>
        <w:suppressAutoHyphens/>
        <w:adjustRightInd w:val="0"/>
        <w:snapToGrid w:val="0"/>
        <w:spacing w:line="560" w:lineRule="exact"/>
        <w:jc w:val="left"/>
        <w:rPr>
          <w:rFonts w:eastAsia="仿宋_GB2312" w:cs="仿宋_GB2312"/>
          <w:sz w:val="32"/>
          <w:szCs w:val="32"/>
        </w:rPr>
      </w:pPr>
      <w:r>
        <w:rPr>
          <w:rFonts w:hint="eastAsia" w:eastAsia="仿宋_GB2312" w:cs="仿宋_GB2312"/>
          <w:sz w:val="32"/>
          <w:szCs w:val="32"/>
        </w:rPr>
        <w:t>七、一般公共预算财政拨款支出决算明细表</w:t>
      </w:r>
    </w:p>
    <w:p>
      <w:pPr>
        <w:pStyle w:val="12"/>
        <w:suppressAutoHyphens/>
        <w:adjustRightInd w:val="0"/>
        <w:snapToGrid w:val="0"/>
        <w:spacing w:line="560" w:lineRule="exact"/>
        <w:jc w:val="left"/>
        <w:rPr>
          <w:rFonts w:eastAsia="仿宋_GB2312" w:cs="仿宋_GB2312"/>
          <w:sz w:val="32"/>
          <w:szCs w:val="32"/>
        </w:rPr>
      </w:pPr>
      <w:r>
        <w:rPr>
          <w:rFonts w:hint="eastAsia" w:eastAsia="仿宋_GB2312" w:cs="仿宋_GB2312"/>
          <w:sz w:val="32"/>
          <w:szCs w:val="32"/>
        </w:rPr>
        <w:t>八、一般公共预算财政拨款基本支出决算表</w:t>
      </w:r>
    </w:p>
    <w:p>
      <w:pPr>
        <w:pStyle w:val="12"/>
        <w:suppressAutoHyphens/>
        <w:adjustRightInd w:val="0"/>
        <w:snapToGrid w:val="0"/>
        <w:spacing w:line="560" w:lineRule="exact"/>
        <w:jc w:val="left"/>
        <w:rPr>
          <w:rFonts w:eastAsia="仿宋_GB2312" w:cs="仿宋_GB2312"/>
          <w:sz w:val="32"/>
          <w:szCs w:val="32"/>
        </w:rPr>
      </w:pPr>
      <w:r>
        <w:rPr>
          <w:rFonts w:hint="eastAsia" w:eastAsia="仿宋_GB2312" w:cs="仿宋_GB2312"/>
          <w:sz w:val="32"/>
          <w:szCs w:val="32"/>
        </w:rPr>
        <w:t>九、一般公共预算财政拨款项目支出决算表</w:t>
      </w:r>
    </w:p>
    <w:p>
      <w:pPr>
        <w:pStyle w:val="12"/>
        <w:suppressAutoHyphens/>
        <w:adjustRightInd w:val="0"/>
        <w:snapToGrid w:val="0"/>
        <w:spacing w:line="560" w:lineRule="exact"/>
        <w:jc w:val="left"/>
        <w:rPr>
          <w:rFonts w:eastAsia="仿宋_GB2312" w:cs="仿宋_GB2312"/>
          <w:sz w:val="32"/>
          <w:szCs w:val="32"/>
        </w:rPr>
      </w:pPr>
      <w:r>
        <w:rPr>
          <w:rFonts w:hint="eastAsia" w:eastAsia="仿宋_GB2312" w:cs="仿宋_GB2312"/>
          <w:sz w:val="32"/>
          <w:szCs w:val="32"/>
        </w:rPr>
        <w:t>十、政府性基金预算财政拨款收入支出决算表</w:t>
      </w:r>
    </w:p>
    <w:p>
      <w:pPr>
        <w:pStyle w:val="12"/>
        <w:suppressAutoHyphens/>
        <w:adjustRightInd w:val="0"/>
        <w:snapToGrid w:val="0"/>
        <w:spacing w:line="560" w:lineRule="exact"/>
        <w:jc w:val="left"/>
        <w:rPr>
          <w:rFonts w:eastAsia="仿宋_GB2312" w:cs="仿宋_GB2312"/>
          <w:sz w:val="32"/>
          <w:szCs w:val="32"/>
        </w:rPr>
      </w:pPr>
      <w:r>
        <w:rPr>
          <w:rFonts w:hint="eastAsia" w:eastAsia="仿宋_GB2312" w:cs="仿宋_GB2312"/>
          <w:sz w:val="32"/>
          <w:szCs w:val="32"/>
        </w:rPr>
        <w:t>十一、国有资本经营预算财政拨款收入支出决算表(此表无数据）</w:t>
      </w:r>
    </w:p>
    <w:p>
      <w:pPr>
        <w:pStyle w:val="12"/>
        <w:suppressAutoHyphens/>
        <w:adjustRightInd w:val="0"/>
        <w:snapToGrid w:val="0"/>
        <w:spacing w:line="560" w:lineRule="exact"/>
        <w:jc w:val="left"/>
        <w:rPr>
          <w:rFonts w:eastAsia="仿宋_GB2312" w:cs="仿宋_GB2312"/>
          <w:sz w:val="32"/>
          <w:szCs w:val="32"/>
        </w:rPr>
      </w:pPr>
      <w:r>
        <w:rPr>
          <w:rFonts w:hint="eastAsia" w:eastAsia="仿宋_GB2312" w:cs="仿宋_GB2312"/>
          <w:sz w:val="32"/>
          <w:szCs w:val="32"/>
        </w:rPr>
        <w:t>十二、国有资本经营预算财政拨款支出决算表(此表无数据）</w:t>
      </w:r>
    </w:p>
    <w:p>
      <w:pPr>
        <w:pStyle w:val="12"/>
        <w:suppressAutoHyphens/>
        <w:adjustRightInd w:val="0"/>
        <w:snapToGrid w:val="0"/>
        <w:spacing w:line="560" w:lineRule="exact"/>
        <w:jc w:val="left"/>
        <w:rPr>
          <w:rFonts w:eastAsia="仿宋_GB2312" w:cs="仿宋_GB2312"/>
          <w:sz w:val="32"/>
          <w:szCs w:val="32"/>
        </w:rPr>
      </w:pPr>
      <w:r>
        <w:rPr>
          <w:rFonts w:hint="eastAsia" w:eastAsia="仿宋_GB2312" w:cs="仿宋_GB2312"/>
          <w:sz w:val="32"/>
          <w:szCs w:val="32"/>
        </w:rPr>
        <w:t>十三、财政拨款“三公”经费支出决算表(此表无数据）</w:t>
      </w:r>
    </w:p>
    <w:p>
      <w:pPr>
        <w:pStyle w:val="8"/>
        <w:spacing w:before="93"/>
        <w:jc w:val="center"/>
        <w:rPr>
          <w:rFonts w:ascii="仿宋" w:hAnsi="仿宋" w:eastAsia="仿宋"/>
          <w:kern w:val="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Unicode"/>
    <w:panose1 w:val="020F0502020204030204"/>
    <w:charset w:val="00"/>
    <w:family w:val="swiss"/>
    <w:pitch w:val="default"/>
    <w:sig w:usb0="00000000" w:usb1="00000000" w:usb2="00000001" w:usb3="00000000" w:csb0="0000019F" w:csb1="00000000"/>
  </w:font>
  <w:font w:name="Calibri Light">
    <w:altName w:val="Lucida Console"/>
    <w:panose1 w:val="00000000000000000000"/>
    <w:charset w:val="00"/>
    <w:family w:val="auto"/>
    <w:pitch w:val="default"/>
    <w:sig w:usb0="00000000" w:usb1="00000000"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方正仿宋_GB2312">
    <w:altName w:val="仿宋_GB2312"/>
    <w:panose1 w:val="00000000000000000000"/>
    <w:charset w:val="86"/>
    <w:family w:val="auto"/>
    <w:pitch w:val="default"/>
    <w:sig w:usb0="00000000" w:usb1="00000000" w:usb2="00000012" w:usb3="00000000" w:csb0="00040001" w:csb1="00000000"/>
  </w:font>
  <w:font w:name="方正小标宋简体">
    <w:altName w:val="仿宋_GB2312"/>
    <w:panose1 w:val="03000509000000000000"/>
    <w:charset w:val="86"/>
    <w:family w:val="script"/>
    <w:pitch w:val="default"/>
    <w:sig w:usb0="00000000" w:usb1="00000000" w:usb2="00000010" w:usb3="00000000" w:csb0="00040000" w:csb1="00000000"/>
  </w:font>
  <w:font w:name="Lucida Sans Unicode">
    <w:panose1 w:val="020B0602030504020204"/>
    <w:charset w:val="00"/>
    <w:family w:val="auto"/>
    <w:pitch w:val="default"/>
    <w:sig w:usb0="80001AFF" w:usb1="0000396B" w:usb2="00000000" w:usb3="00000000" w:csb0="0000003F" w:csb1="D7F70000"/>
  </w:font>
  <w:font w:name="Lucida Console">
    <w:panose1 w:val="020B0609040504020204"/>
    <w:charset w:val="00"/>
    <w:family w:val="auto"/>
    <w:pitch w:val="default"/>
    <w:sig w:usb0="8000028F" w:usb1="00001800" w:usb2="00000000" w:usb3="00000000" w:csb0="0000001F" w:csb1="D7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pict>
        <v:rect id="_x0000_s1026" o:spid="_x0000_s1026" o:spt="1"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Yxs8E0wAAAAUBAAAPAAAAAAAAAAEAIAAAACIAAABkcnMvZG93&#10;bnJldi54bWxQSwECFAAUAAAACACHTuJAZKtRKswBAAC3AwAADgAAAAAAAAABACAAAAAiAQAAZHJz&#10;L2Uyb0RvYy54bWxQSwUGAAAAAAYABgBZAQAAYAUAAAAA&#10;">
          <v:path/>
          <v:fill on="f" focussize="0,0"/>
          <v:stroke on="f"/>
          <v:imagedata o:title=""/>
          <o:lock v:ext="edit"/>
          <v:textbox>
            <w:txbxContent>
              <w:p>
                <w:pPr>
                  <w:pStyle w:val="9"/>
                </w:pPr>
                <w:r>
                  <w:fldChar w:fldCharType="begin"/>
                </w:r>
                <w:r>
                  <w:instrText xml:space="preserve"> PAGE  \* MERGEFORMAT </w:instrText>
                </w:r>
                <w:r>
                  <w:fldChar w:fldCharType="separate"/>
                </w:r>
                <w:r>
                  <w:t>17</w:t>
                </w:r>
                <w:r>
                  <w:fldChar w:fldCharType="end"/>
                </w:r>
              </w:p>
            </w:txbxContent>
          </v:textbox>
        </v:rect>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E05956"/>
    <w:multiLevelType w:val="singleLevel"/>
    <w:tmpl w:val="83E05956"/>
    <w:lvl w:ilvl="0" w:tentative="0">
      <w:start w:val="5"/>
      <w:numFmt w:val="chineseCounting"/>
      <w:suff w:val="space"/>
      <w:lvlText w:val="第%1部分"/>
      <w:lvlJc w:val="left"/>
      <w:rPr>
        <w:rFonts w:hint="eastAsia"/>
      </w:rPr>
    </w:lvl>
  </w:abstractNum>
  <w:abstractNum w:abstractNumId="1">
    <w:nsid w:val="3818A09A"/>
    <w:multiLevelType w:val="singleLevel"/>
    <w:tmpl w:val="3818A09A"/>
    <w:lvl w:ilvl="0" w:tentative="0">
      <w:start w:val="1"/>
      <w:numFmt w:val="chineseCounting"/>
      <w:pStyle w:val="19"/>
      <w:suff w:val="nothing"/>
      <w:lvlText w:val="%1、"/>
      <w:lvlJc w:val="left"/>
      <w:rPr>
        <w:rFonts w:ascii="Times New Roman" w:hAnsi="Times New Roman" w:cs="Times New Roman"/>
        <w:b w:val="0"/>
        <w:bCs w:val="0"/>
        <w:i w:val="0"/>
        <w:iCs w:val="0"/>
        <w:vanish/>
        <w:color w:val="000000"/>
        <w:spacing w:val="0"/>
        <w:w w:val="0"/>
        <w:kern w:val="0"/>
        <w:szCs w:val="0"/>
        <w:u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58"/>
  <w:drawingGridVerticalSpacing w:val="290"/>
  <w:displayHorizontalDrawingGridEvery w:val="2"/>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705DBF"/>
    <w:rsid w:val="00176241"/>
    <w:rsid w:val="001831E4"/>
    <w:rsid w:val="00235E13"/>
    <w:rsid w:val="002C4DFF"/>
    <w:rsid w:val="003E6601"/>
    <w:rsid w:val="00485C25"/>
    <w:rsid w:val="004B2857"/>
    <w:rsid w:val="006F4CB5"/>
    <w:rsid w:val="00705DBF"/>
    <w:rsid w:val="007436D0"/>
    <w:rsid w:val="0091447E"/>
    <w:rsid w:val="00926BB5"/>
    <w:rsid w:val="009F612B"/>
    <w:rsid w:val="00C57B48"/>
    <w:rsid w:val="00DA5A07"/>
    <w:rsid w:val="00DF5B89"/>
    <w:rsid w:val="00EA30B8"/>
    <w:rsid w:val="00EF3E47"/>
    <w:rsid w:val="02006EFC"/>
    <w:rsid w:val="11E801D2"/>
    <w:rsid w:val="19DB4B6A"/>
    <w:rsid w:val="22352335"/>
    <w:rsid w:val="378031FB"/>
    <w:rsid w:val="47214A8D"/>
    <w:rsid w:val="49F20CA7"/>
    <w:rsid w:val="4D0E712B"/>
    <w:rsid w:val="4E6F2074"/>
    <w:rsid w:val="5CD10D7E"/>
    <w:rsid w:val="653C17CF"/>
    <w:rsid w:val="6EDA7693"/>
    <w:rsid w:val="72534F33"/>
    <w:rsid w:val="76257B25"/>
    <w:rsid w:val="7C211032"/>
    <w:rsid w:val="7D6D461D"/>
    <w:rsid w:val="7FF825F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uiPriority="0" w:name="heading 4"/>
    <w:lsdException w:uiPriority="0" w:name="heading 5"/>
    <w:lsdException w:uiPriority="0" w:name="heading 6"/>
    <w:lsdException w:uiPriority="0" w:name="heading 7"/>
    <w:lsdException w:uiPriority="0" w:name="heading 8"/>
    <w:lsdException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6">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qFormat/>
    <w:uiPriority w:val="99"/>
    <w:pPr>
      <w:spacing w:beforeLines="30"/>
    </w:pPr>
    <w:rPr>
      <w:rFonts w:ascii="仿宋_GB2312" w:eastAsia="仿宋_GB2312"/>
      <w:kern w:val="0"/>
      <w:sz w:val="30"/>
    </w:rPr>
  </w:style>
  <w:style w:type="paragraph" w:styleId="9">
    <w:name w:val="footer"/>
    <w:basedOn w:val="1"/>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paragraph" w:styleId="13">
    <w:name w:val="Normal (Web)"/>
    <w:basedOn w:val="1"/>
    <w:qFormat/>
    <w:uiPriority w:val="0"/>
    <w:pPr>
      <w:spacing w:beforeAutospacing="1" w:afterAutospacing="1"/>
      <w:jc w:val="left"/>
    </w:pPr>
    <w:rPr>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0"/>
    <w:rPr>
      <w:b/>
    </w:rPr>
  </w:style>
  <w:style w:type="character" w:customStyle="1" w:styleId="18">
    <w:name w:val="标题 1 Char"/>
    <w:basedOn w:val="16"/>
    <w:link w:val="5"/>
    <w:qFormat/>
    <w:uiPriority w:val="9"/>
    <w:rPr>
      <w:b/>
      <w:bCs/>
      <w:kern w:val="44"/>
      <w:sz w:val="44"/>
      <w:szCs w:val="44"/>
    </w:rPr>
  </w:style>
  <w:style w:type="paragraph" w:styleId="19">
    <w:name w:val="List Paragraph"/>
    <w:basedOn w:val="1"/>
    <w:qFormat/>
    <w:uiPriority w:val="34"/>
    <w:pPr>
      <w:numPr>
        <w:ilvl w:val="0"/>
        <w:numId w:val="1"/>
      </w:numPr>
      <w:ind w:firstLine="420"/>
    </w:pPr>
    <w:rPr>
      <w:rFonts w:ascii="方正仿宋_GB2312" w:hAnsi="方正仿宋_GB2312" w:eastAsia="方正仿宋_GB2312" w:cs="方正仿宋_GB2312"/>
      <w:color w:val="000000"/>
      <w:kern w:val="0"/>
      <w:sz w:val="33"/>
      <w:szCs w:val="33"/>
    </w:rPr>
  </w:style>
  <w:style w:type="character" w:customStyle="1" w:styleId="20">
    <w:name w:val="标题 2 Char"/>
    <w:basedOn w:val="16"/>
    <w:link w:val="6"/>
    <w:qFormat/>
    <w:uiPriority w:val="9"/>
    <w:rPr>
      <w:rFonts w:asciiTheme="majorHAnsi" w:hAnsiTheme="majorHAnsi" w:eastAsiaTheme="majorEastAsia" w:cstheme="majorBidi"/>
      <w:b/>
      <w:bCs/>
      <w:sz w:val="32"/>
      <w:szCs w:val="32"/>
    </w:rPr>
  </w:style>
  <w:style w:type="paragraph" w:customStyle="1" w:styleId="21">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5.xml"/><Relationship Id="rId8" Type="http://schemas.openxmlformats.org/officeDocument/2006/relationships/chart" Target="charts/chart4.xml"/><Relationship Id="rId7" Type="http://schemas.openxmlformats.org/officeDocument/2006/relationships/chart" Target="charts/chart3.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chart" Target="charts/chart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12716.79</c:v>
                </c:pt>
                <c:pt idx="1">
                  <c:v>14201.08</c:v>
                </c:pt>
              </c:numCache>
            </c:numRef>
          </c:val>
        </c:ser>
        <c:ser>
          <c:idx val="1"/>
          <c:order val="1"/>
          <c:tx>
            <c:strRef>
              <c:f>Sheet1!$C$1</c:f>
              <c:strCache>
                <c:ptCount val="1"/>
                <c:pt idx="0">
                  <c:v>支出</c:v>
                </c:pt>
              </c:strCache>
            </c:strRef>
          </c:tx>
          <c:invertIfNegative val="0"/>
          <c:dLbls>
            <c:delete val="1"/>
          </c:dLbls>
          <c:cat>
            <c:strRef>
              <c:f>Sheet1!$A$2:$A$3</c:f>
              <c:strCache>
                <c:ptCount val="2"/>
                <c:pt idx="0">
                  <c:v>2024年</c:v>
                </c:pt>
                <c:pt idx="1">
                  <c:v>2025年</c:v>
                </c:pt>
              </c:strCache>
            </c:strRef>
          </c:cat>
          <c:val>
            <c:numRef>
              <c:f>Sheet1!$C$2:$C$3</c:f>
              <c:numCache>
                <c:formatCode>General</c:formatCode>
                <c:ptCount val="2"/>
                <c:pt idx="0">
                  <c:v>12716.79</c:v>
                </c:pt>
                <c:pt idx="1">
                  <c:v>14201.08</c:v>
                </c:pt>
              </c:numCache>
            </c:numRef>
          </c:val>
        </c:ser>
        <c:dLbls>
          <c:showLegendKey val="0"/>
          <c:showVal val="0"/>
          <c:showCatName val="0"/>
          <c:showSerName val="0"/>
          <c:showPercent val="0"/>
          <c:showBubbleSize val="0"/>
        </c:dLbls>
        <c:gapWidth val="150"/>
        <c:axId val="136610944"/>
        <c:axId val="136625536"/>
      </c:barChart>
      <c:catAx>
        <c:axId val="136610944"/>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36625536"/>
        <c:crosses val="autoZero"/>
        <c:auto val="1"/>
        <c:lblAlgn val="ctr"/>
        <c:lblOffset val="100"/>
        <c:noMultiLvlLbl val="0"/>
      </c:catAx>
      <c:valAx>
        <c:axId val="136625536"/>
        <c:scaling>
          <c:orientation val="minMax"/>
          <c:min val="6000"/>
        </c:scaling>
        <c:delete val="0"/>
        <c:axPos val="l"/>
        <c:majorGridlines/>
        <c:minorGridlines/>
        <c:numFmt formatCode="General" sourceLinked="1"/>
        <c:majorTickMark val="out"/>
        <c:minorTickMark val="none"/>
        <c:tickLblPos val="nextTo"/>
        <c:spPr>
          <a:noFill/>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36610944"/>
        <c:crosses val="autoZero"/>
        <c:crossBetween val="between"/>
      </c:valAx>
      <c:spPr>
        <a:solidFill>
          <a:schemeClr val="bg1"/>
        </a:solid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各项收入占比</c:v>
                </c:pt>
              </c:strCache>
            </c:strRef>
          </c:tx>
          <c:explosion val="25"/>
          <c:dPt>
            <c:idx val="0"/>
            <c:bubble3D val="0"/>
          </c:dPt>
          <c:dPt>
            <c:idx val="1"/>
            <c:bubble3D val="0"/>
          </c:dPt>
          <c:dPt>
            <c:idx val="2"/>
            <c:bubble3D val="0"/>
          </c:dPt>
          <c:dPt>
            <c:idx val="3"/>
            <c:bubble3D val="0"/>
          </c:dPt>
          <c:dLbls>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Sheet1!$A$2:$A$5</c:f>
              <c:strCache>
                <c:ptCount val="4"/>
                <c:pt idx="0">
                  <c:v>事业收入</c:v>
                </c:pt>
                <c:pt idx="1">
                  <c:v>政府性基金预算财政拨款收入</c:v>
                </c:pt>
                <c:pt idx="2">
                  <c:v>一般公共预算财政拨款收入</c:v>
                </c:pt>
                <c:pt idx="3">
                  <c:v>其他收入</c:v>
                </c:pt>
              </c:strCache>
            </c:strRef>
          </c:cat>
          <c:val>
            <c:numRef>
              <c:f>Sheet1!$B$2:$B$5</c:f>
              <c:numCache>
                <c:formatCode>General</c:formatCode>
                <c:ptCount val="4"/>
                <c:pt idx="0">
                  <c:v>756.65</c:v>
                </c:pt>
                <c:pt idx="1">
                  <c:v>61.09</c:v>
                </c:pt>
                <c:pt idx="2">
                  <c:v>13079.83</c:v>
                </c:pt>
                <c:pt idx="3">
                  <c:v>66.56</c:v>
                </c:pt>
              </c:numCache>
            </c:numRef>
          </c:val>
        </c:ser>
        <c:dLbls>
          <c:showLegendKey val="0"/>
          <c:showVal val="0"/>
          <c:showCatName val="0"/>
          <c:showSerName val="0"/>
          <c:showPercent val="1"/>
          <c:showBubbleSize val="0"/>
          <c:showLeaderLines val="1"/>
        </c:dLbls>
        <c:firstSliceAng val="15"/>
      </c:pieChart>
      <c:spPr>
        <a:noFill/>
        <a:ln w="25400">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manualLayout>
          <c:layoutTarget val="inner"/>
          <c:xMode val="edge"/>
          <c:yMode val="edge"/>
          <c:x val="0.324926288323551"/>
          <c:y val="0.331601731601732"/>
          <c:w val="0.349364644487932"/>
          <c:h val="0.579627705627706"/>
        </c:manualLayout>
      </c:layout>
      <c:pieChart>
        <c:varyColors val="1"/>
        <c:ser>
          <c:idx val="0"/>
          <c:order val="0"/>
          <c:tx>
            <c:strRef>
              <c:f>Sheet1!$B$1</c:f>
              <c:strCache>
                <c:ptCount val="1"/>
                <c:pt idx="0">
                  <c:v>各项支出占比</c:v>
                </c:pt>
              </c:strCache>
            </c:strRef>
          </c:tx>
          <c:explosion val="25"/>
          <c:dPt>
            <c:idx val="0"/>
            <c:bubble3D val="0"/>
          </c:dPt>
          <c:dPt>
            <c:idx val="1"/>
            <c:bubble3D val="0"/>
          </c:dPt>
          <c:dLbls>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基本支出</c:v>
                </c:pt>
                <c:pt idx="1">
                  <c:v>项目支出</c:v>
                </c:pt>
              </c:strCache>
            </c:strRef>
          </c:cat>
          <c:val>
            <c:numRef>
              <c:f>Sheet1!$B$2:$B$3</c:f>
              <c:numCache>
                <c:formatCode>General</c:formatCode>
                <c:ptCount val="2"/>
                <c:pt idx="0">
                  <c:v>9712.77</c:v>
                </c:pt>
                <c:pt idx="1">
                  <c:v>4139.1</c:v>
                </c:pt>
              </c:numCache>
            </c:numRef>
          </c:val>
        </c:ser>
        <c:dLbls>
          <c:showLegendKey val="0"/>
          <c:showVal val="0"/>
          <c:showCatName val="0"/>
          <c:showSerName val="0"/>
          <c:showPercent val="1"/>
          <c:showBubbleSize val="0"/>
          <c:showLeaderLines val="1"/>
        </c:dLbls>
        <c:firstSliceAng val="15"/>
      </c:pieChart>
      <c:spPr>
        <a:noFill/>
        <a:ln w="25400">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invertIfNegative val="0"/>
          <c:dLbls>
            <c:delete val="1"/>
          </c:dLbls>
          <c:cat>
            <c:strRef>
              <c:f>Sheet1!$A$2:$A$3</c:f>
              <c:strCache>
                <c:ptCount val="2"/>
                <c:pt idx="0">
                  <c:v>2024年财政拨款收支</c:v>
                </c:pt>
                <c:pt idx="1">
                  <c:v>2025年财政拨款收支</c:v>
                </c:pt>
              </c:strCache>
            </c:strRef>
          </c:cat>
          <c:val>
            <c:numRef>
              <c:f>Sheet1!$B$2:$B$3</c:f>
              <c:numCache>
                <c:formatCode>General</c:formatCode>
                <c:ptCount val="2"/>
                <c:pt idx="0">
                  <c:v>11646.6</c:v>
                </c:pt>
                <c:pt idx="1">
                  <c:v>13140.91</c:v>
                </c:pt>
              </c:numCache>
            </c:numRef>
          </c:val>
        </c:ser>
        <c:ser>
          <c:idx val="1"/>
          <c:order val="1"/>
          <c:tx>
            <c:strRef>
              <c:f>Sheet1!$C$1</c:f>
              <c:strCache>
                <c:ptCount val="1"/>
                <c:pt idx="0">
                  <c:v>列1</c:v>
                </c:pt>
              </c:strCache>
            </c:strRef>
          </c:tx>
          <c:invertIfNegative val="0"/>
          <c:dLbls>
            <c:delete val="1"/>
          </c:dLbls>
          <c:cat>
            <c:strRef>
              <c:f>Sheet1!$A$2:$A$3</c:f>
              <c:strCache>
                <c:ptCount val="2"/>
                <c:pt idx="0">
                  <c:v>2024年财政拨款收支</c:v>
                </c:pt>
                <c:pt idx="1">
                  <c:v>2025年财政拨款收支</c:v>
                </c:pt>
              </c:strCache>
            </c:strRef>
          </c:cat>
          <c:val>
            <c:numRef>
              <c:f>Sheet1!$C$2:$C$3</c:f>
              <c:numCache>
                <c:formatCode>General</c:formatCode>
                <c:ptCount val="2"/>
              </c:numCache>
            </c:numRef>
          </c:val>
        </c:ser>
        <c:ser>
          <c:idx val="2"/>
          <c:order val="2"/>
          <c:tx>
            <c:strRef>
              <c:f>Sheet1!$D$1</c:f>
              <c:strCache>
                <c:ptCount val="1"/>
                <c:pt idx="0">
                  <c:v>列2</c:v>
                </c:pt>
              </c:strCache>
            </c:strRef>
          </c:tx>
          <c:invertIfNegative val="0"/>
          <c:dLbls>
            <c:delete val="1"/>
          </c:dLbls>
          <c:cat>
            <c:strRef>
              <c:f>Sheet1!$A$2:$A$3</c:f>
              <c:strCache>
                <c:ptCount val="2"/>
                <c:pt idx="0">
                  <c:v>2024年财政拨款收支</c:v>
                </c:pt>
                <c:pt idx="1">
                  <c:v>2025年财政拨款收支</c:v>
                </c:pt>
              </c:strCache>
            </c:strRef>
          </c:cat>
          <c:val>
            <c:numRef>
              <c:f>Sheet1!$D$2:$D$3</c:f>
              <c:numCache>
                <c:formatCode>General</c:formatCode>
                <c:ptCount val="2"/>
              </c:numCache>
            </c:numRef>
          </c:val>
        </c:ser>
        <c:dLbls>
          <c:showLegendKey val="0"/>
          <c:showVal val="0"/>
          <c:showCatName val="0"/>
          <c:showSerName val="0"/>
          <c:showPercent val="0"/>
          <c:showBubbleSize val="0"/>
        </c:dLbls>
        <c:gapWidth val="180"/>
        <c:axId val="137258880"/>
        <c:axId val="137260416"/>
      </c:barChart>
      <c:catAx>
        <c:axId val="137258880"/>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37260416"/>
        <c:crosses val="autoZero"/>
        <c:auto val="1"/>
        <c:lblAlgn val="ctr"/>
        <c:lblOffset val="100"/>
        <c:noMultiLvlLbl val="0"/>
      </c:catAx>
      <c:valAx>
        <c:axId val="137260416"/>
        <c:scaling>
          <c:orientation val="minMax"/>
          <c:min val="1000"/>
        </c:scaling>
        <c:delete val="0"/>
        <c:axPos val="l"/>
        <c:majorGridlines>
          <c:spPr>
            <a:ln w="9525" cap="flat" cmpd="sng" algn="ct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olid"/>
              <a:round/>
            </a:ln>
          </c:spPr>
        </c:majorGridlines>
        <c:min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37258880"/>
        <c:crosses val="autoZero"/>
        <c:crossBetween val="between"/>
        <c:majorUnit val="500"/>
        <c:minorUnit val="200"/>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barChart>
        <c:barDir val="col"/>
        <c:grouping val="stacked"/>
        <c:varyColors val="0"/>
        <c:ser>
          <c:idx val="0"/>
          <c:order val="0"/>
          <c:tx>
            <c:strRef>
              <c:f>Sheet1!$B$1</c:f>
              <c:strCache>
                <c:ptCount val="1"/>
                <c:pt idx="0">
                  <c:v>系列 1</c:v>
                </c:pt>
              </c:strCache>
            </c:strRef>
          </c:tx>
          <c:spPr>
            <a:blipFill>
              <a:blip xmlns:r="http://schemas.openxmlformats.org/officeDocument/2006/relationships" r:embed="rId2"/>
              <a:tile tx="0" ty="0" sx="100000" sy="100000" flip="none" algn="tl"/>
            </a:blipFill>
          </c:spPr>
          <c:invertIfNegative val="0"/>
          <c:dLbls>
            <c:delete val="1"/>
          </c:dLbls>
          <c:cat>
            <c:strRef>
              <c:f>Sheet1!$A$2:$A$3</c:f>
              <c:strCache>
                <c:ptCount val="2"/>
                <c:pt idx="0">
                  <c:v>2024年一般公共预算财政拨款支出</c:v>
                </c:pt>
                <c:pt idx="1">
                  <c:v>2025年一般公共预算财政拨款支出</c:v>
                </c:pt>
              </c:strCache>
            </c:strRef>
          </c:cat>
          <c:val>
            <c:numRef>
              <c:f>Sheet1!$B$2:$B$3</c:f>
              <c:numCache>
                <c:formatCode>General</c:formatCode>
                <c:ptCount val="2"/>
                <c:pt idx="0">
                  <c:v>11642.86</c:v>
                </c:pt>
                <c:pt idx="1">
                  <c:v>13079.83</c:v>
                </c:pt>
              </c:numCache>
            </c:numRef>
          </c:val>
        </c:ser>
        <c:dLbls>
          <c:showLegendKey val="0"/>
          <c:showVal val="0"/>
          <c:showCatName val="0"/>
          <c:showSerName val="0"/>
          <c:showPercent val="0"/>
          <c:showBubbleSize val="0"/>
        </c:dLbls>
        <c:gapWidth val="150"/>
        <c:overlap val="100"/>
        <c:axId val="137448448"/>
        <c:axId val="140813056"/>
      </c:barChart>
      <c:catAx>
        <c:axId val="137448448"/>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40813056"/>
        <c:crosses val="autoZero"/>
        <c:auto val="1"/>
        <c:lblAlgn val="ctr"/>
        <c:lblOffset val="100"/>
        <c:noMultiLvlLbl val="0"/>
      </c:catAx>
      <c:valAx>
        <c:axId val="140813056"/>
        <c:scaling>
          <c:orientation val="minMax"/>
          <c:min val="5000"/>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37448448"/>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view3D>
      <c:rotX val="75"/>
      <c:rotY val="15"/>
      <c:depthPercent val="100"/>
      <c:rAngAx val="0"/>
      <c:perspective val="30"/>
    </c:view3D>
    <c:floor>
      <c:thickness val="0"/>
    </c:floor>
    <c:sideWall>
      <c:thickness val="0"/>
      <c:spPr>
        <a:noFill/>
        <a:ln>
          <a:noFill/>
        </a:ln>
        <a:effectLst/>
      </c:spPr>
    </c:sideWall>
    <c:backWall>
      <c:thickness val="0"/>
      <c:spPr>
        <a:noFill/>
        <a:ln>
          <a:noFill/>
        </a:ln>
        <a:effectLst/>
      </c:spPr>
    </c:backWall>
    <c:plotArea>
      <c:layout>
        <c:manualLayout>
          <c:layoutTarget val="inner"/>
          <c:xMode val="edge"/>
          <c:yMode val="edge"/>
          <c:x val="0.0385263664820612"/>
          <c:y val="0.179153766769866"/>
          <c:w val="0.674971133664883"/>
          <c:h val="0.775438596491228"/>
        </c:manualLayout>
      </c:layout>
      <c:pie3DChart>
        <c:varyColors val="1"/>
        <c:ser>
          <c:idx val="0"/>
          <c:order val="0"/>
          <c:tx>
            <c:strRef>
              <c:f>Sheet1!$B$1</c:f>
              <c:strCache>
                <c:ptCount val="1"/>
                <c:pt idx="0">
                  <c:v>一般公共预算财政拨款支出结构情况</c:v>
                </c:pt>
              </c:strCache>
            </c:strRef>
          </c:tx>
          <c:explosion val="25"/>
          <c:dPt>
            <c:idx val="0"/>
            <c:bubble3D val="0"/>
          </c:dPt>
          <c:dPt>
            <c:idx val="1"/>
            <c:bubble3D val="0"/>
          </c:dPt>
          <c:dPt>
            <c:idx val="2"/>
            <c:bubble3D val="0"/>
          </c:dPt>
          <c:dPt>
            <c:idx val="3"/>
            <c:bubble3D val="0"/>
          </c:dPt>
          <c:dPt>
            <c:idx val="4"/>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Sheet1!$A$2:$A$6</c:f>
              <c:strCache>
                <c:ptCount val="5"/>
                <c:pt idx="0">
                  <c:v>教育支出</c:v>
                </c:pt>
                <c:pt idx="1">
                  <c:v>社会保障和就业支出</c:v>
                </c:pt>
                <c:pt idx="2">
                  <c:v>卫生健康支出</c:v>
                </c:pt>
                <c:pt idx="3">
                  <c:v>住房保障支出</c:v>
                </c:pt>
                <c:pt idx="4">
                  <c:v>科学技术支出</c:v>
                </c:pt>
              </c:strCache>
            </c:strRef>
          </c:cat>
          <c:val>
            <c:numRef>
              <c:f>Sheet1!$B$2:$B$6</c:f>
              <c:numCache>
                <c:formatCode>General</c:formatCode>
                <c:ptCount val="5"/>
                <c:pt idx="0">
                  <c:v>10237.77</c:v>
                </c:pt>
                <c:pt idx="1">
                  <c:v>1719.91</c:v>
                </c:pt>
                <c:pt idx="2">
                  <c:v>465.01</c:v>
                </c:pt>
                <c:pt idx="3">
                  <c:v>652.14</c:v>
                </c:pt>
                <c:pt idx="4">
                  <c:v>5</c:v>
                </c:pt>
              </c:numCache>
            </c:numRef>
          </c:val>
        </c:ser>
        <c:ser>
          <c:idx val="1"/>
          <c:order val="1"/>
          <c:tx>
            <c:strRef>
              <c:f>Sheet1!$C$1</c:f>
              <c:strCache>
                <c:ptCount val="1"/>
                <c:pt idx="0">
                  <c:v>列1</c:v>
                </c:pt>
              </c:strCache>
            </c:strRef>
          </c:tx>
          <c:explosion val="25"/>
          <c:dPt>
            <c:idx val="0"/>
            <c:bubble3D val="0"/>
          </c:dPt>
          <c:dPt>
            <c:idx val="1"/>
            <c:bubble3D val="0"/>
          </c:dPt>
          <c:dPt>
            <c:idx val="2"/>
            <c:bubble3D val="0"/>
          </c:dPt>
          <c:dPt>
            <c:idx val="3"/>
            <c:bubble3D val="0"/>
          </c:dPt>
          <c:dPt>
            <c:idx val="4"/>
            <c:bubble3D val="0"/>
          </c:dPt>
          <c:dLbls>
            <c:delete val="1"/>
          </c:dLbls>
          <c:cat>
            <c:strRef>
              <c:f>Sheet1!$A$2:$A$6</c:f>
              <c:strCache>
                <c:ptCount val="5"/>
                <c:pt idx="0">
                  <c:v>教育支出</c:v>
                </c:pt>
                <c:pt idx="1">
                  <c:v>社会保障和就业支出</c:v>
                </c:pt>
                <c:pt idx="2">
                  <c:v>卫生健康支出</c:v>
                </c:pt>
                <c:pt idx="3">
                  <c:v>住房保障支出</c:v>
                </c:pt>
                <c:pt idx="4">
                  <c:v>科学技术支出</c:v>
                </c:pt>
              </c:strCache>
            </c:strRef>
          </c:cat>
          <c:val>
            <c:numRef>
              <c:f>Sheet1!$C$2:$C$6</c:f>
              <c:numCache>
                <c:formatCode>0.00%</c:formatCode>
                <c:ptCount val="5"/>
                <c:pt idx="0">
                  <c:v>0.8019</c:v>
                </c:pt>
                <c:pt idx="1">
                  <c:v>0.1134</c:v>
                </c:pt>
                <c:pt idx="2">
                  <c:v>0.0493</c:v>
                </c:pt>
                <c:pt idx="3">
                  <c:v>0.0002</c:v>
                </c:pt>
                <c:pt idx="4">
                  <c:v>0.0352</c:v>
                </c:pt>
              </c:numCache>
            </c:numRef>
          </c:val>
        </c:ser>
        <c:dLbls>
          <c:showLegendKey val="0"/>
          <c:showVal val="0"/>
          <c:showCatName val="0"/>
          <c:showSerName val="0"/>
          <c:showPercent val="0"/>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rotWithShape="0">
          <a:gsLst>
            <a:gs pos="0">
              <a:schemeClr val="phClr">
                <a:lumOff val="17500"/>
              </a:schemeClr>
            </a:gs>
            <a:gs pos="100000">
              <a:schemeClr val="phClr"/>
            </a:gs>
          </a:gsLst>
          <a:lin ang="2700000" scaled="0"/>
        </a:gradFill>
        <a:gradFill rotWithShape="0">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17</Pages>
  <Words>779</Words>
  <Characters>4445</Characters>
  <Lines>37</Lines>
  <Paragraphs>10</Paragraphs>
  <TotalTime>7</TotalTime>
  <ScaleCrop>false</ScaleCrop>
  <LinksUpToDate>false</LinksUpToDate>
  <CharactersWithSpaces>5214</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2025-09-04T07:44:00Z</dcterms:created>
  <dc:creator>ACER</dc:creator>
  <cp:lastModifiedBy>Administrator</cp:lastModifiedBy>
  <dcterms:modified xsi:type="dcterms:W3CDTF">2026-09-11T02:44:41Z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KSOTemplateDocerSaveRecord">
    <vt:lpwstr>eyJoZGlkIjoiYzMzOWJiNTQ0M2Q2MGQxNzY2NThiZDg3NWMzNGQxODciLCJ1c2VySWQiOiIxMDc2ODgwOTIzIn0=</vt:lpwstr>
  </property>
  <property fmtid="{D5CDD505-2E9C-101B-9397-08002B2CF9AE}" pid="4" name="ICV">
    <vt:lpwstr>000FCA81A6434085846B4B4F5991001D_13</vt:lpwstr>
  </property>
</Properties>
</file>