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96475"/>
      <w:bookmarkStart w:id="2" w:name="_Toc15377425"/>
      <w:bookmarkStart w:id="3" w:name="_Toc15396597"/>
      <w:bookmarkStart w:id="4" w:name="_Toc15306267"/>
      <w:bookmarkStart w:id="5" w:name="_Toc15378441"/>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jc w:val="center"/>
        <w:rPr>
          <w:rFonts w:hint="eastAsia" w:ascii="Times New Roman" w:eastAsia="方正小标宋简体" w:cs="Times New Roman"/>
          <w:color w:val="auto"/>
          <w:kern w:val="2"/>
          <w:sz w:val="72"/>
          <w:szCs w:val="72"/>
          <w:highlight w:val="none"/>
          <w:lang w:val="en-US" w:eastAsia="zh-CN" w:bidi="ar-SA"/>
        </w:rPr>
      </w:pPr>
      <w:r>
        <w:rPr>
          <w:rFonts w:hint="eastAsia" w:ascii="Times New Roman" w:eastAsia="方正小标宋简体" w:cs="Times New Roman"/>
          <w:color w:val="auto"/>
          <w:kern w:val="2"/>
          <w:sz w:val="72"/>
          <w:szCs w:val="72"/>
          <w:highlight w:val="none"/>
          <w:lang w:val="en-US" w:eastAsia="zh-CN" w:bidi="ar-SA"/>
        </w:rPr>
        <w:t>2025年度</w:t>
      </w:r>
    </w:p>
    <w:p>
      <w:pPr>
        <w:pStyle w:val="8"/>
        <w:jc w:val="center"/>
        <w:rPr>
          <w:rFonts w:hint="eastAsia" w:ascii="Times New Roman" w:eastAsia="方正小标宋简体" w:cs="Times New Roman"/>
          <w:color w:val="auto"/>
          <w:kern w:val="2"/>
          <w:sz w:val="72"/>
          <w:szCs w:val="72"/>
          <w:highlight w:val="none"/>
          <w:lang w:val="en-US" w:eastAsia="zh-CN" w:bidi="ar-SA"/>
        </w:rPr>
      </w:pPr>
      <w:r>
        <w:rPr>
          <w:rFonts w:hint="eastAsia" w:ascii="Times New Roman" w:eastAsia="方正小标宋简体" w:cs="Times New Roman"/>
          <w:color w:val="auto"/>
          <w:kern w:val="2"/>
          <w:sz w:val="72"/>
          <w:szCs w:val="72"/>
          <w:highlight w:val="none"/>
          <w:lang w:val="en-US" w:eastAsia="zh-CN" w:bidi="ar-SA"/>
        </w:rPr>
        <w:t>四川省攀枝花市实验学校</w:t>
      </w:r>
    </w:p>
    <w:p>
      <w:pPr>
        <w:pStyle w:val="8"/>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eastAsia" w:ascii="Times New Roman" w:eastAsia="方正小标宋简体" w:cs="Times New Roman"/>
          <w:color w:val="auto"/>
          <w:kern w:val="2"/>
          <w:sz w:val="72"/>
          <w:szCs w:val="72"/>
          <w:highlight w:val="none"/>
          <w:lang w:val="en-US" w:eastAsia="zh-CN" w:bidi="ar-SA"/>
        </w:rPr>
        <w:t>单位决算</w:t>
      </w:r>
      <w:bookmarkEnd w:id="0"/>
      <w:bookmarkEnd w:id="1"/>
      <w:bookmarkEnd w:id="2"/>
      <w:bookmarkEnd w:id="3"/>
      <w:bookmarkEnd w:id="4"/>
      <w:bookmarkEnd w:id="5"/>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11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r>
        <w:rPr>
          <w:sz w:val="24"/>
        </w:rPr>
        <w:t>………………………………………………………</w:t>
      </w:r>
      <w:r>
        <w:rPr>
          <w:rFonts w:hint="eastAsia"/>
          <w:sz w:val="24"/>
          <w:lang w:val="en-US" w:eastAsia="zh-CN"/>
        </w:rPr>
        <w:t>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sz w:val="24"/>
        </w:rPr>
        <w:t>………………………………………………………</w:t>
      </w:r>
      <w:r>
        <w:rPr>
          <w:rFonts w:hint="eastAsia"/>
          <w:sz w:val="24"/>
          <w:lang w:val="en-US" w:eastAsia="zh-CN"/>
        </w:rPr>
        <w:t>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r>
        <w:rPr>
          <w:sz w:val="24"/>
        </w:rPr>
        <w:t>………………………………………………………</w:t>
      </w:r>
      <w:r>
        <w:rPr>
          <w:rFonts w:hint="eastAsia"/>
          <w:sz w:val="24"/>
          <w:lang w:val="en-US" w:eastAsia="zh-CN"/>
        </w:rPr>
        <w:t>1</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sz w:val="24"/>
        </w:rPr>
        <w:t>…………………………</w:t>
      </w:r>
      <w:r>
        <w:rPr>
          <w:rFonts w:hint="eastAsia"/>
          <w:sz w:val="24"/>
          <w:lang w:val="en-US" w:eastAsia="zh-CN"/>
        </w:rPr>
        <w:t>2</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r>
        <w:rPr>
          <w:sz w:val="24"/>
        </w:rPr>
        <w:t>……………………………</w:t>
      </w:r>
      <w:r>
        <w:rPr>
          <w:rFonts w:hint="eastAsia"/>
          <w:sz w:val="24"/>
          <w:lang w:val="en-US" w:eastAsia="zh-CN"/>
        </w:rPr>
        <w:t>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r>
        <w:rPr>
          <w:sz w:val="24"/>
        </w:rPr>
        <w:t>…………………………………………</w:t>
      </w:r>
      <w:bookmarkStart w:id="61" w:name="_GoBack"/>
      <w:bookmarkEnd w:id="61"/>
      <w:r>
        <w:rPr>
          <w:rFonts w:hint="eastAsia"/>
          <w:sz w:val="24"/>
          <w:lang w:val="en-US" w:eastAsia="zh-CN"/>
        </w:rPr>
        <w:t>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r>
        <w:rPr>
          <w:sz w:val="24"/>
        </w:rPr>
        <w:t>…………………………………………</w:t>
      </w:r>
      <w:r>
        <w:rPr>
          <w:rFonts w:hint="eastAsia"/>
          <w:sz w:val="24"/>
          <w:lang w:val="en-US" w:eastAsia="zh-CN"/>
        </w:rPr>
        <w:t>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r>
        <w:rPr>
          <w:sz w:val="24"/>
        </w:rPr>
        <w:t>………………</w:t>
      </w:r>
      <w:r>
        <w:rPr>
          <w:rFonts w:hint="eastAsia"/>
          <w:sz w:val="24"/>
          <w:lang w:val="en-US" w:eastAsia="zh-CN"/>
        </w:rPr>
        <w:t>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r>
        <w:rPr>
          <w:sz w:val="24"/>
        </w:rPr>
        <w:t>…………</w:t>
      </w:r>
      <w:r>
        <w:rPr>
          <w:rFonts w:hint="eastAsia"/>
          <w:sz w:val="24"/>
          <w:lang w:val="en-US" w:eastAsia="zh-CN"/>
        </w:rPr>
        <w:t>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sz w:val="24"/>
        </w:rPr>
        <w:t>…</w:t>
      </w:r>
      <w:r>
        <w:rPr>
          <w:rFonts w:hint="eastAsia"/>
          <w:sz w:val="24"/>
          <w:lang w:val="en-US" w:eastAsia="zh-CN"/>
        </w:rPr>
        <w:t>7</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sz w:val="24"/>
        </w:rPr>
        <w:t>…………</w:t>
      </w:r>
      <w:r>
        <w:rPr>
          <w:rFonts w:hint="eastAsia"/>
          <w:sz w:val="24"/>
          <w:lang w:val="en-US" w:eastAsia="zh-CN"/>
        </w:rPr>
        <w:t>7</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r>
        <w:rPr>
          <w:sz w:val="24"/>
        </w:rPr>
        <w:t>……………………</w:t>
      </w:r>
      <w:r>
        <w:rPr>
          <w:rFonts w:hint="eastAsia"/>
          <w:sz w:val="24"/>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638" w:leftChars="304"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sz w:val="24"/>
        </w:rPr>
        <w:t>…………………</w:t>
      </w:r>
      <w:r>
        <w:rPr>
          <w:rFonts w:hint="eastAsia"/>
          <w:sz w:val="24"/>
          <w:lang w:val="en-US" w:eastAsia="zh-CN"/>
        </w:rPr>
        <w:t>9</w:t>
      </w: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sz w:val="24"/>
        </w:rPr>
        <w:t>…………………………………</w:t>
      </w:r>
      <w:r>
        <w:rPr>
          <w:rFonts w:hint="eastAsia"/>
          <w:sz w:val="24"/>
          <w:lang w:val="en-US" w:eastAsia="zh-CN"/>
        </w:rPr>
        <w:t>9</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r>
        <w:rPr>
          <w:sz w:val="24"/>
        </w:rPr>
        <w:t>…………………………………………………………</w:t>
      </w:r>
      <w:r>
        <w:rPr>
          <w:rFonts w:hint="eastAsia"/>
          <w:sz w:val="24"/>
          <w:lang w:val="en-US" w:eastAsia="zh-CN"/>
        </w:rPr>
        <w:t>11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sz w:val="24"/>
          <w:lang w:val="en-US" w:eastAsia="zh-CN"/>
        </w:rPr>
      </w:pPr>
      <w:r>
        <w:rPr>
          <w:rFonts w:hint="eastAsia" w:ascii="Times New Roman" w:hAnsi="Times New Roman" w:eastAsia="黑体" w:cs="黑体"/>
          <w:color w:val="auto"/>
          <w:sz w:val="32"/>
          <w:szCs w:val="32"/>
          <w:highlight w:val="none"/>
        </w:rPr>
        <w:t>第四部分 件</w:t>
      </w:r>
      <w:r>
        <w:rPr>
          <w:sz w:val="24"/>
        </w:rPr>
        <w:t>……………………………………………………………………</w:t>
      </w:r>
      <w:r>
        <w:rPr>
          <w:rFonts w:hint="eastAsia"/>
          <w:sz w:val="24"/>
          <w:lang w:val="en-US" w:eastAsia="zh-CN"/>
        </w:rPr>
        <w:t>14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第五部分 附表</w:t>
      </w:r>
      <w:r>
        <w:rPr>
          <w:sz w:val="24"/>
        </w:rPr>
        <w:t>………………………………………………………………</w:t>
      </w:r>
      <w:r>
        <w:rPr>
          <w:rFonts w:hint="eastAsia"/>
          <w:sz w:val="24"/>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r>
        <w:rPr>
          <w:sz w:val="24"/>
        </w:rPr>
        <w:t>……………………………………………</w:t>
      </w:r>
      <w:r>
        <w:rPr>
          <w:rFonts w:hint="eastAsia"/>
          <w:sz w:val="24"/>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r>
        <w:rPr>
          <w:sz w:val="24"/>
        </w:rPr>
        <w:t>………………………………………………………</w:t>
      </w:r>
      <w:r>
        <w:rPr>
          <w:rFonts w:hint="eastAsia"/>
          <w:sz w:val="24"/>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r>
        <w:rPr>
          <w:rFonts w:hint="eastAsia" w:ascii="Times New Roman" w:hAnsi="Times New Roman" w:eastAsia="仿宋_GB2312" w:cs="仿宋_GB2312"/>
          <w:color w:val="auto"/>
          <w:sz w:val="32"/>
          <w:szCs w:val="32"/>
          <w:highlight w:val="none"/>
        </w:rPr>
        <w:t>三、支出决算表</w:t>
      </w:r>
      <w:r>
        <w:rPr>
          <w:sz w:val="24"/>
        </w:rPr>
        <w:t>…………………………………………………………</w:t>
      </w:r>
      <w:r>
        <w:rPr>
          <w:rFonts w:hint="eastAsia"/>
          <w:sz w:val="24"/>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p>
    <w:p>
      <w:pPr>
        <w:rPr>
          <w:rFonts w:hint="default" w:eastAsia="仿宋_GB2312"/>
          <w:lang w:val="en-US" w:eastAsia="zh-CN"/>
        </w:rPr>
      </w:pPr>
      <w:r>
        <w:rPr>
          <w:rFonts w:hint="eastAsia"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四、财政拨款收入支出决算总表</w:t>
      </w:r>
      <w:r>
        <w:rPr>
          <w:sz w:val="24"/>
        </w:rPr>
        <w:t>………………………………</w:t>
      </w:r>
      <w:r>
        <w:rPr>
          <w:rFonts w:hint="eastAsia"/>
          <w:sz w:val="24"/>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r>
        <w:rPr>
          <w:sz w:val="24"/>
        </w:rPr>
        <w:t>…………………………………</w:t>
      </w:r>
      <w:r>
        <w:rPr>
          <w:rFonts w:hint="eastAsia"/>
          <w:sz w:val="24"/>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r>
        <w:rPr>
          <w:sz w:val="24"/>
        </w:rPr>
        <w:t>……………………</w:t>
      </w:r>
      <w:r>
        <w:rPr>
          <w:rFonts w:hint="eastAsia"/>
          <w:sz w:val="24"/>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r>
        <w:rPr>
          <w:sz w:val="24"/>
        </w:rPr>
        <w:t>……………</w:t>
      </w:r>
      <w:r>
        <w:rPr>
          <w:rFonts w:hint="eastAsia"/>
          <w:sz w:val="24"/>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sz w:val="24"/>
        </w:rPr>
        <w:t>………</w:t>
      </w:r>
      <w:r>
        <w:rPr>
          <w:rFonts w:hint="eastAsia"/>
          <w:sz w:val="24"/>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r>
        <w:rPr>
          <w:sz w:val="24"/>
        </w:rPr>
        <w:t>……………</w:t>
      </w:r>
      <w:r>
        <w:rPr>
          <w:rFonts w:hint="eastAsia"/>
          <w:sz w:val="24"/>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r>
        <w:rPr>
          <w:sz w:val="24"/>
        </w:rPr>
        <w:t>…………</w:t>
      </w:r>
      <w:r>
        <w:rPr>
          <w:rFonts w:hint="eastAsia"/>
          <w:sz w:val="24"/>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r>
        <w:rPr>
          <w:sz w:val="24"/>
        </w:rPr>
        <w:t>……</w:t>
      </w:r>
      <w:r>
        <w:rPr>
          <w:rFonts w:hint="eastAsia"/>
          <w:sz w:val="24"/>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sz w:val="24"/>
        </w:rPr>
        <w:t>…………</w:t>
      </w:r>
      <w:r>
        <w:rPr>
          <w:rFonts w:hint="eastAsia"/>
          <w:sz w:val="24"/>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r>
        <w:rPr>
          <w:sz w:val="24"/>
        </w:rPr>
        <w:t>…………………</w:t>
      </w:r>
      <w:r>
        <w:rPr>
          <w:rFonts w:hint="eastAsia"/>
          <w:sz w:val="24"/>
          <w:lang w:val="en-US" w:eastAsia="zh-CN"/>
        </w:rPr>
        <w:t>15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p>
    <w:p>
      <w:pPr>
        <w:pStyle w:val="5"/>
        <w:jc w:val="center"/>
        <w:rPr>
          <w:rFonts w:hint="eastAsia" w:ascii="Times New Roman" w:hAnsi="Times New Roman" w:eastAsia="方正小标宋简体" w:cs="方正小标宋简体"/>
          <w:b w:val="0"/>
          <w:color w:val="auto"/>
          <w:highlight w:val="none"/>
        </w:rPr>
      </w:pPr>
      <w:bookmarkStart w:id="6" w:name="_Toc15396599"/>
      <w:bookmarkStart w:id="7" w:name="_Toc15377196"/>
    </w:p>
    <w:p>
      <w:pPr>
        <w:pStyle w:val="5"/>
        <w:jc w:val="both"/>
        <w:rPr>
          <w:rFonts w:hint="eastAsia" w:ascii="Times New Roman" w:hAnsi="Times New Roman" w:eastAsia="方正小标宋简体" w:cs="方正小标宋简体"/>
          <w:b w:val="0"/>
          <w:color w:val="auto"/>
          <w:highlight w:val="none"/>
        </w:rPr>
      </w:pPr>
    </w:p>
    <w:p>
      <w:pPr>
        <w:rPr>
          <w:rFonts w:hint="eastAsia" w:ascii="Times New Roman" w:hAnsi="Times New Roman" w:eastAsia="方正小标宋简体" w:cs="方正小标宋简体"/>
          <w:b w:val="0"/>
          <w:color w:val="auto"/>
          <w:highlight w:val="none"/>
        </w:rPr>
      </w:pPr>
    </w:p>
    <w:p>
      <w:pPr>
        <w:pStyle w:val="2"/>
        <w:rPr>
          <w:rFonts w:hint="eastAsia" w:ascii="Times New Roman" w:hAnsi="Times New Roman" w:eastAsia="方正小标宋简体" w:cs="方正小标宋简体"/>
          <w:b w:val="0"/>
          <w:color w:val="auto"/>
          <w:highlight w:val="none"/>
        </w:rPr>
      </w:pPr>
    </w:p>
    <w:p>
      <w:pPr>
        <w:pStyle w:val="3"/>
        <w:rPr>
          <w:rFonts w:hint="eastAsia" w:ascii="Times New Roman" w:hAnsi="Times New Roman" w:eastAsia="方正小标宋简体" w:cs="方正小标宋简体"/>
          <w:b w:val="0"/>
          <w:color w:val="auto"/>
          <w:highlight w:val="none"/>
        </w:rPr>
      </w:pPr>
    </w:p>
    <w:p>
      <w:pPr>
        <w:rPr>
          <w:rFonts w:hint="eastAsia" w:ascii="Times New Roman" w:hAnsi="Times New Roman" w:eastAsia="方正小标宋简体" w:cs="方正小标宋简体"/>
          <w:b w:val="0"/>
          <w:color w:val="auto"/>
          <w:highlight w:val="none"/>
        </w:rPr>
      </w:pPr>
    </w:p>
    <w:p>
      <w:pPr>
        <w:pStyle w:val="2"/>
        <w:rPr>
          <w:rFonts w:hint="eastAsia" w:ascii="Times New Roman" w:hAnsi="Times New Roman" w:eastAsia="方正小标宋简体" w:cs="方正小标宋简体"/>
          <w:b w:val="0"/>
          <w:color w:val="auto"/>
          <w:highlight w:val="none"/>
        </w:rPr>
      </w:pPr>
    </w:p>
    <w:p>
      <w:pPr>
        <w:pStyle w:val="3"/>
        <w:rPr>
          <w:rFonts w:hint="eastAsia" w:ascii="Times New Roman" w:hAnsi="Times New Roman" w:eastAsia="方正小标宋简体" w:cs="方正小标宋简体"/>
          <w:b w:val="0"/>
          <w:color w:val="auto"/>
          <w:highlight w:val="none"/>
        </w:rPr>
      </w:pPr>
    </w:p>
    <w:p>
      <w:pPr>
        <w:rPr>
          <w:rFonts w:hint="eastAsia"/>
        </w:rPr>
      </w:pPr>
    </w:p>
    <w:p>
      <w:pPr>
        <w:pStyle w:val="5"/>
        <w:ind w:firstLine="2200" w:firstLineChars="500"/>
        <w:jc w:val="both"/>
        <w:rPr>
          <w:rFonts w:hint="eastAsia" w:ascii="Times New Roman" w:hAnsi="Times New Roman" w:eastAsia="方正小标宋简体" w:cs="方正小标宋简体"/>
          <w:b w:val="0"/>
          <w:color w:val="auto"/>
          <w:highlight w:val="none"/>
        </w:rPr>
        <w:sectPr>
          <w:footerReference r:id="rId7" w:type="default"/>
          <w:pgSz w:w="11906" w:h="16838"/>
          <w:pgMar w:top="1440" w:right="1800" w:bottom="1440" w:left="1800" w:header="851" w:footer="992" w:gutter="0"/>
          <w:pgNumType w:fmt="decimal" w:start="1"/>
          <w:cols w:space="425" w:num="1"/>
          <w:docGrid w:type="lines" w:linePitch="312" w:charSpace="0"/>
        </w:sectPr>
      </w:pPr>
    </w:p>
    <w:p>
      <w:pPr>
        <w:pStyle w:val="5"/>
        <w:ind w:firstLine="2200" w:firstLineChars="500"/>
        <w:jc w:val="both"/>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pPr>
        <w:widowControl/>
        <w:jc w:val="left"/>
        <w:rPr>
          <w:rFonts w:ascii="Times New Roman" w:hAnsi="Times New Roman" w:eastAsia="黑体"/>
          <w:color w:val="auto"/>
          <w:sz w:val="32"/>
          <w:szCs w:val="32"/>
          <w:highlight w:val="none"/>
        </w:rPr>
      </w:pPr>
    </w:p>
    <w:p>
      <w:pPr>
        <w:pStyle w:val="6"/>
        <w:numPr>
          <w:ilvl w:val="0"/>
          <w:numId w:val="1"/>
        </w:numPr>
        <w:rPr>
          <w:rFonts w:hint="eastAsia"/>
          <w:lang w:eastAsia="zh-CN"/>
        </w:rPr>
      </w:pPr>
      <w:r>
        <w:rPr>
          <w:rFonts w:hint="eastAsia" w:ascii="Times New Roman" w:hAnsi="Times New Roman" w:eastAsia="黑体"/>
          <w:b w:val="0"/>
          <w:color w:val="auto"/>
          <w:highlight w:val="none"/>
          <w:lang w:eastAsia="zh-CN"/>
        </w:rPr>
        <w:t>部门职责</w:t>
      </w:r>
    </w:p>
    <w:p>
      <w:pPr>
        <w:ind w:firstLine="640" w:firstLineChars="200"/>
        <w:rPr>
          <w:rFonts w:hint="eastAsia"/>
          <w:lang w:eastAsia="zh-CN"/>
        </w:rPr>
      </w:pPr>
      <w:r>
        <w:rPr>
          <w:rFonts w:hint="eastAsia" w:ascii="仿宋_GB2312" w:hAnsi="仿宋_GB2312" w:eastAsia="仿宋_GB2312" w:cs="仿宋_GB2312"/>
          <w:color w:val="auto"/>
          <w:sz w:val="32"/>
          <w:szCs w:val="32"/>
          <w:highlight w:val="none"/>
          <w:lang w:eastAsia="zh-CN"/>
        </w:rPr>
        <w:t>攀枝花市实验学校实施初中、小学义务教育，促进基础教育发展，提供初中、小学学历教育相关社会服务。</w:t>
      </w:r>
    </w:p>
    <w:p>
      <w:pPr>
        <w:pStyle w:val="6"/>
        <w:rPr>
          <w:rStyle w:val="29"/>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pPr>
        <w:keepNext w:val="0"/>
        <w:keepLines w:val="0"/>
        <w:widowControl w:val="0"/>
        <w:suppressLineNumbers w:val="0"/>
        <w:snapToGrid w:val="0"/>
        <w:spacing w:before="0" w:beforeAutospacing="0" w:after="0" w:afterAutospacing="0" w:line="560" w:lineRule="exact"/>
        <w:ind w:left="0" w:right="0" w:firstLine="640" w:firstLineChars="200"/>
        <w:jc w:val="both"/>
        <w:rPr>
          <w:rFonts w:hint="eastAsia" w:ascii="Times New Roman" w:hAnsi="Times New Roman" w:eastAsia="方正小标宋简体" w:cs="方正小标宋简体"/>
          <w:b w:val="0"/>
          <w:color w:val="auto"/>
          <w:highlight w:val="none"/>
        </w:rPr>
      </w:pPr>
      <w:r>
        <w:rPr>
          <w:rFonts w:hint="eastAsia" w:ascii="仿宋" w:hAnsi="仿宋" w:eastAsia="仿宋"/>
          <w:bCs/>
          <w:color w:val="000000"/>
          <w:sz w:val="32"/>
          <w:szCs w:val="32"/>
        </w:rPr>
        <w:t>攀枝花市实验学校为市属全额拨款事业单位，内设机构10个。学校现有两个校区10</w:t>
      </w:r>
      <w:r>
        <w:rPr>
          <w:rFonts w:hint="eastAsia" w:ascii="仿宋" w:hAnsi="仿宋" w:eastAsia="仿宋"/>
          <w:bCs/>
          <w:color w:val="000000"/>
          <w:sz w:val="32"/>
          <w:szCs w:val="32"/>
          <w:lang w:val="en-US" w:eastAsia="zh-CN"/>
        </w:rPr>
        <w:t>5</w:t>
      </w:r>
      <w:r>
        <w:rPr>
          <w:rFonts w:hint="eastAsia" w:ascii="仿宋" w:hAnsi="仿宋" w:eastAsia="仿宋"/>
          <w:bCs/>
          <w:color w:val="000000"/>
          <w:sz w:val="32"/>
          <w:szCs w:val="32"/>
        </w:rPr>
        <w:t>个教学班。其中小学</w:t>
      </w:r>
      <w:r>
        <w:rPr>
          <w:rFonts w:hint="eastAsia" w:ascii="仿宋" w:hAnsi="仿宋" w:eastAsia="仿宋"/>
          <w:bCs/>
          <w:color w:val="000000"/>
          <w:sz w:val="32"/>
          <w:szCs w:val="32"/>
          <w:lang w:val="en-US" w:eastAsia="zh-CN"/>
        </w:rPr>
        <w:t>59</w:t>
      </w:r>
      <w:r>
        <w:rPr>
          <w:rFonts w:hint="eastAsia" w:ascii="仿宋" w:hAnsi="仿宋" w:eastAsia="仿宋"/>
          <w:bCs/>
          <w:color w:val="000000"/>
          <w:sz w:val="32"/>
          <w:szCs w:val="32"/>
        </w:rPr>
        <w:t>个班，初中</w:t>
      </w:r>
      <w:r>
        <w:rPr>
          <w:rFonts w:hint="eastAsia" w:ascii="仿宋" w:hAnsi="仿宋" w:eastAsia="仿宋"/>
          <w:bCs/>
          <w:color w:val="000000"/>
          <w:sz w:val="32"/>
          <w:szCs w:val="32"/>
          <w:lang w:val="en-US" w:eastAsia="zh-CN"/>
        </w:rPr>
        <w:t>41</w:t>
      </w:r>
      <w:r>
        <w:rPr>
          <w:rFonts w:hint="eastAsia" w:ascii="仿宋" w:hAnsi="仿宋" w:eastAsia="仿宋"/>
          <w:bCs/>
          <w:color w:val="000000"/>
          <w:sz w:val="32"/>
          <w:szCs w:val="32"/>
        </w:rPr>
        <w:t>个班，幼儿园</w:t>
      </w:r>
      <w:r>
        <w:rPr>
          <w:rFonts w:hint="eastAsia" w:ascii="仿宋" w:hAnsi="仿宋" w:eastAsia="仿宋"/>
          <w:bCs/>
          <w:color w:val="000000"/>
          <w:sz w:val="32"/>
          <w:szCs w:val="32"/>
          <w:lang w:val="en-US" w:eastAsia="zh-CN"/>
        </w:rPr>
        <w:t>5</w:t>
      </w:r>
      <w:r>
        <w:rPr>
          <w:rFonts w:hint="eastAsia" w:ascii="仿宋" w:hAnsi="仿宋" w:eastAsia="仿宋"/>
          <w:bCs/>
          <w:color w:val="000000"/>
          <w:sz w:val="32"/>
          <w:szCs w:val="32"/>
        </w:rPr>
        <w:t>个班；学生共47</w:t>
      </w:r>
      <w:r>
        <w:rPr>
          <w:rFonts w:hint="eastAsia" w:ascii="仿宋" w:hAnsi="仿宋" w:eastAsia="仿宋"/>
          <w:bCs/>
          <w:color w:val="000000"/>
          <w:sz w:val="32"/>
          <w:szCs w:val="32"/>
          <w:lang w:val="en-US" w:eastAsia="zh-CN"/>
        </w:rPr>
        <w:t>03</w:t>
      </w:r>
      <w:r>
        <w:rPr>
          <w:rFonts w:hint="eastAsia" w:ascii="仿宋" w:hAnsi="仿宋" w:eastAsia="仿宋"/>
          <w:bCs/>
          <w:color w:val="000000"/>
          <w:sz w:val="32"/>
          <w:szCs w:val="32"/>
        </w:rPr>
        <w:t>人，其中小学</w:t>
      </w:r>
      <w:r>
        <w:rPr>
          <w:rFonts w:hint="eastAsia" w:ascii="仿宋" w:hAnsi="仿宋" w:eastAsia="仿宋"/>
          <w:bCs/>
          <w:color w:val="000000"/>
          <w:sz w:val="32"/>
          <w:szCs w:val="32"/>
          <w:lang w:val="en-US" w:eastAsia="zh-CN"/>
        </w:rPr>
        <w:t>2638</w:t>
      </w:r>
      <w:r>
        <w:rPr>
          <w:rFonts w:hint="eastAsia" w:ascii="仿宋" w:hAnsi="仿宋" w:eastAsia="仿宋"/>
          <w:bCs/>
          <w:color w:val="000000"/>
          <w:sz w:val="32"/>
          <w:szCs w:val="32"/>
        </w:rPr>
        <w:t>人，中学</w:t>
      </w:r>
      <w:r>
        <w:rPr>
          <w:rFonts w:hint="eastAsia" w:ascii="仿宋" w:hAnsi="仿宋" w:eastAsia="仿宋"/>
          <w:bCs/>
          <w:color w:val="000000"/>
          <w:sz w:val="32"/>
          <w:szCs w:val="32"/>
          <w:lang w:val="en-US" w:eastAsia="zh-CN"/>
        </w:rPr>
        <w:t>1947</w:t>
      </w:r>
      <w:r>
        <w:rPr>
          <w:rFonts w:hint="eastAsia" w:ascii="仿宋" w:hAnsi="仿宋" w:eastAsia="仿宋"/>
          <w:bCs/>
          <w:color w:val="000000"/>
          <w:sz w:val="32"/>
          <w:szCs w:val="32"/>
        </w:rPr>
        <w:t>人，幼儿园</w:t>
      </w:r>
      <w:r>
        <w:rPr>
          <w:rFonts w:hint="eastAsia" w:ascii="仿宋" w:hAnsi="仿宋" w:eastAsia="仿宋"/>
          <w:bCs/>
          <w:color w:val="000000"/>
          <w:sz w:val="32"/>
          <w:szCs w:val="32"/>
          <w:lang w:val="en-US" w:eastAsia="zh-CN"/>
        </w:rPr>
        <w:t>118</w:t>
      </w:r>
      <w:r>
        <w:rPr>
          <w:rFonts w:hint="eastAsia" w:ascii="仿宋" w:hAnsi="仿宋" w:eastAsia="仿宋"/>
          <w:bCs/>
          <w:color w:val="000000"/>
          <w:sz w:val="32"/>
          <w:szCs w:val="32"/>
        </w:rPr>
        <w:t>人；</w:t>
      </w:r>
      <w:r>
        <w:rPr>
          <w:rFonts w:hint="eastAsia" w:ascii="仿宋_GB2312" w:hAnsi="仿宋" w:eastAsia="仿宋_GB2312" w:cs="仿宋_GB2312"/>
          <w:kern w:val="2"/>
          <w:sz w:val="32"/>
          <w:szCs w:val="32"/>
          <w:lang w:val="en-US" w:eastAsia="zh-CN" w:bidi="ar"/>
        </w:rPr>
        <w:t>学校现有教职工368人，其中专任教师354人，特级教师1人，各级各类骨干教师、学科带头人67人，正高级教师2人，高级教师72人（含正高级2人），硕士研究生26人。</w:t>
      </w:r>
      <w:bookmarkStart w:id="10" w:name="_Toc15377204"/>
      <w:bookmarkStart w:id="11" w:name="_Toc15396602"/>
    </w:p>
    <w:p>
      <w:pPr>
        <w:pStyle w:val="5"/>
        <w:jc w:val="center"/>
        <w:rPr>
          <w:rFonts w:hint="eastAsia" w:ascii="Times New Roman" w:hAnsi="Times New Roman" w:eastAsia="方正小标宋简体" w:cs="方正小标宋简体"/>
          <w:b w:val="0"/>
          <w:color w:val="auto"/>
          <w:highlight w:val="none"/>
        </w:rPr>
      </w:pPr>
    </w:p>
    <w:p>
      <w:pPr>
        <w:pStyle w:val="5"/>
        <w:jc w:val="center"/>
        <w:rPr>
          <w:rFonts w:hint="eastAsia" w:ascii="Times New Roman" w:hAnsi="Times New Roman" w:eastAsia="方正小标宋简体" w:cs="方正小标宋简体"/>
          <w:b w:val="0"/>
          <w:color w:val="auto"/>
          <w:highlight w:val="none"/>
        </w:rPr>
      </w:pPr>
    </w:p>
    <w:p>
      <w:pPr>
        <w:pStyle w:val="5"/>
        <w:jc w:val="center"/>
        <w:rPr>
          <w:rFonts w:hint="eastAsia" w:ascii="Times New Roman" w:hAnsi="Times New Roman" w:eastAsia="方正小标宋简体" w:cs="方正小标宋简体"/>
          <w:b w:val="0"/>
          <w:color w:val="auto"/>
          <w:highlight w:val="none"/>
        </w:rPr>
      </w:pPr>
    </w:p>
    <w:p>
      <w:pPr>
        <w:pStyle w:val="5"/>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2"/>
      <w:bookmarkEnd w:id="1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10019.74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945.78</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10.4</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调整了非财政拨款的年初结余</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362450" cy="2628900"/>
            <wp:effectExtent l="4445" t="4445" r="1460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9541.98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8976.6</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94.</w:t>
      </w:r>
      <w:r>
        <w:rPr>
          <w:rFonts w:hint="eastAsia" w:ascii="仿宋_GB2312" w:hAnsi="仿宋_GB2312" w:eastAsia="仿宋_GB2312" w:cs="仿宋_GB2312"/>
          <w:sz w:val="32"/>
          <w:szCs w:val="32"/>
          <w:lang w:val="en-US" w:eastAsia="zh-CN"/>
        </w:rPr>
        <w:t>1</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258.87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2.7</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306.51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3.2</w:t>
      </w:r>
      <w:r>
        <w:rPr>
          <w:rFonts w:hint="eastAsia" w:ascii="Times New Roman" w:hAnsi="Times New Roman"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920" w:firstLineChars="6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572000" cy="2743200"/>
            <wp:effectExtent l="4445" t="4445" r="14605" b="14605"/>
            <wp:docPr id="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6"/>
      <w:bookmarkEnd w:id="1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9775.75</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8936.06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91.4</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839.69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 xml:space="preserve">                </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pPr>
        <w:pStyle w:val="2"/>
        <w:rPr>
          <w:rFonts w:hint="eastAsia" w:ascii="Times New Roman" w:hAnsi="Times New Roman" w:eastAsia="仿宋_GB2312" w:cs="仿宋_GB2312"/>
          <w:color w:val="auto"/>
          <w:sz w:val="32"/>
          <w:szCs w:val="32"/>
          <w:highlight w:val="none"/>
          <w:lang w:eastAsia="zh-CN"/>
        </w:rPr>
      </w:pPr>
    </w:p>
    <w:p>
      <w:pPr>
        <w:pStyle w:val="3"/>
        <w:rPr>
          <w:rFonts w:hint="eastAsia"/>
          <w:lang w:eastAsia="zh-CN"/>
        </w:rPr>
      </w:pPr>
      <w:r>
        <w:drawing>
          <wp:inline distT="0" distB="0" distL="114300" distR="114300">
            <wp:extent cx="4572000" cy="2743200"/>
            <wp:effectExtent l="4445" t="4445" r="1460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0" w:firstLineChars="200"/>
        <w:outlineLvl w:val="1"/>
        <w:rPr>
          <w:rStyle w:val="29"/>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8"/>
      <w:bookmarkEnd w:id="19"/>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8976.6</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536.73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人员经费增加。</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381500" cy="2600960"/>
            <wp:effectExtent l="4445" t="4445" r="14605" b="23495"/>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firstLineChars="200"/>
        <w:outlineLvl w:val="1"/>
        <w:rPr>
          <w:rStyle w:val="29"/>
          <w:rFonts w:ascii="Times New Roman" w:hAnsi="Times New Roman" w:eastAsia="黑体"/>
          <w:b w:val="0"/>
          <w:color w:val="auto"/>
          <w:highlight w:val="none"/>
        </w:rPr>
      </w:pPr>
      <w:bookmarkStart w:id="20" w:name="_Toc15377209"/>
      <w:bookmarkStart w:id="2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0"/>
      <w:bookmarkEnd w:id="21"/>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8976.6</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91.8</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536.73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人员经费增长。</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pStyle w:val="2"/>
        <w:rPr>
          <w:rFonts w:hint="eastAsia"/>
          <w:lang w:val="en-US" w:eastAsia="zh-CN"/>
        </w:rPr>
      </w:pPr>
    </w:p>
    <w:p>
      <w:pPr>
        <w:pStyle w:val="3"/>
        <w:rPr>
          <w:rFonts w:hint="eastAsia"/>
          <w:lang w:val="en-US" w:eastAsia="zh-CN"/>
        </w:rPr>
      </w:pPr>
    </w:p>
    <w:p>
      <w:pPr>
        <w:rPr>
          <w:rFonts w:hint="eastAsia"/>
          <w:lang w:val="en-US" w:eastAsia="zh-CN"/>
        </w:rPr>
      </w:pPr>
    </w:p>
    <w:p>
      <w:pPr>
        <w:pStyle w:val="2"/>
        <w:rPr>
          <w:rFonts w:hint="eastAsia"/>
          <w:lang w:val="en-US" w:eastAsia="zh-CN"/>
        </w:rPr>
      </w:pPr>
    </w:p>
    <w:p>
      <w:pPr>
        <w:spacing w:line="600" w:lineRule="exact"/>
        <w:outlineLvl w:val="2"/>
        <w:rPr>
          <w:rFonts w:hint="eastAsia" w:ascii="Times New Roman" w:hAnsi="Times New Roman" w:eastAsia="楷体_GB2312" w:cs="楷体_GB2312"/>
          <w:b/>
          <w:color w:val="auto"/>
          <w:sz w:val="32"/>
          <w:szCs w:val="32"/>
          <w:highlight w:val="none"/>
        </w:rPr>
      </w:pPr>
      <w:bookmarkStart w:id="23" w:name="_Toc15377211"/>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420" w:firstLineChars="200"/>
        <w:outlineLvl w:val="2"/>
        <w:rPr>
          <w:rFonts w:hint="eastAsia" w:ascii="Times New Roman" w:hAnsi="Times New Roman" w:eastAsia="楷体_GB2312" w:cs="楷体_GB2312"/>
          <w:b/>
          <w:color w:val="auto"/>
          <w:sz w:val="32"/>
          <w:szCs w:val="32"/>
          <w:highlight w:val="none"/>
        </w:rPr>
      </w:pPr>
      <w:r>
        <w:drawing>
          <wp:anchor distT="0" distB="0" distL="114300" distR="114300" simplePos="0" relativeHeight="251659264" behindDoc="1" locked="0" layoutInCell="1" allowOverlap="1">
            <wp:simplePos x="0" y="0"/>
            <wp:positionH relativeFrom="column">
              <wp:posOffset>271145</wp:posOffset>
            </wp:positionH>
            <wp:positionV relativeFrom="paragraph">
              <wp:posOffset>-2453005</wp:posOffset>
            </wp:positionV>
            <wp:extent cx="4572000" cy="2743200"/>
            <wp:effectExtent l="4445" t="4445" r="14605" b="14605"/>
            <wp:wrapTight wrapText="bothSides">
              <wp:wrapPolygon>
                <wp:start x="-21" y="-35"/>
                <wp:lineTo x="-21" y="21565"/>
                <wp:lineTo x="21579" y="21565"/>
                <wp:lineTo x="21579" y="-35"/>
                <wp:lineTo x="-21" y="-35"/>
              </wp:wrapPolygon>
            </wp:wrapTight>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2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8976.6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6399.31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71.3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1608.13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17.9</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396.01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573.15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6.4</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firstLineChars="200"/>
        <w:outlineLvl w:val="2"/>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bookmarkStart w:id="24" w:name="_Toc15377212"/>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lang w:val="en-US" w:eastAsia="zh-CN"/>
        </w:rPr>
      </w:pPr>
      <w:r>
        <w:drawing>
          <wp:inline distT="0" distB="0" distL="114300" distR="114300">
            <wp:extent cx="4572000" cy="2743200"/>
            <wp:effectExtent l="4445" t="4445" r="14605" b="14605"/>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2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213"/>
      <w:bookmarkStart w:id="26" w:name="_Toc15378460"/>
      <w:bookmarkStart w:id="2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8976.6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pPr>
        <w:numPr>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教育（类）普通教育（款）学前教育（项）: 支出决算为</w:t>
      </w:r>
      <w:r>
        <w:rPr>
          <w:rFonts w:hint="eastAsia" w:eastAsia="仿宋_GB2312" w:cs="仿宋_GB2312"/>
          <w:color w:val="auto"/>
          <w:kern w:val="2"/>
          <w:sz w:val="32"/>
          <w:szCs w:val="32"/>
          <w:highlight w:val="none"/>
          <w:lang w:val="en-US" w:eastAsia="zh-CN" w:bidi="ar-SA"/>
        </w:rPr>
        <w:t>54.08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教育（类）普通教育（款）</w:t>
      </w:r>
      <w:r>
        <w:rPr>
          <w:rFonts w:hint="eastAsia" w:eastAsia="仿宋_GB2312" w:cs="仿宋_GB2312"/>
          <w:color w:val="auto"/>
          <w:kern w:val="2"/>
          <w:sz w:val="32"/>
          <w:szCs w:val="32"/>
          <w:highlight w:val="none"/>
          <w:lang w:val="en-US" w:eastAsia="zh-CN" w:bidi="ar-SA"/>
        </w:rPr>
        <w:t>小学</w:t>
      </w:r>
      <w:r>
        <w:rPr>
          <w:rFonts w:hint="eastAsia" w:ascii="Times New Roman" w:hAnsi="Times New Roman" w:eastAsia="仿宋_GB2312" w:cs="仿宋_GB2312"/>
          <w:color w:val="auto"/>
          <w:kern w:val="2"/>
          <w:sz w:val="32"/>
          <w:szCs w:val="32"/>
          <w:highlight w:val="none"/>
          <w:lang w:val="en-US" w:eastAsia="zh-CN" w:bidi="ar-SA"/>
        </w:rPr>
        <w:t>教育（项）: 支出决算为</w:t>
      </w:r>
      <w:r>
        <w:rPr>
          <w:rFonts w:hint="eastAsia" w:eastAsia="仿宋_GB2312" w:cs="仿宋_GB2312"/>
          <w:color w:val="auto"/>
          <w:kern w:val="2"/>
          <w:sz w:val="32"/>
          <w:szCs w:val="32"/>
          <w:highlight w:val="none"/>
          <w:lang w:val="en-US" w:eastAsia="zh-CN" w:bidi="ar-SA"/>
        </w:rPr>
        <w:t>193.32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教育（类）普通教育（款）初中教育（项）: 支出决算为</w:t>
      </w:r>
      <w:r>
        <w:rPr>
          <w:rFonts w:hint="eastAsia" w:eastAsia="仿宋_GB2312" w:cs="仿宋_GB2312"/>
          <w:color w:val="auto"/>
          <w:kern w:val="2"/>
          <w:sz w:val="32"/>
          <w:szCs w:val="32"/>
          <w:highlight w:val="none"/>
          <w:lang w:val="en-US" w:eastAsia="zh-CN" w:bidi="ar-SA"/>
        </w:rPr>
        <w:t>5948.66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教育（类）进修及培训（款）培训支出（项）: 支出决算为</w:t>
      </w:r>
      <w:r>
        <w:rPr>
          <w:rFonts w:hint="eastAsia" w:eastAsia="仿宋_GB2312" w:cs="仿宋_GB2312"/>
          <w:color w:val="auto"/>
          <w:kern w:val="2"/>
          <w:sz w:val="32"/>
          <w:szCs w:val="32"/>
          <w:highlight w:val="none"/>
          <w:lang w:val="en-US" w:eastAsia="zh-CN" w:bidi="ar-SA"/>
        </w:rPr>
        <w:t>2.55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教育（类）教育费附加安排的支出（款）其他教育费附加安排的支出（项）: 支出决算为</w:t>
      </w:r>
      <w:r>
        <w:rPr>
          <w:rFonts w:hint="eastAsia" w:eastAsia="仿宋_GB2312" w:cs="仿宋_GB2312"/>
          <w:color w:val="auto"/>
          <w:kern w:val="2"/>
          <w:sz w:val="32"/>
          <w:szCs w:val="32"/>
          <w:highlight w:val="none"/>
          <w:lang w:val="en-US" w:eastAsia="zh-CN" w:bidi="ar-SA"/>
        </w:rPr>
        <w:t>200.70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numPr>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2.社会保障和就业（类）人力资源和社会保障管理事务（款）其他人力资源和社会保障管理事务支出（项）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40.52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社会保障和就业（类）行政事业单位养老支出（款）事业单位离退休（项）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635.61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791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108.72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社会保障和就业（类）抚恤（款）死亡抚恤（项）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32.28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3.卫生健康（类）行政事业单位医疗（款）事业单位医疗（项）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381.35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卫生健康（类）行政事业单位医疗（款）公务员医疗补助（项）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9.31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卫生健康（类）其他卫生健康支出（款）其他卫生健康支出（项）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5.35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4.住房保障支出（类）住房保障支出（款）住房公积金（项）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573.15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tabs>
          <w:tab w:val="right" w:pos="8306"/>
        </w:tabs>
        <w:spacing w:line="600" w:lineRule="exact"/>
        <w:ind w:firstLine="640"/>
        <w:outlineLvl w:val="1"/>
        <w:rPr>
          <w:rStyle w:val="29"/>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8"/>
      <w:bookmarkEnd w:id="29"/>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8677.19</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8107.32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绩效工资、机关事业单位基本养老保险缴费、职业年金缴费、其他社会保障缴费、其他工资福利支出、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569.87</w:t>
      </w:r>
      <w:r>
        <w:rPr>
          <w:rFonts w:hint="eastAsia" w:ascii="Times New Roman" w:hAnsi="Times New Roman" w:eastAsia="仿宋_GB2312" w:cs="仿宋_GB2312"/>
          <w:color w:val="auto"/>
          <w:kern w:val="2"/>
          <w:sz w:val="32"/>
          <w:szCs w:val="32"/>
          <w:highlight w:val="none"/>
          <w:lang w:val="en-US" w:eastAsia="zh-CN" w:bidi="ar-SA"/>
        </w:rPr>
        <w:t>万元，主要包括：办公费、物业管理费、差旅费、维修（护）费、租赁费、</w:t>
      </w:r>
      <w:r>
        <w:rPr>
          <w:rFonts w:hint="eastAsia" w:eastAsia="仿宋_GB2312" w:cs="仿宋_GB2312"/>
          <w:color w:val="auto"/>
          <w:kern w:val="2"/>
          <w:sz w:val="32"/>
          <w:szCs w:val="32"/>
          <w:highlight w:val="none"/>
          <w:lang w:val="en-US" w:eastAsia="zh-CN" w:bidi="ar-SA"/>
        </w:rPr>
        <w:t>专用材料费、</w:t>
      </w:r>
      <w:r>
        <w:rPr>
          <w:rFonts w:hint="eastAsia" w:ascii="Times New Roman" w:hAnsi="Times New Roman" w:eastAsia="仿宋_GB2312" w:cs="仿宋_GB2312"/>
          <w:color w:val="auto"/>
          <w:kern w:val="2"/>
          <w:sz w:val="32"/>
          <w:szCs w:val="32"/>
          <w:highlight w:val="none"/>
          <w:lang w:val="en-US" w:eastAsia="zh-CN" w:bidi="ar-SA"/>
        </w:rPr>
        <w:t>劳务费、委托业务费、工会经费、福利费、其他商品和服务支出、办公设备购置、其他资本性支出等。</w:t>
      </w:r>
    </w:p>
    <w:p>
      <w:pPr>
        <w:spacing w:line="600" w:lineRule="exact"/>
        <w:ind w:firstLine="640"/>
        <w:outlineLvl w:val="1"/>
        <w:rPr>
          <w:rStyle w:val="29"/>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0"/>
      <w:bookmarkEnd w:id="31"/>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与2024年持平。</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numPr>
          <w:numId w:val="0"/>
        </w:numPr>
        <w:spacing w:line="600" w:lineRule="exact"/>
        <w:ind w:firstLine="643" w:firstLineChars="200"/>
        <w:rPr>
          <w:rFonts w:hint="eastAsia"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w:t>
      </w:r>
      <w:r>
        <w:rPr>
          <w:rFonts w:hint="eastAsia" w:eastAsia="仿宋_GB2312" w:cs="仿宋_GB2312"/>
          <w:color w:val="auto"/>
          <w:kern w:val="2"/>
          <w:sz w:val="32"/>
          <w:szCs w:val="32"/>
          <w:highlight w:val="none"/>
          <w:lang w:val="en-US" w:eastAsia="zh-CN" w:bidi="ar-SA"/>
        </w:rPr>
        <w:t>支出与2024年持平。</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w:t>
      </w:r>
      <w:r>
        <w:rPr>
          <w:rFonts w:hint="eastAsia" w:eastAsia="仿宋_GB2312" w:cs="仿宋_GB2312"/>
          <w:color w:val="auto"/>
          <w:kern w:val="2"/>
          <w:sz w:val="32"/>
          <w:szCs w:val="32"/>
          <w:highlight w:val="none"/>
          <w:lang w:val="en-US" w:eastAsia="zh-CN" w:bidi="ar-SA"/>
        </w:rPr>
        <w:t>与2024年持平。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pPr>
        <w:numPr>
          <w:numId w:val="0"/>
        </w:numPr>
        <w:spacing w:line="600" w:lineRule="exact"/>
        <w:ind w:firstLine="643" w:firstLineChars="20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pPr>
        <w:numPr>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公务接待费支出</w:t>
      </w:r>
      <w:r>
        <w:rPr>
          <w:rFonts w:hint="eastAsia" w:eastAsia="仿宋_GB2312" w:cs="仿宋_GB2312"/>
          <w:color w:val="auto"/>
          <w:kern w:val="2"/>
          <w:sz w:val="32"/>
          <w:szCs w:val="32"/>
          <w:highlight w:val="none"/>
          <w:lang w:val="en-US" w:eastAsia="zh-CN" w:bidi="ar-SA"/>
        </w:rPr>
        <w:t>与2024年持平</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4" w:name="_Toc15396610"/>
      <w:bookmarkStart w:id="35" w:name="_Toc15377218"/>
    </w:p>
    <w:p>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4"/>
      <w:bookmarkEnd w:id="3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与2024年持平。</w:t>
      </w: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36" w:name="_Toc15396611"/>
      <w:bookmarkStart w:id="37"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6"/>
      <w:bookmarkEnd w:id="37"/>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与2024年持平。</w:t>
      </w: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38" w:name="_Toc15377221"/>
      <w:bookmarkStart w:id="39"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8"/>
      <w:bookmarkEnd w:id="39"/>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攀枝花市实验学校</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年度决算数持平。</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攀枝花市实验学校</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49.65</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46.9</w:t>
      </w:r>
      <w:r>
        <w:rPr>
          <w:rFonts w:hint="eastAsia" w:ascii="仿宋_GB2312" w:hAnsi="仿宋_GB2312" w:eastAsia="仿宋_GB2312" w:cs="仿宋_GB2312"/>
          <w:sz w:val="32"/>
          <w:szCs w:val="32"/>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2.75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教育教学设备更新</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49.29</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99.</w:t>
      </w:r>
      <w:r>
        <w:rPr>
          <w:rFonts w:hint="eastAsia" w:ascii="仿宋_GB2312" w:hAnsi="仿宋_GB2312" w:eastAsia="仿宋_GB2312" w:cs="仿宋_GB2312"/>
          <w:sz w:val="32"/>
          <w:szCs w:val="32"/>
          <w:lang w:val="en-US" w:eastAsia="zh-CN"/>
        </w:rPr>
        <w:t>3</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49.29</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99.</w:t>
      </w:r>
      <w:r>
        <w:rPr>
          <w:rFonts w:hint="eastAsia" w:ascii="仿宋_GB2312" w:hAnsi="仿宋_GB2312" w:eastAsia="仿宋_GB2312" w:cs="仿宋_GB2312"/>
          <w:sz w:val="32"/>
          <w:szCs w:val="32"/>
          <w:lang w:val="en-US" w:eastAsia="zh-CN"/>
        </w:rPr>
        <w:t>3</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攀枝花市实验学校</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辆，其中：其他用车</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辆，其他用车主要是</w:t>
      </w:r>
      <w:r>
        <w:rPr>
          <w:rFonts w:hint="eastAsia" w:ascii="仿宋_GB2312" w:eastAsia="仿宋_GB2312"/>
          <w:sz w:val="32"/>
          <w:szCs w:val="32"/>
        </w:rPr>
        <w:t>用于教育教学公务外出</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年度预算编制阶段，组织对</w:t>
      </w:r>
      <w:r>
        <w:rPr>
          <w:rFonts w:hint="eastAsia" w:eastAsia="仿宋_GB2312" w:cs="仿宋_GB2312"/>
          <w:color w:val="auto"/>
          <w:kern w:val="2"/>
          <w:sz w:val="32"/>
          <w:szCs w:val="32"/>
          <w:highlight w:val="none"/>
          <w:lang w:val="en-US" w:eastAsia="zh-CN" w:bidi="ar-SA"/>
        </w:rPr>
        <w:t>义务教育薄弱环节改善与能力提升中央补助资金</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77225"/>
      <w:bookmarkStart w:id="44"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pStyle w:val="26"/>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r>
        <w:rPr>
          <w:rFonts w:hint="eastAsia" w:ascii="仿宋_GB2312" w:eastAsia="仿宋_GB2312"/>
          <w:color w:val="auto"/>
          <w:sz w:val="32"/>
          <w:szCs w:val="32"/>
        </w:rPr>
        <w:t>如学生住宿费收入等。</w:t>
      </w:r>
    </w:p>
    <w:p>
      <w:pPr>
        <w:pStyle w:val="26"/>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仿宋_GB2312" w:eastAsia="仿宋_GB2312"/>
          <w:sz w:val="32"/>
          <w:szCs w:val="32"/>
        </w:rPr>
        <w:t>教育（类）普通教育（款）学前教育（项）：指部门举办的学前教育支出；教育（类）普通教育（款）</w:t>
      </w:r>
      <w:r>
        <w:rPr>
          <w:rFonts w:hint="eastAsia" w:ascii="仿宋_GB2312" w:eastAsia="仿宋_GB2312"/>
          <w:sz w:val="32"/>
          <w:szCs w:val="32"/>
          <w:lang w:val="en-US" w:eastAsia="zh-CN"/>
        </w:rPr>
        <w:t>小学</w:t>
      </w:r>
      <w:r>
        <w:rPr>
          <w:rFonts w:hint="eastAsia" w:ascii="仿宋_GB2312" w:eastAsia="仿宋_GB2312"/>
          <w:sz w:val="32"/>
          <w:szCs w:val="32"/>
        </w:rPr>
        <w:t>教育（项）：指部门举办的</w:t>
      </w:r>
      <w:r>
        <w:rPr>
          <w:rFonts w:hint="eastAsia" w:ascii="仿宋_GB2312" w:eastAsia="仿宋_GB2312"/>
          <w:sz w:val="32"/>
          <w:szCs w:val="32"/>
          <w:lang w:val="en-US" w:eastAsia="zh-CN"/>
        </w:rPr>
        <w:t>小学</w:t>
      </w:r>
      <w:r>
        <w:rPr>
          <w:rFonts w:hint="eastAsia" w:ascii="仿宋_GB2312" w:eastAsia="仿宋_GB2312"/>
          <w:sz w:val="32"/>
          <w:szCs w:val="32"/>
        </w:rPr>
        <w:t>教育支出教育（类）普通教育（款）初中教育（项）：指部门举办的初中教育支出。教育（类）进修及培训（款）培训</w:t>
      </w:r>
      <w:r>
        <w:rPr>
          <w:rFonts w:hint="eastAsia" w:ascii="Times New Roman" w:hAnsi="Times New Roman" w:eastAsia="仿宋_GB2312" w:cs="仿宋_GB2312"/>
          <w:color w:val="auto"/>
          <w:kern w:val="2"/>
          <w:sz w:val="32"/>
          <w:szCs w:val="32"/>
          <w:highlight w:val="none"/>
          <w:lang w:val="en-US" w:eastAsia="zh-CN" w:bidi="ar-SA"/>
        </w:rPr>
        <w:t>支出（项）：指各部门安排的用于培训的支出； 教育（类）教育费附加安排的支出（款）其他教育费附加安排的支出（项）：指除农村中小学校舍建设、农村中小学教学设施、城市中小学校舍建设、城市中小学教学设施、中等职业学校教学设施以外的教育费附加支出。</w:t>
      </w:r>
    </w:p>
    <w:p>
      <w:pPr>
        <w:pStyle w:val="26"/>
        <w:spacing w:line="560" w:lineRule="exact"/>
        <w:ind w:firstLine="640" w:firstLineChars="200"/>
        <w:rPr>
          <w:rFonts w:hint="eastAsia" w:ascii="仿宋_GB2312" w:eastAsia="仿宋_GB2312"/>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ascii="仿宋_GB2312" w:eastAsia="仿宋_GB2312"/>
          <w:sz w:val="32"/>
          <w:szCs w:val="32"/>
        </w:rPr>
        <w:t>社会保障和就业（类）行政事业单位离退休（款）机关事业单位基本养老保险缴费支出（项）：反映机关事业单位实施养老保险制度由单位缴纳的基本养老保险费支出。社会保障和就业（类）行政事业单位养老支出（款）机关事业单位职业年金缴费支出（项）反映机关事业单位实施养老保险制度由单位缴纳的职业年金支出（含职业年金补记支出）。社会保障和就业（类）抚恤（</w:t>
      </w:r>
      <w:r>
        <w:rPr>
          <w:rFonts w:hint="eastAsia" w:ascii="仿宋_GB2312" w:eastAsia="仿宋_GB2312"/>
          <w:sz w:val="32"/>
          <w:szCs w:val="32"/>
          <w:lang w:val="en-US" w:eastAsia="zh-CN"/>
        </w:rPr>
        <w:t>款</w:t>
      </w:r>
      <w:r>
        <w:rPr>
          <w:rFonts w:hint="eastAsia" w:ascii="仿宋_GB2312" w:eastAsia="仿宋_GB2312"/>
          <w:sz w:val="32"/>
          <w:szCs w:val="32"/>
        </w:rPr>
        <w:t>）死亡抚恤（项）</w:t>
      </w:r>
      <w:r>
        <w:rPr>
          <w:rFonts w:hint="eastAsia" w:ascii="仿宋_GB2312" w:eastAsia="仿宋_GB2312"/>
          <w:sz w:val="32"/>
          <w:szCs w:val="32"/>
          <w:lang w:eastAsia="zh-CN"/>
        </w:rPr>
        <w:t>：</w:t>
      </w:r>
      <w:r>
        <w:rPr>
          <w:rFonts w:hint="eastAsia" w:ascii="仿宋_GB2312" w:eastAsia="仿宋_GB2312"/>
          <w:sz w:val="32"/>
          <w:szCs w:val="32"/>
          <w:lang w:val="en-US" w:eastAsia="zh-CN"/>
        </w:rPr>
        <w:t>反映按规定用于烈士和牺牲、病故人员家属的一次性和定期抚恤金、丧葬补助以及烈士褒扬金。</w:t>
      </w:r>
    </w:p>
    <w:p>
      <w:pPr>
        <w:pStyle w:val="26"/>
        <w:spacing w:line="560" w:lineRule="exact"/>
        <w:ind w:firstLine="640" w:firstLineChars="200"/>
        <w:rPr>
          <w:rFonts w:hint="default" w:ascii="仿宋_GB2312" w:eastAsia="仿宋_GB2312"/>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ascii="仿宋_GB2312" w:eastAsia="仿宋_GB2312"/>
          <w:sz w:val="32"/>
          <w:szCs w:val="32"/>
          <w:lang w:val="en-US" w:eastAsia="zh-CN"/>
        </w:rPr>
        <w:t>.</w:t>
      </w:r>
      <w:r>
        <w:rPr>
          <w:rFonts w:hint="eastAsia" w:ascii="仿宋_GB2312" w:eastAsia="仿宋_GB2312"/>
          <w:sz w:val="32"/>
          <w:szCs w:val="32"/>
        </w:rPr>
        <w:t>卫生健康支出（类）行政事业单位医疗（款）事业单位医疗（项）：</w:t>
      </w:r>
      <w:r>
        <w:rPr>
          <w:rFonts w:hint="eastAsia" w:ascii="仿宋_GB2312" w:eastAsia="仿宋_GB2312"/>
          <w:sz w:val="32"/>
          <w:szCs w:val="32"/>
          <w:lang w:val="en-US" w:eastAsia="zh-CN"/>
        </w:rPr>
        <w:t>反映财政部门安排的事业单位基本医疗保险缴费经费，未参加医疗保险的事业单位的公费医疗经费，按国家规定享受离休人员待遇的医疗经费；</w:t>
      </w:r>
      <w:r>
        <w:rPr>
          <w:rFonts w:hint="eastAsia" w:ascii="仿宋_GB2312" w:eastAsia="仿宋_GB2312"/>
          <w:sz w:val="32"/>
          <w:szCs w:val="32"/>
        </w:rPr>
        <w:t>卫生健康支出（类）行政事业单位医疗（款）公务员医疗补助（项）：</w:t>
      </w:r>
      <w:r>
        <w:rPr>
          <w:rFonts w:hint="eastAsia" w:ascii="仿宋_GB2312" w:eastAsia="仿宋_GB2312"/>
          <w:sz w:val="32"/>
          <w:szCs w:val="32"/>
          <w:lang w:val="en-US" w:eastAsia="zh-CN"/>
        </w:rPr>
        <w:t>反映财政部门安排的公务员医疗补助经费；</w:t>
      </w:r>
      <w:r>
        <w:rPr>
          <w:rFonts w:hint="eastAsia" w:ascii="仿宋_GB2312" w:eastAsia="仿宋_GB2312"/>
          <w:sz w:val="32"/>
          <w:szCs w:val="32"/>
        </w:rPr>
        <w:t>卫生健康支出（类）其他卫生健康支出（款）其他卫生健康支出（项）：</w:t>
      </w:r>
      <w:r>
        <w:rPr>
          <w:rFonts w:hint="eastAsia" w:ascii="仿宋_GB2312" w:eastAsia="仿宋_GB2312"/>
          <w:sz w:val="32"/>
          <w:szCs w:val="32"/>
          <w:lang w:val="en-US" w:eastAsia="zh-CN"/>
        </w:rPr>
        <w:t>反映其他用于卫生健康方面的支出。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rPr>
        <w:t>住房保障（类）住房改革支出（款）住房公积金（项）：指反映行政事业单位按人力资源和社会保障部、财政部规定的基本工资和津贴补贴以及规定比列为职工缴纳的住房公积金。</w:t>
      </w:r>
      <w:r>
        <w:rPr>
          <w:rFonts w:hint="eastAsia" w:ascii="Times New Roman" w:hAnsi="Times New Roman" w:eastAsia="仿宋_GB2312" w:cs="仿宋_GB2312"/>
          <w:color w:val="auto"/>
          <w:kern w:val="2"/>
          <w:sz w:val="32"/>
          <w:szCs w:val="32"/>
          <w:highlight w:val="none"/>
          <w:lang w:val="en-US" w:eastAsia="zh-CN" w:bidi="ar-SA"/>
        </w:rPr>
        <w:t xml:space="preserve">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ascii="仿宋_GB2312" w:eastAsia="仿宋_GB2312"/>
          <w:color w:val="auto"/>
          <w:sz w:val="32"/>
          <w:szCs w:val="32"/>
        </w:rPr>
        <w:t>.</w:t>
      </w:r>
      <w:r>
        <w:rPr>
          <w:rFonts w:hint="eastAsia" w:ascii="仿宋_GB2312" w:eastAsia="仿宋_GB2312"/>
          <w:color w:val="auto"/>
          <w:sz w:val="32"/>
          <w:szCs w:val="32"/>
        </w:rPr>
        <w:t>其他收入：指单位取得的除一般公共预算财政拨款收入、政府性基金预算财政拨款收入、国有资本经营预算财政拨款收入、事业收入、经营收入、附属单位上缴收入以外的各项收入。主要是中小学课后服务费等。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hint="eastAsia" w:ascii="Times New Roman" w:hAnsi="Times New Roman" w:eastAsia="黑体"/>
          <w:color w:val="auto"/>
          <w:sz w:val="44"/>
          <w:szCs w:val="44"/>
          <w:highlight w:val="none"/>
        </w:rPr>
      </w:pPr>
      <w:bookmarkStart w:id="45" w:name="_Toc15396614"/>
      <w:bookmarkStart w:id="46" w:name="_Toc15377226"/>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pStyle w:val="3"/>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pStyle w:val="3"/>
        <w:rPr>
          <w:rFonts w:hint="eastAsia"/>
        </w:rPr>
      </w:pPr>
    </w:p>
    <w:p>
      <w:pPr>
        <w:pStyle w:val="2"/>
        <w:rPr>
          <w:rFonts w:hint="eastAsia"/>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Style w:val="28"/>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5"/>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hAnsi="Times New Roman"/>
          <w:sz w:val="32"/>
          <w:szCs w:val="32"/>
        </w:rPr>
        <w:t>部门预算项目支出绩效自评表（202</w:t>
      </w:r>
      <w:r>
        <w:rPr>
          <w:rFonts w:hint="eastAsia"/>
          <w:sz w:val="32"/>
          <w:szCs w:val="32"/>
          <w:lang w:val="en-US" w:eastAsia="zh-CN"/>
        </w:rPr>
        <w:t>5</w:t>
      </w:r>
      <w:r>
        <w:rPr>
          <w:rFonts w:hint="eastAsia" w:hAnsi="Times New Roman"/>
          <w:sz w:val="32"/>
          <w:szCs w:val="32"/>
        </w:rPr>
        <w:t>年度）见附件</w:t>
      </w:r>
      <w:r>
        <w:rPr>
          <w:rFonts w:hint="eastAsia" w:hAnsi="Times New Roman"/>
          <w:sz w:val="32"/>
          <w:szCs w:val="32"/>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2640" w:firstLineChars="600"/>
        <w:textAlignment w:val="auto"/>
        <w:outlineLvl w:val="9"/>
        <w:rPr>
          <w:rFonts w:hint="eastAsia" w:ascii="Times New Roman" w:hAnsi="Times New Roman" w:eastAsia="仿宋"/>
          <w:b w:val="0"/>
          <w:color w:val="auto"/>
          <w:highlight w:val="none"/>
        </w:rPr>
      </w:pPr>
      <w:bookmarkStart w:id="47" w:name="_Toc15396618"/>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6"/>
      <w:bookmarkEnd w:id="47"/>
      <w:bookmarkStart w:id="48"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此表无数据</w:t>
      </w:r>
      <w:r>
        <w:rPr>
          <w:rFonts w:hint="eastAsia" w:eastAsia="仿宋_GB2312" w:cs="仿宋_GB2312"/>
          <w:color w:val="auto"/>
          <w:sz w:val="32"/>
          <w:szCs w:val="32"/>
          <w:highlight w:val="none"/>
          <w:lang w:eastAsia="zh-CN"/>
        </w:rPr>
        <w:t>）</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此表无数据</w:t>
      </w:r>
      <w:r>
        <w:rPr>
          <w:rFonts w:hint="eastAsia" w:eastAsia="仿宋_GB2312" w:cs="仿宋_GB2312"/>
          <w:color w:val="auto"/>
          <w:sz w:val="32"/>
          <w:szCs w:val="32"/>
          <w:highlight w:val="none"/>
          <w:lang w:eastAsia="zh-CN"/>
        </w:rPr>
        <w:t>）</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此表无数据</w:t>
      </w:r>
      <w:r>
        <w:rPr>
          <w:rFonts w:hint="eastAsia" w:eastAsia="仿宋_GB2312" w:cs="仿宋_GB2312"/>
          <w:color w:val="auto"/>
          <w:sz w:val="32"/>
          <w:szCs w:val="32"/>
          <w:highlight w:val="none"/>
          <w:lang w:eastAsia="zh-CN"/>
        </w:rPr>
        <w:t>）</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r>
        <w:rPr>
          <w:rFonts w:hint="eastAsia" w:eastAsia="仿宋_GB2312" w:cs="仿宋_GB2312"/>
          <w:color w:val="auto"/>
          <w:sz w:val="32"/>
          <w:szCs w:val="32"/>
          <w:highlight w:val="none"/>
          <w:lang w:eastAsia="zh-CN"/>
        </w:rPr>
        <w:t>（</w:t>
      </w:r>
      <w:r>
        <w:rPr>
          <w:rFonts w:hint="eastAsia" w:eastAsia="仿宋_GB2312" w:cs="仿宋_GB2312"/>
          <w:color w:val="auto"/>
          <w:sz w:val="32"/>
          <w:szCs w:val="32"/>
          <w:highlight w:val="none"/>
          <w:lang w:val="en-US" w:eastAsia="zh-CN"/>
        </w:rPr>
        <w:t>此表无数据</w:t>
      </w:r>
      <w:r>
        <w:rPr>
          <w:rFonts w:hint="eastAsia" w:eastAsia="仿宋_GB2312" w:cs="仿宋_GB2312"/>
          <w:color w:val="auto"/>
          <w:sz w:val="32"/>
          <w:szCs w:val="32"/>
          <w:highlight w:val="none"/>
          <w:lang w:eastAsia="zh-CN"/>
        </w:rPr>
        <w:t>）</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p>
    <w:p>
      <w:pPr>
        <w:rPr>
          <w:rFonts w:hint="eastAsia" w:ascii="Times New Roman" w:hAnsi="Times New Roman"/>
          <w:lang w:eastAsia="zh-CN"/>
        </w:rPr>
      </w:pP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A6ABCC"/>
    <w:multiLevelType w:val="singleLevel"/>
    <w:tmpl w:val="11A6ABC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1A89"/>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67DD0"/>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3832B0"/>
    <w:rsid w:val="02FEBE30"/>
    <w:rsid w:val="032C042F"/>
    <w:rsid w:val="045D276B"/>
    <w:rsid w:val="056623E8"/>
    <w:rsid w:val="05B47DA9"/>
    <w:rsid w:val="061E35DE"/>
    <w:rsid w:val="062E2CC9"/>
    <w:rsid w:val="066E0107"/>
    <w:rsid w:val="07480805"/>
    <w:rsid w:val="075108B1"/>
    <w:rsid w:val="077B4ECC"/>
    <w:rsid w:val="07996F6E"/>
    <w:rsid w:val="07DF17F7"/>
    <w:rsid w:val="07DFD8BA"/>
    <w:rsid w:val="08CC2131"/>
    <w:rsid w:val="08DB07E4"/>
    <w:rsid w:val="09867E8F"/>
    <w:rsid w:val="0A2032A3"/>
    <w:rsid w:val="0A2F424C"/>
    <w:rsid w:val="0C6C4794"/>
    <w:rsid w:val="0CA8290A"/>
    <w:rsid w:val="0D35B1ED"/>
    <w:rsid w:val="0DE07E2B"/>
    <w:rsid w:val="0E025DDE"/>
    <w:rsid w:val="0EBE66C8"/>
    <w:rsid w:val="0ECD2CAC"/>
    <w:rsid w:val="0ED73BC2"/>
    <w:rsid w:val="0F98263C"/>
    <w:rsid w:val="0FD61908"/>
    <w:rsid w:val="101860EC"/>
    <w:rsid w:val="108F442D"/>
    <w:rsid w:val="10B0706C"/>
    <w:rsid w:val="10B101CF"/>
    <w:rsid w:val="10C055FF"/>
    <w:rsid w:val="11772AA4"/>
    <w:rsid w:val="118107EC"/>
    <w:rsid w:val="11B825A5"/>
    <w:rsid w:val="1384206A"/>
    <w:rsid w:val="13957196"/>
    <w:rsid w:val="13D50BC4"/>
    <w:rsid w:val="14022904"/>
    <w:rsid w:val="14A624F0"/>
    <w:rsid w:val="14AE4225"/>
    <w:rsid w:val="1516707B"/>
    <w:rsid w:val="152F2A07"/>
    <w:rsid w:val="15667568"/>
    <w:rsid w:val="15A8212A"/>
    <w:rsid w:val="16057EAE"/>
    <w:rsid w:val="165E0673"/>
    <w:rsid w:val="16BB723D"/>
    <w:rsid w:val="16F13FCB"/>
    <w:rsid w:val="186504BB"/>
    <w:rsid w:val="1938089F"/>
    <w:rsid w:val="19A445FC"/>
    <w:rsid w:val="19C433EB"/>
    <w:rsid w:val="1A592FC2"/>
    <w:rsid w:val="1AE60D31"/>
    <w:rsid w:val="1B2D30F7"/>
    <w:rsid w:val="1B7D550C"/>
    <w:rsid w:val="1B81532C"/>
    <w:rsid w:val="1BE8440E"/>
    <w:rsid w:val="1D155CEE"/>
    <w:rsid w:val="1DE178F3"/>
    <w:rsid w:val="1E1E39F6"/>
    <w:rsid w:val="1E740ACF"/>
    <w:rsid w:val="1EC83E8F"/>
    <w:rsid w:val="1FF35744"/>
    <w:rsid w:val="1FF6BC77"/>
    <w:rsid w:val="21962A9E"/>
    <w:rsid w:val="21AE7C77"/>
    <w:rsid w:val="22554825"/>
    <w:rsid w:val="22B54431"/>
    <w:rsid w:val="22BC3C41"/>
    <w:rsid w:val="23792EBE"/>
    <w:rsid w:val="237C18C4"/>
    <w:rsid w:val="237D2386"/>
    <w:rsid w:val="23860B96"/>
    <w:rsid w:val="240371BF"/>
    <w:rsid w:val="240451D5"/>
    <w:rsid w:val="24536154"/>
    <w:rsid w:val="251E77A0"/>
    <w:rsid w:val="260F557C"/>
    <w:rsid w:val="267609FD"/>
    <w:rsid w:val="26A217D1"/>
    <w:rsid w:val="27D843EB"/>
    <w:rsid w:val="281408E2"/>
    <w:rsid w:val="29DD60BB"/>
    <w:rsid w:val="29FD04D3"/>
    <w:rsid w:val="2BFF7BC6"/>
    <w:rsid w:val="2C071B78"/>
    <w:rsid w:val="2C29627A"/>
    <w:rsid w:val="2C8A61B5"/>
    <w:rsid w:val="2D243B72"/>
    <w:rsid w:val="2D2E01CF"/>
    <w:rsid w:val="2D66027E"/>
    <w:rsid w:val="2DE95C61"/>
    <w:rsid w:val="2DF04E50"/>
    <w:rsid w:val="2E3C0D1A"/>
    <w:rsid w:val="2E9545B0"/>
    <w:rsid w:val="2EDE12D0"/>
    <w:rsid w:val="2F040D46"/>
    <w:rsid w:val="2FAE5751"/>
    <w:rsid w:val="2FB1A395"/>
    <w:rsid w:val="2FD9A7D8"/>
    <w:rsid w:val="30F009F7"/>
    <w:rsid w:val="319F7F4E"/>
    <w:rsid w:val="321B2544"/>
    <w:rsid w:val="3304709D"/>
    <w:rsid w:val="33E56A27"/>
    <w:rsid w:val="34281836"/>
    <w:rsid w:val="349D6851"/>
    <w:rsid w:val="354F6482"/>
    <w:rsid w:val="35BA6CAF"/>
    <w:rsid w:val="35D37231"/>
    <w:rsid w:val="364D14C1"/>
    <w:rsid w:val="366E68DA"/>
    <w:rsid w:val="36AA5135"/>
    <w:rsid w:val="36BE0DA7"/>
    <w:rsid w:val="36DC5E5C"/>
    <w:rsid w:val="376B6AA6"/>
    <w:rsid w:val="376D39B2"/>
    <w:rsid w:val="37E16F03"/>
    <w:rsid w:val="37F53A3B"/>
    <w:rsid w:val="389B6C89"/>
    <w:rsid w:val="38D469F0"/>
    <w:rsid w:val="39627CCD"/>
    <w:rsid w:val="397BAF1F"/>
    <w:rsid w:val="3AB79AF3"/>
    <w:rsid w:val="3B7EF35A"/>
    <w:rsid w:val="3B9FDB6C"/>
    <w:rsid w:val="3BF5BC2F"/>
    <w:rsid w:val="3C444098"/>
    <w:rsid w:val="3C5D4096"/>
    <w:rsid w:val="3CEBA265"/>
    <w:rsid w:val="3D046269"/>
    <w:rsid w:val="3D98207C"/>
    <w:rsid w:val="3D9B0D99"/>
    <w:rsid w:val="3DEE7CF3"/>
    <w:rsid w:val="3DF02244"/>
    <w:rsid w:val="3DF33233"/>
    <w:rsid w:val="3E78745D"/>
    <w:rsid w:val="3F071A76"/>
    <w:rsid w:val="3F3E5024"/>
    <w:rsid w:val="3FF4CAE0"/>
    <w:rsid w:val="3FF7B227"/>
    <w:rsid w:val="40E54C45"/>
    <w:rsid w:val="41313393"/>
    <w:rsid w:val="41EA0D2B"/>
    <w:rsid w:val="42B76D04"/>
    <w:rsid w:val="43592C8A"/>
    <w:rsid w:val="43A407DF"/>
    <w:rsid w:val="43B56C36"/>
    <w:rsid w:val="44515BEA"/>
    <w:rsid w:val="44E268DA"/>
    <w:rsid w:val="453F7E5B"/>
    <w:rsid w:val="45FD5429"/>
    <w:rsid w:val="46495DC4"/>
    <w:rsid w:val="469E247B"/>
    <w:rsid w:val="46AA6EC8"/>
    <w:rsid w:val="472268C3"/>
    <w:rsid w:val="486A6C7A"/>
    <w:rsid w:val="489E320A"/>
    <w:rsid w:val="49176D9B"/>
    <w:rsid w:val="494006BD"/>
    <w:rsid w:val="49B64CB5"/>
    <w:rsid w:val="49DD1DC9"/>
    <w:rsid w:val="4A627F82"/>
    <w:rsid w:val="4AE42F23"/>
    <w:rsid w:val="4B0574A3"/>
    <w:rsid w:val="4B0E749A"/>
    <w:rsid w:val="4B4F25DA"/>
    <w:rsid w:val="4B8E3F04"/>
    <w:rsid w:val="4BDA0CFB"/>
    <w:rsid w:val="4BE068DB"/>
    <w:rsid w:val="4C150FBA"/>
    <w:rsid w:val="4D3C0CCC"/>
    <w:rsid w:val="4D577224"/>
    <w:rsid w:val="4D7A49A9"/>
    <w:rsid w:val="4DBF1CEB"/>
    <w:rsid w:val="4E1D54B7"/>
    <w:rsid w:val="4EAB630A"/>
    <w:rsid w:val="4ECE2238"/>
    <w:rsid w:val="4F590013"/>
    <w:rsid w:val="4F833267"/>
    <w:rsid w:val="4F855D03"/>
    <w:rsid w:val="4FE9BD67"/>
    <w:rsid w:val="4FFB052F"/>
    <w:rsid w:val="50000ED0"/>
    <w:rsid w:val="50DE503B"/>
    <w:rsid w:val="5126535E"/>
    <w:rsid w:val="52635D02"/>
    <w:rsid w:val="52B129B7"/>
    <w:rsid w:val="52B317DB"/>
    <w:rsid w:val="53083A92"/>
    <w:rsid w:val="537E6D0A"/>
    <w:rsid w:val="53AF27A2"/>
    <w:rsid w:val="53E31008"/>
    <w:rsid w:val="53F74C96"/>
    <w:rsid w:val="54B133CF"/>
    <w:rsid w:val="5522343E"/>
    <w:rsid w:val="56106BC1"/>
    <w:rsid w:val="56BF7C5F"/>
    <w:rsid w:val="56E47B74"/>
    <w:rsid w:val="56FD7A8D"/>
    <w:rsid w:val="57346132"/>
    <w:rsid w:val="57BD3DD4"/>
    <w:rsid w:val="581F6921"/>
    <w:rsid w:val="5A48722B"/>
    <w:rsid w:val="5AF92295"/>
    <w:rsid w:val="5BDD79E6"/>
    <w:rsid w:val="5BF561CA"/>
    <w:rsid w:val="5BFF5DFC"/>
    <w:rsid w:val="5CD71FC4"/>
    <w:rsid w:val="5CE87171"/>
    <w:rsid w:val="5D1F11B5"/>
    <w:rsid w:val="5DAE1B18"/>
    <w:rsid w:val="5DE7D9E5"/>
    <w:rsid w:val="5ECEC941"/>
    <w:rsid w:val="5EDA6CAA"/>
    <w:rsid w:val="5F493CB7"/>
    <w:rsid w:val="5FBF9FF3"/>
    <w:rsid w:val="5FCD4E2C"/>
    <w:rsid w:val="5FD15F49"/>
    <w:rsid w:val="5FEF394A"/>
    <w:rsid w:val="5FF67715"/>
    <w:rsid w:val="616104DF"/>
    <w:rsid w:val="62BF3928"/>
    <w:rsid w:val="637C0048"/>
    <w:rsid w:val="647F5392"/>
    <w:rsid w:val="64A93F32"/>
    <w:rsid w:val="65BD73A5"/>
    <w:rsid w:val="664B1D71"/>
    <w:rsid w:val="67AA3209"/>
    <w:rsid w:val="681C4F0D"/>
    <w:rsid w:val="68332DC4"/>
    <w:rsid w:val="683D794C"/>
    <w:rsid w:val="69046D0F"/>
    <w:rsid w:val="698D0931"/>
    <w:rsid w:val="6A452F6A"/>
    <w:rsid w:val="6A993CED"/>
    <w:rsid w:val="6B053271"/>
    <w:rsid w:val="6B213BD1"/>
    <w:rsid w:val="6BCE6674"/>
    <w:rsid w:val="6C4A05C8"/>
    <w:rsid w:val="6C8742B8"/>
    <w:rsid w:val="6C8A170F"/>
    <w:rsid w:val="6CB54609"/>
    <w:rsid w:val="6DBF5E93"/>
    <w:rsid w:val="6DFF077E"/>
    <w:rsid w:val="6E7E3605"/>
    <w:rsid w:val="6E7FDCC7"/>
    <w:rsid w:val="6ED6A62E"/>
    <w:rsid w:val="6EE00B15"/>
    <w:rsid w:val="6F21085E"/>
    <w:rsid w:val="6F544B20"/>
    <w:rsid w:val="6F6FB3EB"/>
    <w:rsid w:val="6F784160"/>
    <w:rsid w:val="6F8731EA"/>
    <w:rsid w:val="6FCE6052"/>
    <w:rsid w:val="6FD57C00"/>
    <w:rsid w:val="6FEFFFD8"/>
    <w:rsid w:val="6FF5CC65"/>
    <w:rsid w:val="6FFB47EC"/>
    <w:rsid w:val="6FFF034A"/>
    <w:rsid w:val="70496804"/>
    <w:rsid w:val="70A21610"/>
    <w:rsid w:val="70F116CB"/>
    <w:rsid w:val="712A28F1"/>
    <w:rsid w:val="715C0E4B"/>
    <w:rsid w:val="72233669"/>
    <w:rsid w:val="72734D90"/>
    <w:rsid w:val="7332FE48"/>
    <w:rsid w:val="73AB61DA"/>
    <w:rsid w:val="73AD73D5"/>
    <w:rsid w:val="73B6EB34"/>
    <w:rsid w:val="73FA497D"/>
    <w:rsid w:val="744731E5"/>
    <w:rsid w:val="74527205"/>
    <w:rsid w:val="74BBD01D"/>
    <w:rsid w:val="74ED5379"/>
    <w:rsid w:val="74FC2395"/>
    <w:rsid w:val="75BC7564"/>
    <w:rsid w:val="75DEEEC2"/>
    <w:rsid w:val="76E3355F"/>
    <w:rsid w:val="76FF5125"/>
    <w:rsid w:val="776F6FFA"/>
    <w:rsid w:val="778769C8"/>
    <w:rsid w:val="77905345"/>
    <w:rsid w:val="77DC22F5"/>
    <w:rsid w:val="79086DAD"/>
    <w:rsid w:val="790D1244"/>
    <w:rsid w:val="79974F09"/>
    <w:rsid w:val="79D7FD79"/>
    <w:rsid w:val="79EE5BA4"/>
    <w:rsid w:val="7A894339"/>
    <w:rsid w:val="7AFF7572"/>
    <w:rsid w:val="7B6C7DFB"/>
    <w:rsid w:val="7B7D4D6B"/>
    <w:rsid w:val="7BBFBED0"/>
    <w:rsid w:val="7BC3E394"/>
    <w:rsid w:val="7C07400A"/>
    <w:rsid w:val="7C0C44D2"/>
    <w:rsid w:val="7C1F3737"/>
    <w:rsid w:val="7C7F0D44"/>
    <w:rsid w:val="7C816776"/>
    <w:rsid w:val="7CBFC87B"/>
    <w:rsid w:val="7CCE2EA1"/>
    <w:rsid w:val="7CCF2856"/>
    <w:rsid w:val="7CFE0F48"/>
    <w:rsid w:val="7D350B5F"/>
    <w:rsid w:val="7D7EC23E"/>
    <w:rsid w:val="7D916348"/>
    <w:rsid w:val="7E3E74AD"/>
    <w:rsid w:val="7E8ADEBF"/>
    <w:rsid w:val="7ECA128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Lenovo\Desktop\&#30011;&#22270;&#25968;&#25454;.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Lenovo\Desktop\&#30011;&#22270;&#25968;&#25454;.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Lenovo\Desktop\&#30011;&#22270;&#25968;&#25454;.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Lenovo\Desktop\&#30011;&#22270;&#25968;&#25454;.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Lenovo\Desktop\&#30011;&#22270;&#25968;&#25454;.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Lenovo\Desktop\&#30011;&#22270;&#25968;&#2545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[画图数据.xlsx]Sheet13!$A$2</c:f>
              <c:strCache>
                <c:ptCount val="1"/>
                <c:pt idx="0">
                  <c:v>收入、支出决算总计变动情况图</c:v>
                </c:pt>
              </c:strCache>
            </c:strRef>
          </c:tx>
          <c:spPr>
            <a:solidFill>
              <a:schemeClr val="accent1"/>
            </a:solidFill>
            <a:ln>
              <a:noFill/>
            </a:ln>
            <a:effectLst/>
          </c:spPr>
          <c:invertIfNegative val="0"/>
          <c:dLbls>
            <c:delete val="1"/>
          </c:dLbls>
          <c:cat>
            <c:strRef>
              <c:f>[画图数据.xlsx]Sheet13!$B$1:$C$1</c:f>
              <c:strCache>
                <c:ptCount val="2"/>
                <c:pt idx="0">
                  <c:v>2024年</c:v>
                </c:pt>
                <c:pt idx="1">
                  <c:v>2025年</c:v>
                </c:pt>
              </c:strCache>
            </c:strRef>
          </c:cat>
          <c:val>
            <c:numRef>
              <c:f>[画图数据.xlsx]Sheet13!$B$2:$C$2</c:f>
              <c:numCache>
                <c:formatCode>#,##0.00</c:formatCode>
                <c:ptCount val="2"/>
                <c:pt idx="0">
                  <c:v>9073.96</c:v>
                </c:pt>
                <c:pt idx="1">
                  <c:v>10019.74</c:v>
                </c:pt>
              </c:numCache>
            </c:numRef>
          </c:val>
        </c:ser>
        <c:dLbls>
          <c:showLegendKey val="0"/>
          <c:showVal val="0"/>
          <c:showCatName val="0"/>
          <c:showSerName val="0"/>
          <c:showPercent val="0"/>
          <c:showBubbleSize val="0"/>
        </c:dLbls>
        <c:gapWidth val="219"/>
        <c:overlap val="-27"/>
        <c:axId val="627045260"/>
        <c:axId val="720741291"/>
      </c:barChart>
      <c:catAx>
        <c:axId val="62704526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0741291"/>
        <c:crosses val="autoZero"/>
        <c:auto val="1"/>
        <c:lblAlgn val="ctr"/>
        <c:lblOffset val="100"/>
        <c:noMultiLvlLbl val="0"/>
      </c:catAx>
      <c:valAx>
        <c:axId val="72074129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70452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1"/>
              <c:layout>
                <c:manualLayout>
                  <c:x val="-0.0399196317354865"/>
                  <c:y val="0.049982420288533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[画图数据.xlsx]Sheet14!$A$5:$A$7</c:f>
              <c:strCache>
                <c:ptCount val="3"/>
                <c:pt idx="0">
                  <c:v>一般公共预算财政拨款收入</c:v>
                </c:pt>
                <c:pt idx="1">
                  <c:v>事业收入</c:v>
                </c:pt>
                <c:pt idx="2">
                  <c:v>其他收入</c:v>
                </c:pt>
              </c:strCache>
            </c:strRef>
          </c:cat>
          <c:val>
            <c:numRef>
              <c:f>[画图数据.xlsx]Sheet14!$B$5:$B$7</c:f>
              <c:numCache>
                <c:formatCode>0.00%</c:formatCode>
                <c:ptCount val="3"/>
                <c:pt idx="0">
                  <c:v>0.9408</c:v>
                </c:pt>
                <c:pt idx="1">
                  <c:v>0.0271</c:v>
                </c:pt>
                <c:pt idx="2">
                  <c:v>0.0321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926475362938817"/>
                  <c:y val="-0.080017669713253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114529838697327"/>
                  <c:y val="0.0082940762290851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[画图数据.xlsx]Sheet15!$D$5:$D$6</c:f>
              <c:strCache>
                <c:ptCount val="2"/>
                <c:pt idx="0">
                  <c:v>基本支出</c:v>
                </c:pt>
                <c:pt idx="1">
                  <c:v>项目支出</c:v>
                </c:pt>
              </c:strCache>
            </c:strRef>
          </c:cat>
          <c:val>
            <c:numRef>
              <c:f>[画图数据.xlsx]Sheet15!$E$5:$E$6</c:f>
              <c:numCache>
                <c:formatCode>0.00%</c:formatCode>
                <c:ptCount val="2"/>
                <c:pt idx="0">
                  <c:v>0.9141</c:v>
                </c:pt>
                <c:pt idx="1">
                  <c:v>0.0859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elete val="1"/>
          </c:dLbls>
          <c:cat>
            <c:strRef>
              <c:f>[画图数据.xlsx]Sheet16!$B$3:$B$4</c:f>
              <c:strCache>
                <c:ptCount val="2"/>
                <c:pt idx="0">
                  <c:v>2025年</c:v>
                </c:pt>
                <c:pt idx="1">
                  <c:v>2024年</c:v>
                </c:pt>
              </c:strCache>
            </c:strRef>
          </c:cat>
          <c:val>
            <c:numRef>
              <c:f>[画图数据.xlsx]Sheet16!$C$3:$C$4</c:f>
              <c:numCache>
                <c:formatCode>General</c:formatCode>
                <c:ptCount val="2"/>
                <c:pt idx="0">
                  <c:v>8976.6</c:v>
                </c:pt>
                <c:pt idx="1">
                  <c:v>8439.87</c:v>
                </c:pt>
              </c:numCache>
            </c:numRef>
          </c:val>
        </c:ser>
        <c:dLbls>
          <c:showLegendKey val="0"/>
          <c:showVal val="0"/>
          <c:showCatName val="0"/>
          <c:showSerName val="0"/>
          <c:showPercent val="0"/>
          <c:showBubbleSize val="0"/>
        </c:dLbls>
        <c:gapWidth val="219"/>
        <c:overlap val="-27"/>
        <c:axId val="268361645"/>
        <c:axId val="360277990"/>
      </c:barChart>
      <c:catAx>
        <c:axId val="26836164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0277990"/>
        <c:crosses val="autoZero"/>
        <c:auto val="1"/>
        <c:lblAlgn val="ctr"/>
        <c:lblOffset val="100"/>
        <c:noMultiLvlLbl val="0"/>
      </c:catAx>
      <c:valAx>
        <c:axId val="36027799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836164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manualLayout>
          <c:layoutTarget val="inner"/>
          <c:xMode val="edge"/>
          <c:yMode val="edge"/>
          <c:x val="0.0874444444444444"/>
          <c:y val="0.172916666666667"/>
          <c:w val="0.882"/>
          <c:h val="0.711666666666667"/>
        </c:manualLayout>
      </c:layout>
      <c:barChart>
        <c:barDir val="col"/>
        <c:grouping val="clustered"/>
        <c:varyColors val="0"/>
        <c:ser>
          <c:idx val="0"/>
          <c:order val="0"/>
          <c:spPr>
            <a:solidFill>
              <a:schemeClr val="accent2"/>
            </a:solidFill>
            <a:ln>
              <a:noFill/>
            </a:ln>
            <a:effectLst/>
          </c:spPr>
          <c:invertIfNegative val="0"/>
          <c:dLbls>
            <c:delete val="1"/>
          </c:dLbls>
          <c:cat>
            <c:strRef>
              <c:f>[画图数据.xlsx]Sheet17!$B$4:$B$5</c:f>
              <c:strCache>
                <c:ptCount val="2"/>
                <c:pt idx="0">
                  <c:v>2025年</c:v>
                </c:pt>
                <c:pt idx="1">
                  <c:v>2024年</c:v>
                </c:pt>
              </c:strCache>
            </c:strRef>
          </c:cat>
          <c:val>
            <c:numRef>
              <c:f>[画图数据.xlsx]Sheet17!$C$4:$C$5</c:f>
              <c:numCache>
                <c:formatCode>General</c:formatCode>
                <c:ptCount val="2"/>
                <c:pt idx="0">
                  <c:v>8976.6</c:v>
                </c:pt>
                <c:pt idx="1">
                  <c:v>8439.87</c:v>
                </c:pt>
              </c:numCache>
            </c:numRef>
          </c:val>
        </c:ser>
        <c:dLbls>
          <c:showLegendKey val="0"/>
          <c:showVal val="0"/>
          <c:showCatName val="0"/>
          <c:showSerName val="0"/>
          <c:showPercent val="0"/>
          <c:showBubbleSize val="0"/>
        </c:dLbls>
        <c:gapWidth val="219"/>
        <c:overlap val="-27"/>
        <c:axId val="794026356"/>
        <c:axId val="22873720"/>
      </c:barChart>
      <c:catAx>
        <c:axId val="79402635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873720"/>
        <c:crosses val="autoZero"/>
        <c:auto val="1"/>
        <c:lblAlgn val="ctr"/>
        <c:lblOffset val="100"/>
        <c:noMultiLvlLbl val="0"/>
      </c:catAx>
      <c:valAx>
        <c:axId val="22873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40263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1204703813702"/>
                  <c:y val="-0.050164046977933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59809961563208"/>
                  <c:y val="-0.0012289795290488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[画图数据.xlsx]Sheet18!$B$3:$B$6</c:f>
              <c:strCache>
                <c:ptCount val="4"/>
                <c:pt idx="0">
                  <c:v>教育支出</c:v>
                </c:pt>
                <c:pt idx="1">
                  <c:v>社会保障和就业支出</c:v>
                </c:pt>
                <c:pt idx="2">
                  <c:v>卫生健康支出</c:v>
                </c:pt>
                <c:pt idx="3">
                  <c:v>住房保障支出</c:v>
                </c:pt>
              </c:strCache>
            </c:strRef>
          </c:cat>
          <c:val>
            <c:numRef>
              <c:f>[画图数据.xlsx]Sheet18!$C$3:$C$6</c:f>
              <c:numCache>
                <c:formatCode>0.00%</c:formatCode>
                <c:ptCount val="4"/>
                <c:pt idx="0">
                  <c:v>0.7129</c:v>
                </c:pt>
                <c:pt idx="1">
                  <c:v>0.1791</c:v>
                </c:pt>
                <c:pt idx="2">
                  <c:v>0.0442</c:v>
                </c:pt>
                <c:pt idx="3">
                  <c:v>0.0638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0</TotalTime>
  <ScaleCrop>false</ScaleCrop>
  <LinksUpToDate>false</LinksUpToDate>
  <CharactersWithSpaces>8692</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Lenovo</cp:lastModifiedBy>
  <cp:lastPrinted>2026-08-03T09:27:00Z</cp:lastPrinted>
  <dcterms:modified xsi:type="dcterms:W3CDTF">2026-09-03T06:13:19Z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400D301575C74348A5277D00A7902E06</vt:lpwstr>
  </property>
</Properties>
</file>