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0E69B">
      <w:pPr>
        <w:pStyle w:val="8"/>
        <w:spacing w:before="93"/>
        <w:rPr>
          <w:rFonts w:ascii="Times New Roman" w:eastAsia="方正小标宋简体"/>
          <w:kern w:val="2"/>
          <w:sz w:val="72"/>
          <w:szCs w:val="72"/>
        </w:rPr>
      </w:pPr>
      <w:bookmarkStart w:id="0" w:name="_Toc15377425"/>
      <w:bookmarkStart w:id="1" w:name="_Toc15306267"/>
      <w:bookmarkStart w:id="2" w:name="_Toc15396597"/>
      <w:bookmarkStart w:id="3" w:name="_Toc15378441"/>
      <w:bookmarkStart w:id="4" w:name="_Toc15396475"/>
      <w:bookmarkStart w:id="5" w:name="_Toc15377193"/>
    </w:p>
    <w:p w14:paraId="4929DDCA">
      <w:pPr>
        <w:pStyle w:val="8"/>
        <w:spacing w:before="93"/>
        <w:rPr>
          <w:rFonts w:ascii="Times New Roman" w:eastAsia="方正小标宋简体"/>
          <w:kern w:val="2"/>
          <w:sz w:val="72"/>
          <w:szCs w:val="72"/>
        </w:rPr>
      </w:pPr>
    </w:p>
    <w:p w14:paraId="30FFACE6">
      <w:pPr>
        <w:pStyle w:val="8"/>
        <w:spacing w:before="93"/>
        <w:rPr>
          <w:rFonts w:hint="eastAsia" w:ascii="Times New Roman" w:eastAsia="方正小标宋简体"/>
          <w:kern w:val="2"/>
          <w:sz w:val="72"/>
          <w:szCs w:val="72"/>
        </w:rPr>
      </w:pPr>
    </w:p>
    <w:p w14:paraId="706DDE55">
      <w:pPr>
        <w:pStyle w:val="8"/>
        <w:spacing w:before="93"/>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rPr>
        <w:t>2025年度</w:t>
      </w:r>
      <w:r>
        <w:rPr>
          <w:rFonts w:hint="eastAsia" w:ascii="Times New Roman" w:eastAsia="方正小标宋简体"/>
          <w:kern w:val="2"/>
          <w:sz w:val="44"/>
          <w:szCs w:val="44"/>
          <w:lang w:val="en-US" w:eastAsia="zh-CN"/>
        </w:rPr>
        <w:t>攀枝花市第二初级中学校</w:t>
      </w:r>
    </w:p>
    <w:p w14:paraId="08621827">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决算公开编制说明</w:t>
      </w:r>
      <w:bookmarkStart w:id="69" w:name="_GoBack"/>
      <w:bookmarkEnd w:id="69"/>
    </w:p>
    <w:p w14:paraId="7ECC1F6D">
      <w:pPr>
        <w:spacing w:line="600" w:lineRule="exact"/>
        <w:jc w:val="center"/>
        <w:outlineLvl w:val="0"/>
        <w:rPr>
          <w:rFonts w:eastAsia="方正小标宋简体"/>
          <w:sz w:val="72"/>
          <w:szCs w:val="72"/>
        </w:rPr>
      </w:pPr>
    </w:p>
    <w:p w14:paraId="4665F108">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054C677C"/>
    <w:p w14:paraId="44849FDC">
      <w:pPr>
        <w:pStyle w:val="8"/>
        <w:spacing w:before="93"/>
        <w:jc w:val="center"/>
        <w:rPr>
          <w:rFonts w:ascii="Times New Roman" w:eastAsia="方正小标宋简体"/>
          <w:kern w:val="2"/>
          <w:sz w:val="44"/>
          <w:szCs w:val="44"/>
        </w:rPr>
      </w:pPr>
    </w:p>
    <w:p w14:paraId="6CF03BC6">
      <w:pPr>
        <w:pStyle w:val="8"/>
        <w:spacing w:before="93"/>
        <w:jc w:val="center"/>
        <w:rPr>
          <w:rFonts w:ascii="Times New Roman" w:eastAsia="方正小标宋简体"/>
          <w:kern w:val="2"/>
          <w:sz w:val="44"/>
          <w:szCs w:val="44"/>
        </w:rPr>
      </w:pPr>
    </w:p>
    <w:p w14:paraId="67E53F88">
      <w:pPr>
        <w:pStyle w:val="8"/>
        <w:spacing w:before="93"/>
        <w:jc w:val="center"/>
        <w:rPr>
          <w:rFonts w:ascii="Times New Roman" w:eastAsia="方正小标宋简体"/>
          <w:kern w:val="2"/>
          <w:sz w:val="44"/>
          <w:szCs w:val="44"/>
        </w:rPr>
      </w:pPr>
    </w:p>
    <w:p w14:paraId="2F8690DE">
      <w:pPr>
        <w:pStyle w:val="8"/>
        <w:spacing w:before="93"/>
        <w:jc w:val="center"/>
        <w:rPr>
          <w:rFonts w:ascii="Times New Roman" w:eastAsia="方正小标宋简体"/>
          <w:kern w:val="2"/>
          <w:sz w:val="44"/>
          <w:szCs w:val="44"/>
        </w:rPr>
      </w:pPr>
    </w:p>
    <w:bookmarkEnd w:id="0"/>
    <w:bookmarkEnd w:id="1"/>
    <w:bookmarkEnd w:id="2"/>
    <w:bookmarkEnd w:id="3"/>
    <w:bookmarkEnd w:id="4"/>
    <w:bookmarkEnd w:id="5"/>
    <w:p w14:paraId="7744FF5F">
      <w:pPr>
        <w:pStyle w:val="8"/>
        <w:spacing w:before="93"/>
        <w:jc w:val="center"/>
        <w:rPr>
          <w:rFonts w:hint="eastAsia" w:ascii="Times New Roman" w:eastAsia="方正小标宋简体"/>
          <w:kern w:val="2"/>
          <w:sz w:val="44"/>
          <w:szCs w:val="44"/>
          <w:lang w:val="en-US" w:eastAsia="zh-CN"/>
        </w:rPr>
      </w:pPr>
      <w:bookmarkStart w:id="6" w:name="_Toc15396476"/>
      <w:bookmarkStart w:id="7" w:name="_Toc15378442"/>
      <w:bookmarkStart w:id="8" w:name="_Toc15377194"/>
      <w:bookmarkStart w:id="9" w:name="_Toc15377426"/>
      <w:bookmarkStart w:id="10" w:name="_Toc15396598"/>
      <w:r>
        <w:rPr>
          <w:rFonts w:hint="eastAsia" w:ascii="Times New Roman" w:eastAsia="方正小标宋简体"/>
          <w:kern w:val="2"/>
          <w:sz w:val="44"/>
          <w:szCs w:val="44"/>
        </w:rPr>
        <w:t>2025年度攀枝花市</w:t>
      </w:r>
      <w:bookmarkStart w:id="11" w:name="_Toc15306268"/>
      <w:r>
        <w:rPr>
          <w:rFonts w:hint="eastAsia" w:ascii="Times New Roman" w:eastAsia="方正小标宋简体"/>
          <w:kern w:val="2"/>
          <w:sz w:val="44"/>
          <w:szCs w:val="44"/>
          <w:lang w:val="en-US" w:eastAsia="zh-CN"/>
        </w:rPr>
        <w:t>第二初级中学校</w:t>
      </w:r>
    </w:p>
    <w:p w14:paraId="6D84916F">
      <w:pPr>
        <w:pStyle w:val="8"/>
        <w:spacing w:before="93"/>
        <w:jc w:val="center"/>
        <w:rPr>
          <w:rFonts w:ascii="Times New Roman" w:eastAsia="方正小标宋简体"/>
          <w:kern w:val="2"/>
          <w:sz w:val="44"/>
          <w:szCs w:val="44"/>
        </w:rPr>
      </w:pPr>
      <w:r>
        <w:rPr>
          <w:rFonts w:hint="eastAsia" w:ascii="Times New Roman" w:eastAsia="方正小标宋简体"/>
          <w:kern w:val="2"/>
          <w:sz w:val="44"/>
          <w:szCs w:val="44"/>
          <w:lang w:val="en-US" w:eastAsia="zh-CN"/>
        </w:rPr>
        <w:t>单位</w:t>
      </w:r>
      <w:r>
        <w:rPr>
          <w:rFonts w:hint="eastAsia" w:ascii="Times New Roman" w:eastAsia="方正小标宋简体"/>
          <w:kern w:val="2"/>
          <w:sz w:val="44"/>
          <w:szCs w:val="44"/>
        </w:rPr>
        <w:t>决算</w:t>
      </w:r>
      <w:bookmarkEnd w:id="6"/>
      <w:bookmarkEnd w:id="7"/>
      <w:bookmarkEnd w:id="8"/>
      <w:bookmarkEnd w:id="9"/>
      <w:bookmarkEnd w:id="10"/>
      <w:bookmarkEnd w:id="11"/>
    </w:p>
    <w:p w14:paraId="0CA12E21">
      <w:pPr>
        <w:pStyle w:val="14"/>
        <w:adjustRightInd w:val="0"/>
        <w:snapToGrid w:val="0"/>
        <w:spacing w:line="560" w:lineRule="exact"/>
        <w:jc w:val="left"/>
        <w:rPr>
          <w:rFonts w:eastAsia="仿宋_GB2312" w:cs="仿宋_GB2312"/>
          <w:sz w:val="32"/>
          <w:szCs w:val="32"/>
        </w:rPr>
      </w:pPr>
    </w:p>
    <w:p w14:paraId="27B213A6">
      <w:pPr>
        <w:widowControl/>
        <w:jc w:val="center"/>
        <w:rPr>
          <w:rFonts w:eastAsia="黑体"/>
          <w:sz w:val="48"/>
          <w:szCs w:val="48"/>
        </w:rPr>
        <w:sectPr>
          <w:footerReference r:id="rId7" w:type="first"/>
          <w:footerReference r:id="rId6" w:type="default"/>
          <w:pgSz w:w="11906" w:h="16838"/>
          <w:pgMar w:top="1440" w:right="1800" w:bottom="1440" w:left="1800" w:header="851" w:footer="992" w:gutter="0"/>
          <w:cols w:space="425" w:num="1"/>
          <w:titlePg/>
          <w:docGrid w:type="lines" w:linePitch="312" w:charSpace="0"/>
        </w:sectPr>
      </w:pPr>
    </w:p>
    <w:p w14:paraId="6AE02AE1">
      <w:pPr>
        <w:widowControl/>
        <w:jc w:val="center"/>
        <w:rPr>
          <w:rFonts w:eastAsia="黑体"/>
          <w:sz w:val="48"/>
          <w:szCs w:val="48"/>
        </w:rPr>
      </w:pPr>
      <w:r>
        <w:rPr>
          <w:rFonts w:hint="eastAsia" w:eastAsia="黑体"/>
          <w:sz w:val="48"/>
          <w:szCs w:val="48"/>
        </w:rPr>
        <w:t>目录</w:t>
      </w:r>
    </w:p>
    <w:p w14:paraId="5F4048E6">
      <w:pPr>
        <w:widowControl/>
        <w:jc w:val="center"/>
        <w:rPr>
          <w:rFonts w:eastAsia="黑体" w:cstheme="minorBidi"/>
          <w:sz w:val="28"/>
          <w:szCs w:val="28"/>
        </w:rPr>
      </w:pPr>
    </w:p>
    <w:p w14:paraId="48215C5D">
      <w:pPr>
        <w:pStyle w:val="13"/>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公开时间：2026年9月1</w:t>
      </w:r>
      <w:r>
        <w:rPr>
          <w:rFonts w:hint="eastAsia" w:ascii="Times New Roman" w:hAnsi="Times New Roman" w:eastAsia="仿宋_GB2312" w:cs="仿宋_GB2312"/>
          <w:sz w:val="32"/>
          <w:szCs w:val="32"/>
          <w:lang w:val="en-US" w:eastAsia="zh-CN"/>
        </w:rPr>
        <w:t>1</w:t>
      </w:r>
      <w:r>
        <w:rPr>
          <w:rFonts w:hint="eastAsia" w:ascii="Times New Roman" w:hAnsi="Times New Roman" w:eastAsia="仿宋_GB2312" w:cs="仿宋_GB2312"/>
          <w:sz w:val="32"/>
          <w:szCs w:val="32"/>
        </w:rPr>
        <w:t>日</w:t>
      </w:r>
    </w:p>
    <w:p w14:paraId="03634A31"/>
    <w:p w14:paraId="538E850C">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hint="eastAsia"/>
          <w:sz w:val="24"/>
          <w:lang w:val="en-US" w:eastAsia="zh-CN"/>
        </w:rPr>
        <w:t>...........................................</w:t>
      </w:r>
      <w:r>
        <w:rPr>
          <w:rFonts w:hint="eastAsia" w:ascii="Calibri" w:hAnsi="Calibri" w:eastAsia="宋体" w:cs="Times New Roman"/>
          <w:color w:val="auto"/>
          <w:kern w:val="2"/>
          <w:sz w:val="24"/>
          <w:szCs w:val="24"/>
          <w:highlight w:val="none"/>
          <w:lang w:val="en-US" w:eastAsia="zh-CN" w:bidi="ar-SA"/>
        </w:rPr>
        <w:t>5</w:t>
      </w:r>
    </w:p>
    <w:p w14:paraId="2F9FA16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hint="eastAsia"/>
          <w:sz w:val="24"/>
          <w:lang w:val="en-US" w:eastAsia="zh-CN"/>
        </w:rPr>
        <w:t>.........................................................................................5</w:t>
      </w:r>
    </w:p>
    <w:p w14:paraId="2B16AD2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5</w:t>
      </w:r>
    </w:p>
    <w:p w14:paraId="7C7BC72E">
      <w:pPr>
        <w:pStyle w:val="13"/>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r>
        <w:rPr>
          <w:rFonts w:hint="eastAsia"/>
          <w:sz w:val="24"/>
          <w:lang w:val="en-US" w:eastAsia="zh-CN"/>
        </w:rPr>
        <w:t>....................</w:t>
      </w:r>
      <w:r>
        <w:rPr>
          <w:rFonts w:hint="eastAsia" w:ascii="Calibri" w:hAnsi="Calibri" w:eastAsia="宋体" w:cs="Times New Roman"/>
          <w:color w:val="auto"/>
          <w:kern w:val="2"/>
          <w:sz w:val="24"/>
          <w:szCs w:val="24"/>
          <w:highlight w:val="none"/>
          <w:lang w:val="en-US" w:eastAsia="zh-CN" w:bidi="ar-SA"/>
        </w:rPr>
        <w:t>6</w:t>
      </w:r>
    </w:p>
    <w:p w14:paraId="4D9061A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6</w:t>
      </w:r>
    </w:p>
    <w:p w14:paraId="2BDA10B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6</w:t>
      </w:r>
    </w:p>
    <w:p w14:paraId="17BA60D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7</w:t>
      </w:r>
    </w:p>
    <w:p w14:paraId="1FA84BC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8</w:t>
      </w:r>
    </w:p>
    <w:p w14:paraId="444B7B79">
      <w:pPr>
        <w:pStyle w:val="14"/>
        <w:adjustRightInd w:val="0"/>
        <w:snapToGrid w:val="0"/>
        <w:spacing w:line="560" w:lineRule="exact"/>
        <w:ind w:left="0" w:leftChars="0" w:firstLine="640" w:firstLineChars="200"/>
        <w:jc w:val="left"/>
        <w:rPr>
          <w:rFonts w:hint="eastAsia" w:ascii="Calibri" w:hAnsi="Calibri" w:eastAsia="宋体" w:cs="Times New Roman"/>
          <w:color w:val="auto"/>
          <w:kern w:val="2"/>
          <w:sz w:val="24"/>
          <w:szCs w:val="24"/>
          <w:highlight w:val="none"/>
          <w:lang w:val="en-US" w:eastAsia="zh-CN" w:bidi="ar-SA"/>
        </w:rPr>
      </w:pPr>
      <w:r>
        <w:rPr>
          <w:rFonts w:hint="eastAsia" w:eastAsia="仿宋_GB2312" w:cs="仿宋_GB2312"/>
          <w:sz w:val="32"/>
          <w:szCs w:val="32"/>
        </w:rPr>
        <w:t>五、一般公共预算财政拨款支出决算情况说明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8</w:t>
      </w:r>
    </w:p>
    <w:p w14:paraId="187D4B9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六、一般公共预算财政拨款基本支出决算情况说明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11</w:t>
      </w:r>
    </w:p>
    <w:p w14:paraId="4AE47802">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七、财政拨款“三公”经费支出决算情况说明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12</w:t>
      </w:r>
    </w:p>
    <w:p w14:paraId="1D3AB5C5">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八、政府性基金预算支出决算情况说明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13</w:t>
      </w:r>
    </w:p>
    <w:p w14:paraId="6A7793AA">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九、国有资本经营预算支出决算情况说明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13</w:t>
      </w:r>
    </w:p>
    <w:p w14:paraId="0A61D63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r>
        <w:rPr>
          <w:rFonts w:hint="eastAsia"/>
          <w:sz w:val="24"/>
          <w:lang w:val="en-US" w:eastAsia="zh-CN"/>
        </w:rPr>
        <w:t>.....................................................</w:t>
      </w:r>
      <w:r>
        <w:rPr>
          <w:rFonts w:hint="eastAsia" w:ascii="Calibri" w:hAnsi="Calibri" w:cs="Times New Roman"/>
          <w:color w:val="auto"/>
          <w:kern w:val="2"/>
          <w:sz w:val="24"/>
          <w:szCs w:val="24"/>
          <w:highlight w:val="none"/>
          <w:lang w:val="en-US" w:eastAsia="zh-CN" w:bidi="ar-SA"/>
        </w:rPr>
        <w:t>13</w:t>
      </w:r>
    </w:p>
    <w:p w14:paraId="6F51068F">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第三部分 名词解释</w:t>
      </w:r>
      <w:r>
        <w:rPr>
          <w:rFonts w:hint="eastAsia"/>
          <w:sz w:val="24"/>
          <w:lang w:val="en-US" w:eastAsia="zh-CN"/>
        </w:rPr>
        <w:t>............................................</w:t>
      </w:r>
      <w:r>
        <w:rPr>
          <w:rFonts w:hint="eastAsia" w:ascii="Calibri" w:hAnsi="Calibri" w:eastAsia="宋体" w:cs="Times New Roman"/>
          <w:color w:val="auto"/>
          <w:kern w:val="2"/>
          <w:sz w:val="24"/>
          <w:szCs w:val="24"/>
          <w:highlight w:val="none"/>
          <w:lang w:val="en-US" w:eastAsia="zh-CN" w:bidi="ar-SA"/>
        </w:rPr>
        <w:t>15</w:t>
      </w:r>
    </w:p>
    <w:p w14:paraId="36353044">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第四部分 附件</w:t>
      </w:r>
      <w:r>
        <w:rPr>
          <w:rFonts w:hint="eastAsia"/>
          <w:sz w:val="24"/>
          <w:lang w:val="en-US" w:eastAsia="zh-CN"/>
        </w:rPr>
        <w:t>.................................................</w:t>
      </w:r>
      <w:r>
        <w:rPr>
          <w:rFonts w:hint="eastAsia" w:ascii="Calibri" w:hAnsi="Calibri" w:eastAsia="宋体" w:cs="Times New Roman"/>
          <w:color w:val="auto"/>
          <w:kern w:val="2"/>
          <w:sz w:val="24"/>
          <w:szCs w:val="24"/>
          <w:highlight w:val="none"/>
          <w:lang w:val="en-US" w:eastAsia="zh-CN" w:bidi="ar-SA"/>
        </w:rPr>
        <w:t>17</w:t>
      </w:r>
    </w:p>
    <w:p w14:paraId="37857881">
      <w:pPr>
        <w:pStyle w:val="13"/>
        <w:adjustRightInd w:val="0"/>
        <w:snapToGrid w:val="0"/>
        <w:spacing w:before="0" w:line="560" w:lineRule="exact"/>
        <w:jc w:val="left"/>
        <w:rPr>
          <w:rFonts w:hint="default" w:ascii="Times New Roman" w:hAnsi="Times New Roman" w:eastAsia="黑体" w:cs="黑体"/>
          <w:sz w:val="32"/>
          <w:szCs w:val="32"/>
          <w:lang w:val="en-US"/>
        </w:rPr>
      </w:pPr>
      <w:r>
        <w:rPr>
          <w:rFonts w:hint="eastAsia" w:ascii="Times New Roman" w:hAnsi="Times New Roman" w:eastAsia="黑体" w:cs="黑体"/>
          <w:sz w:val="32"/>
          <w:szCs w:val="32"/>
        </w:rPr>
        <w:t>第五部分 附表</w:t>
      </w:r>
      <w:r>
        <w:rPr>
          <w:rFonts w:hint="eastAsia"/>
          <w:sz w:val="24"/>
          <w:lang w:val="en-US" w:eastAsia="zh-CN"/>
        </w:rPr>
        <w:t>.................................................</w:t>
      </w:r>
      <w:r>
        <w:rPr>
          <w:rFonts w:hint="eastAsia" w:ascii="Calibri" w:hAnsi="Calibri" w:eastAsia="宋体" w:cs="Times New Roman"/>
          <w:color w:val="auto"/>
          <w:kern w:val="2"/>
          <w:sz w:val="24"/>
          <w:szCs w:val="24"/>
          <w:highlight w:val="none"/>
          <w:lang w:val="en-US" w:eastAsia="zh-CN" w:bidi="ar-SA"/>
        </w:rPr>
        <w:t>18</w:t>
      </w:r>
    </w:p>
    <w:p w14:paraId="4E4A72D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34CCB0E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6BE3C75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431CB5B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6A5E6B17">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4E83D4E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336534B1">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36CC8F2D">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6892677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104C1956">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2EA7F6A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0D1450D0">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1DE5D05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0501A8FA">
      <w:pPr>
        <w:pStyle w:val="14"/>
        <w:adjustRightInd w:val="0"/>
        <w:snapToGrid w:val="0"/>
        <w:spacing w:line="560" w:lineRule="exact"/>
        <w:ind w:left="0" w:leftChars="0" w:firstLine="643" w:firstLineChars="200"/>
        <w:jc w:val="left"/>
        <w:rPr>
          <w:rFonts w:eastAsia="仿宋_GB2312" w:cs="仿宋_GB2312"/>
          <w:b/>
          <w:bCs/>
          <w:sz w:val="32"/>
          <w:szCs w:val="32"/>
        </w:rPr>
      </w:pPr>
    </w:p>
    <w:p w14:paraId="02644B1A">
      <w:pPr>
        <w:widowControl/>
        <w:spacing w:line="560" w:lineRule="exact"/>
        <w:jc w:val="left"/>
        <w:rPr>
          <w:rFonts w:hint="eastAsia" w:ascii="Times New Roman" w:hAnsi="Times New Roman" w:eastAsia="方正小标宋简体" w:cs="方正小标宋简体"/>
          <w:b w:val="0"/>
          <w:bCs/>
          <w:kern w:val="44"/>
          <w:sz w:val="44"/>
          <w:szCs w:val="44"/>
          <w:lang w:val="en-US" w:eastAsia="zh-CN" w:bidi="ar-SA"/>
        </w:rPr>
        <w:sectPr>
          <w:footerReference r:id="rId9" w:type="first"/>
          <w:footerReference r:id="rId8" w:type="default"/>
          <w:pgSz w:w="11906" w:h="16838"/>
          <w:pgMar w:top="1440" w:right="1800" w:bottom="1440" w:left="1800" w:header="851" w:footer="992" w:gutter="0"/>
          <w:cols w:space="425" w:num="1"/>
          <w:docGrid w:type="lines" w:linePitch="312" w:charSpace="0"/>
        </w:sectPr>
      </w:pPr>
      <w:bookmarkStart w:id="12" w:name="_Toc15377196"/>
      <w:bookmarkStart w:id="13" w:name="_Toc15396599"/>
      <w:r>
        <w:rPr>
          <w:rFonts w:hint="eastAsia" w:eastAsia="仿宋_GB2312" w:cs="仿宋_GB2312"/>
          <w:b/>
          <w:sz w:val="32"/>
          <w:szCs w:val="32"/>
        </w:rPr>
        <w:br w:type="page"/>
      </w:r>
    </w:p>
    <w:bookmarkEnd w:id="12"/>
    <w:bookmarkEnd w:id="13"/>
    <w:p w14:paraId="66DB435A">
      <w:pPr>
        <w:pStyle w:val="5"/>
        <w:jc w:val="center"/>
        <w:rPr>
          <w:rFonts w:hint="eastAsia" w:ascii="Times New Roman" w:hAnsi="Times New Roman" w:eastAsia="方正小标宋简体" w:cs="方正小标宋简体"/>
          <w:b w:val="0"/>
          <w:bCs/>
          <w:kern w:val="44"/>
          <w:sz w:val="44"/>
          <w:szCs w:val="44"/>
          <w:lang w:val="en-US" w:eastAsia="zh-CN" w:bidi="ar-SA"/>
        </w:rPr>
      </w:pPr>
      <w:bookmarkStart w:id="14" w:name="_Toc15377197"/>
      <w:bookmarkStart w:id="15" w:name="_Toc15396600"/>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p>
    <w:p w14:paraId="09F87D9B">
      <w:pPr>
        <w:pStyle w:val="6"/>
        <w:bidi w:val="0"/>
        <w:rPr>
          <w:rFonts w:hint="eastAsia" w:ascii="黑体" w:hAnsi="黑体" w:eastAsia="黑体" w:cs="黑体"/>
          <w:b w:val="0"/>
          <w:bCs w:val="0"/>
          <w:lang w:val="en-US" w:eastAsia="zh-CN"/>
        </w:rPr>
      </w:pPr>
      <w:r>
        <w:rPr>
          <w:rFonts w:hint="eastAsia" w:ascii="黑体" w:hAnsi="黑体" w:eastAsia="黑体" w:cs="黑体"/>
          <w:b w:val="0"/>
          <w:bCs w:val="0"/>
          <w:lang w:val="en-US" w:eastAsia="zh-CN"/>
        </w:rPr>
        <w:t>一、部门职责</w:t>
      </w:r>
    </w:p>
    <w:p w14:paraId="06C91FB4">
      <w:pPr>
        <w:pStyle w:val="2"/>
        <w:numPr>
          <w:ilvl w:val="0"/>
          <w:numId w:val="0"/>
        </w:numPr>
        <w:ind w:firstLine="640" w:firstLineChars="200"/>
        <w:jc w:val="both"/>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一年来，我校在市教体局的亲切关怀和正确领导下，以习近平新时代中国特色社会主义思想为指导，紧紧围绕深入学习贯彻党的二十大和二十届三中全会精神这条主线，落实立德树人根本任务，围绕党建、质量、安全三大重点任务开展工作，擦亮学校品牌和特色，努力提高办学质量。本学年度，我校高度重视、认真按照“全面加强党的领导、教育教学、队伍建设、安全信访、后勤保障、信息化与标准化建设、政务信息、办学声誉、示范引领、过程督导”等十个方面的工作任务明确牵头领导和责任部门，以确保工作任务的落实和完成。在教育教学方面，持续深化课堂教学改革，积极推进“双减”政策落地落实，加强作业管理和课后服务质量提升，教育教学质量稳步提高。在队伍建设方面，加大教师培训力度，实施青年教师培养计划，开展“青蓝工程”师徒结对活动，教师专业素养明显提升。在安全信访方面，完善安全管理制度，强化安全隐患排查整治，加强安全教育和应急演练，全年无安全事故发生。在信息化与标准化建设方面，推进智慧校园建设，完善教学设备配置，提升信息化应用水平。在办学声誉方面，积极参加各级各类竞赛评比，学校社会认可度持续提升。</w:t>
      </w:r>
      <w:bookmarkEnd w:id="14"/>
      <w:bookmarkEnd w:id="15"/>
    </w:p>
    <w:p w14:paraId="123FD549">
      <w:pPr>
        <w:pStyle w:val="6"/>
        <w:rPr>
          <w:rStyle w:val="29"/>
          <w:rFonts w:ascii="Times New Roman" w:hAnsi="Times New Roman"/>
          <w:b w:val="0"/>
          <w:bCs w:val="0"/>
        </w:rPr>
      </w:pPr>
      <w:bookmarkStart w:id="16" w:name="_Toc15377200"/>
      <w:bookmarkStart w:id="17"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6"/>
      <w:bookmarkEnd w:id="17"/>
    </w:p>
    <w:p w14:paraId="6A99858D">
      <w:pPr>
        <w:pStyle w:val="2"/>
        <w:numPr>
          <w:ilvl w:val="0"/>
          <w:numId w:val="0"/>
        </w:numPr>
        <w:ind w:firstLine="640" w:firstLineChars="200"/>
        <w:jc w:val="both"/>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四川省攀枝花市第二初级中学校下属二级预算单位0个，其中行政单位0个，参照公务员法管理的事业单位0个，其他事业单位0个。</w:t>
      </w:r>
    </w:p>
    <w:p w14:paraId="501D8BFE">
      <w:pPr>
        <w:pStyle w:val="5"/>
        <w:jc w:val="center"/>
      </w:pPr>
      <w:bookmarkStart w:id="18" w:name="_Toc15377204"/>
      <w:bookmarkStart w:id="19" w:name="_Toc15396602"/>
      <w:r>
        <w:rPr>
          <w:rFonts w:hint="eastAsia" w:eastAsia="方正小标宋简体" w:cs="方正小标宋简体"/>
          <w:b w:val="0"/>
        </w:rPr>
        <w:t>第二部分  2025年度部门决算情况说明</w:t>
      </w:r>
      <w:bookmarkEnd w:id="18"/>
      <w:bookmarkEnd w:id="19"/>
    </w:p>
    <w:p w14:paraId="48CD738B">
      <w:pPr>
        <w:pStyle w:val="27"/>
        <w:spacing w:line="600" w:lineRule="exact"/>
        <w:ind w:firstLine="640"/>
        <w:outlineLvl w:val="1"/>
        <w:rPr>
          <w:rStyle w:val="29"/>
          <w:rFonts w:ascii="Times New Roman" w:hAnsi="Times New Roman" w:eastAsia="黑体"/>
          <w:b w:val="0"/>
        </w:rPr>
      </w:pPr>
      <w:bookmarkStart w:id="20" w:name="_Toc15377205"/>
      <w:bookmarkStart w:id="21"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20"/>
      <w:bookmarkEnd w:id="21"/>
    </w:p>
    <w:p w14:paraId="1B1B5FD0">
      <w:pPr>
        <w:pStyle w:val="27"/>
        <w:spacing w:line="600" w:lineRule="exact"/>
        <w:ind w:firstLine="640"/>
        <w:outlineLvl w:val="1"/>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2025年度收入、支出总计均为3387.69万元。与2024年度相比，收入、支出总计各增加303.96万元，增长9.9%。主要变动原因是2025年我校新增基础教育发展等专项资金，同时人员经费随在职及退休人员变动相应调整。</w:t>
      </w:r>
    </w:p>
    <w:p w14:paraId="24582B0D">
      <w:pPr>
        <w:pStyle w:val="27"/>
        <w:spacing w:line="600" w:lineRule="exact"/>
        <w:ind w:firstLine="640"/>
        <w:outlineLvl w:val="1"/>
        <w:rPr>
          <w:rFonts w:hint="eastAsia" w:ascii="Times New Roman" w:hAnsi="Times New Roman" w:eastAsia="仿宋_GB2312" w:cs="仿宋_GB2312"/>
          <w:kern w:val="2"/>
          <w:sz w:val="32"/>
          <w:szCs w:val="32"/>
          <w:lang w:val="en-US" w:eastAsia="zh-CN" w:bidi="ar-SA"/>
        </w:rPr>
      </w:pPr>
      <w:r>
        <w:rPr>
          <w:rFonts w:hint="eastAsia" w:ascii="Times New Roman" w:hAnsi="Times New Roman" w:eastAsia="仿宋_GB2312" w:cs="仿宋_GB2312"/>
          <w:kern w:val="2"/>
          <w:sz w:val="32"/>
          <w:szCs w:val="32"/>
          <w:lang w:val="en-US" w:eastAsia="zh-CN" w:bidi="ar-SA"/>
        </w:rPr>
        <w:t>（图1：收入、支出决算总计变动情况图）（柱状图）</w:t>
      </w:r>
    </w:p>
    <w:p w14:paraId="499E2C17">
      <w:pPr>
        <w:pStyle w:val="27"/>
        <w:spacing w:line="600" w:lineRule="exact"/>
        <w:ind w:firstLine="640"/>
        <w:jc w:val="center"/>
        <w:outlineLvl w:val="1"/>
        <w:rPr>
          <w:rFonts w:eastAsia="仿宋_GB2312" w:cs="仿宋_GB2312"/>
          <w:sz w:val="32"/>
          <w:szCs w:val="32"/>
        </w:rPr>
      </w:pPr>
      <w:r>
        <w:rPr>
          <w:rFonts w:hint="eastAsia" w:ascii="仿宋_GB2312" w:eastAsia="仿宋_GB2312"/>
          <w:color w:val="auto"/>
          <w:sz w:val="32"/>
          <w:szCs w:val="32"/>
          <w:highlight w:val="none"/>
          <w:lang w:eastAsia="zh-CN"/>
        </w:rPr>
        <w:pict>
          <v:shape id="Object 2" o:spid="_x0000_s1026" o:spt="75" type="#_x0000_t75" style="position:absolute;left:0pt;margin-left:43.45pt;margin-top:20.5pt;height:249.05pt;width:289.3pt;mso-wrap-distance-bottom:0pt;mso-wrap-distance-top:0pt;z-index:251659264;mso-width-relative:page;mso-height-relative:page;" o:ole="t" filled="f" o:preferrelative="t" stroked="f" coordsize="21600,21600">
            <v:path/>
            <v:fill on="f" focussize="0,0"/>
            <v:stroke on="f"/>
            <v:imagedata r:id="rId14" o:title=""/>
            <o:lock v:ext="edit" aspectratio="t"/>
            <w10:wrap type="topAndBottom"/>
          </v:shape>
          <o:OLEObject Type="Embed" ProgID="Excel.Chart.8" ShapeID="Object 2" DrawAspect="Content" ObjectID="_1468075725" r:id="rId13">
            <o:LockedField>false</o:LockedField>
          </o:OLEObject>
        </w:pict>
      </w:r>
    </w:p>
    <w:p w14:paraId="5581C9AD">
      <w:pPr>
        <w:pStyle w:val="27"/>
        <w:spacing w:line="600" w:lineRule="exact"/>
        <w:ind w:firstLine="640"/>
        <w:outlineLvl w:val="1"/>
        <w:rPr>
          <w:rFonts w:eastAsia="黑体"/>
          <w:sz w:val="32"/>
          <w:szCs w:val="32"/>
        </w:rPr>
      </w:pPr>
      <w:bookmarkStart w:id="22" w:name="_Toc15377206"/>
      <w:bookmarkStart w:id="23" w:name="_Toc15396604"/>
      <w:r>
        <w:rPr>
          <w:rFonts w:hint="eastAsia" w:eastAsia="黑体"/>
          <w:sz w:val="32"/>
          <w:szCs w:val="32"/>
        </w:rPr>
        <w:t>二、收入决算情况说明</w:t>
      </w:r>
      <w:bookmarkEnd w:id="22"/>
      <w:bookmarkEnd w:id="23"/>
    </w:p>
    <w:p w14:paraId="2CC5E381">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2025年度本年收入合计3364.83万元，其中：一般公共预算财政拨款收入3169.49万元，占94.2%；政府性基金预算财政拨款收入0万元，占0%；国有资本经营预算财政拨款收入0万元，占0%；上级补助收入0万元，占0%；事业</w:t>
      </w:r>
      <w:r>
        <w:rPr>
          <w:rFonts w:hint="eastAsia" w:eastAsia="仿宋_GB2312" w:cs="仿宋_GB2312"/>
          <w:sz w:val="32"/>
          <w:szCs w:val="32"/>
        </w:rPr>
        <w:t>收</w:t>
      </w:r>
      <w:r>
        <w:rPr>
          <w:rFonts w:hint="eastAsia" w:ascii="仿宋_GB2312" w:hAnsi="仿宋_GB2312" w:eastAsia="仿宋_GB2312" w:cs="仿宋_GB2312"/>
          <w:kern w:val="2"/>
          <w:sz w:val="32"/>
          <w:szCs w:val="32"/>
          <w:lang w:val="en-US" w:eastAsia="zh-CN" w:bidi="ar-SA"/>
        </w:rPr>
        <w:t>入58.49万元，占1.7%；经营收入0万元，占0%；附属单位上缴收入0万元，占0%；其他收入136.85万元，占4.1%。</w:t>
      </w:r>
    </w:p>
    <w:p w14:paraId="4785C53B">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（图2：收入决算结构图）（饼状图）</w:t>
      </w:r>
    </w:p>
    <w:p w14:paraId="3B333820">
      <w:pPr>
        <w:jc w:val="center"/>
      </w:pPr>
    </w:p>
    <w:p w14:paraId="09006A32">
      <w:pPr>
        <w:ind w:firstLine="525" w:firstLineChars="250"/>
        <w:rPr>
          <w:rFonts w:eastAsia="仿宋_GB2312" w:cs="仿宋_GB2312"/>
          <w:sz w:val="32"/>
          <w:szCs w:val="32"/>
        </w:rPr>
      </w:pPr>
      <w:r>
        <w:drawing>
          <wp:anchor distT="0" distB="0" distL="0" distR="0" simplePos="0" relativeHeight="251661312" behindDoc="0" locked="0" layoutInCell="1" allowOverlap="1">
            <wp:simplePos x="0" y="0"/>
            <wp:positionH relativeFrom="column">
              <wp:posOffset>226695</wp:posOffset>
            </wp:positionH>
            <wp:positionV relativeFrom="paragraph">
              <wp:posOffset>9525</wp:posOffset>
            </wp:positionV>
            <wp:extent cx="4460240" cy="2999740"/>
            <wp:effectExtent l="4445" t="4445" r="12065" b="5715"/>
            <wp:wrapTopAndBottom/>
            <wp:docPr id="10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C580C60">
      <w:pPr>
        <w:pStyle w:val="27"/>
        <w:spacing w:line="600" w:lineRule="exact"/>
        <w:ind w:firstLine="640"/>
        <w:outlineLvl w:val="1"/>
        <w:rPr>
          <w:rStyle w:val="29"/>
          <w:rFonts w:ascii="Times New Roman" w:hAnsi="Times New Roman" w:eastAsia="黑体"/>
          <w:b w:val="0"/>
        </w:rPr>
      </w:pPr>
      <w:bookmarkStart w:id="24" w:name="_Toc15377207"/>
      <w:bookmarkStart w:id="25" w:name="_Toc15396605"/>
      <w:r>
        <w:rPr>
          <w:rFonts w:hint="eastAsia" w:eastAsia="黑体"/>
          <w:sz w:val="32"/>
          <w:szCs w:val="32"/>
        </w:rPr>
        <w:t>三、支</w:t>
      </w:r>
      <w:r>
        <w:rPr>
          <w:rStyle w:val="29"/>
          <w:rFonts w:hint="eastAsia" w:ascii="Times New Roman" w:hAnsi="Times New Roman" w:eastAsia="黑体"/>
          <w:b w:val="0"/>
        </w:rPr>
        <w:t>出决算情况说明</w:t>
      </w:r>
      <w:bookmarkEnd w:id="24"/>
      <w:bookmarkEnd w:id="25"/>
    </w:p>
    <w:p w14:paraId="303308A5">
      <w:pPr>
        <w:pStyle w:val="27"/>
        <w:spacing w:line="600" w:lineRule="exact"/>
        <w:ind w:firstLine="640"/>
        <w:outlineLvl w:val="1"/>
        <w:rPr>
          <w:rFonts w:hint="default"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2025年度本年支出合计3365.41万元，其中：基本支出3125.11万元，占92.9%；项目支出240.3万元，占7.1%；上缴上级支出0万元，占0%；经营支出0万元，占0%；对附属单位补助支出0万元，占0%。</w:t>
      </w:r>
    </w:p>
    <w:p w14:paraId="7B40F8C4">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drawing>
          <wp:anchor distT="0" distB="0" distL="0" distR="0" simplePos="0" relativeHeight="251660288" behindDoc="0" locked="0" layoutInCell="1" allowOverlap="1">
            <wp:simplePos x="0" y="0"/>
            <wp:positionH relativeFrom="column">
              <wp:posOffset>544195</wp:posOffset>
            </wp:positionH>
            <wp:positionV relativeFrom="paragraph">
              <wp:posOffset>394335</wp:posOffset>
            </wp:positionV>
            <wp:extent cx="3743960" cy="2096770"/>
            <wp:effectExtent l="4445" t="4445" r="23495" b="13335"/>
            <wp:wrapTopAndBottom/>
            <wp:docPr id="10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anchor>
        </w:drawing>
      </w:r>
      <w:r>
        <w:rPr>
          <w:rFonts w:hint="eastAsia" w:ascii="仿宋_GB2312" w:hAnsi="仿宋_GB2312" w:eastAsia="仿宋_GB2312" w:cs="仿宋_GB2312"/>
          <w:kern w:val="2"/>
          <w:sz w:val="32"/>
          <w:szCs w:val="32"/>
          <w:lang w:val="en-US" w:eastAsia="zh-CN" w:bidi="ar-SA"/>
        </w:rPr>
        <w:t>（图3：支出决算结构图）（饼状图）</w:t>
      </w:r>
    </w:p>
    <w:p w14:paraId="69F0FC1A">
      <w:pPr>
        <w:spacing w:line="600" w:lineRule="exact"/>
        <w:ind w:firstLine="640" w:firstLineChars="200"/>
        <w:outlineLvl w:val="1"/>
        <w:rPr>
          <w:rStyle w:val="29"/>
          <w:rFonts w:ascii="Times New Roman" w:hAnsi="Times New Roman" w:eastAsia="黑体"/>
          <w:b w:val="0"/>
        </w:rPr>
      </w:pPr>
      <w:bookmarkStart w:id="26" w:name="_Toc15396606"/>
      <w:bookmarkStart w:id="27"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6"/>
      <w:bookmarkEnd w:id="27"/>
    </w:p>
    <w:p w14:paraId="79DD3788">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财政拨款收入、支出总计均为3169.49万元。与2024年度相比，财政拨款收入、支出总计各增加159.99万元，增长5.3%。主要变动原因是2025年我校新增基础教育发展等专项项目资金，同时人员经费随退休人员变动相应调整。</w:t>
      </w:r>
    </w:p>
    <w:p w14:paraId="6F891A8D">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（图4：财政拨款收、支决算总计变动情况）（柱状图）</w:t>
      </w:r>
    </w:p>
    <w:p w14:paraId="47C736DA">
      <w:pPr>
        <w:jc w:val="center"/>
      </w:pPr>
      <w:r>
        <w:drawing>
          <wp:inline distT="0" distB="0" distL="0" distR="0">
            <wp:extent cx="4815205" cy="2838450"/>
            <wp:effectExtent l="4445" t="4445" r="19050" b="14605"/>
            <wp:docPr id="103"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B36D2CA">
      <w:pPr>
        <w:spacing w:line="600" w:lineRule="exact"/>
        <w:ind w:firstLine="640"/>
        <w:rPr>
          <w:rFonts w:eastAsia="仿宋_GB2312" w:cs="仿宋_GB2312"/>
          <w:sz w:val="32"/>
          <w:szCs w:val="32"/>
        </w:rPr>
      </w:pPr>
    </w:p>
    <w:p w14:paraId="0E648C15">
      <w:pPr>
        <w:spacing w:line="600" w:lineRule="exact"/>
        <w:ind w:firstLine="640" w:firstLineChars="200"/>
        <w:outlineLvl w:val="1"/>
        <w:rPr>
          <w:rStyle w:val="29"/>
          <w:rFonts w:ascii="Times New Roman" w:hAnsi="Times New Roman" w:eastAsia="黑体"/>
          <w:b w:val="0"/>
        </w:rPr>
      </w:pPr>
      <w:bookmarkStart w:id="28" w:name="_Toc15396607"/>
      <w:bookmarkStart w:id="29"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8"/>
      <w:bookmarkEnd w:id="29"/>
    </w:p>
    <w:p w14:paraId="23F06CAF">
      <w:pPr>
        <w:spacing w:line="600" w:lineRule="exact"/>
        <w:ind w:firstLine="643" w:firstLineChars="200"/>
        <w:outlineLvl w:val="2"/>
        <w:rPr>
          <w:rFonts w:eastAsia="楷体_GB2312" w:cs="楷体_GB2312"/>
          <w:b/>
          <w:sz w:val="32"/>
          <w:szCs w:val="32"/>
        </w:rPr>
      </w:pPr>
      <w:bookmarkStart w:id="30" w:name="_Toc15377210"/>
      <w:r>
        <w:rPr>
          <w:rFonts w:hint="eastAsia" w:eastAsia="楷体_GB2312" w:cs="楷体_GB2312"/>
          <w:b/>
          <w:sz w:val="32"/>
          <w:szCs w:val="32"/>
        </w:rPr>
        <w:t>（一）一般公共预算财政拨款支出决算总体情况</w:t>
      </w:r>
      <w:bookmarkEnd w:id="30"/>
    </w:p>
    <w:p w14:paraId="26E143C1">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3169.49万元，占本年支出合计的94.2%。与2024年度相比，一般公共预算财政拨款支出增加169.95万元，增长5.7%。主要变动原因是2025年我校新增基础教育发展等专项项目资金，同时人员经费随退休人员及新进人员变动相应调整。</w:t>
      </w:r>
    </w:p>
    <w:p w14:paraId="4EC7CCB5">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（图5：一般公共预算财政拨款支出决算变动情况）（柱状图）</w:t>
      </w:r>
    </w:p>
    <w:p w14:paraId="1BE77A64">
      <w:pPr>
        <w:jc w:val="center"/>
      </w:pPr>
      <w:r>
        <w:drawing>
          <wp:inline distT="0" distB="0" distL="0" distR="0">
            <wp:extent cx="4599305" cy="2559685"/>
            <wp:effectExtent l="4445" t="4445" r="6350" b="7620"/>
            <wp:docPr id="10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9E9B4E">
      <w:pPr>
        <w:spacing w:line="600" w:lineRule="exact"/>
        <w:ind w:firstLine="640"/>
        <w:rPr>
          <w:rFonts w:eastAsia="仿宋_GB2312" w:cs="仿宋_GB2312"/>
          <w:sz w:val="32"/>
          <w:szCs w:val="32"/>
        </w:rPr>
      </w:pPr>
    </w:p>
    <w:p w14:paraId="30C75CCB">
      <w:pPr>
        <w:spacing w:line="600" w:lineRule="exact"/>
        <w:ind w:firstLine="643" w:firstLineChars="200"/>
        <w:outlineLvl w:val="2"/>
        <w:rPr>
          <w:rFonts w:eastAsia="楷体_GB2312" w:cs="楷体_GB2312"/>
          <w:b/>
          <w:sz w:val="32"/>
          <w:szCs w:val="32"/>
        </w:rPr>
      </w:pPr>
      <w:bookmarkStart w:id="31" w:name="_Toc15377211"/>
      <w:r>
        <w:rPr>
          <w:rFonts w:hint="eastAsia" w:eastAsia="楷体_GB2312" w:cs="楷体_GB2312"/>
          <w:b/>
          <w:sz w:val="32"/>
          <w:szCs w:val="32"/>
        </w:rPr>
        <w:t>（二）一般公共预算财政拨款支出决算结构情况</w:t>
      </w:r>
      <w:bookmarkEnd w:id="31"/>
    </w:p>
    <w:p w14:paraId="2D7CB334">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2025年度一般公共预算财政拨款支出3169.49万元，主要用于以下方面：教育支出2148.52万元，占67.8%；社会保障和就业支出672.95万元，占21.2%；卫生健康支出147.4万元，占4.7%；住房保障支出200.63万元，占6.3%。</w:t>
      </w:r>
    </w:p>
    <w:p w14:paraId="7EEBD460">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（图6：一般公共预算财政拨款支出决算结构）（饼状图）</w:t>
      </w:r>
    </w:p>
    <w:p w14:paraId="17F1DFFD">
      <w:pPr>
        <w:jc w:val="center"/>
        <w:rPr>
          <w:rFonts w:eastAsia="仿宋_GB2312" w:cs="仿宋_GB2312"/>
          <w:sz w:val="32"/>
          <w:szCs w:val="32"/>
        </w:rPr>
      </w:pPr>
      <w:r>
        <w:drawing>
          <wp:inline distT="0" distB="0" distL="0" distR="0">
            <wp:extent cx="5987415" cy="2693670"/>
            <wp:effectExtent l="4445" t="4445" r="8890" b="6985"/>
            <wp:docPr id="10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4F1B383">
      <w:pPr>
        <w:spacing w:line="600" w:lineRule="exact"/>
        <w:ind w:firstLine="643" w:firstLineChars="200"/>
        <w:outlineLvl w:val="2"/>
        <w:rPr>
          <w:rFonts w:eastAsia="楷体_GB2312" w:cs="楷体_GB2312"/>
          <w:b/>
          <w:sz w:val="32"/>
          <w:szCs w:val="32"/>
        </w:rPr>
      </w:pPr>
      <w:bookmarkStart w:id="32" w:name="_Toc15377212"/>
      <w:r>
        <w:rPr>
          <w:rFonts w:hint="eastAsia" w:eastAsia="楷体_GB2312" w:cs="楷体_GB2312"/>
          <w:b/>
          <w:sz w:val="32"/>
          <w:szCs w:val="32"/>
        </w:rPr>
        <w:t>（三）一般公共预算财政拨款支出决算具体情况</w:t>
      </w:r>
      <w:bookmarkEnd w:id="32"/>
    </w:p>
    <w:p w14:paraId="5ABD561C">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bookmarkStart w:id="33" w:name="_Toc15377213"/>
      <w:bookmarkStart w:id="34" w:name="_Toc15377444"/>
      <w:bookmarkStart w:id="35" w:name="_Toc15378460"/>
      <w:r>
        <w:rPr>
          <w:rFonts w:hint="eastAsia" w:ascii="仿宋_GB2312" w:hAnsi="仿宋_GB2312" w:eastAsia="仿宋_GB2312" w:cs="仿宋_GB2312"/>
          <w:kern w:val="2"/>
          <w:sz w:val="32"/>
          <w:szCs w:val="32"/>
          <w:lang w:val="en-US" w:eastAsia="zh-CN" w:bidi="ar-SA"/>
        </w:rPr>
        <w:t>2025年度一般公共预算支出决算数为3169.49，完成预算100%。其中：</w:t>
      </w:r>
      <w:bookmarkEnd w:id="33"/>
      <w:bookmarkEnd w:id="34"/>
      <w:bookmarkEnd w:id="35"/>
    </w:p>
    <w:p w14:paraId="02162DE4">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1.205教育（类）20502普通教育（款）2050203初中教育（项）：支出决算为2117.56万元，完成预算100%。</w:t>
      </w:r>
    </w:p>
    <w:p w14:paraId="35391C4C">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2.205教育（类）20509教育费附加安排的支出（款）2050999其他教育费附加安排的支出（项）：支出决算为28.14万元，完成预算100%。</w:t>
      </w:r>
    </w:p>
    <w:p w14:paraId="1A81C64B">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3.205教育（类）20599其他教育支出（款）2059999其他教育支出（项）：支出决算为2.83万元，完成预算100%。</w:t>
      </w:r>
    </w:p>
    <w:p w14:paraId="0210D86A">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4.208社会保障和就业（类）20801人力资源和社会保障管理事务（款）2080199其他人力资源和社会保障管理事务支出（项）：支出决算为32万元，完成预算100%。</w:t>
      </w:r>
    </w:p>
    <w:p w14:paraId="19CABC07">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5.208社会保障和就业（类）20805行政事业单位养老支出（款）2080502事业单位离退休（项）：支出决算为271.69万元，完成预算100%。</w:t>
      </w:r>
    </w:p>
    <w:p w14:paraId="3A2577A1">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6.208社会保障和就业（类）20805行政事业单位养老支出（款）2080505机关事业单位基本养老保险缴费支出（项）：支出决算为274.74万元，完成预算100%。</w:t>
      </w:r>
    </w:p>
    <w:p w14:paraId="42FE5AF7">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7.208社会保障和就业（类）20805行政事业单位养老支出（款）2080506机关事业单位职业年金缴费支出（项）：支出决算为87.32万元，完成预算100%。</w:t>
      </w:r>
    </w:p>
    <w:p w14:paraId="7551BF26">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8.208社会保障和就业（类）20808抚恤（款）2080801死亡抚恤（项）：支出决算为7.19万元，完成预算100%。</w:t>
      </w:r>
    </w:p>
    <w:p w14:paraId="68BB6456">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9.210卫生健康支出（类）21011行政事业单位医疗（款）2101102事业单位医疗（项）：支出决算为132.28万元，完成预算100%。</w:t>
      </w:r>
    </w:p>
    <w:p w14:paraId="5BF805DA">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10.210卫生健康支出（类）21011行政事业单位医疗（款）2101103公务员医疗补助（项）：支出决算为15.12万元，完成预算100%。</w:t>
      </w:r>
    </w:p>
    <w:p w14:paraId="6F3D47FA">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11.221住房保障支出（类）22102住房改革支出（款）2210201住房公积金（项）：支出决算为200.63万元，完成预算100%。</w:t>
      </w:r>
    </w:p>
    <w:p w14:paraId="19932238">
      <w:pPr>
        <w:spacing w:line="600" w:lineRule="exact"/>
        <w:ind w:firstLine="640"/>
        <w:rPr>
          <w:rFonts w:eastAsia="仿宋_GB2312" w:cs="仿宋_GB2312"/>
          <w:sz w:val="32"/>
          <w:szCs w:val="32"/>
        </w:rPr>
      </w:pPr>
    </w:p>
    <w:p w14:paraId="052135E2">
      <w:pPr>
        <w:tabs>
          <w:tab w:val="right" w:pos="8306"/>
        </w:tabs>
        <w:spacing w:line="600" w:lineRule="exact"/>
        <w:ind w:firstLine="640"/>
        <w:outlineLvl w:val="1"/>
        <w:rPr>
          <w:rStyle w:val="29"/>
          <w:rFonts w:ascii="Times New Roman" w:hAnsi="Times New Roman"/>
        </w:rPr>
      </w:pPr>
      <w:bookmarkStart w:id="36" w:name="_Toc15396608"/>
      <w:bookmarkStart w:id="37"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6"/>
      <w:bookmarkEnd w:id="37"/>
      <w:r>
        <w:rPr>
          <w:rStyle w:val="29"/>
          <w:rFonts w:ascii="Times New Roman" w:hAnsi="Times New Roman" w:eastAsia="黑体"/>
          <w:b w:val="0"/>
        </w:rPr>
        <w:tab/>
      </w:r>
    </w:p>
    <w:p w14:paraId="7D60F03D">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2025年度一般公共预算财政拨款基本支出2929.2万元，其中：</w:t>
      </w:r>
    </w:p>
    <w:p w14:paraId="3441A9D0">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人员经费2893.75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仿宋_GB2312" w:hAnsi="仿宋_GB2312" w:eastAsia="仿宋_GB2312" w:cs="仿宋_GB2312"/>
          <w:kern w:val="2"/>
          <w:sz w:val="32"/>
          <w:szCs w:val="32"/>
          <w:lang w:val="en-US" w:eastAsia="zh-CN" w:bidi="ar-SA"/>
        </w:rPr>
        <w:br w:type="textWrapping"/>
      </w:r>
      <w:r>
        <w:rPr>
          <w:rFonts w:hint="eastAsia" w:ascii="仿宋_GB2312" w:hAnsi="仿宋_GB2312" w:eastAsia="仿宋_GB2312" w:cs="仿宋_GB2312"/>
          <w:kern w:val="2"/>
          <w:sz w:val="32"/>
          <w:szCs w:val="32"/>
          <w:lang w:val="en-US" w:eastAsia="zh-CN" w:bidi="ar-SA"/>
        </w:rPr>
        <w:t xml:space="preserve">    公用经费35.44万元，主要包括：办公费、维修（护）费、劳务费、其他商品和服务支出、工会经费、差旅费等。</w:t>
      </w:r>
    </w:p>
    <w:p w14:paraId="4E33F7D0">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p>
    <w:p w14:paraId="05C5A5BE">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p>
    <w:p w14:paraId="5BEEF855">
      <w:pPr>
        <w:spacing w:line="600" w:lineRule="exact"/>
        <w:ind w:firstLine="640"/>
        <w:outlineLvl w:val="1"/>
        <w:rPr>
          <w:rStyle w:val="29"/>
          <w:rFonts w:ascii="Times New Roman" w:hAnsi="Times New Roman" w:eastAsia="黑体"/>
          <w:b w:val="0"/>
        </w:rPr>
      </w:pPr>
      <w:bookmarkStart w:id="38" w:name="_Toc15396609"/>
      <w:bookmarkStart w:id="39"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8"/>
      <w:bookmarkEnd w:id="39"/>
    </w:p>
    <w:p w14:paraId="2C072AF2">
      <w:pPr>
        <w:spacing w:line="600" w:lineRule="exact"/>
        <w:ind w:firstLine="643" w:firstLineChars="200"/>
        <w:outlineLvl w:val="2"/>
        <w:rPr>
          <w:rFonts w:eastAsia="楷体_GB2312" w:cs="楷体_GB2312"/>
          <w:b/>
          <w:sz w:val="32"/>
          <w:szCs w:val="32"/>
        </w:rPr>
      </w:pPr>
      <w:bookmarkStart w:id="40" w:name="_Toc15377216"/>
      <w:r>
        <w:rPr>
          <w:rFonts w:hint="eastAsia" w:eastAsia="楷体_GB2312" w:cs="楷体_GB2312"/>
          <w:b/>
          <w:sz w:val="32"/>
          <w:szCs w:val="32"/>
        </w:rPr>
        <w:t>（一）财政拨款“三公”经费支出决算总体情况说明</w:t>
      </w:r>
      <w:bookmarkEnd w:id="40"/>
    </w:p>
    <w:p w14:paraId="6BEECA9B">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2025年度财政拨款“三公”经费支出决算为0万元，完成预算0%，较上年度无变化。</w:t>
      </w:r>
    </w:p>
    <w:p w14:paraId="49108C6C">
      <w:pPr>
        <w:spacing w:line="600" w:lineRule="exact"/>
        <w:ind w:firstLine="643" w:firstLineChars="200"/>
        <w:outlineLvl w:val="2"/>
        <w:rPr>
          <w:rFonts w:eastAsia="楷体_GB2312" w:cs="楷体_GB2312"/>
          <w:b/>
          <w:sz w:val="32"/>
          <w:szCs w:val="32"/>
        </w:rPr>
      </w:pPr>
      <w:bookmarkStart w:id="41" w:name="_Toc15377217"/>
      <w:r>
        <w:rPr>
          <w:rFonts w:hint="eastAsia" w:eastAsia="楷体_GB2312" w:cs="楷体_GB2312"/>
          <w:b/>
          <w:sz w:val="32"/>
          <w:szCs w:val="32"/>
        </w:rPr>
        <w:t>（二）财政拨款“三公”经费支出决算具体情况说明</w:t>
      </w:r>
      <w:bookmarkEnd w:id="41"/>
    </w:p>
    <w:p w14:paraId="6B105267">
      <w:pPr>
        <w:pStyle w:val="27"/>
        <w:spacing w:line="600" w:lineRule="exact"/>
        <w:ind w:firstLine="640"/>
        <w:outlineLvl w:val="1"/>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2025年度财政拨款“三公”经费支出决算中，因公出国（境）费支出决算0万元，占0%；公务用车购置及运行维护费支出决算0万元，占0%；公务接待费支出决算0万元，占0%。具体情况如下：</w:t>
      </w:r>
    </w:p>
    <w:p w14:paraId="052C7E96">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eastAsia="仿宋_GB2312" w:cs="仿宋_GB2312"/>
          <w:b/>
          <w:bCs/>
          <w:sz w:val="32"/>
          <w:szCs w:val="32"/>
        </w:rPr>
        <w:t>1.因公出国（境）经费支出0万元，完成预算0%。全年安排因公出国（境）团组0次，出国（境）0人。</w:t>
      </w:r>
      <w:r>
        <w:rPr>
          <w:rFonts w:hint="eastAsia" w:ascii="仿宋_GB2312" w:hAnsi="仿宋_GB2312" w:eastAsia="仿宋_GB2312" w:cs="仿宋_GB2312"/>
          <w:kern w:val="2"/>
          <w:sz w:val="32"/>
          <w:szCs w:val="32"/>
          <w:lang w:val="en-US" w:eastAsia="zh-CN" w:bidi="ar-SA"/>
        </w:rPr>
        <w:t>因公出国（境）支出决算与2024年度持平。</w:t>
      </w:r>
    </w:p>
    <w:p w14:paraId="4E95AB3F">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eastAsia="仿宋_GB2312" w:cs="仿宋_GB2312"/>
          <w:b/>
          <w:bCs/>
          <w:sz w:val="32"/>
          <w:szCs w:val="32"/>
        </w:rPr>
        <w:t>2.公务用车购置及运行维护费支出0万元，完成预算0%。</w:t>
      </w:r>
      <w:r>
        <w:rPr>
          <w:rFonts w:hint="eastAsia" w:ascii="仿宋_GB2312" w:hAnsi="仿宋_GB2312" w:eastAsia="仿宋_GB2312" w:cs="仿宋_GB2312"/>
          <w:kern w:val="2"/>
          <w:sz w:val="32"/>
          <w:szCs w:val="32"/>
          <w:lang w:val="en-US" w:eastAsia="zh-CN" w:bidi="ar-SA"/>
        </w:rPr>
        <w:t>公务用车购置及运行维护费支出决算与2024年度持平。</w:t>
      </w:r>
    </w:p>
    <w:p w14:paraId="3F5E4C0D">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其中：公务用车购置支出0万元。全年按规定更新购置公务用车0辆，其中：轿车0辆、金额0万元，越野车0辆、金额0万元，载客汽车0辆、金额0万元。截至2025年12月31日，单位共有公务用车0辆，其中：轿车0辆、越野车0辆、载客汽车0辆。</w:t>
      </w:r>
    </w:p>
    <w:p w14:paraId="0569A744">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公务用车运行维护费支出0万元。</w:t>
      </w:r>
    </w:p>
    <w:p w14:paraId="696EFA6E">
      <w:pPr>
        <w:spacing w:line="600" w:lineRule="exact"/>
        <w:ind w:firstLine="640"/>
        <w:rPr>
          <w:rFonts w:eastAsia="仿宋_GB2312" w:cs="仿宋_GB2312"/>
          <w:sz w:val="32"/>
          <w:szCs w:val="32"/>
        </w:rPr>
      </w:pPr>
      <w:r>
        <w:rPr>
          <w:rFonts w:hint="eastAsia" w:eastAsia="仿宋_GB2312" w:cs="仿宋_GB2312"/>
          <w:b/>
          <w:bCs/>
          <w:sz w:val="32"/>
          <w:szCs w:val="32"/>
        </w:rPr>
        <w:t>3.公务接待费支出0万元，完成预算0%。公务接待费支出决算与2024年度持平。</w:t>
      </w:r>
    </w:p>
    <w:p w14:paraId="2BA2509D">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其中：国内公务接待支出0万元。外事接待支出0万元。</w:t>
      </w:r>
      <w:bookmarkStart w:id="42" w:name="_Toc15396610"/>
      <w:bookmarkStart w:id="43" w:name="_Toc15377218"/>
    </w:p>
    <w:p w14:paraId="542E89C8">
      <w:pPr>
        <w:pStyle w:val="2"/>
      </w:pPr>
    </w:p>
    <w:p w14:paraId="6940382F">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2"/>
      <w:bookmarkEnd w:id="43"/>
    </w:p>
    <w:p w14:paraId="4ADB3F5B">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2025年度政府性基金预算财政拨款支出0万元，占本年支出合计的0%。与2024年度相比，政府性基金预算财政拨款支出减少9.96万元，下降100%。主要变动原因是2025年我校无政府性基金预算安排的项目。</w:t>
      </w:r>
    </w:p>
    <w:p w14:paraId="6727BC96">
      <w:pPr>
        <w:spacing w:line="600" w:lineRule="exact"/>
        <w:ind w:firstLine="640"/>
        <w:rPr>
          <w:rFonts w:hint="eastAsia" w:ascii="仿宋_GB2312" w:hAnsi="仿宋_GB2312" w:eastAsia="仿宋_GB2312" w:cs="仿宋_GB2312"/>
          <w:kern w:val="2"/>
          <w:sz w:val="32"/>
          <w:szCs w:val="32"/>
          <w:lang w:val="en-US" w:eastAsia="zh-CN" w:bidi="ar-SA"/>
        </w:rPr>
      </w:pPr>
    </w:p>
    <w:p w14:paraId="4F76C7CF">
      <w:pPr>
        <w:spacing w:line="600" w:lineRule="exact"/>
        <w:ind w:left="630"/>
        <w:outlineLvl w:val="1"/>
        <w:rPr>
          <w:rStyle w:val="29"/>
          <w:rFonts w:ascii="Times New Roman" w:hAnsi="Times New Roman" w:eastAsia="黑体"/>
          <w:b w:val="0"/>
        </w:rPr>
      </w:pPr>
      <w:bookmarkStart w:id="44" w:name="_Toc15377219"/>
      <w:bookmarkStart w:id="45" w:name="_Toc15396611"/>
      <w:r>
        <w:rPr>
          <w:rStyle w:val="29"/>
          <w:rFonts w:hint="eastAsia" w:ascii="Times New Roman" w:hAnsi="Times New Roman" w:eastAsia="黑体"/>
          <w:b w:val="0"/>
        </w:rPr>
        <w:t>九、国有资本经营预算支出决算情况说明</w:t>
      </w:r>
      <w:bookmarkEnd w:id="44"/>
      <w:bookmarkEnd w:id="45"/>
    </w:p>
    <w:p w14:paraId="4E31AB9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2025年度国有资本经营预算财政拨款支出0万元，占本年支出合计的0%。与2024年度相比，国有资本经营预算财政拨款支出增加0万元，与上年度持平。</w:t>
      </w:r>
    </w:p>
    <w:p w14:paraId="0CEF72B2">
      <w:pPr>
        <w:spacing w:line="600" w:lineRule="exact"/>
        <w:ind w:firstLine="640"/>
        <w:rPr>
          <w:rFonts w:eastAsia="仿宋_GB2312" w:cs="仿宋_GB2312"/>
          <w:sz w:val="32"/>
          <w:szCs w:val="32"/>
        </w:rPr>
      </w:pPr>
    </w:p>
    <w:p w14:paraId="2075EF22">
      <w:pPr>
        <w:spacing w:line="600" w:lineRule="exact"/>
        <w:ind w:left="630"/>
        <w:outlineLvl w:val="1"/>
        <w:rPr>
          <w:rStyle w:val="29"/>
          <w:rFonts w:ascii="Times New Roman" w:hAnsi="Times New Roman" w:eastAsia="黑体"/>
          <w:b w:val="0"/>
        </w:rPr>
      </w:pPr>
      <w:bookmarkStart w:id="46" w:name="_Toc15396612"/>
      <w:bookmarkStart w:id="47" w:name="_Toc15377221"/>
      <w:r>
        <w:rPr>
          <w:rStyle w:val="29"/>
          <w:rFonts w:hint="eastAsia" w:ascii="Times New Roman" w:hAnsi="Times New Roman" w:eastAsia="黑体"/>
          <w:b w:val="0"/>
        </w:rPr>
        <w:t>十、其他重要事项的情况说明</w:t>
      </w:r>
      <w:bookmarkEnd w:id="46"/>
      <w:bookmarkEnd w:id="47"/>
    </w:p>
    <w:p w14:paraId="7CDAC80B">
      <w:pPr>
        <w:spacing w:line="600" w:lineRule="exact"/>
        <w:ind w:firstLine="643" w:firstLineChars="200"/>
        <w:outlineLvl w:val="2"/>
        <w:rPr>
          <w:rFonts w:eastAsia="楷体_GB2312" w:cs="楷体_GB2312"/>
          <w:b/>
          <w:sz w:val="32"/>
          <w:szCs w:val="32"/>
        </w:rPr>
      </w:pPr>
      <w:bookmarkStart w:id="48" w:name="_Toc15377222"/>
      <w:r>
        <w:rPr>
          <w:rFonts w:hint="eastAsia" w:eastAsia="楷体_GB2312" w:cs="楷体_GB2312"/>
          <w:b/>
          <w:sz w:val="32"/>
          <w:szCs w:val="32"/>
        </w:rPr>
        <w:t>（一）机关运行经费支出情况</w:t>
      </w:r>
      <w:bookmarkEnd w:id="48"/>
    </w:p>
    <w:p w14:paraId="213991D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2025年度，四川省攀枝花市第二初级中学校机关运行经费支出0万元，比2024年度增加0万元，与2024年度决算数持平。</w:t>
      </w:r>
    </w:p>
    <w:p w14:paraId="44D47740">
      <w:pPr>
        <w:spacing w:line="600" w:lineRule="exact"/>
        <w:ind w:firstLine="640"/>
        <w:rPr>
          <w:rFonts w:hint="eastAsia" w:ascii="仿宋_GB2312" w:hAnsi="仿宋_GB2312" w:eastAsia="仿宋_GB2312" w:cs="仿宋_GB2312"/>
          <w:kern w:val="2"/>
          <w:sz w:val="32"/>
          <w:szCs w:val="32"/>
          <w:lang w:val="en-US" w:eastAsia="zh-CN" w:bidi="ar-SA"/>
        </w:rPr>
      </w:pPr>
    </w:p>
    <w:p w14:paraId="2ABC4603">
      <w:pPr>
        <w:spacing w:line="600" w:lineRule="exact"/>
        <w:ind w:firstLine="643" w:firstLineChars="200"/>
        <w:outlineLvl w:val="2"/>
        <w:rPr>
          <w:rFonts w:eastAsia="楷体_GB2312" w:cs="楷体_GB2312"/>
          <w:b/>
          <w:sz w:val="32"/>
          <w:szCs w:val="32"/>
        </w:rPr>
      </w:pPr>
      <w:bookmarkStart w:id="49" w:name="_Toc15377223"/>
      <w:r>
        <w:rPr>
          <w:rFonts w:hint="eastAsia" w:eastAsia="楷体_GB2312" w:cs="楷体_GB2312"/>
          <w:b/>
          <w:sz w:val="32"/>
          <w:szCs w:val="32"/>
        </w:rPr>
        <w:t>（二）政府采购支出情况</w:t>
      </w:r>
      <w:bookmarkEnd w:id="49"/>
    </w:p>
    <w:p w14:paraId="27AB3442">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2025年度，四川省攀枝花市第二初级中学校政府采购支出总额0万元，政府采购支出总额0万元，其中：政府采购货物支出0万元、政府采购工程支出0万元、政府采购服务支出0万元。</w:t>
      </w:r>
    </w:p>
    <w:p w14:paraId="2C579327">
      <w:pPr>
        <w:spacing w:line="600" w:lineRule="exact"/>
        <w:ind w:firstLine="643" w:firstLineChars="200"/>
        <w:outlineLvl w:val="2"/>
        <w:rPr>
          <w:rFonts w:eastAsia="楷体_GB2312" w:cs="楷体_GB2312"/>
          <w:b/>
          <w:sz w:val="32"/>
          <w:szCs w:val="32"/>
        </w:rPr>
      </w:pPr>
      <w:bookmarkStart w:id="50" w:name="_Toc15377224"/>
      <w:r>
        <w:rPr>
          <w:rFonts w:hint="eastAsia" w:eastAsia="楷体_GB2312" w:cs="楷体_GB2312"/>
          <w:b/>
          <w:sz w:val="32"/>
          <w:szCs w:val="32"/>
        </w:rPr>
        <w:t>（三）国有资产占有使用情况</w:t>
      </w:r>
      <w:bookmarkEnd w:id="50"/>
    </w:p>
    <w:p w14:paraId="5BB4CDA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截至2025年12月31日，四川省攀枝花市第二初级中学校共有车辆1辆，其中：主要负责人用车0辆、机要通信用车0辆、应急保障用车0辆、其他用车1辆，其他用车主要是用于教职工外出办事。单价100万元（含）以上设备（不含车辆）0台（套）。</w:t>
      </w:r>
    </w:p>
    <w:p w14:paraId="741ED262">
      <w:pPr>
        <w:spacing w:line="600" w:lineRule="exact"/>
        <w:ind w:firstLine="640"/>
        <w:rPr>
          <w:rFonts w:hint="eastAsia" w:ascii="仿宋_GB2312" w:hAnsi="仿宋_GB2312" w:eastAsia="仿宋_GB2312" w:cs="仿宋_GB2312"/>
          <w:kern w:val="2"/>
          <w:sz w:val="32"/>
          <w:szCs w:val="32"/>
          <w:lang w:val="en-US" w:eastAsia="zh-CN" w:bidi="ar-SA"/>
        </w:rPr>
      </w:pPr>
    </w:p>
    <w:p w14:paraId="21FBD841">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5953F9A9">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根据预算绩效管理要求，攀枝花市第二初级中学校在2025年度预算编制阶段，组织对城乡义务教育补助经费（中央资金）、基础教育发展资金等33个项目开展了预算事前绩效评估，对33个项目编制了绩效目标，预算执行过程中，选取33个项目开展绩效监控。2025年度，我校将预算绩效管理贯穿于预算编制、执行、监督全过程，主要开展了以下工作：一是完善绩效目标设置，确保绩效目标科学合理、细化量化；二是加强绩效运行监控，定期对项目执行进度和绩效目标实现程度进行跟踪分析，及时发现偏差并纠偏；三是开展绩效自评，对照设定的绩效指标逐项评分，形成自评报告，客观反映项目实施效果；通过全面实施预算绩效管理，我校资金使用效益进一步提升，预算编制更加科学，项目执行更加规范，为学校教育事业发展提供了有力保障。绩效自评表详见附件。</w:t>
      </w:r>
    </w:p>
    <w:p w14:paraId="4E0395FE">
      <w:pPr>
        <w:spacing w:line="600" w:lineRule="exact"/>
        <w:ind w:firstLine="640"/>
        <w:rPr>
          <w:rFonts w:hint="eastAsia" w:ascii="仿宋_GB2312" w:hAnsi="仿宋_GB2312" w:eastAsia="仿宋_GB2312" w:cs="仿宋_GB2312"/>
          <w:kern w:val="2"/>
          <w:sz w:val="32"/>
          <w:szCs w:val="32"/>
          <w:lang w:val="en-US" w:eastAsia="zh-CN" w:bidi="ar-SA"/>
        </w:rPr>
      </w:pPr>
    </w:p>
    <w:p w14:paraId="7F159111">
      <w:pPr>
        <w:spacing w:line="600" w:lineRule="exact"/>
        <w:jc w:val="center"/>
        <w:outlineLvl w:val="0"/>
        <w:rPr>
          <w:b/>
          <w:sz w:val="44"/>
          <w:szCs w:val="44"/>
        </w:rPr>
      </w:pPr>
      <w:bookmarkStart w:id="51" w:name="_Toc15377225"/>
      <w:bookmarkStart w:id="52" w:name="_Toc15396613"/>
      <w:r>
        <w:rPr>
          <w:rFonts w:hint="eastAsia" w:eastAsia="黑体"/>
          <w:sz w:val="44"/>
          <w:szCs w:val="44"/>
        </w:rPr>
        <w:t>第三部分  名词解释</w:t>
      </w:r>
      <w:bookmarkEnd w:id="51"/>
      <w:bookmarkEnd w:id="52"/>
    </w:p>
    <w:p w14:paraId="6C3FE34C">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1.财政拨款收入：指单位从同级财政部门取得的财政预算资金。</w:t>
      </w:r>
    </w:p>
    <w:p w14:paraId="4E277F54">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2.事业收入：指事业单位开展专业业务活动及辅助活动取得的收入。</w:t>
      </w:r>
    </w:p>
    <w:p w14:paraId="4BDE4289">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3.其他收入：指单位取得的除上述收入以外的各项收入。主要是利息收入等。</w:t>
      </w:r>
    </w:p>
    <w:p w14:paraId="257AA8A1">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4.年初结转和结余：指以前年度尚未完成、结转到本年按有关规定继续使用的资金。</w:t>
      </w:r>
    </w:p>
    <w:p w14:paraId="134560D0">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5.年末结转和结余：指单位按有关规定结转到下年或以后年度继续使用的资金。</w:t>
      </w:r>
    </w:p>
    <w:p w14:paraId="27B0BD67">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6.教育（类）普通教育（款）初中教育（项）：指反映各部门举办的初中教育支出。政府各部门对社会中介组织等举办的教育的资助，如捐赠、补贴等。</w:t>
      </w:r>
    </w:p>
    <w:p w14:paraId="66BED492">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7.教育（类）教育费附加安排的支出（款）其他教育费附加安排的支出（项）：反映除上述项目以外的教育费附加支出。</w:t>
      </w:r>
    </w:p>
    <w:p w14:paraId="5A509115">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8.教育（类）其他教育支出（款）其他教育支出（项）：反映除上述项目以外其他用于教育方面的支出。</w:t>
      </w:r>
    </w:p>
    <w:p w14:paraId="5DB0657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9.社会保障和就业（类）人力资源和社会保障管理事务（款）其他人力资源和社会保障管理事务支出（项）：反映其他用于人力资源和社会保障管理事务方面的支出。</w:t>
      </w:r>
    </w:p>
    <w:p w14:paraId="0D9B90A2">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10.社会保障和就业（类）行政事业单位养老支出（款）事业单位离退休（项）：反映事业单位开支的离退休经费。</w:t>
      </w:r>
    </w:p>
    <w:p w14:paraId="5D63E74B">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11.社会保障和就业（类）行政事业单位养老支出（款）机关事业单位基本养老保险缴费支出（项）：反映机关事业单位实施养老保险制度由单位缴纳的基本养老保险费支出。</w:t>
      </w:r>
    </w:p>
    <w:p w14:paraId="76C7E9E3">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12.社会保障和就业（类）行政事业单位养老支出（款）机关事业单位职业年金缴费支出（项）：反映机关事业单位实施养老保险制度由单位实际缴纳的职业年金支出。</w:t>
      </w:r>
    </w:p>
    <w:p w14:paraId="7F2EF054">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13.社会保障和就业（类）抚恤（款）死亡抚恤（项）：反映按规定用于烈士和牺牲、病故人员家属的一次性和定期抚恤金以及丧葬补助费。</w:t>
      </w:r>
    </w:p>
    <w:p w14:paraId="019AA6C9">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14.卫生健康支出（类）行政事业单位医疗（款）事业单位医疗（项）：主要用于按政策规定为事业单位职工缴纳医疗保险金等支出。</w:t>
      </w:r>
    </w:p>
    <w:p w14:paraId="1ABF8F0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15.卫生健康支出（类）行政事业单位医疗（款）公务员医疗补助（项）：本单位用于公务员医疗补助缴费支出。</w:t>
      </w:r>
    </w:p>
    <w:p w14:paraId="64F188B5">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16.住房保障（类）住房改革支出（款）住房公积金（项）：指反映行政事业单位按人力资源和社会保障部、财政部规定的基本工资和津贴补贴以及规定比例为职工缴纳的住房公积金。</w:t>
      </w:r>
    </w:p>
    <w:p w14:paraId="0E4B251A">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17.基本支出：指为保障机构正常运转、完成日常工作任务而发生的人员支出和公用支出。</w:t>
      </w:r>
    </w:p>
    <w:p w14:paraId="40E1086C">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18.项目支出：指在基本支出之外为完成特定行政任务和事业发展目标所发生的支出。</w:t>
      </w:r>
    </w:p>
    <w:p w14:paraId="4559B4CB">
      <w:pPr>
        <w:spacing w:line="600" w:lineRule="exact"/>
        <w:jc w:val="center"/>
        <w:rPr>
          <w:rFonts w:ascii="Times New Roman" w:eastAsia="仿宋_GB2312"/>
          <w:sz w:val="32"/>
          <w:lang w:val="zh-CN" w:bidi="ar"/>
        </w:rPr>
      </w:pPr>
      <w:bookmarkStart w:id="53" w:name="_Toc15377226"/>
      <w:r>
        <w:rPr>
          <w:rFonts w:hint="eastAsia" w:eastAsia="仿宋_GB2312" w:cs="仿宋_GB2312"/>
          <w:sz w:val="32"/>
          <w:szCs w:val="32"/>
        </w:rPr>
        <w:br w:type="page"/>
      </w:r>
      <w:bookmarkStart w:id="54" w:name="_Toc15396614"/>
      <w:r>
        <w:rPr>
          <w:rFonts w:hint="eastAsia" w:eastAsia="黑体"/>
          <w:sz w:val="44"/>
          <w:szCs w:val="44"/>
        </w:rPr>
        <w:t>第四部分  附件</w:t>
      </w:r>
      <w:bookmarkEnd w:id="54"/>
    </w:p>
    <w:p w14:paraId="09E1947D">
      <w:pPr>
        <w:spacing w:line="600" w:lineRule="exact"/>
        <w:ind w:firstLine="640"/>
        <w:rPr>
          <w:rFonts w:hint="eastAsia" w:ascii="仿宋_GB2312" w:hAnsi="仿宋_GB2312" w:eastAsia="仿宋_GB2312" w:cs="仿宋_GB2312"/>
          <w:kern w:val="2"/>
          <w:sz w:val="32"/>
          <w:szCs w:val="32"/>
          <w:lang w:val="zh-CN" w:eastAsia="zh-CN" w:bidi="ar-SA"/>
        </w:rPr>
      </w:pPr>
      <w:r>
        <w:rPr>
          <w:rFonts w:hint="eastAsia" w:ascii="仿宋_GB2312" w:hAnsi="仿宋_GB2312" w:eastAsia="仿宋_GB2312" w:cs="仿宋_GB2312"/>
          <w:kern w:val="2"/>
          <w:sz w:val="32"/>
          <w:szCs w:val="32"/>
          <w:lang w:val="en-US" w:eastAsia="zh-CN" w:bidi="ar-SA"/>
        </w:rPr>
        <w:t>部门预算项目支出绩效自评表（2025年度）附件1</w:t>
      </w:r>
    </w:p>
    <w:p w14:paraId="7C658541">
      <w:pPr>
        <w:spacing w:line="600" w:lineRule="exact"/>
        <w:ind w:firstLine="640"/>
        <w:rPr>
          <w:rFonts w:hint="eastAsia" w:ascii="仿宋_GB2312" w:hAnsi="仿宋_GB2312" w:eastAsia="仿宋_GB2312" w:cs="仿宋_GB2312"/>
          <w:kern w:val="2"/>
          <w:sz w:val="32"/>
          <w:szCs w:val="32"/>
          <w:lang w:val="zh-CN" w:eastAsia="zh-CN" w:bidi="ar-SA"/>
        </w:rPr>
      </w:pPr>
    </w:p>
    <w:p w14:paraId="79776D97">
      <w:pPr>
        <w:pStyle w:val="8"/>
        <w:spacing w:before="93"/>
        <w:rPr>
          <w:rFonts w:ascii="Times New Roman" w:cs="宋体"/>
          <w:color w:val="FF0000"/>
          <w:sz w:val="32"/>
          <w:szCs w:val="32"/>
          <w:highlight w:val="yellow"/>
          <w:shd w:val="clear" w:color="auto" w:fill="FFFFFF"/>
          <w:lang w:val="zh-CN"/>
        </w:rPr>
      </w:pPr>
    </w:p>
    <w:p w14:paraId="7148EF13">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7EE6BBAE">
      <w:pPr>
        <w:widowControl/>
        <w:jc w:val="center"/>
        <w:rPr>
          <w:rFonts w:eastAsia="仿宋_GB2312" w:cs="仿宋_GB2312"/>
          <w:sz w:val="32"/>
          <w:szCs w:val="32"/>
        </w:rPr>
      </w:pPr>
      <w:bookmarkStart w:id="55" w:name="_Toc15396618"/>
      <w:r>
        <w:rPr>
          <w:rFonts w:hint="eastAsia" w:eastAsia="黑体"/>
          <w:sz w:val="44"/>
          <w:szCs w:val="44"/>
        </w:rPr>
        <w:t>第</w:t>
      </w:r>
      <w:r>
        <w:rPr>
          <w:rStyle w:val="28"/>
          <w:rFonts w:hint="eastAsia" w:eastAsia="黑体"/>
          <w:b w:val="0"/>
        </w:rPr>
        <w:t>五部分 附表</w:t>
      </w:r>
      <w:bookmarkEnd w:id="53"/>
      <w:bookmarkEnd w:id="55"/>
      <w:bookmarkStart w:id="56" w:name="_Toc15396619"/>
    </w:p>
    <w:p w14:paraId="41D4F588">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一、收入支出决算总表</w:t>
      </w:r>
      <w:bookmarkEnd w:id="56"/>
    </w:p>
    <w:p w14:paraId="664A0E86">
      <w:pPr>
        <w:spacing w:line="600" w:lineRule="exact"/>
        <w:ind w:firstLine="640"/>
        <w:rPr>
          <w:rFonts w:hint="eastAsia" w:ascii="仿宋_GB2312" w:hAnsi="仿宋_GB2312" w:eastAsia="仿宋_GB2312" w:cs="仿宋_GB2312"/>
          <w:kern w:val="2"/>
          <w:sz w:val="32"/>
          <w:szCs w:val="32"/>
          <w:lang w:val="en-US" w:eastAsia="zh-CN" w:bidi="ar-SA"/>
        </w:rPr>
      </w:pPr>
      <w:bookmarkStart w:id="57" w:name="_Toc15396620"/>
      <w:r>
        <w:rPr>
          <w:rFonts w:hint="eastAsia" w:ascii="仿宋_GB2312" w:hAnsi="仿宋_GB2312" w:eastAsia="仿宋_GB2312" w:cs="仿宋_GB2312"/>
          <w:kern w:val="2"/>
          <w:sz w:val="32"/>
          <w:szCs w:val="32"/>
          <w:lang w:val="en-US" w:eastAsia="zh-CN" w:bidi="ar-SA"/>
        </w:rPr>
        <w:t>二、收入决算表</w:t>
      </w:r>
      <w:bookmarkEnd w:id="57"/>
    </w:p>
    <w:p w14:paraId="108F397F">
      <w:pPr>
        <w:spacing w:line="600" w:lineRule="exact"/>
        <w:ind w:firstLine="640"/>
        <w:rPr>
          <w:rFonts w:hint="eastAsia" w:ascii="仿宋_GB2312" w:hAnsi="仿宋_GB2312" w:eastAsia="仿宋_GB2312" w:cs="仿宋_GB2312"/>
          <w:kern w:val="2"/>
          <w:sz w:val="32"/>
          <w:szCs w:val="32"/>
          <w:lang w:val="en-US" w:eastAsia="zh-CN" w:bidi="ar-SA"/>
        </w:rPr>
      </w:pPr>
      <w:bookmarkStart w:id="58" w:name="_Toc15396621"/>
      <w:r>
        <w:rPr>
          <w:rFonts w:hint="eastAsia" w:ascii="仿宋_GB2312" w:hAnsi="仿宋_GB2312" w:eastAsia="仿宋_GB2312" w:cs="仿宋_GB2312"/>
          <w:kern w:val="2"/>
          <w:sz w:val="32"/>
          <w:szCs w:val="32"/>
          <w:lang w:val="en-US" w:eastAsia="zh-CN" w:bidi="ar-SA"/>
        </w:rPr>
        <w:t>三、支出决算表</w:t>
      </w:r>
      <w:bookmarkEnd w:id="58"/>
    </w:p>
    <w:p w14:paraId="522AC1A7">
      <w:pPr>
        <w:spacing w:line="600" w:lineRule="exact"/>
        <w:ind w:firstLine="640"/>
        <w:rPr>
          <w:rFonts w:hint="eastAsia" w:ascii="仿宋_GB2312" w:hAnsi="仿宋_GB2312" w:eastAsia="仿宋_GB2312" w:cs="仿宋_GB2312"/>
          <w:kern w:val="2"/>
          <w:sz w:val="32"/>
          <w:szCs w:val="32"/>
          <w:lang w:val="en-US" w:eastAsia="zh-CN" w:bidi="ar-SA"/>
        </w:rPr>
      </w:pPr>
      <w:bookmarkStart w:id="59" w:name="_Toc15396622"/>
      <w:r>
        <w:rPr>
          <w:rFonts w:hint="eastAsia" w:ascii="仿宋_GB2312" w:hAnsi="仿宋_GB2312" w:eastAsia="仿宋_GB2312" w:cs="仿宋_GB2312"/>
          <w:kern w:val="2"/>
          <w:sz w:val="32"/>
          <w:szCs w:val="32"/>
          <w:lang w:val="en-US" w:eastAsia="zh-CN" w:bidi="ar-SA"/>
        </w:rPr>
        <w:t>四、财政拨款收入支出决算总表</w:t>
      </w:r>
      <w:bookmarkEnd w:id="59"/>
    </w:p>
    <w:p w14:paraId="12ECD730">
      <w:pPr>
        <w:spacing w:line="600" w:lineRule="exact"/>
        <w:ind w:firstLine="640"/>
        <w:rPr>
          <w:rFonts w:hint="eastAsia" w:ascii="仿宋_GB2312" w:hAnsi="仿宋_GB2312" w:eastAsia="仿宋_GB2312" w:cs="仿宋_GB2312"/>
          <w:kern w:val="2"/>
          <w:sz w:val="32"/>
          <w:szCs w:val="32"/>
          <w:lang w:val="en-US" w:eastAsia="zh-CN" w:bidi="ar-SA"/>
        </w:rPr>
      </w:pPr>
      <w:bookmarkStart w:id="60" w:name="_Toc15396623"/>
      <w:r>
        <w:rPr>
          <w:rFonts w:hint="eastAsia" w:ascii="仿宋_GB2312" w:hAnsi="仿宋_GB2312" w:eastAsia="仿宋_GB2312" w:cs="仿宋_GB2312"/>
          <w:kern w:val="2"/>
          <w:sz w:val="32"/>
          <w:szCs w:val="32"/>
          <w:lang w:val="en-US" w:eastAsia="zh-CN" w:bidi="ar-SA"/>
        </w:rPr>
        <w:t>五、财政拨款支出决算明细表</w:t>
      </w:r>
      <w:bookmarkEnd w:id="60"/>
      <w:bookmarkStart w:id="61" w:name="_Toc15396624"/>
    </w:p>
    <w:p w14:paraId="527AA7DC">
      <w:pPr>
        <w:spacing w:line="600" w:lineRule="exact"/>
        <w:ind w:firstLine="64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六、一般公共预算财政拨款支出决算表</w:t>
      </w:r>
      <w:bookmarkEnd w:id="61"/>
    </w:p>
    <w:p w14:paraId="588F6956">
      <w:pPr>
        <w:spacing w:line="600" w:lineRule="exact"/>
        <w:ind w:firstLine="640"/>
        <w:rPr>
          <w:rFonts w:hint="eastAsia" w:ascii="仿宋_GB2312" w:hAnsi="仿宋_GB2312" w:eastAsia="仿宋_GB2312" w:cs="仿宋_GB2312"/>
          <w:kern w:val="2"/>
          <w:sz w:val="32"/>
          <w:szCs w:val="32"/>
          <w:lang w:val="en-US" w:eastAsia="zh-CN" w:bidi="ar-SA"/>
        </w:rPr>
      </w:pPr>
      <w:bookmarkStart w:id="62" w:name="_Toc15396625"/>
      <w:r>
        <w:rPr>
          <w:rFonts w:hint="eastAsia" w:ascii="仿宋_GB2312" w:hAnsi="仿宋_GB2312" w:eastAsia="仿宋_GB2312" w:cs="仿宋_GB2312"/>
          <w:kern w:val="2"/>
          <w:sz w:val="32"/>
          <w:szCs w:val="32"/>
          <w:lang w:val="en-US" w:eastAsia="zh-CN" w:bidi="ar-SA"/>
        </w:rPr>
        <w:t>七、一般公共预算财政拨款支出决算明细表</w:t>
      </w:r>
      <w:bookmarkEnd w:id="62"/>
    </w:p>
    <w:p w14:paraId="2D4023FB">
      <w:pPr>
        <w:spacing w:line="600" w:lineRule="exact"/>
        <w:ind w:firstLine="640"/>
        <w:rPr>
          <w:rFonts w:hint="eastAsia" w:ascii="仿宋_GB2312" w:hAnsi="仿宋_GB2312" w:eastAsia="仿宋_GB2312" w:cs="仿宋_GB2312"/>
          <w:kern w:val="2"/>
          <w:sz w:val="32"/>
          <w:szCs w:val="32"/>
          <w:lang w:val="en-US" w:eastAsia="zh-CN" w:bidi="ar-SA"/>
        </w:rPr>
      </w:pPr>
      <w:bookmarkStart w:id="63" w:name="_Toc15396626"/>
      <w:r>
        <w:rPr>
          <w:rFonts w:hint="eastAsia" w:ascii="仿宋_GB2312" w:hAnsi="仿宋_GB2312" w:eastAsia="仿宋_GB2312" w:cs="仿宋_GB2312"/>
          <w:kern w:val="2"/>
          <w:sz w:val="32"/>
          <w:szCs w:val="32"/>
          <w:lang w:val="en-US" w:eastAsia="zh-CN" w:bidi="ar-SA"/>
        </w:rPr>
        <w:t>八、一般公共预算财政拨款基本支出决算表</w:t>
      </w:r>
      <w:bookmarkEnd w:id="63"/>
    </w:p>
    <w:p w14:paraId="50961A23">
      <w:pPr>
        <w:spacing w:line="600" w:lineRule="exact"/>
        <w:ind w:firstLine="640"/>
        <w:rPr>
          <w:rFonts w:hint="eastAsia" w:ascii="仿宋_GB2312" w:hAnsi="仿宋_GB2312" w:eastAsia="仿宋_GB2312" w:cs="仿宋_GB2312"/>
          <w:kern w:val="2"/>
          <w:sz w:val="32"/>
          <w:szCs w:val="32"/>
          <w:lang w:val="en-US" w:eastAsia="zh-CN" w:bidi="ar-SA"/>
        </w:rPr>
      </w:pPr>
      <w:bookmarkStart w:id="64" w:name="_Toc15396627"/>
      <w:r>
        <w:rPr>
          <w:rFonts w:hint="eastAsia" w:ascii="仿宋_GB2312" w:hAnsi="仿宋_GB2312" w:eastAsia="仿宋_GB2312" w:cs="仿宋_GB2312"/>
          <w:kern w:val="2"/>
          <w:sz w:val="32"/>
          <w:szCs w:val="32"/>
          <w:lang w:val="en-US" w:eastAsia="zh-CN" w:bidi="ar-SA"/>
        </w:rPr>
        <w:t>九、一般公共预算财政拨款项目支出决算表</w:t>
      </w:r>
      <w:bookmarkEnd w:id="64"/>
    </w:p>
    <w:p w14:paraId="4D6FE3CA">
      <w:pPr>
        <w:spacing w:line="600" w:lineRule="exact"/>
        <w:ind w:firstLine="640"/>
        <w:rPr>
          <w:rFonts w:hint="eastAsia" w:ascii="仿宋_GB2312" w:hAnsi="仿宋_GB2312" w:eastAsia="仿宋_GB2312" w:cs="仿宋_GB2312"/>
          <w:kern w:val="2"/>
          <w:sz w:val="32"/>
          <w:szCs w:val="32"/>
          <w:lang w:val="en-US" w:eastAsia="zh-CN" w:bidi="ar-SA"/>
        </w:rPr>
      </w:pPr>
      <w:bookmarkStart w:id="65" w:name="_Toc15396628"/>
      <w:r>
        <w:rPr>
          <w:rFonts w:hint="eastAsia" w:ascii="仿宋_GB2312" w:hAnsi="仿宋_GB2312" w:eastAsia="仿宋_GB2312" w:cs="仿宋_GB2312"/>
          <w:kern w:val="2"/>
          <w:sz w:val="32"/>
          <w:szCs w:val="32"/>
          <w:lang w:val="en-US" w:eastAsia="zh-CN" w:bidi="ar-SA"/>
        </w:rPr>
        <w:t>十、</w:t>
      </w:r>
      <w:bookmarkEnd w:id="65"/>
      <w:r>
        <w:rPr>
          <w:rFonts w:hint="eastAsia" w:ascii="仿宋_GB2312" w:hAnsi="仿宋_GB2312" w:eastAsia="仿宋_GB2312" w:cs="仿宋_GB2312"/>
          <w:kern w:val="2"/>
          <w:sz w:val="32"/>
          <w:szCs w:val="32"/>
          <w:lang w:val="en-US" w:eastAsia="zh-CN" w:bidi="ar-SA"/>
        </w:rPr>
        <w:t>政府性基金预算财政拨款收入支出决算表</w:t>
      </w:r>
    </w:p>
    <w:p w14:paraId="59AD4091">
      <w:pPr>
        <w:spacing w:line="600" w:lineRule="exact"/>
        <w:ind w:firstLine="640"/>
        <w:rPr>
          <w:rFonts w:hint="eastAsia" w:ascii="仿宋_GB2312" w:hAnsi="仿宋_GB2312" w:eastAsia="仿宋_GB2312" w:cs="仿宋_GB2312"/>
          <w:kern w:val="2"/>
          <w:sz w:val="32"/>
          <w:szCs w:val="32"/>
          <w:lang w:val="en-US" w:eastAsia="zh-CN" w:bidi="ar-SA"/>
        </w:rPr>
      </w:pPr>
      <w:bookmarkStart w:id="66" w:name="_Toc15396629"/>
      <w:r>
        <w:rPr>
          <w:rFonts w:hint="eastAsia" w:ascii="仿宋_GB2312" w:hAnsi="仿宋_GB2312" w:eastAsia="仿宋_GB2312" w:cs="仿宋_GB2312"/>
          <w:kern w:val="2"/>
          <w:sz w:val="32"/>
          <w:szCs w:val="32"/>
          <w:lang w:val="en-US" w:eastAsia="zh-CN" w:bidi="ar-SA"/>
        </w:rPr>
        <w:t>十一、</w:t>
      </w:r>
      <w:bookmarkEnd w:id="66"/>
      <w:r>
        <w:rPr>
          <w:rFonts w:hint="eastAsia" w:ascii="仿宋_GB2312" w:hAnsi="仿宋_GB2312" w:eastAsia="仿宋_GB2312" w:cs="仿宋_GB2312"/>
          <w:kern w:val="2"/>
          <w:sz w:val="32"/>
          <w:szCs w:val="32"/>
          <w:lang w:val="en-US" w:eastAsia="zh-CN" w:bidi="ar-SA"/>
        </w:rPr>
        <w:t>国有资本经营预算财政拨款收入支出决算表</w:t>
      </w:r>
    </w:p>
    <w:p w14:paraId="23EADF7A">
      <w:pPr>
        <w:spacing w:line="600" w:lineRule="exact"/>
        <w:ind w:firstLine="640"/>
        <w:rPr>
          <w:rFonts w:hint="eastAsia" w:ascii="仿宋_GB2312" w:hAnsi="仿宋_GB2312" w:eastAsia="仿宋_GB2312" w:cs="仿宋_GB2312"/>
          <w:kern w:val="2"/>
          <w:sz w:val="32"/>
          <w:szCs w:val="32"/>
          <w:lang w:val="en-US" w:eastAsia="zh-CN" w:bidi="ar-SA"/>
        </w:rPr>
      </w:pPr>
      <w:bookmarkStart w:id="67" w:name="_Toc15396630"/>
      <w:r>
        <w:rPr>
          <w:rFonts w:hint="eastAsia" w:ascii="仿宋_GB2312" w:hAnsi="仿宋_GB2312" w:eastAsia="仿宋_GB2312" w:cs="仿宋_GB2312"/>
          <w:kern w:val="2"/>
          <w:sz w:val="32"/>
          <w:szCs w:val="32"/>
          <w:lang w:val="en-US" w:eastAsia="zh-CN" w:bidi="ar-SA"/>
        </w:rPr>
        <w:t>十二、</w:t>
      </w:r>
      <w:bookmarkEnd w:id="67"/>
      <w:r>
        <w:rPr>
          <w:rFonts w:hint="eastAsia" w:ascii="仿宋_GB2312" w:hAnsi="仿宋_GB2312" w:eastAsia="仿宋_GB2312" w:cs="仿宋_GB2312"/>
          <w:kern w:val="2"/>
          <w:sz w:val="32"/>
          <w:szCs w:val="32"/>
          <w:lang w:val="en-US" w:eastAsia="zh-CN" w:bidi="ar-SA"/>
        </w:rPr>
        <w:t>国有资本经营预算财政拨款支出决算表</w:t>
      </w:r>
    </w:p>
    <w:p w14:paraId="059AD3B7">
      <w:pPr>
        <w:spacing w:line="600" w:lineRule="exact"/>
        <w:ind w:firstLine="640"/>
        <w:rPr>
          <w:rFonts w:hint="eastAsia" w:ascii="仿宋_GB2312" w:hAnsi="仿宋_GB2312" w:eastAsia="仿宋_GB2312" w:cs="仿宋_GB2312"/>
          <w:kern w:val="2"/>
          <w:sz w:val="32"/>
          <w:szCs w:val="32"/>
          <w:lang w:val="en-US" w:eastAsia="zh-CN" w:bidi="ar-SA"/>
        </w:rPr>
      </w:pPr>
      <w:bookmarkStart w:id="68" w:name="_Toc15396631"/>
      <w:r>
        <w:rPr>
          <w:rFonts w:hint="eastAsia" w:ascii="仿宋_GB2312" w:hAnsi="仿宋_GB2312" w:eastAsia="仿宋_GB2312" w:cs="仿宋_GB2312"/>
          <w:kern w:val="2"/>
          <w:sz w:val="32"/>
          <w:szCs w:val="32"/>
          <w:lang w:val="en-US" w:eastAsia="zh-CN" w:bidi="ar-SA"/>
        </w:rPr>
        <w:t>十三、</w:t>
      </w:r>
      <w:bookmarkEnd w:id="68"/>
      <w:r>
        <w:rPr>
          <w:rFonts w:hint="eastAsia" w:ascii="仿宋_GB2312" w:hAnsi="仿宋_GB2312" w:eastAsia="仿宋_GB2312" w:cs="仿宋_GB2312"/>
          <w:kern w:val="2"/>
          <w:sz w:val="32"/>
          <w:szCs w:val="32"/>
          <w:lang w:val="en-US" w:eastAsia="zh-CN" w:bidi="ar-SA"/>
        </w:rPr>
        <w:t>财政拨款“三公”经费支出决算表</w:t>
      </w:r>
    </w:p>
    <w:p w14:paraId="410E1F4D">
      <w:pPr>
        <w:spacing w:line="600" w:lineRule="exact"/>
        <w:ind w:firstLine="640"/>
        <w:rPr>
          <w:rFonts w:hint="eastAsia" w:ascii="仿宋_GB2312" w:hAnsi="仿宋_GB2312" w:eastAsia="仿宋_GB2312" w:cs="仿宋_GB2312"/>
          <w:kern w:val="2"/>
          <w:sz w:val="32"/>
          <w:szCs w:val="32"/>
          <w:lang w:val="en-US" w:eastAsia="zh-CN" w:bidi="ar-SA"/>
        </w:rPr>
      </w:pPr>
    </w:p>
    <w:sectPr>
      <w:footerReference r:id="rId11" w:type="first"/>
      <w:footerReference r:id="rId10"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74ACA">
    <w:pPr>
      <w:jc w:val="center"/>
    </w:pP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F4DBF">
    <w:pPr>
      <w:jc w:val="center"/>
      <w:rPr>
        <w:rFonts w:hint="eastAsia" w:eastAsia="宋体"/>
        <w:lang w:val="en-US" w:eastAsia="zh-CN"/>
      </w:rPr>
    </w:pPr>
    <w:r>
      <w:rPr>
        <w:rFonts w:hint="eastAsia"/>
        <w:lang w:val="en-US" w:eastAsia="zh-CN"/>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B98EF">
    <w:pPr>
      <w:jc w:val="center"/>
    </w:pPr>
    <w:r>
      <w:fldChar w:fldCharType="begin"/>
    </w:r>
    <w:r>
      <w:instrText xml:space="preserve"> PAGE </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C88A3">
    <w:pPr>
      <w:jc w:val="center"/>
    </w:pPr>
    <w:r>
      <w:fldChar w:fldCharType="begin"/>
    </w:r>
    <w:r>
      <w:instrText xml:space="preserve"> PAGE </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3DBFB">
    <w:pPr>
      <w:jc w:val="center"/>
    </w:pPr>
    <w:r>
      <w:fldChar w:fldCharType="begin"/>
    </w:r>
    <w:r>
      <w:instrText xml:space="preserve"> PAGE </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36C03">
    <w:pPr>
      <w:jc w:val="center"/>
    </w:pPr>
    <w:r>
      <w:fldChar w:fldCharType="begin"/>
    </w:r>
    <w:r>
      <w:instrText xml:space="preserve"> PAGE </w:instrText>
    </w:r>
    <w:r>
      <w:fldChar w:fldCharType="separate"/>
    </w:r>
    <w:r>
      <w:t>1</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2A4457">
    <w:pPr>
      <w:jc w:val="center"/>
    </w:pPr>
    <w:r>
      <w:fldChar w:fldCharType="begin"/>
    </w:r>
    <w:r>
      <w:instrText xml:space="preserve"> PAGE </w:instrText>
    </w:r>
    <w:r>
      <w:fldChar w:fldCharType="separate"/>
    </w:r>
    <w:r>
      <w:t>1</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3E05C">
    <w:pPr>
      <w:jc w:val="center"/>
    </w:pPr>
    <w:r>
      <w:fldChar w:fldCharType="begin"/>
    </w:r>
    <w:r>
      <w:instrText xml:space="preserve"> PAGE </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8538">
    <w:pPr>
      <w:pStyle w:val="12"/>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1ADD"/>
    <w:rsid w:val="00163351"/>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66425"/>
    <w:rsid w:val="0037013F"/>
    <w:rsid w:val="00380C92"/>
    <w:rsid w:val="003A167B"/>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75C6A"/>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3741F"/>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87D95"/>
    <w:rsid w:val="009931C3"/>
    <w:rsid w:val="009A1776"/>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5EA2"/>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43BF5"/>
    <w:rsid w:val="00D51247"/>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3700E7"/>
    <w:rsid w:val="095C5D9F"/>
    <w:rsid w:val="09867E8F"/>
    <w:rsid w:val="0A2032A3"/>
    <w:rsid w:val="0C6C4794"/>
    <w:rsid w:val="0CA8290A"/>
    <w:rsid w:val="0D35B1ED"/>
    <w:rsid w:val="0D9719D6"/>
    <w:rsid w:val="0DE07E2B"/>
    <w:rsid w:val="0F8C41D5"/>
    <w:rsid w:val="0F98263C"/>
    <w:rsid w:val="101860EC"/>
    <w:rsid w:val="103E2707"/>
    <w:rsid w:val="10624FA3"/>
    <w:rsid w:val="10C055FF"/>
    <w:rsid w:val="10C36704"/>
    <w:rsid w:val="11772AA4"/>
    <w:rsid w:val="118107EC"/>
    <w:rsid w:val="123B212E"/>
    <w:rsid w:val="12B02CB8"/>
    <w:rsid w:val="13D50BC4"/>
    <w:rsid w:val="14022904"/>
    <w:rsid w:val="152F2A07"/>
    <w:rsid w:val="163360DA"/>
    <w:rsid w:val="165E0673"/>
    <w:rsid w:val="16BB723D"/>
    <w:rsid w:val="186504BB"/>
    <w:rsid w:val="1938089F"/>
    <w:rsid w:val="19A445FC"/>
    <w:rsid w:val="1A263D5C"/>
    <w:rsid w:val="1B7D550C"/>
    <w:rsid w:val="1BE8440E"/>
    <w:rsid w:val="1C250273"/>
    <w:rsid w:val="1D155CEE"/>
    <w:rsid w:val="1D653006"/>
    <w:rsid w:val="1E012619"/>
    <w:rsid w:val="1E740ACF"/>
    <w:rsid w:val="1FF35744"/>
    <w:rsid w:val="1FF6BC77"/>
    <w:rsid w:val="212C5BFF"/>
    <w:rsid w:val="21962A9E"/>
    <w:rsid w:val="21AE7C77"/>
    <w:rsid w:val="22BC3C41"/>
    <w:rsid w:val="23860B96"/>
    <w:rsid w:val="240371BF"/>
    <w:rsid w:val="260F557C"/>
    <w:rsid w:val="281408E2"/>
    <w:rsid w:val="29FD04D3"/>
    <w:rsid w:val="2AE50E89"/>
    <w:rsid w:val="2BFF7BC6"/>
    <w:rsid w:val="2C8A61B5"/>
    <w:rsid w:val="2D2E01CF"/>
    <w:rsid w:val="2DF04E50"/>
    <w:rsid w:val="2E9545B0"/>
    <w:rsid w:val="2F040D46"/>
    <w:rsid w:val="2FAE5751"/>
    <w:rsid w:val="2FB1A395"/>
    <w:rsid w:val="2FD9A7D8"/>
    <w:rsid w:val="30C3638E"/>
    <w:rsid w:val="319F7F4E"/>
    <w:rsid w:val="31B47C77"/>
    <w:rsid w:val="3200110E"/>
    <w:rsid w:val="321B2544"/>
    <w:rsid w:val="32A41A99"/>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824942"/>
    <w:rsid w:val="3B9FDB6C"/>
    <w:rsid w:val="3BF5BC2F"/>
    <w:rsid w:val="3CEBA265"/>
    <w:rsid w:val="3D0A144A"/>
    <w:rsid w:val="3D98207C"/>
    <w:rsid w:val="3D9B0D99"/>
    <w:rsid w:val="3DEE7CF3"/>
    <w:rsid w:val="3DF02244"/>
    <w:rsid w:val="3E78745D"/>
    <w:rsid w:val="3F8E7D59"/>
    <w:rsid w:val="3FF4CAE0"/>
    <w:rsid w:val="3FF7B227"/>
    <w:rsid w:val="40E54C45"/>
    <w:rsid w:val="432F2E97"/>
    <w:rsid w:val="43A407DF"/>
    <w:rsid w:val="44515BEA"/>
    <w:rsid w:val="44A678F3"/>
    <w:rsid w:val="44E268DA"/>
    <w:rsid w:val="453F7E5B"/>
    <w:rsid w:val="458B0897"/>
    <w:rsid w:val="486A6C7A"/>
    <w:rsid w:val="49176D9B"/>
    <w:rsid w:val="4A627F82"/>
    <w:rsid w:val="4AAA1987"/>
    <w:rsid w:val="4B0E749A"/>
    <w:rsid w:val="4B2B715F"/>
    <w:rsid w:val="4B4F25DA"/>
    <w:rsid w:val="4BDA0CFB"/>
    <w:rsid w:val="4BE068DB"/>
    <w:rsid w:val="4CC42B93"/>
    <w:rsid w:val="4D3C0CCC"/>
    <w:rsid w:val="4D577224"/>
    <w:rsid w:val="4DBF1CEB"/>
    <w:rsid w:val="4EAB630A"/>
    <w:rsid w:val="4EC015B1"/>
    <w:rsid w:val="4ECE2238"/>
    <w:rsid w:val="4F833267"/>
    <w:rsid w:val="4FE9BD67"/>
    <w:rsid w:val="4FFB052F"/>
    <w:rsid w:val="51FA2F11"/>
    <w:rsid w:val="52505342"/>
    <w:rsid w:val="53083A92"/>
    <w:rsid w:val="537E6D0A"/>
    <w:rsid w:val="53AF27A2"/>
    <w:rsid w:val="53F74C96"/>
    <w:rsid w:val="55B70909"/>
    <w:rsid w:val="56E47B74"/>
    <w:rsid w:val="57BD3DD4"/>
    <w:rsid w:val="59CA59DA"/>
    <w:rsid w:val="5AF92295"/>
    <w:rsid w:val="5BDD79E6"/>
    <w:rsid w:val="5BF561CA"/>
    <w:rsid w:val="5BFF5DFC"/>
    <w:rsid w:val="5CD71FC4"/>
    <w:rsid w:val="5D1F11B5"/>
    <w:rsid w:val="5D245401"/>
    <w:rsid w:val="5DAE1B18"/>
    <w:rsid w:val="5DE7D9E5"/>
    <w:rsid w:val="5ECEC941"/>
    <w:rsid w:val="5F13734C"/>
    <w:rsid w:val="5F493CB7"/>
    <w:rsid w:val="5FBF9FF3"/>
    <w:rsid w:val="5FCD4E2C"/>
    <w:rsid w:val="5FD15F49"/>
    <w:rsid w:val="5FEF394A"/>
    <w:rsid w:val="5FF67715"/>
    <w:rsid w:val="60912DAE"/>
    <w:rsid w:val="61932B55"/>
    <w:rsid w:val="62BF3928"/>
    <w:rsid w:val="63822E81"/>
    <w:rsid w:val="647F5392"/>
    <w:rsid w:val="65A064C2"/>
    <w:rsid w:val="663C1A0D"/>
    <w:rsid w:val="664B1D71"/>
    <w:rsid w:val="67AA3209"/>
    <w:rsid w:val="681C4F0D"/>
    <w:rsid w:val="68906041"/>
    <w:rsid w:val="69046D0F"/>
    <w:rsid w:val="698D0931"/>
    <w:rsid w:val="6A993CED"/>
    <w:rsid w:val="6AC473F2"/>
    <w:rsid w:val="6B053271"/>
    <w:rsid w:val="6BCE6674"/>
    <w:rsid w:val="6BDB60ED"/>
    <w:rsid w:val="6C4A05C8"/>
    <w:rsid w:val="6C8742B8"/>
    <w:rsid w:val="6C8A170F"/>
    <w:rsid w:val="6CB467A2"/>
    <w:rsid w:val="6CB54609"/>
    <w:rsid w:val="6DBF5E93"/>
    <w:rsid w:val="6DFF077E"/>
    <w:rsid w:val="6E1A0886"/>
    <w:rsid w:val="6E7E3605"/>
    <w:rsid w:val="6E7FDCC7"/>
    <w:rsid w:val="6E8A104B"/>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361A07"/>
    <w:rsid w:val="72734D90"/>
    <w:rsid w:val="7332FE48"/>
    <w:rsid w:val="73AB61DA"/>
    <w:rsid w:val="73AD73D5"/>
    <w:rsid w:val="73B6EB34"/>
    <w:rsid w:val="73EC454B"/>
    <w:rsid w:val="73FA497D"/>
    <w:rsid w:val="744731E5"/>
    <w:rsid w:val="74527205"/>
    <w:rsid w:val="74BBD01D"/>
    <w:rsid w:val="74ED5379"/>
    <w:rsid w:val="74FC2395"/>
    <w:rsid w:val="75DEEEC2"/>
    <w:rsid w:val="76D74E31"/>
    <w:rsid w:val="76E3355F"/>
    <w:rsid w:val="76FF5125"/>
    <w:rsid w:val="776F6FFA"/>
    <w:rsid w:val="778769C8"/>
    <w:rsid w:val="77DC22F5"/>
    <w:rsid w:val="79086DAD"/>
    <w:rsid w:val="79974F09"/>
    <w:rsid w:val="79D7FD79"/>
    <w:rsid w:val="79EE5BA4"/>
    <w:rsid w:val="7A894339"/>
    <w:rsid w:val="7AFF7572"/>
    <w:rsid w:val="7B6C7DFB"/>
    <w:rsid w:val="7B7E29F7"/>
    <w:rsid w:val="7BAB6FC2"/>
    <w:rsid w:val="7BBFBED0"/>
    <w:rsid w:val="7BC3E394"/>
    <w:rsid w:val="7C1F3737"/>
    <w:rsid w:val="7CBFC87B"/>
    <w:rsid w:val="7CFE0F48"/>
    <w:rsid w:val="7D59579D"/>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link w:val="35"/>
    <w:unhideWhenUsed/>
    <w:qFormat/>
    <w:uiPriority w:val="99"/>
    <w:pPr>
      <w:ind w:firstLine="420" w:firstLineChars="200"/>
    </w:pPr>
  </w:style>
  <w:style w:type="paragraph" w:styleId="4">
    <w:name w:val="Body Text Indent"/>
    <w:basedOn w:val="1"/>
    <w:next w:val="3"/>
    <w:qFormat/>
    <w:uiPriority w:val="0"/>
    <w:pPr>
      <w:spacing w:after="120"/>
      <w:ind w:left="200"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标题2"/>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character" w:customStyle="1" w:styleId="35">
    <w:name w:val="正文首行缩进 2 Char"/>
    <w:basedOn w:val="16"/>
    <w:link w:val="3"/>
    <w:qFormat/>
    <w:uiPriority w:val="99"/>
    <w:rPr>
      <w:rFonts w:ascii="仿宋_GB2312"/>
      <w:kern w:val="2"/>
      <w:sz w:val="21"/>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chart" Target="charts/chart5.xml"/><Relationship Id="rId18" Type="http://schemas.openxmlformats.org/officeDocument/2006/relationships/chart" Target="charts/chart4.xml"/><Relationship Id="rId17" Type="http://schemas.openxmlformats.org/officeDocument/2006/relationships/chart" Target="charts/chart3.xml"/><Relationship Id="rId16" Type="http://schemas.openxmlformats.org/officeDocument/2006/relationships/chart" Target="charts/chart2.xml"/><Relationship Id="rId15" Type="http://schemas.openxmlformats.org/officeDocument/2006/relationships/chart" Target="charts/chart1.xml"/><Relationship Id="rId14" Type="http://schemas.openxmlformats.org/officeDocument/2006/relationships/image" Target="media/image1.emf"/><Relationship Id="rId13" Type="http://schemas.openxmlformats.org/officeDocument/2006/relationships/oleObject" Target="embeddings/oleObject1.bin"/><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2025年度</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Lbls>
            <c:dLbl>
              <c:idx val="0"/>
              <c:layout>
                <c:manualLayout>
                  <c:x val="0.0335990888382688"/>
                  <c:y val="-0.12933954276037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sz="1200" b="1"/>
                      <a:t>一般公共预算财政拨款收入94%</a:t>
                    </a:r>
                    <a:endParaRPr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409864885645267"/>
                  <c:y val="0.088060965283657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sz="1200" b="1"/>
                      <a:t>事业收入2%</a:t>
                    </a:r>
                    <a:endParaRPr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30959363217428"/>
                      <c:h val="0.248306519898391"/>
                    </c:manualLayout>
                  </c15:layout>
                </c:ext>
              </c:extLst>
            </c:dLbl>
            <c:dLbl>
              <c:idx val="2"/>
              <c:layout>
                <c:manualLayout>
                  <c:x val="0.253391023845246"/>
                  <c:y val="0.0235860849346377"/>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dk1">
                            <a:lumMod val="75000"/>
                            <a:lumOff val="25000"/>
                          </a:schemeClr>
                        </a:solidFill>
                        <a:latin typeface="+mn-lt"/>
                        <a:ea typeface="+mn-ea"/>
                        <a:cs typeface="+mn-cs"/>
                      </a:defRPr>
                    </a:pPr>
                    <a:r>
                      <a:rPr sz="1200" b="1"/>
                      <a:t>其他收入4%</a:t>
                    </a:r>
                    <a:endParaRPr sz="1200" b="1"/>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38417872184582"/>
                      <c:h val="0.153247631935047"/>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Sheet1!$A$2:$A$4</c:f>
              <c:strCache>
                <c:ptCount val="3"/>
                <c:pt idx="0">
                  <c:v>一般公共预算财政拨款收入</c:v>
                </c:pt>
                <c:pt idx="1">
                  <c:v>事业收入</c:v>
                </c:pt>
                <c:pt idx="2">
                  <c:v>其他收入</c:v>
                </c:pt>
              </c:strCache>
            </c:strRef>
          </c:cat>
          <c:val>
            <c:numRef>
              <c:f>Sheet1!$B$2:$B$4</c:f>
              <c:numCache>
                <c:formatCode>General</c:formatCode>
                <c:ptCount val="3"/>
                <c:pt idx="0">
                  <c:v>3169.49</c:v>
                </c:pt>
                <c:pt idx="1">
                  <c:v>58.49</c:v>
                </c:pt>
                <c:pt idx="2">
                  <c:v>136.85</c:v>
                </c:pt>
              </c:numCache>
            </c:numRef>
          </c:val>
        </c:ser>
        <c:dLbls>
          <c:showLegendKey val="0"/>
          <c:showVal val="0"/>
          <c:showCatName val="1"/>
          <c:showSerName val="0"/>
          <c:showPercent val="1"/>
          <c:showBubbleSize val="0"/>
          <c:showLeaderLines val="1"/>
        </c:dLbls>
        <c:firstSliceAng val="0"/>
      </c:pieChart>
      <c:spPr>
        <a:noFill/>
        <a:ln>
          <a:noFill/>
        </a:ln>
        <a:effectLst/>
      </c:spPr>
    </c:plotArea>
    <c:legend>
      <c:legendPos val="l"/>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833bcf-acbe-4f69-b66a-49118989158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2025年度</c:v>
                </c:pt>
              </c:strCache>
            </c:strRef>
          </c:tx>
          <c:explosion val="0"/>
          <c:dPt>
            <c:idx val="0"/>
            <c:bubble3D val="0"/>
          </c:dPt>
          <c:dPt>
            <c:idx val="1"/>
            <c:bubble3D val="0"/>
          </c:dPt>
          <c:dLbls>
            <c:dLbl>
              <c:idx val="0"/>
              <c:layout>
                <c:manualLayout>
                  <c:x val="-0.103280208814195"/>
                  <c:y val="-0.17406659939455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574276351720371"/>
                      <c:h val="0.299192734611504"/>
                    </c:manualLayout>
                  </c15:layout>
                </c:ext>
              </c:extLst>
            </c:dLbl>
            <c:dLbl>
              <c:idx val="1"/>
              <c:layout>
                <c:manualLayout>
                  <c:x val="0.0973868274170928"/>
                  <c:y val="0.054815263476680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478427089022392"/>
                      <c:h val="0.425075681130172"/>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8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基本支出</c:v>
                </c:pt>
                <c:pt idx="1">
                  <c:v>项目支出</c:v>
                </c:pt>
              </c:strCache>
            </c:strRef>
          </c:cat>
          <c:val>
            <c:numRef>
              <c:f>Sheet1!$B$2:$B$3</c:f>
              <c:numCache>
                <c:formatCode>General</c:formatCode>
                <c:ptCount val="2"/>
                <c:pt idx="0">
                  <c:v>3125.11</c:v>
                </c:pt>
                <c:pt idx="1">
                  <c:v>240.3</c:v>
                </c:pt>
              </c:numCache>
            </c:numRef>
          </c:val>
        </c:ser>
        <c:dLbls>
          <c:showLegendKey val="0"/>
          <c:showVal val="0"/>
          <c:showCatName val="1"/>
          <c:showSerName val="0"/>
          <c:showPercent val="1"/>
          <c:showBubbleSize val="0"/>
          <c:showLeaderLines val="1"/>
        </c:dLbls>
        <c:firstSliceAng val="0"/>
      </c:pieChart>
    </c:plotArea>
    <c:legend>
      <c:legendPos val="l"/>
      <c:layout/>
      <c:overlay val="0"/>
      <c:txPr>
        <a:bodyPr rot="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75377653-531e-4429-9a81-287cffd4bdc1}"/>
      </c:ext>
    </c:extLst>
  </c:chart>
  <c:txPr>
    <a:bodyPr/>
    <a:lstStyle/>
    <a:p>
      <a:pPr>
        <a:defRPr lang="zh-CN" sz="1800"/>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6802057233285"/>
          <c:y val="0.0286353467561521"/>
          <c:w val="0.818119477779243"/>
          <c:h val="0.558791946308725"/>
        </c:manualLayout>
      </c:layout>
      <c:barChart>
        <c:barDir val="col"/>
        <c:grouping val="clustered"/>
        <c:varyColors val="0"/>
        <c:ser>
          <c:idx val="0"/>
          <c:order val="0"/>
          <c:tx>
            <c:strRef>
              <c:f>Sheet1!$B$1</c:f>
              <c:strCache>
                <c:ptCount val="1"/>
                <c:pt idx="0">
                  <c:v>财政拨款收入总计</c:v>
                </c:pt>
              </c:strCache>
            </c:strRef>
          </c:tx>
          <c:invertIfNegative val="0"/>
          <c:dLbls>
            <c:dLbl>
              <c:idx val="0"/>
              <c:layout>
                <c:manualLayout>
                  <c:x val="-0.0390226112326769"/>
                  <c:y val="0"/>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559202528567955"/>
                  <c:y val="0.0073651698740793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2024年度</c:v>
                </c:pt>
                <c:pt idx="1">
                  <c:v>2025年度</c:v>
                </c:pt>
              </c:strCache>
            </c:strRef>
          </c:cat>
          <c:val>
            <c:numRef>
              <c:f>Sheet1!$B$2:$B$3</c:f>
              <c:numCache>
                <c:formatCode>General</c:formatCode>
                <c:ptCount val="2"/>
                <c:pt idx="0">
                  <c:v>3009.5</c:v>
                </c:pt>
                <c:pt idx="1">
                  <c:v>3169.49</c:v>
                </c:pt>
              </c:numCache>
            </c:numRef>
          </c:val>
        </c:ser>
        <c:ser>
          <c:idx val="1"/>
          <c:order val="1"/>
          <c:tx>
            <c:strRef>
              <c:f>Sheet1!$C$1</c:f>
              <c:strCache>
                <c:ptCount val="1"/>
                <c:pt idx="0">
                  <c:v>财政拨款支出总计</c:v>
                </c:pt>
              </c:strCache>
            </c:strRef>
          </c:tx>
          <c:invertIfNegative val="0"/>
          <c:dLbls>
            <c:dLbl>
              <c:idx val="0"/>
              <c:layout>
                <c:manualLayout>
                  <c:x val="0.0260150741551179"/>
                  <c:y val="0.00329964941224995"/>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60150741551179"/>
                  <c:y val="0.0109289617486339"/>
                </c:manualLayout>
              </c:layout>
              <c:dLblPos val="outEnd"/>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2024年度</c:v>
                </c:pt>
                <c:pt idx="1">
                  <c:v>2025年度</c:v>
                </c:pt>
              </c:strCache>
            </c:strRef>
          </c:cat>
          <c:val>
            <c:numRef>
              <c:f>Sheet1!$C$2:$C$3</c:f>
              <c:numCache>
                <c:formatCode>General</c:formatCode>
                <c:ptCount val="2"/>
                <c:pt idx="0">
                  <c:v>3009.5</c:v>
                </c:pt>
                <c:pt idx="1">
                  <c:v>3169.49</c:v>
                </c:pt>
              </c:numCache>
            </c:numRef>
          </c:val>
        </c:ser>
        <c:dLbls>
          <c:showLegendKey val="0"/>
          <c:showVal val="1"/>
          <c:showCatName val="0"/>
          <c:showSerName val="0"/>
          <c:showPercent val="0"/>
          <c:showBubbleSize val="0"/>
        </c:dLbls>
        <c:gapWidth val="150"/>
        <c:axId val="-2068027336"/>
        <c:axId val="-2113994440"/>
      </c:barChart>
      <c:catAx>
        <c:axId val="-2068027336"/>
        <c:scaling>
          <c:orientation val="minMax"/>
        </c:scaling>
        <c:delete val="0"/>
        <c:axPos val="b"/>
        <c:majorTickMark val="out"/>
        <c:minorTickMark val="none"/>
        <c:tickLblPos val="nextTo"/>
        <c:txPr>
          <a:bodyPr rot="-6000000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crossAx val="-2113994440"/>
        <c:crosses val="autoZero"/>
        <c:auto val="1"/>
        <c:lblAlgn val="ctr"/>
        <c:lblOffset val="100"/>
        <c:noMultiLvlLbl val="0"/>
      </c:catAx>
      <c:valAx>
        <c:axId val="-2113994440"/>
        <c:scaling>
          <c:orientation val="minMax"/>
          <c:min val="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crossAx val="-2068027336"/>
        <c:crosses val="autoZero"/>
        <c:crossBetween val="between"/>
        <c:majorUnit val="350"/>
      </c:valAx>
    </c:plotArea>
    <c:legend>
      <c:legendPos val="b"/>
      <c:layout/>
      <c:overlay val="0"/>
      <c:txPr>
        <a:bodyPr rot="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b00b1309-715f-49be-b97b-8cc2feb1a495}"/>
      </c:ext>
    </c:extLst>
  </c:chart>
  <c:txPr>
    <a:bodyPr/>
    <a:lstStyle/>
    <a:p>
      <a:pPr>
        <a:defRPr lang="zh-CN" sz="1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一般公共预算财政拨款支出</c:v>
                </c:pt>
              </c:strCache>
            </c:strRef>
          </c:tx>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8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2024年度</c:v>
                </c:pt>
                <c:pt idx="1">
                  <c:v>2025年度</c:v>
                </c:pt>
              </c:strCache>
            </c:strRef>
          </c:cat>
          <c:val>
            <c:numRef>
              <c:f>Sheet1!$B$2:$B$3</c:f>
              <c:numCache>
                <c:formatCode>General</c:formatCode>
                <c:ptCount val="2"/>
                <c:pt idx="0">
                  <c:v>2999.54</c:v>
                </c:pt>
                <c:pt idx="1">
                  <c:v>3169.49</c:v>
                </c:pt>
              </c:numCache>
            </c:numRef>
          </c:val>
        </c:ser>
        <c:dLbls>
          <c:showLegendKey val="0"/>
          <c:showVal val="1"/>
          <c:showCatName val="0"/>
          <c:showSerName val="0"/>
          <c:showPercent val="0"/>
          <c:showBubbleSize val="0"/>
        </c:dLbls>
        <c:gapWidth val="150"/>
        <c:axId val="-2068027336"/>
        <c:axId val="-2113994440"/>
      </c:barChart>
      <c:catAx>
        <c:axId val="-2068027336"/>
        <c:scaling>
          <c:orientation val="minMax"/>
        </c:scaling>
        <c:delete val="0"/>
        <c:axPos val="b"/>
        <c:majorTickMark val="out"/>
        <c:minorTickMark val="none"/>
        <c:tickLblPos val="nextTo"/>
        <c:txPr>
          <a:bodyPr rot="-6000000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crossAx val="-2113994440"/>
        <c:crosses val="autoZero"/>
        <c:auto val="1"/>
        <c:lblAlgn val="ctr"/>
        <c:lblOffset val="100"/>
        <c:noMultiLvlLbl val="0"/>
      </c:catAx>
      <c:valAx>
        <c:axId val="-2113994440"/>
        <c:scaling>
          <c:orientation val="minMax"/>
          <c:min val="0"/>
        </c:scaling>
        <c:delete val="0"/>
        <c:axPos val="l"/>
        <c:numFmt formatCode="General" sourceLinked="1"/>
        <c:majorTickMark val="out"/>
        <c:minorTickMark val="none"/>
        <c:tickLblPos val="nextTo"/>
        <c:txPr>
          <a:bodyPr rot="-6000000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crossAx val="-2068027336"/>
        <c:crosses val="autoZero"/>
        <c:crossBetween val="between"/>
        <c:majorUnit val="380"/>
      </c:valAx>
      <c:spPr>
        <a:ln>
          <a:noFill/>
        </a:ln>
      </c:spPr>
    </c:plotArea>
    <c:plotVisOnly val="1"/>
    <c:dispBlanksAs val="gap"/>
    <c:showDLblsOverMax val="0"/>
    <c:extLst>
      <c:ext uri="{0b15fc19-7d7d-44ad-8c2d-2c3a37ce22c3}">
        <chartProps xmlns="https://web.wps.cn/et/2018/main" chartId="{85b5e715-0c4a-4eec-92b6-8992a22fa6bb}"/>
      </c:ext>
    </c:extLst>
  </c:chart>
  <c:spPr>
    <a:noFill/>
  </c:spPr>
  <c:txPr>
    <a:bodyPr/>
    <a:lstStyle/>
    <a:p>
      <a:pPr>
        <a:defRPr lang="zh-CN" sz="18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05327802742251"/>
          <c:y val="0.112371342078708"/>
          <c:w val="0.357313054499366"/>
          <c:h val="0.782320887991927"/>
        </c:manualLayout>
      </c:layout>
      <c:pieChart>
        <c:varyColors val="1"/>
        <c:ser>
          <c:idx val="0"/>
          <c:order val="0"/>
          <c:tx>
            <c:strRef>
              <c:f>Sheet1!$B$1</c:f>
              <c:strCache>
                <c:ptCount val="1"/>
                <c:pt idx="0">
                  <c:v>2025年度</c:v>
                </c:pt>
              </c:strCache>
            </c:strRef>
          </c:tx>
          <c:explosion val="0"/>
          <c:dPt>
            <c:idx val="0"/>
            <c:bubble3D val="0"/>
          </c:dPt>
          <c:dPt>
            <c:idx val="1"/>
            <c:bubble3D val="0"/>
          </c:dPt>
          <c:dPt>
            <c:idx val="2"/>
            <c:bubble3D val="0"/>
          </c:dPt>
          <c:dPt>
            <c:idx val="3"/>
            <c:bubble3D val="0"/>
          </c:dPt>
          <c:dLbls>
            <c:dLbl>
              <c:idx val="0"/>
              <c:layout>
                <c:manualLayout>
                  <c:x val="-0.169259131236318"/>
                  <c:y val="-0.15060544904137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426862625342186"/>
                  <c:y val="0.217706973289813"/>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55213734301187"/>
                      <c:h val="0.451059535822402"/>
                    </c:manualLayout>
                  </c15:layout>
                </c:ext>
              </c:extLst>
            </c:dLbl>
            <c:dLbl>
              <c:idx val="2"/>
              <c:layout>
                <c:manualLayout>
                  <c:x val="-0.16415689713531"/>
                  <c:y val="1.4339913940668e-1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282636248415716"/>
                      <c:h val="0.342078708375378"/>
                    </c:manualLayout>
                  </c15:layout>
                </c:ext>
              </c:extLst>
            </c:dLbl>
            <c:dLbl>
              <c:idx val="3"/>
              <c:layout>
                <c:manualLayout>
                  <c:x val="0.0380959578744838"/>
                  <c:y val="1.4339913940668e-1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8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2148.52</c:v>
                </c:pt>
                <c:pt idx="1">
                  <c:v>672.95</c:v>
                </c:pt>
                <c:pt idx="2">
                  <c:v>147.4</c:v>
                </c:pt>
                <c:pt idx="3">
                  <c:v>200.63</c:v>
                </c:pt>
              </c:numCache>
            </c:numRef>
          </c:val>
        </c:ser>
        <c:dLbls>
          <c:showLegendKey val="0"/>
          <c:showVal val="0"/>
          <c:showCatName val="1"/>
          <c:showSerName val="0"/>
          <c:showPercent val="1"/>
          <c:showBubbleSize val="0"/>
          <c:showLeaderLines val="1"/>
        </c:dLbls>
        <c:firstSliceAng val="0"/>
      </c:pieChart>
    </c:plotArea>
    <c:legend>
      <c:legendPos val="r"/>
      <c:layout>
        <c:manualLayout>
          <c:xMode val="edge"/>
          <c:yMode val="edge"/>
          <c:x val="0.669547182855168"/>
          <c:y val="0.113773965691221"/>
          <c:w val="0.316626339440028"/>
          <c:h val="0.870837537840565"/>
        </c:manualLayout>
      </c:layout>
      <c:overlay val="0"/>
      <c:txPr>
        <a:bodyPr rot="0" spcFirstLastPara="0" vertOverflow="ellipsis" vert="horz" wrap="square" anchor="ctr" anchorCtr="1"/>
        <a:lstStyle/>
        <a:p>
          <a:pPr>
            <a:defRPr lang="zh-CN" sz="18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051bdeae-6a7e-44d6-9740-e836f4e75d4d}"/>
      </c:ext>
    </c:extLst>
  </c:chart>
  <c:txPr>
    <a:bodyPr/>
    <a:lstStyle/>
    <a:p>
      <a:pPr>
        <a:defRPr lang="zh-CN" sz="1800"/>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991</Words>
  <Characters>1742</Characters>
  <Lines>63</Lines>
  <Paragraphs>17</Paragraphs>
  <TotalTime>26</TotalTime>
  <ScaleCrop>false</ScaleCrop>
  <LinksUpToDate>false</LinksUpToDate>
  <CharactersWithSpaces>1749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莘如夏花</cp:lastModifiedBy>
  <cp:lastPrinted>2026-08-27T00:27:00Z</cp:lastPrinted>
  <dcterms:modified xsi:type="dcterms:W3CDTF">2026-09-03T07:09:17Z</dcterms:modified>
  <dc:title>四川省***</dc:title>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622577DA8AF64BEDB32A82E4164C94B1_13</vt:lpwstr>
  </property>
  <property fmtid="{D5CDD505-2E9C-101B-9397-08002B2CF9AE}" pid="4" name="AIGC">
    <vt:lpwstr>{"Label":"1","ContentProducer":"001191110102MACQD9K64018705","ProduceID":"3563947232344976_0/project_7645952996089692443-files/2025年度决算公开报告编制说明_完整版.docx","ReservedCode1":"","ContentPropagator":"001191110102MACQD9K64028705","PropagateID":"3563947232344976#1788310492274","ReservedCode2":""}</vt:lpwstr>
  </property>
  <property fmtid="{D5CDD505-2E9C-101B-9397-08002B2CF9AE}" pid="5" name="KSOTemplateDocerSaveRecord">
    <vt:lpwstr>eyJoZGlkIjoiZjA2ODIzNjJiMDk2NGVjOWM3MTRmOTk4NzcyMDYzZTMiLCJ1c2VySWQiOiI3MjIyNzI1MjcifQ==</vt:lpwstr>
  </property>
</Properties>
</file>