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7F3B4">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06267"/>
      <w:bookmarkStart w:id="2" w:name="_Toc15396597"/>
      <w:bookmarkStart w:id="3" w:name="_Toc15377425"/>
      <w:bookmarkStart w:id="4" w:name="_Toc15377193"/>
      <w:bookmarkStart w:id="5" w:name="_Toc15396475"/>
    </w:p>
    <w:p w14:paraId="57417459">
      <w:pPr>
        <w:pStyle w:val="8"/>
        <w:rPr>
          <w:rFonts w:hint="eastAsia" w:ascii="Times New Roman" w:hAnsi="Times New Roman" w:eastAsia="方正小标宋简体" w:cs="Times New Roman"/>
          <w:color w:val="auto"/>
          <w:kern w:val="2"/>
          <w:sz w:val="72"/>
          <w:szCs w:val="72"/>
          <w:highlight w:val="none"/>
          <w:lang w:val="en-US" w:eastAsia="zh-CN" w:bidi="ar-SA"/>
        </w:rPr>
      </w:pPr>
    </w:p>
    <w:p w14:paraId="0F7A8F3E">
      <w:pPr>
        <w:pStyle w:val="8"/>
        <w:rPr>
          <w:rFonts w:hint="eastAsia" w:ascii="Times New Roman" w:hAnsi="Times New Roman" w:eastAsia="方正小标宋简体" w:cs="Times New Roman"/>
          <w:color w:val="auto"/>
          <w:kern w:val="2"/>
          <w:sz w:val="72"/>
          <w:szCs w:val="72"/>
          <w:highlight w:val="none"/>
          <w:lang w:val="en-US" w:eastAsia="zh-CN" w:bidi="ar-SA"/>
        </w:rPr>
      </w:pPr>
    </w:p>
    <w:p w14:paraId="7941F2E0">
      <w:pPr>
        <w:spacing w:line="600" w:lineRule="exact"/>
        <w:jc w:val="center"/>
        <w:outlineLvl w:val="0"/>
        <w:rPr>
          <w:rFonts w:hint="eastAsia" w:eastAsia="方正小标宋简体"/>
          <w:kern w:val="2"/>
          <w:sz w:val="44"/>
          <w:szCs w:val="44"/>
          <w:lang w:val="en-US" w:eastAsia="zh-CN"/>
        </w:rPr>
      </w:pPr>
      <w:bookmarkStart w:id="6" w:name="_Toc15396598"/>
      <w:bookmarkStart w:id="7" w:name="_Toc15377426"/>
      <w:bookmarkStart w:id="8" w:name="_Toc15378442"/>
      <w:bookmarkStart w:id="9" w:name="_Toc15377194"/>
      <w:bookmarkStart w:id="10" w:name="_Toc15396476"/>
      <w:r>
        <w:rPr>
          <w:rFonts w:hint="eastAsia" w:ascii="Times New Roman" w:eastAsia="方正小标宋简体"/>
          <w:kern w:val="2"/>
          <w:sz w:val="44"/>
          <w:szCs w:val="44"/>
        </w:rPr>
        <w:t>2025年度</w:t>
      </w:r>
      <w:bookmarkStart w:id="11" w:name="_Toc15306268"/>
      <w:r>
        <w:rPr>
          <w:rFonts w:hint="eastAsia" w:eastAsia="方正小标宋简体"/>
          <w:kern w:val="2"/>
          <w:sz w:val="44"/>
          <w:szCs w:val="44"/>
          <w:lang w:val="en-US" w:eastAsia="zh-CN"/>
        </w:rPr>
        <w:t>攀枝花市建筑工程学校</w:t>
      </w:r>
    </w:p>
    <w:p w14:paraId="3A986825">
      <w:pPr>
        <w:spacing w:line="600" w:lineRule="exact"/>
        <w:jc w:val="center"/>
        <w:outlineLvl w:val="0"/>
        <w:rPr>
          <w:rFonts w:ascii="Times New Roman" w:hAnsi="Times New Roman" w:eastAsia="方正小标宋简体"/>
          <w:color w:val="auto"/>
          <w:sz w:val="72"/>
          <w:szCs w:val="72"/>
          <w:highlight w:val="none"/>
        </w:rPr>
      </w:pPr>
      <w:r>
        <w:rPr>
          <w:rFonts w:hint="eastAsia" w:ascii="Times New Roman" w:eastAsia="方正小标宋简体"/>
          <w:kern w:val="2"/>
          <w:sz w:val="44"/>
          <w:szCs w:val="44"/>
        </w:rPr>
        <w:t>部门决算</w:t>
      </w:r>
      <w:bookmarkEnd w:id="6"/>
      <w:bookmarkEnd w:id="7"/>
      <w:bookmarkEnd w:id="8"/>
      <w:bookmarkEnd w:id="9"/>
      <w:bookmarkEnd w:id="10"/>
      <w:bookmarkEnd w:id="11"/>
    </w:p>
    <w:p w14:paraId="52A12FD8">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4F5C91E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FB1909D">
      <w:pPr>
        <w:widowControl/>
        <w:jc w:val="center"/>
        <w:rPr>
          <w:rFonts w:ascii="Times New Roman" w:hAnsi="Times New Roman" w:eastAsia="黑体" w:cstheme="minorBidi"/>
          <w:color w:val="auto"/>
          <w:sz w:val="28"/>
          <w:szCs w:val="28"/>
          <w:highlight w:val="none"/>
        </w:rPr>
      </w:pPr>
    </w:p>
    <w:p w14:paraId="63C6CA8E">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11 </w:t>
      </w:r>
      <w:r>
        <w:rPr>
          <w:rFonts w:hint="eastAsia" w:ascii="Times New Roman" w:hAnsi="Times New Roman" w:eastAsia="仿宋_GB2312" w:cs="仿宋_GB2312"/>
          <w:color w:val="auto"/>
          <w:sz w:val="32"/>
          <w:szCs w:val="32"/>
          <w:highlight w:val="none"/>
        </w:rPr>
        <w:t>日</w:t>
      </w:r>
      <w:bookmarkStart w:id="68" w:name="_GoBack"/>
      <w:bookmarkEnd w:id="68"/>
    </w:p>
    <w:p w14:paraId="4749D148">
      <w:pPr>
        <w:rPr>
          <w:rFonts w:ascii="Times New Roman" w:hAnsi="Times New Roman"/>
          <w:color w:val="auto"/>
          <w:highlight w:val="none"/>
        </w:rPr>
      </w:pPr>
    </w:p>
    <w:p w14:paraId="47FA619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389021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cstheme="minorBidi"/>
          <w:sz w:val="24"/>
          <w:szCs w:val="24"/>
        </w:rPr>
        <w:tab/>
      </w:r>
      <w:r>
        <w:rPr>
          <w:rFonts w:hint="eastAsia" w:cstheme="minorBidi"/>
          <w:sz w:val="24"/>
          <w:szCs w:val="24"/>
          <w:lang w:val="en-US" w:eastAsia="zh-CN"/>
        </w:rPr>
        <w:t>3</w:t>
      </w:r>
    </w:p>
    <w:p w14:paraId="03E0D67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cstheme="minorBidi"/>
          <w:sz w:val="24"/>
          <w:szCs w:val="24"/>
        </w:rPr>
        <w:tab/>
      </w:r>
      <w:r>
        <w:rPr>
          <w:rFonts w:hint="eastAsia" w:cstheme="minorBidi"/>
          <w:sz w:val="24"/>
          <w:szCs w:val="24"/>
          <w:lang w:val="en-US" w:eastAsia="zh-CN"/>
        </w:rPr>
        <w:t>3</w:t>
      </w:r>
    </w:p>
    <w:p w14:paraId="5B7BD73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cstheme="minorBidi"/>
          <w:sz w:val="24"/>
          <w:szCs w:val="24"/>
        </w:rPr>
        <w:tab/>
      </w:r>
      <w:r>
        <w:rPr>
          <w:rFonts w:hint="eastAsia" w:cstheme="minorBidi"/>
          <w:sz w:val="24"/>
          <w:szCs w:val="24"/>
          <w:lang w:val="en-US" w:eastAsia="zh-CN"/>
        </w:rPr>
        <w:t>4</w:t>
      </w:r>
    </w:p>
    <w:p w14:paraId="2B669D0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cstheme="minorBidi"/>
          <w:sz w:val="24"/>
          <w:szCs w:val="24"/>
        </w:rPr>
        <w:tab/>
      </w:r>
      <w:r>
        <w:rPr>
          <w:rFonts w:hint="eastAsia" w:cstheme="minorBidi"/>
          <w:sz w:val="24"/>
          <w:szCs w:val="24"/>
          <w:lang w:val="en-US" w:eastAsia="zh-CN"/>
        </w:rPr>
        <w:t>4</w:t>
      </w:r>
    </w:p>
    <w:p w14:paraId="40DC6E1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cstheme="minorBidi"/>
          <w:sz w:val="24"/>
          <w:szCs w:val="24"/>
        </w:rPr>
        <w:tab/>
      </w:r>
      <w:r>
        <w:rPr>
          <w:rFonts w:hint="eastAsia" w:cstheme="minorBidi"/>
          <w:sz w:val="24"/>
          <w:szCs w:val="24"/>
          <w:lang w:val="en-US" w:eastAsia="zh-CN"/>
        </w:rPr>
        <w:t>4</w:t>
      </w:r>
    </w:p>
    <w:p w14:paraId="2EAC62B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cstheme="minorBidi"/>
          <w:sz w:val="24"/>
          <w:szCs w:val="24"/>
        </w:rPr>
        <w:tab/>
      </w:r>
      <w:r>
        <w:rPr>
          <w:rFonts w:hint="eastAsia" w:cstheme="minorBidi"/>
          <w:sz w:val="24"/>
          <w:szCs w:val="24"/>
          <w:lang w:val="en-US" w:eastAsia="zh-CN"/>
        </w:rPr>
        <w:t>5</w:t>
      </w:r>
    </w:p>
    <w:p w14:paraId="5AEDF70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cstheme="minorBidi"/>
          <w:sz w:val="24"/>
          <w:szCs w:val="24"/>
        </w:rPr>
        <w:tab/>
      </w:r>
      <w:r>
        <w:rPr>
          <w:rFonts w:hint="eastAsia" w:cstheme="minorBidi"/>
          <w:sz w:val="24"/>
          <w:szCs w:val="24"/>
          <w:lang w:val="en-US" w:eastAsia="zh-CN"/>
        </w:rPr>
        <w:t>5</w:t>
      </w:r>
    </w:p>
    <w:p w14:paraId="4602BA1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cstheme="minorBidi"/>
          <w:sz w:val="24"/>
          <w:szCs w:val="24"/>
        </w:rPr>
        <w:tab/>
      </w:r>
      <w:r>
        <w:rPr>
          <w:rFonts w:hint="eastAsia" w:cstheme="minorBidi"/>
          <w:sz w:val="24"/>
          <w:szCs w:val="24"/>
          <w:lang w:val="en-US" w:eastAsia="zh-CN"/>
        </w:rPr>
        <w:t>6</w:t>
      </w:r>
    </w:p>
    <w:p w14:paraId="48659F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cstheme="minorBidi"/>
          <w:sz w:val="24"/>
          <w:szCs w:val="24"/>
        </w:rPr>
        <w:tab/>
      </w:r>
      <w:r>
        <w:rPr>
          <w:rFonts w:hint="eastAsia" w:cstheme="minorBidi"/>
          <w:sz w:val="24"/>
          <w:szCs w:val="24"/>
          <w:lang w:val="en-US" w:eastAsia="zh-CN"/>
        </w:rPr>
        <w:t>9</w:t>
      </w:r>
    </w:p>
    <w:p w14:paraId="39BD962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cstheme="minorBidi"/>
          <w:sz w:val="24"/>
          <w:szCs w:val="24"/>
        </w:rPr>
        <w:tab/>
      </w:r>
      <w:r>
        <w:rPr>
          <w:rFonts w:hint="eastAsia" w:cstheme="minorBidi"/>
          <w:sz w:val="24"/>
          <w:szCs w:val="24"/>
          <w:lang w:val="en-US" w:eastAsia="zh-CN"/>
        </w:rPr>
        <w:t>10</w:t>
      </w:r>
    </w:p>
    <w:p w14:paraId="63E99D9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cstheme="minorBidi"/>
          <w:sz w:val="24"/>
          <w:szCs w:val="24"/>
        </w:rPr>
        <w:tab/>
      </w:r>
      <w:r>
        <w:rPr>
          <w:rFonts w:hint="eastAsia" w:cstheme="minorBidi"/>
          <w:sz w:val="24"/>
          <w:szCs w:val="24"/>
          <w:lang w:val="en-US" w:eastAsia="zh-CN"/>
        </w:rPr>
        <w:t>10</w:t>
      </w:r>
    </w:p>
    <w:p w14:paraId="4B514D6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cstheme="minorBidi"/>
          <w:sz w:val="24"/>
          <w:szCs w:val="24"/>
        </w:rPr>
        <w:tab/>
      </w:r>
      <w:r>
        <w:rPr>
          <w:rFonts w:hint="eastAsia" w:cstheme="minorBidi"/>
          <w:sz w:val="24"/>
          <w:szCs w:val="24"/>
          <w:lang w:val="en-US" w:eastAsia="zh-CN"/>
        </w:rPr>
        <w:t>10</w:t>
      </w:r>
    </w:p>
    <w:p w14:paraId="2B889B3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cstheme="minorBidi"/>
          <w:sz w:val="24"/>
          <w:szCs w:val="24"/>
        </w:rPr>
        <w:tab/>
      </w:r>
      <w:r>
        <w:rPr>
          <w:rFonts w:hint="eastAsia" w:cstheme="minorBidi"/>
          <w:sz w:val="24"/>
          <w:szCs w:val="24"/>
          <w:lang w:val="en-US" w:eastAsia="zh-CN"/>
        </w:rPr>
        <w:t>11</w:t>
      </w:r>
    </w:p>
    <w:p w14:paraId="3E45E9E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cstheme="minorBidi"/>
          <w:sz w:val="24"/>
          <w:szCs w:val="24"/>
        </w:rPr>
        <w:tab/>
      </w:r>
      <w:r>
        <w:rPr>
          <w:rFonts w:hint="eastAsia" w:cstheme="minorBidi"/>
          <w:sz w:val="24"/>
          <w:szCs w:val="24"/>
          <w:lang w:val="en-US" w:eastAsia="zh-CN"/>
        </w:rPr>
        <w:t>12</w:t>
      </w:r>
    </w:p>
    <w:p w14:paraId="549E699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cstheme="minorBidi"/>
          <w:sz w:val="24"/>
          <w:szCs w:val="24"/>
        </w:rPr>
        <w:tab/>
      </w:r>
      <w:r>
        <w:rPr>
          <w:rFonts w:hint="eastAsia" w:cstheme="minorBidi"/>
          <w:sz w:val="24"/>
          <w:szCs w:val="24"/>
          <w:lang w:val="en-US" w:eastAsia="zh-CN"/>
        </w:rPr>
        <w:t>15</w:t>
      </w:r>
    </w:p>
    <w:p w14:paraId="462BE32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cstheme="minorBidi"/>
          <w:sz w:val="24"/>
          <w:szCs w:val="24"/>
        </w:rPr>
        <w:tab/>
      </w:r>
      <w:r>
        <w:rPr>
          <w:rFonts w:hint="eastAsia" w:cstheme="minorBidi"/>
          <w:sz w:val="24"/>
          <w:szCs w:val="24"/>
          <w:lang w:val="en-US" w:eastAsia="zh-CN"/>
        </w:rPr>
        <w:t>15</w:t>
      </w:r>
    </w:p>
    <w:p w14:paraId="60D615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cstheme="minorBidi"/>
          <w:sz w:val="24"/>
          <w:szCs w:val="24"/>
        </w:rPr>
        <w:tab/>
      </w:r>
      <w:r>
        <w:rPr>
          <w:rFonts w:hint="eastAsia" w:cstheme="minorBidi"/>
          <w:sz w:val="24"/>
          <w:szCs w:val="24"/>
          <w:lang w:val="en-US" w:eastAsia="zh-CN"/>
        </w:rPr>
        <w:t>15</w:t>
      </w:r>
    </w:p>
    <w:p w14:paraId="3CAD5D6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cstheme="minorBidi"/>
          <w:sz w:val="24"/>
          <w:szCs w:val="24"/>
        </w:rPr>
        <w:tab/>
      </w:r>
      <w:r>
        <w:rPr>
          <w:rFonts w:hint="eastAsia" w:cstheme="minorBidi"/>
          <w:sz w:val="24"/>
          <w:szCs w:val="24"/>
          <w:lang w:val="en-US" w:eastAsia="zh-CN"/>
        </w:rPr>
        <w:t>15</w:t>
      </w:r>
    </w:p>
    <w:p w14:paraId="1E73A38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cstheme="minorBidi"/>
          <w:sz w:val="24"/>
          <w:szCs w:val="24"/>
        </w:rPr>
        <w:tab/>
      </w:r>
      <w:r>
        <w:rPr>
          <w:rFonts w:hint="eastAsia" w:cstheme="minorBidi"/>
          <w:sz w:val="24"/>
          <w:szCs w:val="24"/>
          <w:lang w:val="en-US" w:eastAsia="zh-CN"/>
        </w:rPr>
        <w:t>15</w:t>
      </w:r>
    </w:p>
    <w:p w14:paraId="3CB802E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cstheme="minorBidi"/>
          <w:sz w:val="24"/>
          <w:szCs w:val="24"/>
        </w:rPr>
        <w:tab/>
      </w:r>
      <w:r>
        <w:rPr>
          <w:rFonts w:hint="eastAsia" w:cstheme="minorBidi"/>
          <w:sz w:val="24"/>
          <w:szCs w:val="24"/>
          <w:lang w:val="en-US" w:eastAsia="zh-CN"/>
        </w:rPr>
        <w:t>15</w:t>
      </w:r>
    </w:p>
    <w:p w14:paraId="27E2BAB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cstheme="minorBidi"/>
          <w:sz w:val="24"/>
          <w:szCs w:val="24"/>
        </w:rPr>
        <w:tab/>
      </w:r>
      <w:r>
        <w:rPr>
          <w:rFonts w:hint="eastAsia" w:cstheme="minorBidi"/>
          <w:sz w:val="24"/>
          <w:szCs w:val="24"/>
          <w:lang w:val="en-US" w:eastAsia="zh-CN"/>
        </w:rPr>
        <w:t>15</w:t>
      </w:r>
    </w:p>
    <w:p w14:paraId="1B218DA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cstheme="minorBidi"/>
          <w:sz w:val="24"/>
          <w:szCs w:val="24"/>
        </w:rPr>
        <w:tab/>
      </w:r>
      <w:r>
        <w:rPr>
          <w:rFonts w:hint="eastAsia" w:cstheme="minorBidi"/>
          <w:sz w:val="24"/>
          <w:szCs w:val="24"/>
          <w:lang w:val="en-US" w:eastAsia="zh-CN"/>
        </w:rPr>
        <w:t>15</w:t>
      </w:r>
    </w:p>
    <w:p w14:paraId="2F00818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cstheme="minorBidi"/>
          <w:sz w:val="24"/>
          <w:szCs w:val="24"/>
        </w:rPr>
        <w:tab/>
      </w:r>
      <w:r>
        <w:rPr>
          <w:rFonts w:hint="eastAsia" w:cstheme="minorBidi"/>
          <w:sz w:val="24"/>
          <w:szCs w:val="24"/>
          <w:lang w:val="en-US" w:eastAsia="zh-CN"/>
        </w:rPr>
        <w:t>15</w:t>
      </w:r>
    </w:p>
    <w:p w14:paraId="6536A6E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cstheme="minorBidi"/>
          <w:sz w:val="24"/>
          <w:szCs w:val="24"/>
        </w:rPr>
        <w:tab/>
      </w:r>
      <w:r>
        <w:rPr>
          <w:rFonts w:hint="eastAsia" w:cstheme="minorBidi"/>
          <w:sz w:val="24"/>
          <w:szCs w:val="24"/>
          <w:lang w:val="en-US" w:eastAsia="zh-CN"/>
        </w:rPr>
        <w:t>15</w:t>
      </w:r>
    </w:p>
    <w:p w14:paraId="448179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cstheme="minorBidi"/>
          <w:sz w:val="24"/>
          <w:szCs w:val="24"/>
        </w:rPr>
        <w:tab/>
      </w:r>
      <w:r>
        <w:rPr>
          <w:rFonts w:hint="eastAsia" w:cstheme="minorBidi"/>
          <w:sz w:val="24"/>
          <w:szCs w:val="24"/>
          <w:lang w:val="en-US" w:eastAsia="zh-CN"/>
        </w:rPr>
        <w:t>15</w:t>
      </w:r>
    </w:p>
    <w:p w14:paraId="5D5B870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cstheme="minorBidi"/>
          <w:sz w:val="24"/>
          <w:szCs w:val="24"/>
        </w:rPr>
        <w:tab/>
      </w:r>
      <w:r>
        <w:rPr>
          <w:rFonts w:hint="eastAsia" w:cstheme="minorBidi"/>
          <w:sz w:val="24"/>
          <w:szCs w:val="24"/>
          <w:lang w:val="en-US" w:eastAsia="zh-CN"/>
        </w:rPr>
        <w:t>15</w:t>
      </w:r>
    </w:p>
    <w:p w14:paraId="5F18AAB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cstheme="minorBidi"/>
          <w:sz w:val="24"/>
          <w:szCs w:val="24"/>
        </w:rPr>
        <w:tab/>
      </w:r>
      <w:r>
        <w:rPr>
          <w:rFonts w:hint="eastAsia" w:cstheme="minorBidi"/>
          <w:sz w:val="24"/>
          <w:szCs w:val="24"/>
          <w:lang w:val="en-US" w:eastAsia="zh-CN"/>
        </w:rPr>
        <w:t>15</w:t>
      </w:r>
    </w:p>
    <w:p w14:paraId="0A62727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cstheme="minorBidi"/>
          <w:sz w:val="24"/>
          <w:szCs w:val="24"/>
        </w:rPr>
        <w:tab/>
      </w:r>
      <w:r>
        <w:rPr>
          <w:rFonts w:hint="eastAsia" w:cstheme="minorBidi"/>
          <w:sz w:val="24"/>
          <w:szCs w:val="24"/>
          <w:lang w:val="en-US" w:eastAsia="zh-CN"/>
        </w:rPr>
        <w:t>15</w:t>
      </w:r>
    </w:p>
    <w:p w14:paraId="21EF58F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cstheme="minorBidi"/>
          <w:sz w:val="24"/>
          <w:szCs w:val="24"/>
        </w:rPr>
        <w:tab/>
      </w:r>
      <w:r>
        <w:rPr>
          <w:rFonts w:hint="eastAsia" w:cstheme="minorBidi"/>
          <w:sz w:val="24"/>
          <w:szCs w:val="24"/>
          <w:lang w:val="en-US" w:eastAsia="zh-CN"/>
        </w:rPr>
        <w:t>15</w:t>
      </w:r>
    </w:p>
    <w:p w14:paraId="1FE7768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05F18E85">
      <w:pPr>
        <w:pStyle w:val="5"/>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2EB19063">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160C96BD">
      <w:pPr>
        <w:ind w:firstLine="640" w:firstLineChars="200"/>
        <w:rPr>
          <w:rFonts w:hint="eastAsia"/>
          <w:lang w:eastAsia="zh-CN"/>
        </w:rPr>
      </w:pPr>
      <w:r>
        <w:rPr>
          <w:rFonts w:hint="eastAsia" w:ascii="仿宋" w:hAnsi="仿宋" w:eastAsia="仿宋" w:cs="仿宋"/>
          <w:sz w:val="32"/>
          <w:szCs w:val="32"/>
        </w:rPr>
        <w:t>攀枝花市建筑工程学校创办于1978年，系攀枝花市政府主办、攀枝花市教育和体育局直属的公办学校，占地面积145亩，现有学生3000余人。202</w:t>
      </w:r>
      <w:r>
        <w:rPr>
          <w:rFonts w:hint="eastAsia" w:ascii="仿宋" w:hAnsi="仿宋" w:eastAsia="仿宋" w:cs="仿宋"/>
          <w:sz w:val="32"/>
          <w:szCs w:val="32"/>
          <w:lang w:val="en-US" w:eastAsia="zh-CN"/>
        </w:rPr>
        <w:t>5</w:t>
      </w:r>
      <w:r>
        <w:rPr>
          <w:rFonts w:hint="eastAsia" w:ascii="仿宋" w:hAnsi="仿宋" w:eastAsia="仿宋" w:cs="仿宋"/>
          <w:sz w:val="32"/>
          <w:szCs w:val="32"/>
        </w:rPr>
        <w:t>年学校继续保持了国家中等职业教育改革发展示范学校、四川省精神文明单位、卫生先进单位，四川省校风示范学校、中职学生内务管理示范学校；四川省中等职业学校教学诊断与改进工作试点学校、现代学徒制试点学校、全国“1+X”证书制度试点学校等荣誉称号，成功立项四川省中等职业学校“三名工程”四星名校建设单位。全面贯彻国家职业教育方针，坚持为社会主义现代化建设服务，以就业为导向，努力培养和造就市场需要的有一技之长的专业人才。以立德树人为根本任务，加强学生思想道德和职业道德教育。加强校企合作，发挥校企联合办学的整体优势。主动适应企业用人需求，努力提高人才培养质量，使毕业生素质与企业的需求相适应</w:t>
      </w:r>
      <w:r>
        <w:rPr>
          <w:rFonts w:hint="eastAsia" w:ascii="仿宋" w:hAnsi="仿宋" w:eastAsia="仿宋" w:cs="仿宋"/>
          <w:sz w:val="32"/>
          <w:szCs w:val="32"/>
          <w:lang w:eastAsia="zh-CN"/>
        </w:rPr>
        <w:t>。</w:t>
      </w:r>
    </w:p>
    <w:p w14:paraId="25A59312">
      <w:pPr>
        <w:pStyle w:val="6"/>
        <w:rPr>
          <w:rStyle w:val="29"/>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7B36A7D0">
      <w:pPr>
        <w:widowControl/>
        <w:ind w:firstLine="640" w:firstLineChars="200"/>
        <w:jc w:val="left"/>
        <w:rPr>
          <w:rFonts w:eastAsia="仿宋"/>
          <w:kern w:val="0"/>
          <w:sz w:val="32"/>
          <w:szCs w:val="32"/>
        </w:rPr>
      </w:pPr>
      <w:bookmarkStart w:id="16" w:name="_Toc15396602"/>
      <w:bookmarkStart w:id="17" w:name="_Toc15377204"/>
      <w:r>
        <w:rPr>
          <w:rFonts w:hint="eastAsia" w:ascii="仿宋" w:hAnsi="仿宋" w:eastAsia="仿宋" w:cs="仿宋"/>
          <w:sz w:val="32"/>
          <w:szCs w:val="32"/>
        </w:rPr>
        <w:t>四川省攀枝花市建筑工程学校下属二级</w:t>
      </w:r>
      <w:r>
        <w:rPr>
          <w:rFonts w:hint="eastAsia" w:ascii="仿宋" w:hAnsi="仿宋" w:eastAsia="仿宋" w:cs="仿宋"/>
          <w:sz w:val="32"/>
          <w:szCs w:val="32"/>
          <w:lang w:eastAsia="zh-CN"/>
        </w:rPr>
        <w:t>预算</w:t>
      </w:r>
      <w:r>
        <w:rPr>
          <w:rFonts w:hint="eastAsia" w:ascii="仿宋" w:hAnsi="仿宋" w:eastAsia="仿宋" w:cs="仿宋"/>
          <w:sz w:val="32"/>
          <w:szCs w:val="32"/>
        </w:rPr>
        <w:t>单位</w:t>
      </w:r>
      <w:r>
        <w:rPr>
          <w:rFonts w:hint="eastAsia" w:ascii="仿宋" w:hAnsi="仿宋" w:eastAsia="仿宋" w:cs="仿宋"/>
          <w:sz w:val="32"/>
          <w:szCs w:val="32"/>
          <w:lang w:val="en-US" w:eastAsia="zh-CN"/>
        </w:rPr>
        <w:t>0</w:t>
      </w:r>
      <w:r>
        <w:rPr>
          <w:rFonts w:hint="eastAsia" w:ascii="仿宋" w:hAnsi="仿宋" w:eastAsia="仿宋" w:cs="仿宋"/>
          <w:sz w:val="32"/>
          <w:szCs w:val="32"/>
        </w:rPr>
        <w:t>个，其中行政单位</w:t>
      </w:r>
      <w:r>
        <w:rPr>
          <w:rFonts w:hint="eastAsia" w:ascii="仿宋" w:hAnsi="仿宋" w:eastAsia="仿宋" w:cs="仿宋"/>
          <w:sz w:val="32"/>
          <w:szCs w:val="32"/>
          <w:lang w:val="en-US" w:eastAsia="zh-CN"/>
        </w:rPr>
        <w:t>0</w:t>
      </w:r>
      <w:r>
        <w:rPr>
          <w:rFonts w:hint="eastAsia" w:ascii="仿宋" w:hAnsi="仿宋" w:eastAsia="仿宋" w:cs="仿宋"/>
          <w:sz w:val="32"/>
          <w:szCs w:val="32"/>
        </w:rPr>
        <w:t>个，参照公务员法管理的事业单位</w:t>
      </w:r>
      <w:r>
        <w:rPr>
          <w:rFonts w:hint="eastAsia" w:ascii="仿宋" w:hAnsi="仿宋" w:eastAsia="仿宋" w:cs="仿宋"/>
          <w:sz w:val="32"/>
          <w:szCs w:val="32"/>
          <w:lang w:val="en-US" w:eastAsia="zh-CN"/>
        </w:rPr>
        <w:t>0</w:t>
      </w:r>
      <w:r>
        <w:rPr>
          <w:rFonts w:hint="eastAsia" w:ascii="仿宋" w:hAnsi="仿宋" w:eastAsia="仿宋" w:cs="仿宋"/>
          <w:sz w:val="32"/>
          <w:szCs w:val="32"/>
        </w:rPr>
        <w:t>个，其本单位为攀枝花市教育和体育局所属2级预算单位</w:t>
      </w:r>
      <w:r>
        <w:rPr>
          <w:rFonts w:hint="eastAsia" w:ascii="仿宋" w:hAnsi="仿宋" w:eastAsia="仿宋" w:cs="仿宋"/>
          <w:sz w:val="32"/>
          <w:szCs w:val="32"/>
          <w:lang w:eastAsia="zh-CN"/>
        </w:rPr>
        <w:t>，单位内共</w:t>
      </w:r>
      <w:r>
        <w:rPr>
          <w:rFonts w:hint="eastAsia" w:ascii="仿宋" w:hAnsi="仿宋" w:eastAsia="仿宋" w:cs="仿宋"/>
          <w:sz w:val="32"/>
          <w:szCs w:val="32"/>
          <w:lang w:val="en-US" w:eastAsia="zh-CN"/>
        </w:rPr>
        <w:t>15个科室部门。</w:t>
      </w:r>
    </w:p>
    <w:p w14:paraId="2FE82085">
      <w:pPr>
        <w:pStyle w:val="5"/>
        <w:jc w:val="center"/>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69799DF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2732E760">
      <w:pPr>
        <w:pStyle w:val="27"/>
        <w:spacing w:line="600" w:lineRule="exact"/>
        <w:ind w:firstLine="640"/>
        <w:outlineLvl w:val="1"/>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eastAsia="仿宋_GB2312" w:cs="仿宋_GB2312"/>
          <w:sz w:val="32"/>
          <w:szCs w:val="32"/>
        </w:rPr>
        <w:t>年度收入、支出总计均为</w:t>
      </w:r>
      <w:r>
        <w:rPr>
          <w:rFonts w:hint="eastAsia" w:ascii="仿宋_GB2312" w:hAnsi="仿宋" w:eastAsia="仿宋_GB2312" w:cs="Times New Roman"/>
          <w:sz w:val="32"/>
          <w:szCs w:val="32"/>
          <w:lang w:val="en-US" w:eastAsia="zh-CN"/>
        </w:rPr>
        <w:t>7522.31万元，与2024年度</w:t>
      </w:r>
      <w:r>
        <w:rPr>
          <w:rFonts w:hint="eastAsia" w:ascii="仿宋" w:hAnsi="仿宋" w:eastAsia="仿宋"/>
          <w:sz w:val="32"/>
          <w:szCs w:val="32"/>
        </w:rPr>
        <w:t>7,322.39</w:t>
      </w:r>
      <w:r>
        <w:rPr>
          <w:rFonts w:hint="eastAsia" w:ascii="仿宋_GB2312" w:hAnsi="仿宋" w:eastAsia="仿宋_GB2312" w:cs="Times New Roman"/>
          <w:sz w:val="32"/>
          <w:szCs w:val="32"/>
        </w:rPr>
        <w:t>万元</w:t>
      </w:r>
      <w:r>
        <w:rPr>
          <w:rFonts w:hint="eastAsia" w:ascii="仿宋_GB2312" w:hAnsi="仿宋" w:eastAsia="仿宋_GB2312" w:cs="Times New Roman"/>
          <w:sz w:val="32"/>
          <w:szCs w:val="32"/>
          <w:lang w:val="en-US" w:eastAsia="zh-CN"/>
        </w:rPr>
        <w:t>相比增加199.92万元，增加2.7%,主要原因是2025年度支付了2024年度采购部分剩余货款，以及三名工程资金的支付，并增加了中职学生免学费补助力度。</w:t>
      </w:r>
    </w:p>
    <w:p w14:paraId="36FBF36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38100</wp:posOffset>
            </wp:positionH>
            <wp:positionV relativeFrom="paragraph">
              <wp:posOffset>418465</wp:posOffset>
            </wp:positionV>
            <wp:extent cx="4886325" cy="2790825"/>
            <wp:effectExtent l="0" t="0" r="9525" b="952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4886325" cy="2790825"/>
                    </a:xfrm>
                    <a:prstGeom prst="rect">
                      <a:avLst/>
                    </a:prstGeom>
                    <a:noFill/>
                    <a:ln>
                      <a:noFill/>
                    </a:ln>
                  </pic:spPr>
                </pic:pic>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534DFEF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p>
    <w:p w14:paraId="0C1102F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20"/>
      <w:bookmarkEnd w:id="21"/>
    </w:p>
    <w:p w14:paraId="0E0395A1">
      <w:pPr>
        <w:pStyle w:val="27"/>
        <w:spacing w:line="600" w:lineRule="exact"/>
        <w:ind w:firstLine="640"/>
        <w:outlineLvl w:val="1"/>
        <w:rPr>
          <w:rFonts w:hint="eastAsia" w:ascii="仿宋_GB2312" w:hAnsi="仿宋" w:eastAsia="仿宋_GB2312" w:cs="Times New Roman"/>
          <w:kern w:val="2"/>
          <w:sz w:val="32"/>
          <w:szCs w:val="32"/>
          <w:highlight w:val="none"/>
          <w:lang w:val="en-US" w:eastAsia="zh-CN" w:bidi="ar-SA"/>
        </w:rPr>
      </w:pPr>
      <w:r>
        <w:rPr>
          <w:rFonts w:hint="eastAsia" w:ascii="仿宋_GB2312" w:hAnsi="仿宋" w:eastAsia="仿宋_GB2312" w:cs="Times New Roman"/>
          <w:kern w:val="2"/>
          <w:sz w:val="32"/>
          <w:szCs w:val="32"/>
          <w:highlight w:val="none"/>
          <w:lang w:val="en-US" w:eastAsia="zh-CN" w:bidi="ar-SA"/>
        </w:rPr>
        <w:t>2025年本年收入合计</w:t>
      </w:r>
      <w:r>
        <w:rPr>
          <w:rFonts w:hint="eastAsia" w:ascii="仿宋_GB2312" w:hAnsi="仿宋" w:eastAsia="仿宋_GB2312" w:cs="Times New Roman"/>
          <w:sz w:val="32"/>
          <w:szCs w:val="32"/>
          <w:lang w:val="en-US" w:eastAsia="zh-CN"/>
        </w:rPr>
        <w:t>7522.31</w:t>
      </w:r>
      <w:r>
        <w:rPr>
          <w:rFonts w:hint="eastAsia" w:ascii="仿宋_GB2312" w:hAnsi="仿宋" w:eastAsia="仿宋_GB2312" w:cs="Times New Roman"/>
          <w:kern w:val="2"/>
          <w:sz w:val="32"/>
          <w:szCs w:val="32"/>
          <w:highlight w:val="none"/>
          <w:lang w:val="en-US" w:eastAsia="zh-CN" w:bidi="ar-SA"/>
        </w:rPr>
        <w:t>万元，其中：一般公共预算财政拨款收入7420.2万元，占98.6%；事业收入88.35万元，占1.2%；其他收入13.76万元，占0.2%。</w:t>
      </w:r>
    </w:p>
    <w:p w14:paraId="6266976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01EC872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15396605"/>
      <w:r>
        <w:drawing>
          <wp:anchor distT="0" distB="0" distL="114300" distR="114300" simplePos="0" relativeHeight="251660288" behindDoc="0" locked="0" layoutInCell="1" allowOverlap="1">
            <wp:simplePos x="0" y="0"/>
            <wp:positionH relativeFrom="column">
              <wp:posOffset>390525</wp:posOffset>
            </wp:positionH>
            <wp:positionV relativeFrom="paragraph">
              <wp:posOffset>9525</wp:posOffset>
            </wp:positionV>
            <wp:extent cx="4867275" cy="2790825"/>
            <wp:effectExtent l="0" t="0" r="9525" b="952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4867275" cy="2790825"/>
                    </a:xfrm>
                    <a:prstGeom prst="rect">
                      <a:avLst/>
                    </a:prstGeom>
                    <a:noFill/>
                    <a:ln>
                      <a:noFill/>
                    </a:ln>
                  </pic:spPr>
                </pic:pic>
              </a:graphicData>
            </a:graphic>
          </wp:anchor>
        </w:drawing>
      </w: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1F733F5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321310</wp:posOffset>
            </wp:positionH>
            <wp:positionV relativeFrom="paragraph">
              <wp:posOffset>1652270</wp:posOffset>
            </wp:positionV>
            <wp:extent cx="4857750" cy="2790825"/>
            <wp:effectExtent l="0" t="0" r="0" b="952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1"/>
                    <a:stretch>
                      <a:fillRect/>
                    </a:stretch>
                  </pic:blipFill>
                  <pic:spPr>
                    <a:xfrm>
                      <a:off x="0" y="0"/>
                      <a:ext cx="4857750" cy="2790825"/>
                    </a:xfrm>
                    <a:prstGeom prst="rect">
                      <a:avLst/>
                    </a:prstGeom>
                    <a:noFill/>
                    <a:ln>
                      <a:noFill/>
                    </a:ln>
                  </pic:spPr>
                </pic:pic>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7522.31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5836.36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1685.95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22.4</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%。（图3：支出决算结构图）</w:t>
      </w:r>
    </w:p>
    <w:p w14:paraId="20ED5C86">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08484A2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7420.2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244.54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人员经费正常涨幅，同时去年采购资金完成支付。</w:t>
      </w:r>
    </w:p>
    <w:p w14:paraId="0198BB9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1EA9E268">
      <w:pPr>
        <w:pStyle w:val="2"/>
        <w:rPr>
          <w:rFonts w:hint="eastAsia"/>
          <w:lang w:val="en-US" w:eastAsia="zh-CN"/>
        </w:rPr>
      </w:pPr>
      <w:r>
        <w:drawing>
          <wp:inline distT="0" distB="0" distL="114300" distR="114300">
            <wp:extent cx="4895850" cy="2809875"/>
            <wp:effectExtent l="0" t="0" r="0"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2"/>
                    <a:stretch>
                      <a:fillRect/>
                    </a:stretch>
                  </pic:blipFill>
                  <pic:spPr>
                    <a:xfrm>
                      <a:off x="0" y="0"/>
                      <a:ext cx="4895850" cy="2809875"/>
                    </a:xfrm>
                    <a:prstGeom prst="rect">
                      <a:avLst/>
                    </a:prstGeom>
                    <a:noFill/>
                    <a:ln>
                      <a:noFill/>
                    </a:ln>
                  </pic:spPr>
                </pic:pic>
              </a:graphicData>
            </a:graphic>
          </wp:inline>
        </w:drawing>
      </w:r>
    </w:p>
    <w:p w14:paraId="6E5893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78EA1D1">
      <w:pPr>
        <w:spacing w:line="600" w:lineRule="exact"/>
        <w:ind w:firstLine="640" w:firstLineChars="200"/>
        <w:outlineLvl w:val="1"/>
        <w:rPr>
          <w:rStyle w:val="29"/>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2FC9ADB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4DF93B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7420.2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98.6</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244.54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人员经费正常涨幅，同时去年采购资金完成支付。</w:t>
      </w:r>
    </w:p>
    <w:p w14:paraId="19C8F4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4917221D">
      <w:pPr>
        <w:pStyle w:val="2"/>
        <w:rPr>
          <w:rFonts w:hint="eastAsia" w:ascii="Times New Roman" w:hAnsi="Times New Roman" w:eastAsia="仿宋_GB2312" w:cs="仿宋_GB2312"/>
          <w:color w:val="auto"/>
          <w:kern w:val="2"/>
          <w:sz w:val="32"/>
          <w:szCs w:val="32"/>
          <w:highlight w:val="none"/>
          <w:lang w:val="en-US" w:eastAsia="zh-CN" w:bidi="ar-SA"/>
        </w:rPr>
      </w:pPr>
    </w:p>
    <w:p w14:paraId="2168A712">
      <w:pPr>
        <w:pStyle w:val="3"/>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86325" cy="2809875"/>
            <wp:effectExtent l="0" t="0" r="9525" b="952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3"/>
                    <a:stretch>
                      <a:fillRect/>
                    </a:stretch>
                  </pic:blipFill>
                  <pic:spPr>
                    <a:xfrm>
                      <a:off x="0" y="0"/>
                      <a:ext cx="4886325" cy="2809875"/>
                    </a:xfrm>
                    <a:prstGeom prst="rect">
                      <a:avLst/>
                    </a:prstGeom>
                    <a:noFill/>
                    <a:ln>
                      <a:noFill/>
                    </a:ln>
                  </pic:spPr>
                </pic:pic>
              </a:graphicData>
            </a:graphic>
          </wp:inline>
        </w:drawing>
      </w:r>
    </w:p>
    <w:p w14:paraId="4397C33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20142CA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7420.2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一般公共服务支出2.87万元，占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%；教育支出5758.48万元，占</w:t>
      </w:r>
      <w:r>
        <w:rPr>
          <w:rFonts w:hint="eastAsia" w:eastAsia="仿宋_GB2312" w:cs="仿宋_GB2312"/>
          <w:color w:val="auto"/>
          <w:kern w:val="2"/>
          <w:sz w:val="32"/>
          <w:szCs w:val="32"/>
          <w:highlight w:val="none"/>
          <w:lang w:val="en-US" w:eastAsia="zh-CN" w:bidi="ar-SA"/>
        </w:rPr>
        <w:t>77.6</w:t>
      </w:r>
      <w:r>
        <w:rPr>
          <w:rFonts w:hint="eastAsia" w:ascii="Times New Roman" w:hAnsi="Times New Roman" w:eastAsia="仿宋_GB2312" w:cs="仿宋_GB2312"/>
          <w:color w:val="auto"/>
          <w:kern w:val="2"/>
          <w:sz w:val="32"/>
          <w:szCs w:val="32"/>
          <w:highlight w:val="none"/>
          <w:lang w:val="en-US" w:eastAsia="zh-CN" w:bidi="ar-SA"/>
        </w:rPr>
        <w:t>%；社会保障和就业支出994万元，占</w:t>
      </w:r>
      <w:r>
        <w:rPr>
          <w:rFonts w:hint="eastAsia" w:eastAsia="仿宋_GB2312" w:cs="仿宋_GB2312"/>
          <w:color w:val="auto"/>
          <w:kern w:val="2"/>
          <w:sz w:val="32"/>
          <w:szCs w:val="32"/>
          <w:highlight w:val="none"/>
          <w:lang w:val="en-US" w:eastAsia="zh-CN" w:bidi="ar-SA"/>
        </w:rPr>
        <w:t>13.4</w:t>
      </w:r>
      <w:r>
        <w:rPr>
          <w:rFonts w:hint="eastAsia" w:ascii="Times New Roman" w:hAnsi="Times New Roman" w:eastAsia="仿宋_GB2312" w:cs="仿宋_GB2312"/>
          <w:color w:val="auto"/>
          <w:kern w:val="2"/>
          <w:sz w:val="32"/>
          <w:szCs w:val="32"/>
          <w:highlight w:val="none"/>
          <w:lang w:val="en-US" w:eastAsia="zh-CN" w:bidi="ar-SA"/>
        </w:rPr>
        <w:t>%；卫生健康支出296.26万元，占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%；住房保障支出368.6万元，占</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305D3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61247990">
      <w:pPr>
        <w:pStyle w:val="2"/>
        <w:rPr>
          <w:rFonts w:hint="eastAsia"/>
          <w:lang w:val="en-US" w:eastAsia="zh-CN"/>
        </w:rPr>
      </w:pPr>
      <w:r>
        <w:drawing>
          <wp:anchor distT="0" distB="0" distL="114300" distR="114300" simplePos="0" relativeHeight="251662336" behindDoc="0" locked="0" layoutInCell="1" allowOverlap="1">
            <wp:simplePos x="0" y="0"/>
            <wp:positionH relativeFrom="column">
              <wp:posOffset>342900</wp:posOffset>
            </wp:positionH>
            <wp:positionV relativeFrom="paragraph">
              <wp:posOffset>28575</wp:posOffset>
            </wp:positionV>
            <wp:extent cx="4876800" cy="2800350"/>
            <wp:effectExtent l="0" t="0" r="0" b="0"/>
            <wp:wrapTopAndBottom/>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4"/>
                    <a:stretch>
                      <a:fillRect/>
                    </a:stretch>
                  </pic:blipFill>
                  <pic:spPr>
                    <a:xfrm>
                      <a:off x="0" y="0"/>
                      <a:ext cx="4876800" cy="2800350"/>
                    </a:xfrm>
                    <a:prstGeom prst="rect">
                      <a:avLst/>
                    </a:prstGeom>
                    <a:noFill/>
                    <a:ln>
                      <a:noFill/>
                    </a:ln>
                  </pic:spPr>
                </pic:pic>
              </a:graphicData>
            </a:graphic>
          </wp:anchor>
        </w:drawing>
      </w:r>
    </w:p>
    <w:p w14:paraId="63FF82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87DD69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6769EA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7420.2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0BAFD69C">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1.一般公共服务支出（类）组织事务（款）其他组织事务支出（项）：支出决算为</w:t>
      </w:r>
      <w:r>
        <w:rPr>
          <w:rFonts w:hint="eastAsia" w:eastAsia="仿宋_GB2312" w:cs="仿宋_GB2312"/>
          <w:b w:val="0"/>
          <w:bCs w:val="0"/>
          <w:color w:val="auto"/>
          <w:kern w:val="2"/>
          <w:sz w:val="32"/>
          <w:szCs w:val="32"/>
          <w:highlight w:val="none"/>
          <w:lang w:val="en-US" w:eastAsia="zh-CN" w:bidi="ar-SA"/>
        </w:rPr>
        <w:t>2.87</w:t>
      </w:r>
      <w:r>
        <w:rPr>
          <w:rFonts w:hint="eastAsia" w:ascii="Times New Roman" w:hAnsi="Times New Roman" w:eastAsia="仿宋_GB2312" w:cs="仿宋_GB2312"/>
          <w:b w:val="0"/>
          <w:bCs w:val="0"/>
          <w:color w:val="auto"/>
          <w:kern w:val="2"/>
          <w:sz w:val="32"/>
          <w:szCs w:val="32"/>
          <w:highlight w:val="none"/>
          <w:lang w:val="en-US" w:eastAsia="zh-CN" w:bidi="ar-SA"/>
        </w:rPr>
        <w:t>万元，完成预算100%，与预算持平。</w:t>
      </w:r>
    </w:p>
    <w:p w14:paraId="56FE8918">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2.教育支出（类）职业教育（款）中等职业教育（项）:支出决算为</w:t>
      </w:r>
      <w:r>
        <w:rPr>
          <w:rFonts w:hint="eastAsia" w:eastAsia="仿宋_GB2312" w:cs="仿宋_GB2312"/>
          <w:b w:val="0"/>
          <w:bCs w:val="0"/>
          <w:color w:val="auto"/>
          <w:kern w:val="2"/>
          <w:sz w:val="32"/>
          <w:szCs w:val="32"/>
          <w:highlight w:val="none"/>
          <w:lang w:val="en-US" w:eastAsia="zh-CN" w:bidi="ar-SA"/>
        </w:rPr>
        <w:t>5718.34</w:t>
      </w:r>
      <w:r>
        <w:rPr>
          <w:rFonts w:hint="eastAsia" w:ascii="Times New Roman" w:hAnsi="Times New Roman" w:eastAsia="仿宋_GB2312" w:cs="仿宋_GB2312"/>
          <w:b w:val="0"/>
          <w:bCs w:val="0"/>
          <w:color w:val="auto"/>
          <w:kern w:val="2"/>
          <w:sz w:val="32"/>
          <w:szCs w:val="32"/>
          <w:highlight w:val="none"/>
          <w:lang w:val="en-US" w:eastAsia="zh-CN" w:bidi="ar-SA"/>
        </w:rPr>
        <w:t>万元，完成预算100%，与预算数持平。</w:t>
      </w:r>
    </w:p>
    <w:p w14:paraId="3909B79A">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3.教育支出（类）教育费附加安排的支出（款）其他教育费附加安排的支出（项）:支出决算为40.14万元，完成预算100%，与预算数持平。</w:t>
      </w:r>
    </w:p>
    <w:p w14:paraId="34D11CF8">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4.社会保障和就业支出（类）行政事业单位养老支出（款）机关事业单位基本养老保险缴费支出（项）:支出决算为504.5万元，完成预算100%，与预算数持平。</w:t>
      </w:r>
    </w:p>
    <w:p w14:paraId="19E209DE">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5</w:t>
      </w:r>
      <w:r>
        <w:rPr>
          <w:rFonts w:hint="eastAsia" w:ascii="Times New Roman" w:hAnsi="Times New Roman" w:eastAsia="仿宋_GB2312" w:cs="仿宋_GB2312"/>
          <w:b w:val="0"/>
          <w:bCs w:val="0"/>
          <w:color w:val="auto"/>
          <w:kern w:val="2"/>
          <w:sz w:val="32"/>
          <w:szCs w:val="32"/>
          <w:highlight w:val="none"/>
          <w:lang w:val="en-US" w:eastAsia="zh-CN" w:bidi="ar-SA"/>
        </w:rPr>
        <w:t>.社会保障和就业支出（类）行政事业单位养老支出（款）事业单位离退休（项）:支出决算为388.4万元，完成预算100%，与预算数持平。</w:t>
      </w:r>
    </w:p>
    <w:p w14:paraId="76860B53">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6</w:t>
      </w:r>
      <w:r>
        <w:rPr>
          <w:rFonts w:hint="eastAsia" w:ascii="Times New Roman" w:hAnsi="Times New Roman" w:eastAsia="仿宋_GB2312" w:cs="仿宋_GB2312"/>
          <w:b w:val="0"/>
          <w:bCs w:val="0"/>
          <w:color w:val="auto"/>
          <w:kern w:val="2"/>
          <w:sz w:val="32"/>
          <w:szCs w:val="32"/>
          <w:highlight w:val="none"/>
          <w:lang w:val="en-US" w:eastAsia="zh-CN" w:bidi="ar-SA"/>
        </w:rPr>
        <w:t>.社会保障和就业支出（类）行政事业单位养老支出（款）机关事业单位职业年金缴费支出（项）:支出决算为75.59万元，完成预算100%，与预算数持平。</w:t>
      </w:r>
    </w:p>
    <w:p w14:paraId="6D95F16D">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7</w:t>
      </w:r>
      <w:r>
        <w:rPr>
          <w:rFonts w:hint="eastAsia" w:ascii="Times New Roman" w:hAnsi="Times New Roman" w:eastAsia="仿宋_GB2312" w:cs="仿宋_GB2312"/>
          <w:b w:val="0"/>
          <w:bCs w:val="0"/>
          <w:color w:val="auto"/>
          <w:kern w:val="2"/>
          <w:sz w:val="32"/>
          <w:szCs w:val="32"/>
          <w:highlight w:val="none"/>
          <w:lang w:val="en-US" w:eastAsia="zh-CN" w:bidi="ar-SA"/>
        </w:rPr>
        <w:t>.社会保障和就业支出（类）抚恤（款）死亡抚恤（项）:支出决算为15.79万元，完成预算100%，与预算数持平。</w:t>
      </w:r>
    </w:p>
    <w:p w14:paraId="5B858021">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 xml:space="preserve"> </w:t>
      </w:r>
      <w:r>
        <w:rPr>
          <w:rFonts w:hint="eastAsia" w:eastAsia="仿宋_GB2312" w:cs="仿宋_GB2312"/>
          <w:b w:val="0"/>
          <w:bCs w:val="0"/>
          <w:color w:val="auto"/>
          <w:kern w:val="2"/>
          <w:sz w:val="32"/>
          <w:szCs w:val="32"/>
          <w:highlight w:val="none"/>
          <w:lang w:val="en-US" w:eastAsia="zh-CN" w:bidi="ar-SA"/>
        </w:rPr>
        <w:t>8</w:t>
      </w:r>
      <w:r>
        <w:rPr>
          <w:rFonts w:hint="eastAsia" w:ascii="Times New Roman" w:hAnsi="Times New Roman" w:eastAsia="仿宋_GB2312" w:cs="仿宋_GB2312"/>
          <w:b w:val="0"/>
          <w:bCs w:val="0"/>
          <w:color w:val="auto"/>
          <w:kern w:val="2"/>
          <w:sz w:val="32"/>
          <w:szCs w:val="32"/>
          <w:highlight w:val="none"/>
          <w:lang w:val="en-US" w:eastAsia="zh-CN" w:bidi="ar-SA"/>
        </w:rPr>
        <w:t>.卫生健康（类）行政事业单位医疗（款）事业单位医疗（项）:支出决算为236.58万元，完成预算100%。</w:t>
      </w:r>
    </w:p>
    <w:p w14:paraId="6DAADC87">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9</w:t>
      </w:r>
      <w:r>
        <w:rPr>
          <w:rFonts w:hint="eastAsia" w:ascii="Times New Roman" w:hAnsi="Times New Roman" w:eastAsia="仿宋_GB2312" w:cs="仿宋_GB2312"/>
          <w:b w:val="0"/>
          <w:bCs w:val="0"/>
          <w:color w:val="auto"/>
          <w:kern w:val="2"/>
          <w:sz w:val="32"/>
          <w:szCs w:val="32"/>
          <w:highlight w:val="none"/>
          <w:lang w:val="en-US" w:eastAsia="zh-CN" w:bidi="ar-SA"/>
        </w:rPr>
        <w:t>.卫生健康（类）行政事业单位医疗（款）公务员医疗补助（项）:支出决算为57.01万元，完成预算100%。</w:t>
      </w:r>
    </w:p>
    <w:p w14:paraId="3B9B7526">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1</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卫生健康（类）其他卫生健康支出（款）其他卫生健康支出（项）:支出决算为2.67万元，完成预算100%。</w:t>
      </w:r>
    </w:p>
    <w:p w14:paraId="408C26E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11</w:t>
      </w:r>
      <w:r>
        <w:rPr>
          <w:rFonts w:hint="eastAsia" w:ascii="Times New Roman" w:hAnsi="Times New Roman" w:eastAsia="仿宋_GB2312" w:cs="仿宋_GB2312"/>
          <w:b w:val="0"/>
          <w:bCs w:val="0"/>
          <w:color w:val="auto"/>
          <w:kern w:val="2"/>
          <w:sz w:val="32"/>
          <w:szCs w:val="32"/>
          <w:highlight w:val="none"/>
          <w:lang w:val="en-US" w:eastAsia="zh-CN" w:bidi="ar-SA"/>
        </w:rPr>
        <w:t>.住房保障支出（类）住房改革支出（款）住房公积金（项）:支出决算为368.6万元，完成预算100%。</w:t>
      </w:r>
    </w:p>
    <w:p w14:paraId="2EA90E72">
      <w:pPr>
        <w:tabs>
          <w:tab w:val="right" w:pos="8306"/>
        </w:tabs>
        <w:spacing w:line="600" w:lineRule="exact"/>
        <w:ind w:firstLine="640"/>
        <w:outlineLvl w:val="1"/>
        <w:rPr>
          <w:rStyle w:val="29"/>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144D16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5734.25</w:t>
      </w:r>
      <w:r>
        <w:rPr>
          <w:rFonts w:hint="eastAsia" w:ascii="Times New Roman" w:hAnsi="Times New Roman" w:eastAsia="仿宋_GB2312" w:cs="仿宋_GB2312"/>
          <w:color w:val="auto"/>
          <w:kern w:val="2"/>
          <w:sz w:val="32"/>
          <w:szCs w:val="32"/>
          <w:highlight w:val="none"/>
          <w:lang w:val="en-US" w:eastAsia="zh-CN" w:bidi="ar-SA"/>
        </w:rPr>
        <w:t>万元，其中：</w:t>
      </w:r>
    </w:p>
    <w:p w14:paraId="02EF90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5687.98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46.28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770F8A1">
      <w:pPr>
        <w:spacing w:line="600" w:lineRule="exact"/>
        <w:ind w:firstLine="640"/>
        <w:outlineLvl w:val="1"/>
        <w:rPr>
          <w:rStyle w:val="29"/>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12CD93F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5EBE693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仿宋" w:hAnsi="仿宋" w:eastAsia="仿宋"/>
          <w:sz w:val="32"/>
          <w:szCs w:val="32"/>
        </w:rPr>
        <w:t>年度“三公”经费财政拨款支出决算为</w:t>
      </w:r>
      <w:r>
        <w:rPr>
          <w:rFonts w:ascii="仿宋" w:hAnsi="仿宋" w:eastAsia="仿宋"/>
          <w:b/>
          <w:sz w:val="32"/>
          <w:szCs w:val="32"/>
        </w:rPr>
        <w:t>0</w:t>
      </w:r>
      <w:r>
        <w:rPr>
          <w:rFonts w:hint="eastAsia" w:ascii="仿宋" w:hAnsi="仿宋" w:eastAsia="仿宋"/>
          <w:sz w:val="32"/>
          <w:szCs w:val="32"/>
        </w:rPr>
        <w:t>万元，完成预算</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p>
    <w:p w14:paraId="6D18A29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506CCE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仿宋" w:hAnsi="仿宋" w:eastAsia="仿宋"/>
          <w:sz w:val="32"/>
          <w:szCs w:val="32"/>
        </w:rPr>
        <w:t>年度“三公”经费财政拨款支出决算中，因公出国（境）费支出决算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；公务接待费支出决算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p>
    <w:p w14:paraId="180D4AD1">
      <w:pPr>
        <w:spacing w:line="600" w:lineRule="exact"/>
        <w:ind w:firstLine="64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rStyle w:val="17"/>
          <w:rFonts w:ascii="仿宋" w:hAnsi="仿宋" w:eastAsia="仿宋"/>
          <w:bCs/>
          <w:sz w:val="32"/>
          <w:szCs w:val="32"/>
        </w:rPr>
        <w:t>0</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w:t>
      </w:r>
    </w:p>
    <w:p w14:paraId="0312A71D">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 w:hAnsi="仿宋" w:eastAsia="仿宋"/>
          <w:b/>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rStyle w:val="17"/>
          <w:rFonts w:ascii="仿宋" w:hAnsi="仿宋" w:eastAsia="仿宋"/>
          <w:bCs/>
          <w:sz w:val="32"/>
          <w:szCs w:val="32"/>
        </w:rPr>
        <w:t>0</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公务用车购置及运行维护费支出决算比202</w:t>
      </w:r>
      <w:r>
        <w:rPr>
          <w:rFonts w:hint="eastAsia" w:ascii="仿宋_GB2312" w:eastAsia="仿宋_GB2312"/>
          <w:sz w:val="32"/>
          <w:szCs w:val="32"/>
          <w:lang w:val="en-US" w:eastAsia="zh-CN"/>
        </w:rPr>
        <w:t>3</w:t>
      </w:r>
      <w:r>
        <w:rPr>
          <w:rFonts w:hint="eastAsia" w:ascii="仿宋_GB2312" w:eastAsia="仿宋_GB2312"/>
          <w:sz w:val="32"/>
          <w:szCs w:val="32"/>
        </w:rPr>
        <w:t>年度</w:t>
      </w:r>
      <w:r>
        <w:rPr>
          <w:rFonts w:hint="eastAsia" w:ascii="仿宋_GB2312" w:eastAsia="仿宋_GB2312"/>
          <w:sz w:val="32"/>
          <w:szCs w:val="32"/>
          <w:lang w:val="en-US" w:eastAsia="zh-CN"/>
        </w:rPr>
        <w:t>无变动</w:t>
      </w:r>
      <w:r>
        <w:rPr>
          <w:rFonts w:hint="eastAsia" w:ascii="仿宋_GB2312" w:eastAsia="仿宋_GB2312"/>
          <w:sz w:val="32"/>
          <w:szCs w:val="32"/>
        </w:rPr>
        <w:t>。主要原因是</w:t>
      </w:r>
      <w:r>
        <w:rPr>
          <w:rFonts w:hint="eastAsia" w:ascii="仿宋_GB2312" w:eastAsia="仿宋_GB2312"/>
          <w:sz w:val="32"/>
          <w:szCs w:val="32"/>
          <w:lang w:eastAsia="zh-CN"/>
        </w:rPr>
        <w:t>本年度无三公经费预算</w:t>
      </w:r>
      <w:r>
        <w:rPr>
          <w:rFonts w:hint="eastAsia" w:ascii="仿宋_GB2312" w:eastAsia="仿宋_GB2312"/>
          <w:sz w:val="32"/>
          <w:szCs w:val="32"/>
        </w:rPr>
        <w:t>。</w:t>
      </w:r>
    </w:p>
    <w:p w14:paraId="65690D9D">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万元。截至202</w:t>
      </w:r>
      <w:r>
        <w:rPr>
          <w:rFonts w:hint="eastAsia" w:ascii="仿宋_GB2312" w:eastAsia="仿宋_GB2312"/>
          <w:sz w:val="32"/>
          <w:szCs w:val="32"/>
          <w:lang w:val="en-US" w:eastAsia="zh-CN"/>
        </w:rPr>
        <w:t>4</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2</w:t>
      </w:r>
      <w:r>
        <w:rPr>
          <w:rFonts w:hint="eastAsia" w:ascii="仿宋_GB2312" w:eastAsia="仿宋_GB2312"/>
          <w:sz w:val="32"/>
          <w:szCs w:val="32"/>
        </w:rPr>
        <w:t>辆，其中：轿车</w:t>
      </w:r>
      <w:r>
        <w:rPr>
          <w:rFonts w:hint="eastAsia" w:ascii="仿宋_GB2312" w:eastAsia="仿宋_GB2312"/>
          <w:sz w:val="32"/>
          <w:szCs w:val="32"/>
          <w:lang w:val="en-US" w:eastAsia="zh-CN"/>
        </w:rPr>
        <w:t>1</w:t>
      </w:r>
      <w:r>
        <w:rPr>
          <w:rFonts w:hint="eastAsia" w:ascii="仿宋_GB2312" w:eastAsia="仿宋_GB2312"/>
          <w:sz w:val="32"/>
          <w:szCs w:val="32"/>
        </w:rPr>
        <w:t>辆、越野车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1</w:t>
      </w:r>
      <w:r>
        <w:rPr>
          <w:rFonts w:hint="eastAsia" w:ascii="仿宋_GB2312" w:eastAsia="仿宋_GB2312"/>
          <w:sz w:val="32"/>
          <w:szCs w:val="32"/>
        </w:rPr>
        <w:t>辆。</w:t>
      </w:r>
    </w:p>
    <w:p w14:paraId="2C589B9B">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rFonts w:ascii="仿宋" w:hAnsi="仿宋" w:eastAsia="仿宋"/>
          <w:b/>
          <w:sz w:val="32"/>
          <w:szCs w:val="32"/>
        </w:rPr>
        <w:t>0</w:t>
      </w:r>
      <w:r>
        <w:rPr>
          <w:rFonts w:hint="eastAsia" w:ascii="仿宋_GB2312" w:eastAsia="仿宋_GB2312"/>
          <w:sz w:val="32"/>
          <w:szCs w:val="32"/>
        </w:rPr>
        <w:t>万元。</w:t>
      </w:r>
    </w:p>
    <w:p w14:paraId="3E2A804B">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rStyle w:val="17"/>
          <w:rFonts w:ascii="仿宋" w:hAnsi="仿宋" w:eastAsia="仿宋"/>
          <w:b w:val="0"/>
          <w:bCs/>
          <w:sz w:val="32"/>
          <w:szCs w:val="32"/>
        </w:rPr>
        <w:t>0%</w:t>
      </w:r>
      <w:r>
        <w:rPr>
          <w:rStyle w:val="17"/>
          <w:rFonts w:hint="eastAsia" w:ascii="仿宋" w:hAnsi="仿宋" w:eastAsia="仿宋"/>
          <w:b w:val="0"/>
          <w:bCs/>
          <w:sz w:val="32"/>
          <w:szCs w:val="32"/>
        </w:rPr>
        <w:t>。</w:t>
      </w:r>
      <w:r>
        <w:rPr>
          <w:rFonts w:hint="eastAsia" w:ascii="仿宋_GB2312" w:eastAsia="仿宋_GB2312"/>
          <w:sz w:val="32"/>
          <w:szCs w:val="32"/>
        </w:rPr>
        <w:t>公务接待费支出决算比202</w:t>
      </w:r>
      <w:r>
        <w:rPr>
          <w:rFonts w:hint="eastAsia" w:ascii="仿宋_GB2312" w:eastAsia="仿宋_GB2312"/>
          <w:sz w:val="32"/>
          <w:szCs w:val="32"/>
          <w:lang w:val="en-US" w:eastAsia="zh-CN"/>
        </w:rPr>
        <w:t>3</w:t>
      </w:r>
      <w:r>
        <w:rPr>
          <w:rFonts w:hint="eastAsia" w:ascii="仿宋_GB2312" w:eastAsia="仿宋_GB2312"/>
          <w:sz w:val="32"/>
          <w:szCs w:val="32"/>
        </w:rPr>
        <w:t>年度</w:t>
      </w:r>
      <w:r>
        <w:rPr>
          <w:rFonts w:hint="eastAsia" w:ascii="仿宋_GB2312" w:eastAsia="仿宋_GB2312"/>
          <w:sz w:val="32"/>
          <w:szCs w:val="32"/>
          <w:lang w:val="en-US" w:eastAsia="zh-CN"/>
        </w:rPr>
        <w:t>无变动</w:t>
      </w:r>
      <w:r>
        <w:rPr>
          <w:rFonts w:hint="eastAsia" w:ascii="仿宋_GB2312" w:eastAsia="仿宋_GB2312"/>
          <w:sz w:val="32"/>
          <w:szCs w:val="32"/>
        </w:rPr>
        <w:t>。主要原因是</w:t>
      </w:r>
      <w:r>
        <w:rPr>
          <w:rFonts w:hint="eastAsia" w:ascii="仿宋_GB2312" w:eastAsia="仿宋_GB2312"/>
          <w:sz w:val="32"/>
          <w:szCs w:val="32"/>
          <w:lang w:eastAsia="zh-CN"/>
        </w:rPr>
        <w:t>本年度无三公经费预算。</w:t>
      </w:r>
      <w:bookmarkStart w:id="40" w:name="_Toc15396610"/>
      <w:bookmarkStart w:id="41" w:name="_Toc15377218"/>
    </w:p>
    <w:p w14:paraId="0006546E">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1AB679E8">
      <w:pPr>
        <w:spacing w:line="600" w:lineRule="exact"/>
        <w:ind w:firstLine="640"/>
        <w:rPr>
          <w:rFonts w:hint="eastAsia"/>
        </w:rPr>
      </w:pPr>
      <w:r>
        <w:rPr>
          <w:rFonts w:hint="eastAsia" w:eastAsia="仿宋_GB2312" w:cs="仿宋_GB2312"/>
          <w:color w:val="auto"/>
          <w:kern w:val="2"/>
          <w:sz w:val="32"/>
          <w:szCs w:val="32"/>
          <w:highlight w:val="none"/>
          <w:lang w:val="en-US" w:eastAsia="zh-CN" w:bidi="ar-SA"/>
        </w:rPr>
        <w:t>2025</w:t>
      </w:r>
      <w:bookmarkStart w:id="42" w:name="_Toc15377219"/>
      <w:bookmarkStart w:id="43" w:name="_Toc15396611"/>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w:t>
      </w:r>
    </w:p>
    <w:p w14:paraId="1E8F60AF">
      <w:pPr>
        <w:numPr>
          <w:ilvl w:val="0"/>
          <w:numId w:val="0"/>
        </w:numPr>
        <w:spacing w:line="600" w:lineRule="exact"/>
        <w:ind w:left="630" w:leftChars="0"/>
        <w:outlineLvl w:val="1"/>
        <w:rPr>
          <w:rStyle w:val="29"/>
          <w:rFonts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575A0008">
      <w:pPr>
        <w:numPr>
          <w:ilvl w:val="0"/>
          <w:numId w:val="0"/>
        </w:numPr>
        <w:ind w:left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w:t>
      </w:r>
    </w:p>
    <w:p w14:paraId="348AF386">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96612"/>
      <w:bookmarkStart w:id="4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40B71A0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1462C1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ascii="仿宋_GB2312" w:eastAsia="仿宋_GB2312"/>
          <w:b w:val="0"/>
          <w:bCs/>
          <w:sz w:val="32"/>
          <w:szCs w:val="32"/>
        </w:rPr>
        <w:t>四川省攀枝花市建筑工程学校</w:t>
      </w:r>
      <w:r>
        <w:rPr>
          <w:rFonts w:hint="eastAsia" w:ascii="仿宋_GB2312" w:eastAsia="仿宋_GB2312"/>
          <w:b w:val="0"/>
          <w:bCs/>
          <w:sz w:val="32"/>
          <w:szCs w:val="32"/>
        </w:rPr>
        <w:t>机</w:t>
      </w:r>
      <w:r>
        <w:rPr>
          <w:rFonts w:hint="eastAsia" w:ascii="仿宋_GB2312" w:eastAsia="仿宋_GB2312"/>
          <w:sz w:val="32"/>
          <w:szCs w:val="32"/>
        </w:rPr>
        <w:t>关运行经费支出</w:t>
      </w:r>
      <w:r>
        <w:rPr>
          <w:rFonts w:ascii="仿宋" w:hAnsi="仿宋" w:eastAsia="仿宋"/>
          <w:b/>
          <w:sz w:val="32"/>
          <w:szCs w:val="32"/>
        </w:rPr>
        <w:t>0</w:t>
      </w:r>
      <w:r>
        <w:rPr>
          <w:rFonts w:hint="eastAsia" w:ascii="仿宋_GB2312" w:eastAsia="仿宋_GB2312"/>
          <w:sz w:val="32"/>
          <w:szCs w:val="32"/>
        </w:rPr>
        <w:t>万元。</w:t>
      </w:r>
    </w:p>
    <w:p w14:paraId="4A539F9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6FE6B0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攀枝花市建筑工程学校</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655.06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336.33</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317.37</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1.36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auto"/>
          <w:kern w:val="2"/>
          <w:sz w:val="32"/>
          <w:szCs w:val="32"/>
          <w:highlight w:val="none"/>
          <w:lang w:val="en-US" w:eastAsia="zh-CN" w:bidi="ar-SA"/>
        </w:rPr>
        <w:t>主要用于办公设备、教学仪器设备、实训设施设备以及篮球场、宿舍楼修缮</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654.7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99.9</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654.7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99.9</w:t>
      </w:r>
      <w:r>
        <w:rPr>
          <w:rFonts w:hint="eastAsia" w:ascii="Times New Roman" w:hAnsi="Times New Roman" w:eastAsia="仿宋_GB2312" w:cs="仿宋_GB2312"/>
          <w:color w:val="auto"/>
          <w:kern w:val="2"/>
          <w:sz w:val="32"/>
          <w:szCs w:val="32"/>
          <w:highlight w:val="none"/>
          <w:lang w:val="en-US" w:eastAsia="zh-CN" w:bidi="ar-SA"/>
        </w:rPr>
        <w:t>%。</w:t>
      </w:r>
    </w:p>
    <w:p w14:paraId="21D2078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4743EF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攀枝花市建筑工程学校</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公务用车2辆和驾校培训用车。</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8F29D8D">
      <w:pPr>
        <w:spacing w:line="600" w:lineRule="exact"/>
        <w:ind w:firstLine="643" w:firstLineChars="200"/>
        <w:outlineLvl w:val="2"/>
        <w:rPr>
          <w:rFonts w:hint="eastAsia" w:ascii="Times New Roman" w:hAnsi="Times New Roman" w:eastAsia="楷体_GB2312" w:cs="楷体_GB2312"/>
          <w:b/>
          <w:color w:val="auto"/>
          <w:sz w:val="32"/>
          <w:szCs w:val="32"/>
          <w:highlight w:val="lightGray"/>
        </w:rPr>
      </w:pPr>
      <w:r>
        <w:rPr>
          <w:rFonts w:hint="eastAsia" w:ascii="Times New Roman" w:hAnsi="Times New Roman" w:eastAsia="楷体_GB2312" w:cs="楷体_GB2312"/>
          <w:b/>
          <w:color w:val="auto"/>
          <w:sz w:val="32"/>
          <w:szCs w:val="32"/>
          <w:highlight w:val="none"/>
        </w:rPr>
        <w:t>（四）预算绩效管理情况</w:t>
      </w:r>
    </w:p>
    <w:p w14:paraId="30D6AE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攀枝花市建筑工程学校</w:t>
      </w:r>
      <w:r>
        <w:rPr>
          <w:rFonts w:hint="eastAsia" w:ascii="Times New Roman" w:hAnsi="Times New Roman" w:eastAsia="仿宋_GB2312" w:cs="仿宋_GB2312"/>
          <w:color w:val="auto"/>
          <w:kern w:val="2"/>
          <w:sz w:val="32"/>
          <w:szCs w:val="32"/>
          <w:highlight w:val="none"/>
          <w:lang w:val="en-US" w:eastAsia="zh-CN" w:bidi="ar-SA"/>
        </w:rPr>
        <w:t>在2025年度，组织对中央现代职业教育质量提升计划资金等</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1692</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1DE211D0">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13AA65F9">
      <w:pPr>
        <w:spacing w:line="600" w:lineRule="exact"/>
        <w:jc w:val="left"/>
        <w:rPr>
          <w:rFonts w:ascii="Times New Roman" w:hAnsi="Times New Roman"/>
          <w:b/>
          <w:color w:val="auto"/>
          <w:sz w:val="44"/>
          <w:szCs w:val="44"/>
          <w:highlight w:val="none"/>
        </w:rPr>
      </w:pPr>
    </w:p>
    <w:p w14:paraId="24EE6B07">
      <w:pPr>
        <w:pStyle w:val="26"/>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7C2B8D49">
      <w:pPr>
        <w:pStyle w:val="26"/>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293B5100">
      <w:pPr>
        <w:pStyle w:val="26"/>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4983B57C">
      <w:pPr>
        <w:pStyle w:val="26"/>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其他收入：指单位取得的除上述收入以外的各项收入。主要是区县承担的民区学生免学费等。</w:t>
      </w:r>
    </w:p>
    <w:p w14:paraId="793A78BB">
      <w:pPr>
        <w:pStyle w:val="26"/>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p>
    <w:p w14:paraId="10065365">
      <w:pPr>
        <w:pStyle w:val="26"/>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p>
    <w:p w14:paraId="51C9B722">
      <w:pPr>
        <w:pStyle w:val="26"/>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4D1994C7">
      <w:pPr>
        <w:pStyle w:val="26"/>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0156820F">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9.一般公共服务（类）组织事务（款）其他组织事务支出（项）：反映政府提供一般公共服务支出。</w:t>
      </w:r>
    </w:p>
    <w:p w14:paraId="6FD6B595">
      <w:pPr>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Fonts w:hint="eastAsia" w:ascii="仿宋_GB2312" w:eastAsia="仿宋_GB2312"/>
          <w:color w:val="000000"/>
          <w:sz w:val="32"/>
          <w:szCs w:val="32"/>
        </w:rPr>
        <w:t>教育（类）职业教育（款）中等职业教育（项）：指各部门举办的中等职业教育支出。</w:t>
      </w:r>
    </w:p>
    <w:p w14:paraId="1071CB1E">
      <w:pPr>
        <w:pStyle w:val="26"/>
        <w:spacing w:line="560" w:lineRule="exact"/>
        <w:ind w:firstLine="640" w:firstLineChars="200"/>
        <w:rPr>
          <w:rStyle w:val="17"/>
          <w:rFonts w:hAnsi="仿宋"/>
          <w:bCs/>
          <w:sz w:val="32"/>
          <w:szCs w:val="32"/>
        </w:rPr>
      </w:pPr>
      <w:r>
        <w:rPr>
          <w:rFonts w:hint="eastAsia" w:ascii="仿宋_GB2312" w:hAnsi="Times New Roman" w:eastAsia="仿宋_GB2312" w:cs="Times New Roman"/>
          <w:kern w:val="2"/>
          <w:sz w:val="32"/>
          <w:szCs w:val="32"/>
        </w:rPr>
        <w:t>11.教育（类）进修及培训（款）教师进修（项）：指用于教师培训的支出。</w:t>
      </w:r>
    </w:p>
    <w:p w14:paraId="3220F11F">
      <w:pPr>
        <w:ind w:firstLine="640" w:firstLineChars="200"/>
        <w:rPr>
          <w:rFonts w:ascii="仿宋_GB2312" w:eastAsia="仿宋_GB2312"/>
          <w:color w:val="000000"/>
          <w:sz w:val="32"/>
          <w:szCs w:val="32"/>
        </w:rPr>
      </w:pPr>
      <w:r>
        <w:rPr>
          <w:rFonts w:hint="eastAsia" w:ascii="仿宋_GB2312" w:eastAsia="仿宋_GB2312"/>
          <w:color w:val="000000"/>
          <w:sz w:val="32"/>
          <w:szCs w:val="32"/>
        </w:rPr>
        <w:t>12.教育（类）教育费附加安排的支出（款）其他教育费附加安排的支出（项）：民区学生免费教育经费，用于改善办学条件，充实学校公用经费等支出。</w:t>
      </w:r>
    </w:p>
    <w:p w14:paraId="7E87AFB2">
      <w:pPr>
        <w:ind w:firstLine="640" w:firstLineChars="200"/>
        <w:rPr>
          <w:rFonts w:ascii="仿宋_GB2312" w:eastAsia="仿宋_GB2312"/>
          <w:color w:val="000000"/>
          <w:sz w:val="32"/>
          <w:szCs w:val="32"/>
        </w:rPr>
      </w:pPr>
      <w:r>
        <w:rPr>
          <w:rFonts w:hint="eastAsia" w:ascii="仿宋_GB2312" w:eastAsia="仿宋_GB2312"/>
          <w:color w:val="000000"/>
          <w:sz w:val="32"/>
          <w:szCs w:val="32"/>
        </w:rPr>
        <w:t>13.社会保障和就业（类）人力资源和社会保障管理事务（款）其他人力资源和社会保障管理事务支出（项）：用于引进高层次人才的安家费及房租支出。</w:t>
      </w:r>
    </w:p>
    <w:p w14:paraId="3CB191C5">
      <w:pPr>
        <w:ind w:firstLine="640" w:firstLineChars="200"/>
        <w:rPr>
          <w:rFonts w:ascii="仿宋_GB2312" w:eastAsia="仿宋_GB2312"/>
          <w:color w:val="000000"/>
          <w:sz w:val="32"/>
          <w:szCs w:val="32"/>
        </w:rPr>
      </w:pPr>
      <w:r>
        <w:rPr>
          <w:rFonts w:hint="eastAsia" w:ascii="仿宋_GB2312" w:eastAsia="仿宋_GB2312"/>
          <w:color w:val="000000"/>
          <w:sz w:val="32"/>
          <w:szCs w:val="32"/>
        </w:rPr>
        <w:t>14.社会保障和就业（类）行政事业单位养老支出（款）机关事业单位基本养老保险缴费支出（项）：用于机关事业单位职工基本养老保险单位部份缴费支出。</w:t>
      </w:r>
    </w:p>
    <w:p w14:paraId="4870A98F">
      <w:pPr>
        <w:ind w:firstLine="640" w:firstLineChars="200"/>
        <w:rPr>
          <w:rFonts w:ascii="仿宋_GB2312" w:eastAsia="仿宋_GB2312"/>
          <w:color w:val="000000"/>
          <w:sz w:val="32"/>
          <w:szCs w:val="32"/>
        </w:rPr>
      </w:pPr>
      <w:r>
        <w:rPr>
          <w:rFonts w:hint="eastAsia" w:ascii="仿宋_GB2312" w:eastAsia="仿宋_GB2312"/>
          <w:color w:val="000000"/>
          <w:sz w:val="32"/>
          <w:szCs w:val="32"/>
        </w:rPr>
        <w:t>15.社会保障和就业（类）抚恤（款）死亡抚恤（项）：指国家机关，企事业单位对死者家属发放的一次性补助。</w:t>
      </w:r>
    </w:p>
    <w:p w14:paraId="6C0F8261">
      <w:pPr>
        <w:ind w:firstLine="640" w:firstLineChars="200"/>
        <w:rPr>
          <w:rFonts w:ascii="仿宋_GB2312" w:eastAsia="仿宋_GB2312"/>
          <w:color w:val="000000"/>
          <w:sz w:val="32"/>
          <w:szCs w:val="32"/>
        </w:rPr>
      </w:pPr>
      <w:r>
        <w:rPr>
          <w:rFonts w:hint="eastAsia" w:ascii="仿宋_GB2312" w:eastAsia="仿宋_GB2312"/>
          <w:color w:val="000000"/>
          <w:sz w:val="32"/>
          <w:szCs w:val="32"/>
        </w:rPr>
        <w:t>16</w:t>
      </w:r>
      <w:r>
        <w:rPr>
          <w:rFonts w:ascii="仿宋_GB2312" w:eastAsia="仿宋_GB2312"/>
          <w:color w:val="000000"/>
          <w:sz w:val="32"/>
          <w:szCs w:val="32"/>
        </w:rPr>
        <w:t>.</w:t>
      </w:r>
      <w:r>
        <w:rPr>
          <w:rFonts w:hint="eastAsia" w:ascii="仿宋_GB2312" w:eastAsia="仿宋_GB2312"/>
          <w:color w:val="000000"/>
          <w:sz w:val="32"/>
          <w:szCs w:val="32"/>
        </w:rPr>
        <w:t>住房保障（类）住房改革支出（款）住房公积金（项）：指行政事业单位按人力资源和社会保障部、财政部规定的基本工资和津贴补贴以及规定比例为职工缴纳的住房公积金。</w:t>
      </w:r>
    </w:p>
    <w:p w14:paraId="477ED893">
      <w:pPr>
        <w:ind w:firstLine="640" w:firstLineChars="200"/>
        <w:rPr>
          <w:rFonts w:ascii="仿宋_GB2312" w:eastAsia="仿宋_GB2312"/>
          <w:color w:val="000000"/>
          <w:sz w:val="32"/>
          <w:szCs w:val="32"/>
        </w:rPr>
      </w:pPr>
      <w:r>
        <w:rPr>
          <w:rFonts w:hint="eastAsia" w:ascii="仿宋_GB2312" w:eastAsia="仿宋_GB2312"/>
          <w:color w:val="000000"/>
          <w:sz w:val="32"/>
          <w:szCs w:val="32"/>
        </w:rPr>
        <w:t>17</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13CCC2FA">
      <w:pPr>
        <w:ind w:firstLine="640" w:firstLineChars="200"/>
        <w:rPr>
          <w:rFonts w:ascii="仿宋_GB2312" w:eastAsia="仿宋_GB2312"/>
          <w:color w:val="000000"/>
          <w:sz w:val="32"/>
          <w:szCs w:val="32"/>
        </w:rPr>
      </w:pPr>
      <w:r>
        <w:rPr>
          <w:rFonts w:hint="eastAsia" w:ascii="仿宋_GB2312" w:eastAsia="仿宋_GB2312"/>
          <w:color w:val="000000"/>
          <w:sz w:val="32"/>
          <w:szCs w:val="32"/>
        </w:rPr>
        <w:t>18</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p>
    <w:p w14:paraId="02CCDF0F">
      <w:pPr>
        <w:ind w:firstLine="640" w:firstLineChars="200"/>
        <w:rPr>
          <w:rFonts w:ascii="仿宋_GB2312" w:eastAsia="仿宋_GB2312"/>
          <w:color w:val="000000"/>
          <w:sz w:val="32"/>
          <w:szCs w:val="32"/>
        </w:rPr>
      </w:pPr>
      <w:r>
        <w:rPr>
          <w:rFonts w:hint="eastAsia" w:ascii="仿宋_GB2312" w:eastAsia="仿宋_GB2312"/>
          <w:color w:val="000000"/>
          <w:sz w:val="32"/>
          <w:szCs w:val="32"/>
        </w:rPr>
        <w:t>19</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7122AB43">
      <w:pPr>
        <w:spacing w:line="600" w:lineRule="exact"/>
        <w:ind w:firstLine="640"/>
        <w:jc w:val="left"/>
        <w:outlineLvl w:val="0"/>
        <w:rPr>
          <w:rFonts w:hint="eastAsia"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C2A177E">
      <w:pPr>
        <w:pStyle w:val="2"/>
        <w:ind w:firstLine="360" w:firstLineChars="200"/>
        <w:rPr>
          <w:rFonts w:hint="eastAsia"/>
        </w:rPr>
      </w:pPr>
    </w:p>
    <w:p w14:paraId="464917C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1601E07C">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6A36E4FD">
      <w:pPr>
        <w:ind w:firstLine="640" w:firstLineChars="200"/>
        <w:jc w:val="center"/>
        <w:rPr>
          <w:rFonts w:hint="eastAsia" w:ascii="仿宋_GB2312" w:eastAsia="仿宋_GB2312" w:cs="Times New Roman"/>
          <w:color w:val="auto"/>
          <w:sz w:val="32"/>
          <w:szCs w:val="32"/>
          <w:highlight w:val="none"/>
          <w:lang w:val="en-US" w:eastAsia="zh-CN"/>
        </w:rPr>
      </w:pPr>
      <w:bookmarkStart w:id="53" w:name="_Toc11989"/>
    </w:p>
    <w:p w14:paraId="5FE854A7">
      <w:pPr>
        <w:ind w:firstLine="640" w:firstLineChars="200"/>
        <w:jc w:val="cente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_GB2312" w:eastAsia="仿宋_GB2312" w:cs="Times New Roman"/>
          <w:color w:val="auto"/>
          <w:sz w:val="32"/>
          <w:szCs w:val="32"/>
          <w:highlight w:val="none"/>
          <w:lang w:val="en-US" w:eastAsia="zh-CN"/>
        </w:rPr>
        <w:t>部门预算项目支出绩效自评表（2025年度）</w:t>
      </w:r>
      <w:bookmarkEnd w:id="53"/>
      <w:r>
        <w:rPr>
          <w:rFonts w:hint="eastAsia" w:ascii="仿宋_GB2312" w:eastAsia="仿宋_GB2312" w:cs="Times New Roman"/>
          <w:color w:val="auto"/>
          <w:sz w:val="32"/>
          <w:szCs w:val="32"/>
          <w:highlight w:val="none"/>
          <w:lang w:val="en-US" w:eastAsia="zh-CN"/>
        </w:rPr>
        <w:t>见附件2</w:t>
      </w:r>
    </w:p>
    <w:p w14:paraId="70BD080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bookmarkStart w:id="54" w:name="_Toc15396618"/>
    </w:p>
    <w:p w14:paraId="77DB1C4E">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54"/>
      <w:bookmarkStart w:id="55" w:name="_Toc15396619"/>
    </w:p>
    <w:p w14:paraId="7376383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672CB1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0B4BE29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09B8D67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1BA5681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46B6152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6EE727C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200EC34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466D9EB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49A78A5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0E6F208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54CEAED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FB9B78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4D17753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0BD9C8E9">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6BD38">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A7BF95">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1A7BF95">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136F9DD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0B94B">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71A4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2071A4C">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CD511">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07C7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A807C7B">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71DD45FB">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90E6">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ACB4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82ACB4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E8F3D">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A4FACC"/>
    <w:multiLevelType w:val="singleLevel"/>
    <w:tmpl w:val="53A4FAC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8721C4"/>
    <w:rsid w:val="061E35DE"/>
    <w:rsid w:val="066E0107"/>
    <w:rsid w:val="07996F6E"/>
    <w:rsid w:val="07DFD8BA"/>
    <w:rsid w:val="08DB07E4"/>
    <w:rsid w:val="09867E8F"/>
    <w:rsid w:val="0A2032A3"/>
    <w:rsid w:val="0C6C4794"/>
    <w:rsid w:val="0CA8290A"/>
    <w:rsid w:val="0CC86F48"/>
    <w:rsid w:val="0D35B1ED"/>
    <w:rsid w:val="0DE07E2B"/>
    <w:rsid w:val="0F98263C"/>
    <w:rsid w:val="101860EC"/>
    <w:rsid w:val="10C055FF"/>
    <w:rsid w:val="11772AA4"/>
    <w:rsid w:val="118107EC"/>
    <w:rsid w:val="13957196"/>
    <w:rsid w:val="13D50BC4"/>
    <w:rsid w:val="14022904"/>
    <w:rsid w:val="152F2A07"/>
    <w:rsid w:val="165E0673"/>
    <w:rsid w:val="16BB723D"/>
    <w:rsid w:val="16F13FCB"/>
    <w:rsid w:val="173F4FBC"/>
    <w:rsid w:val="186504BB"/>
    <w:rsid w:val="1938089F"/>
    <w:rsid w:val="19A445FC"/>
    <w:rsid w:val="1B7D550C"/>
    <w:rsid w:val="1BE8440E"/>
    <w:rsid w:val="1D155CEE"/>
    <w:rsid w:val="1DE178F3"/>
    <w:rsid w:val="1E740ACF"/>
    <w:rsid w:val="1FAB2370"/>
    <w:rsid w:val="1FF35744"/>
    <w:rsid w:val="1FF6BC77"/>
    <w:rsid w:val="21962A9E"/>
    <w:rsid w:val="21AE7C77"/>
    <w:rsid w:val="22BC3C41"/>
    <w:rsid w:val="2331254A"/>
    <w:rsid w:val="23860B96"/>
    <w:rsid w:val="240371BF"/>
    <w:rsid w:val="260F557C"/>
    <w:rsid w:val="281408E2"/>
    <w:rsid w:val="29FD04D3"/>
    <w:rsid w:val="2BFE2DC9"/>
    <w:rsid w:val="2BFF7BC6"/>
    <w:rsid w:val="2C8A61B5"/>
    <w:rsid w:val="2D2E01CF"/>
    <w:rsid w:val="2DF04E50"/>
    <w:rsid w:val="2E9545B0"/>
    <w:rsid w:val="2F040D46"/>
    <w:rsid w:val="2FAE5751"/>
    <w:rsid w:val="2FB1A395"/>
    <w:rsid w:val="2FD9A7D8"/>
    <w:rsid w:val="319F7F4E"/>
    <w:rsid w:val="321B2544"/>
    <w:rsid w:val="32EC5C78"/>
    <w:rsid w:val="3304709D"/>
    <w:rsid w:val="34281836"/>
    <w:rsid w:val="349D6851"/>
    <w:rsid w:val="34D16ACB"/>
    <w:rsid w:val="356B1C49"/>
    <w:rsid w:val="35BA6CAF"/>
    <w:rsid w:val="35D37231"/>
    <w:rsid w:val="364D14C1"/>
    <w:rsid w:val="36AA5135"/>
    <w:rsid w:val="36BE0DA7"/>
    <w:rsid w:val="376B6AA6"/>
    <w:rsid w:val="376D39B2"/>
    <w:rsid w:val="37E16F03"/>
    <w:rsid w:val="37F53A3B"/>
    <w:rsid w:val="389B6C89"/>
    <w:rsid w:val="38D469F0"/>
    <w:rsid w:val="39420816"/>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9605298"/>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522EC2"/>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660416"/>
    <w:rsid w:val="7CBFC87B"/>
    <w:rsid w:val="7CFE0F48"/>
    <w:rsid w:val="7D7EC23E"/>
    <w:rsid w:val="7D916348"/>
    <w:rsid w:val="7DEC0EAC"/>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4971</Words>
  <Characters>5436</Characters>
  <Lines>61</Lines>
  <Paragraphs>17</Paragraphs>
  <TotalTime>20</TotalTime>
  <ScaleCrop>false</ScaleCrop>
  <LinksUpToDate>false</LinksUpToDate>
  <CharactersWithSpaces>5487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皮皮</cp:lastModifiedBy>
  <cp:lastPrinted>2026-08-03T09:27:00Z</cp:lastPrinted>
  <dcterms:modified xsi:type="dcterms:W3CDTF">2026-09-02T02:00:08Z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400D301575C74348A5277D00A7902E06</vt:lpwstr>
  </property>
  <property fmtid="{D5CDD505-2E9C-101B-9397-08002B2CF9AE}" pid="4" name="KSOTemplateDocerSaveRecord">
    <vt:lpwstr>eyJoZGlkIjoiY2ZlOWM4ODJiZjhmNDg1YTAzMTA0YWViYzBiZDJhOGMiLCJ1c2VySWQiOiI1MDkwODk5NzEifQ==</vt:lpwstr>
  </property>
</Properties>
</file>