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DE6D9">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425"/>
      <w:bookmarkStart w:id="2" w:name="_Toc15378441"/>
      <w:bookmarkStart w:id="3" w:name="_Toc15377193"/>
      <w:bookmarkStart w:id="4" w:name="_Toc15396597"/>
      <w:bookmarkStart w:id="5" w:name="_Toc15306267"/>
    </w:p>
    <w:p w14:paraId="5BAD6310">
      <w:pPr>
        <w:pStyle w:val="8"/>
        <w:rPr>
          <w:rFonts w:hint="eastAsia" w:ascii="Times New Roman" w:hAnsi="Times New Roman" w:eastAsia="方正小标宋简体" w:cs="Times New Roman"/>
          <w:color w:val="auto"/>
          <w:kern w:val="2"/>
          <w:sz w:val="72"/>
          <w:szCs w:val="72"/>
          <w:highlight w:val="none"/>
          <w:lang w:val="en-US" w:eastAsia="zh-CN" w:bidi="ar-SA"/>
        </w:rPr>
      </w:pPr>
    </w:p>
    <w:p w14:paraId="72E7F6B0">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年度四川省</w:t>
      </w:r>
    </w:p>
    <w:p w14:paraId="72E1B0A9">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攀枝花市电化教育（技术装备）中心</w:t>
      </w:r>
    </w:p>
    <w:p w14:paraId="53F74CBD">
      <w:pPr>
        <w:pStyle w:val="8"/>
        <w:jc w:val="center"/>
        <w:rPr>
          <w:rFonts w:hint="eastAsia" w:ascii="Times New Roman" w:hAnsi="Times New Roman" w:eastAsia="方正小标宋简体" w:cs="Times New Roman"/>
          <w:color w:val="auto"/>
          <w:kern w:val="2"/>
          <w:sz w:val="72"/>
          <w:szCs w:val="72"/>
          <w:highlight w:val="none"/>
          <w:lang w:val="en-US" w:eastAsia="zh-CN" w:bidi="ar-SA"/>
        </w:rPr>
      </w:pPr>
      <w:r>
        <w:rPr>
          <w:rFonts w:hint="eastAsia" w:ascii="Times New Roman" w:eastAsia="方正小标宋简体"/>
          <w:kern w:val="2"/>
          <w:sz w:val="44"/>
          <w:szCs w:val="44"/>
        </w:rPr>
        <w:t>单位决算公开编制说明</w:t>
      </w:r>
    </w:p>
    <w:p w14:paraId="3B376376">
      <w:pPr>
        <w:rPr>
          <w:rFonts w:ascii="Times New Roman" w:hAnsi="Times New Roman"/>
        </w:rPr>
      </w:pPr>
    </w:p>
    <w:p w14:paraId="5635D401">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86ADEB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206ECA7B">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13C89D09">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102070F">
      <w:pPr>
        <w:pStyle w:val="8"/>
        <w:jc w:val="center"/>
        <w:rPr>
          <w:rFonts w:hint="eastAsia" w:ascii="Times New Roman" w:eastAsia="方正小标宋简体" w:cs="Times New Roman"/>
          <w:color w:val="auto"/>
          <w:kern w:val="2"/>
          <w:sz w:val="44"/>
          <w:szCs w:val="44"/>
          <w:highlight w:val="none"/>
          <w:lang w:val="en-US" w:eastAsia="zh-CN" w:bidi="ar-SA"/>
        </w:rPr>
      </w:pPr>
      <w:bookmarkStart w:id="6" w:name="_Toc15377194"/>
      <w:bookmarkStart w:id="7" w:name="_Toc15377426"/>
      <w:bookmarkStart w:id="8" w:name="_Toc15396598"/>
      <w:bookmarkStart w:id="9" w:name="_Toc15396476"/>
      <w:bookmarkStart w:id="10" w:name="_Toc15378442"/>
    </w:p>
    <w:p w14:paraId="08C65F50">
      <w:pPr>
        <w:pStyle w:val="8"/>
        <w:jc w:val="center"/>
        <w:rPr>
          <w:rFonts w:hint="eastAsia" w:ascii="Times New Roman" w:eastAsia="方正小标宋简体" w:cs="Times New Roman"/>
          <w:color w:val="auto"/>
          <w:kern w:val="2"/>
          <w:sz w:val="44"/>
          <w:szCs w:val="44"/>
          <w:highlight w:val="none"/>
          <w:lang w:val="en-US" w:eastAsia="zh-CN" w:bidi="ar-SA"/>
        </w:rPr>
      </w:pPr>
    </w:p>
    <w:p w14:paraId="58E67D3B">
      <w:pPr>
        <w:pStyle w:val="8"/>
        <w:jc w:val="center"/>
        <w:rPr>
          <w:rFonts w:hint="eastAsia" w:ascii="Times New Roman" w:eastAsia="方正小标宋简体" w:cs="Times New Roman"/>
          <w:color w:val="auto"/>
          <w:kern w:val="2"/>
          <w:sz w:val="44"/>
          <w:szCs w:val="44"/>
          <w:highlight w:val="none"/>
          <w:lang w:val="en-US" w:eastAsia="zh-CN" w:bidi="ar-SA"/>
        </w:rPr>
      </w:pPr>
    </w:p>
    <w:p w14:paraId="2E3DA4ED">
      <w:pPr>
        <w:pStyle w:val="8"/>
        <w:jc w:val="center"/>
        <w:rPr>
          <w:rFonts w:hint="eastAsia" w:ascii="Times New Roman" w:eastAsia="方正小标宋简体" w:cs="Times New Roman"/>
          <w:color w:val="auto"/>
          <w:kern w:val="2"/>
          <w:sz w:val="44"/>
          <w:szCs w:val="44"/>
          <w:highlight w:val="none"/>
          <w:lang w:val="en-US" w:eastAsia="zh-CN" w:bidi="ar-SA"/>
        </w:rPr>
      </w:pPr>
    </w:p>
    <w:p w14:paraId="59BE61D1">
      <w:pPr>
        <w:pStyle w:val="8"/>
        <w:jc w:val="center"/>
        <w:rPr>
          <w:rFonts w:hint="eastAsia" w:ascii="Times New Roman" w:eastAsia="方正小标宋简体" w:cs="Times New Roman"/>
          <w:color w:val="auto"/>
          <w:kern w:val="2"/>
          <w:sz w:val="44"/>
          <w:szCs w:val="44"/>
          <w:highlight w:val="none"/>
          <w:lang w:val="en-US" w:eastAsia="zh-CN" w:bidi="ar-SA"/>
        </w:rPr>
      </w:pPr>
    </w:p>
    <w:p w14:paraId="31FCF328">
      <w:pPr>
        <w:pStyle w:val="8"/>
        <w:jc w:val="center"/>
        <w:rPr>
          <w:rFonts w:hint="eastAsia" w:ascii="Times New Roman" w:eastAsia="方正小标宋简体" w:cs="Times New Roman"/>
          <w:color w:val="auto"/>
          <w:kern w:val="2"/>
          <w:sz w:val="44"/>
          <w:szCs w:val="44"/>
          <w:highlight w:val="none"/>
          <w:lang w:val="en-US" w:eastAsia="zh-CN" w:bidi="ar-SA"/>
        </w:rPr>
      </w:pPr>
    </w:p>
    <w:p w14:paraId="49F49123">
      <w:pPr>
        <w:pStyle w:val="8"/>
        <w:jc w:val="center"/>
        <w:rPr>
          <w:rFonts w:hint="eastAsia" w:ascii="Times New Roman" w:eastAsia="方正小标宋简体" w:cs="Times New Roman"/>
          <w:color w:val="auto"/>
          <w:kern w:val="2"/>
          <w:sz w:val="44"/>
          <w:szCs w:val="44"/>
          <w:highlight w:val="none"/>
          <w:lang w:val="en-US" w:eastAsia="zh-CN" w:bidi="ar-SA"/>
        </w:rPr>
      </w:pPr>
    </w:p>
    <w:p w14:paraId="5E8163AA">
      <w:pPr>
        <w:pStyle w:val="8"/>
        <w:jc w:val="center"/>
        <w:rPr>
          <w:rFonts w:hint="eastAsia" w:ascii="Times New Roman" w:eastAsia="方正小标宋简体" w:cs="Times New Roman"/>
          <w:color w:val="auto"/>
          <w:kern w:val="2"/>
          <w:sz w:val="44"/>
          <w:szCs w:val="44"/>
          <w:highlight w:val="none"/>
          <w:lang w:val="en-US" w:eastAsia="zh-CN" w:bidi="ar-SA"/>
        </w:rPr>
      </w:pPr>
    </w:p>
    <w:p w14:paraId="302BE98B">
      <w:pPr>
        <w:pStyle w:val="8"/>
        <w:jc w:val="center"/>
        <w:rPr>
          <w:rFonts w:hint="eastAsia" w:ascii="Times New Roman" w:eastAsia="方正小标宋简体" w:cs="Times New Roman"/>
          <w:color w:val="auto"/>
          <w:kern w:val="2"/>
          <w:sz w:val="44"/>
          <w:szCs w:val="44"/>
          <w:highlight w:val="none"/>
          <w:lang w:val="en-US" w:eastAsia="zh-CN" w:bidi="ar-SA"/>
        </w:rPr>
      </w:pPr>
    </w:p>
    <w:p w14:paraId="470EAEAF">
      <w:pPr>
        <w:pStyle w:val="8"/>
        <w:jc w:val="center"/>
        <w:rPr>
          <w:rFonts w:hint="eastAsia" w:ascii="Times New Roman" w:eastAsia="方正小标宋简体" w:cs="Times New Roman"/>
          <w:color w:val="auto"/>
          <w:kern w:val="2"/>
          <w:sz w:val="44"/>
          <w:szCs w:val="44"/>
          <w:highlight w:val="none"/>
          <w:lang w:val="en-US" w:eastAsia="zh-CN" w:bidi="ar-SA"/>
        </w:rPr>
      </w:pPr>
    </w:p>
    <w:p w14:paraId="3A88F807">
      <w:pPr>
        <w:pStyle w:val="8"/>
        <w:jc w:val="center"/>
        <w:rPr>
          <w:rFonts w:hint="eastAsia" w:ascii="Times New Roman" w:eastAsia="方正小标宋简体" w:cs="Times New Roman"/>
          <w:color w:val="auto"/>
          <w:kern w:val="2"/>
          <w:sz w:val="44"/>
          <w:szCs w:val="44"/>
          <w:highlight w:val="none"/>
          <w:lang w:val="en-US" w:eastAsia="zh-CN" w:bidi="ar-SA"/>
        </w:rPr>
      </w:pPr>
    </w:p>
    <w:p w14:paraId="0315FEC6">
      <w:pPr>
        <w:pStyle w:val="8"/>
        <w:jc w:val="center"/>
        <w:rPr>
          <w:rFonts w:hint="eastAsia" w:ascii="Times New Roman" w:eastAsia="方正小标宋简体" w:cs="Times New Roman"/>
          <w:color w:val="auto"/>
          <w:kern w:val="2"/>
          <w:sz w:val="44"/>
          <w:szCs w:val="44"/>
          <w:highlight w:val="none"/>
          <w:lang w:val="en-US" w:eastAsia="zh-CN" w:bidi="ar-SA"/>
        </w:rPr>
      </w:pPr>
    </w:p>
    <w:p w14:paraId="67C43BDE">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攀枝花市电化教育（技术装备）中心决算</w:t>
      </w:r>
      <w:bookmarkEnd w:id="6"/>
      <w:bookmarkEnd w:id="7"/>
      <w:bookmarkEnd w:id="8"/>
      <w:bookmarkEnd w:id="9"/>
      <w:bookmarkEnd w:id="10"/>
      <w:bookmarkEnd w:id="11"/>
    </w:p>
    <w:p w14:paraId="6FDE8A87">
      <w:pPr>
        <w:widowControl/>
        <w:jc w:val="center"/>
        <w:rPr>
          <w:rFonts w:hint="eastAsia" w:ascii="Times New Roman" w:hAnsi="Times New Roman" w:eastAsia="黑体"/>
          <w:color w:val="auto"/>
          <w:sz w:val="48"/>
          <w:szCs w:val="48"/>
          <w:highlight w:val="none"/>
        </w:rPr>
      </w:pPr>
    </w:p>
    <w:p w14:paraId="1CCC0B72">
      <w:pPr>
        <w:widowControl/>
        <w:jc w:val="center"/>
        <w:rPr>
          <w:rFonts w:hint="eastAsia" w:ascii="Times New Roman" w:hAnsi="Times New Roman" w:eastAsia="黑体"/>
          <w:color w:val="auto"/>
          <w:sz w:val="48"/>
          <w:szCs w:val="48"/>
          <w:highlight w:val="none"/>
        </w:rPr>
      </w:pPr>
    </w:p>
    <w:p w14:paraId="269AE95E">
      <w:pPr>
        <w:widowControl/>
        <w:jc w:val="center"/>
        <w:rPr>
          <w:rFonts w:hint="eastAsia" w:ascii="Times New Roman" w:hAnsi="Times New Roman" w:eastAsia="黑体"/>
          <w:color w:val="auto"/>
          <w:sz w:val="48"/>
          <w:szCs w:val="48"/>
          <w:highlight w:val="none"/>
        </w:rPr>
      </w:pPr>
    </w:p>
    <w:p w14:paraId="493AB4A6">
      <w:pPr>
        <w:widowControl/>
        <w:jc w:val="center"/>
        <w:rPr>
          <w:rFonts w:hint="eastAsia" w:ascii="Times New Roman" w:hAnsi="Times New Roman" w:eastAsia="黑体"/>
          <w:color w:val="auto"/>
          <w:sz w:val="48"/>
          <w:szCs w:val="48"/>
          <w:highlight w:val="none"/>
        </w:rPr>
      </w:pPr>
    </w:p>
    <w:p w14:paraId="64F0511B">
      <w:pPr>
        <w:widowControl/>
        <w:jc w:val="center"/>
        <w:rPr>
          <w:rFonts w:hint="eastAsia" w:ascii="Times New Roman" w:hAnsi="Times New Roman" w:eastAsia="黑体"/>
          <w:color w:val="auto"/>
          <w:sz w:val="48"/>
          <w:szCs w:val="48"/>
          <w:highlight w:val="none"/>
        </w:rPr>
      </w:pPr>
    </w:p>
    <w:p w14:paraId="224D3490">
      <w:pPr>
        <w:widowControl/>
        <w:jc w:val="center"/>
        <w:rPr>
          <w:rFonts w:hint="eastAsia" w:ascii="Times New Roman" w:hAnsi="Times New Roman" w:eastAsia="黑体"/>
          <w:color w:val="auto"/>
          <w:sz w:val="48"/>
          <w:szCs w:val="48"/>
          <w:highlight w:val="none"/>
        </w:rPr>
      </w:pPr>
    </w:p>
    <w:p w14:paraId="0BC954C7">
      <w:pPr>
        <w:widowControl/>
        <w:jc w:val="center"/>
        <w:rPr>
          <w:rFonts w:hint="eastAsia" w:ascii="Times New Roman" w:hAnsi="Times New Roman" w:eastAsia="黑体"/>
          <w:color w:val="auto"/>
          <w:sz w:val="48"/>
          <w:szCs w:val="48"/>
          <w:highlight w:val="none"/>
        </w:rPr>
      </w:pPr>
    </w:p>
    <w:p w14:paraId="6C5F67E2">
      <w:pPr>
        <w:widowControl/>
        <w:jc w:val="center"/>
        <w:rPr>
          <w:rFonts w:hint="eastAsia" w:ascii="Times New Roman" w:hAnsi="Times New Roman" w:eastAsia="黑体"/>
          <w:color w:val="auto"/>
          <w:sz w:val="48"/>
          <w:szCs w:val="48"/>
          <w:highlight w:val="none"/>
        </w:rPr>
      </w:pPr>
    </w:p>
    <w:p w14:paraId="624467FA">
      <w:pPr>
        <w:widowControl/>
        <w:jc w:val="center"/>
        <w:rPr>
          <w:rFonts w:hint="eastAsia" w:ascii="Times New Roman" w:hAnsi="Times New Roman" w:eastAsia="黑体"/>
          <w:color w:val="auto"/>
          <w:sz w:val="48"/>
          <w:szCs w:val="48"/>
          <w:highlight w:val="none"/>
        </w:rPr>
      </w:pPr>
    </w:p>
    <w:p w14:paraId="5C4E1353">
      <w:pPr>
        <w:widowControl/>
        <w:jc w:val="center"/>
        <w:rPr>
          <w:rFonts w:hint="eastAsia" w:ascii="Times New Roman" w:hAnsi="Times New Roman" w:eastAsia="黑体"/>
          <w:color w:val="auto"/>
          <w:sz w:val="48"/>
          <w:szCs w:val="48"/>
          <w:highlight w:val="none"/>
        </w:rPr>
      </w:pPr>
    </w:p>
    <w:p w14:paraId="4DB90FCA">
      <w:pPr>
        <w:widowControl/>
        <w:jc w:val="center"/>
        <w:rPr>
          <w:rFonts w:hint="eastAsia" w:ascii="Times New Roman" w:hAnsi="Times New Roman" w:eastAsia="黑体"/>
          <w:color w:val="auto"/>
          <w:sz w:val="48"/>
          <w:szCs w:val="48"/>
          <w:highlight w:val="none"/>
        </w:rPr>
      </w:pPr>
    </w:p>
    <w:p w14:paraId="78453EB0">
      <w:pPr>
        <w:widowControl/>
        <w:jc w:val="center"/>
        <w:rPr>
          <w:rFonts w:hint="eastAsia" w:ascii="Times New Roman" w:hAnsi="Times New Roman" w:eastAsia="黑体"/>
          <w:color w:val="auto"/>
          <w:sz w:val="48"/>
          <w:szCs w:val="48"/>
          <w:highlight w:val="none"/>
        </w:rPr>
      </w:pPr>
    </w:p>
    <w:p w14:paraId="774F1005">
      <w:pPr>
        <w:widowControl/>
        <w:jc w:val="center"/>
        <w:rPr>
          <w:rFonts w:hint="eastAsia" w:ascii="Times New Roman" w:hAnsi="Times New Roman" w:eastAsia="黑体"/>
          <w:color w:val="auto"/>
          <w:sz w:val="48"/>
          <w:szCs w:val="48"/>
          <w:highlight w:val="none"/>
        </w:rPr>
      </w:pPr>
    </w:p>
    <w:p w14:paraId="006C015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1A3703A">
      <w:pPr>
        <w:widowControl/>
        <w:jc w:val="center"/>
        <w:rPr>
          <w:rFonts w:ascii="Times New Roman" w:hAnsi="Times New Roman" w:eastAsia="黑体" w:cstheme="minorBidi"/>
          <w:color w:val="auto"/>
          <w:sz w:val="28"/>
          <w:szCs w:val="28"/>
          <w:highlight w:val="none"/>
        </w:rPr>
      </w:pPr>
    </w:p>
    <w:p w14:paraId="459D1A71">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日</w:t>
      </w:r>
    </w:p>
    <w:p w14:paraId="23D16906">
      <w:pPr>
        <w:rPr>
          <w:rFonts w:ascii="Times New Roman" w:hAnsi="Times New Roman"/>
          <w:color w:val="auto"/>
          <w:highlight w:val="none"/>
        </w:rPr>
      </w:pPr>
    </w:p>
    <w:p w14:paraId="2C38B34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lang w:val="en-US" w:eastAsia="zh-CN"/>
        </w:rPr>
        <w:t>...................................................................5</w:t>
      </w:r>
    </w:p>
    <w:p w14:paraId="2D643B2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..5</w:t>
      </w:r>
    </w:p>
    <w:p w14:paraId="5FF7C39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6</w:t>
      </w:r>
    </w:p>
    <w:p w14:paraId="4FACBAA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...................................7</w:t>
      </w:r>
    </w:p>
    <w:p w14:paraId="356509A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w:t>
      </w:r>
    </w:p>
    <w:p w14:paraId="6DF3A4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黑体" w:cs="黑体"/>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w:t>
      </w:r>
    </w:p>
    <w:p w14:paraId="08530A1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8</w:t>
      </w:r>
    </w:p>
    <w:p w14:paraId="29B711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9</w:t>
      </w:r>
    </w:p>
    <w:p w14:paraId="7266D7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9</w:t>
      </w:r>
    </w:p>
    <w:p w14:paraId="115D4B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黑体" w:cs="黑体"/>
          <w:color w:val="auto"/>
          <w:sz w:val="32"/>
          <w:szCs w:val="32"/>
          <w:highlight w:val="none"/>
          <w:lang w:val="en-US" w:eastAsia="zh-CN"/>
        </w:rPr>
        <w:t>...</w:t>
      </w:r>
      <w:bookmarkStart w:id="64" w:name="_GoBack"/>
      <w:bookmarkEnd w:id="64"/>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11</w:t>
      </w:r>
    </w:p>
    <w:p w14:paraId="578956B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12</w:t>
      </w:r>
    </w:p>
    <w:p w14:paraId="26BDE7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....14</w:t>
      </w:r>
    </w:p>
    <w:p w14:paraId="7A43550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14</w:t>
      </w:r>
    </w:p>
    <w:p w14:paraId="053C723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14</w:t>
      </w: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17</w:t>
      </w:r>
    </w:p>
    <w:p w14:paraId="62ADCCA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20</w:t>
      </w:r>
    </w:p>
    <w:p w14:paraId="23AA62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21</w:t>
      </w:r>
    </w:p>
    <w:p w14:paraId="45B0C8A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黑体" w:cs="黑体"/>
          <w:color w:val="auto"/>
          <w:sz w:val="32"/>
          <w:szCs w:val="32"/>
          <w:highlight w:val="none"/>
          <w:lang w:val="en-US" w:eastAsia="zh-CN"/>
        </w:rPr>
        <w:t>...........................................................21</w:t>
      </w:r>
    </w:p>
    <w:p w14:paraId="07D4E35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黑体" w:cs="黑体"/>
          <w:color w:val="auto"/>
          <w:sz w:val="32"/>
          <w:szCs w:val="32"/>
          <w:highlight w:val="none"/>
          <w:lang w:val="en-US" w:eastAsia="zh-CN"/>
        </w:rPr>
        <w:t>.......................................................................21</w:t>
      </w:r>
    </w:p>
    <w:p w14:paraId="4A5B038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黑体" w:cs="黑体"/>
          <w:color w:val="auto"/>
          <w:sz w:val="32"/>
          <w:szCs w:val="32"/>
          <w:highlight w:val="none"/>
          <w:lang w:val="en-US" w:eastAsia="zh-CN"/>
        </w:rPr>
        <w:t>.......................................................................21</w:t>
      </w:r>
    </w:p>
    <w:p w14:paraId="543A601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黑体" w:cs="黑体"/>
          <w:color w:val="auto"/>
          <w:sz w:val="32"/>
          <w:szCs w:val="32"/>
          <w:highlight w:val="none"/>
          <w:lang w:val="en-US" w:eastAsia="zh-CN"/>
        </w:rPr>
        <w:t>...........................................21</w:t>
      </w:r>
    </w:p>
    <w:p w14:paraId="7E15016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黑体" w:cs="黑体"/>
          <w:color w:val="auto"/>
          <w:sz w:val="32"/>
          <w:szCs w:val="32"/>
          <w:highlight w:val="none"/>
          <w:lang w:val="en-US" w:eastAsia="zh-CN"/>
        </w:rPr>
        <w:t>...............................................21</w:t>
      </w:r>
    </w:p>
    <w:p w14:paraId="5C4BC46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黑体" w:cs="黑体"/>
          <w:color w:val="auto"/>
          <w:sz w:val="32"/>
          <w:szCs w:val="32"/>
          <w:highlight w:val="none"/>
          <w:lang w:val="en-US" w:eastAsia="zh-CN"/>
        </w:rPr>
        <w:t>................................21</w:t>
      </w:r>
    </w:p>
    <w:p w14:paraId="4295499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黑体" w:cs="黑体"/>
          <w:color w:val="auto"/>
          <w:sz w:val="32"/>
          <w:szCs w:val="32"/>
          <w:highlight w:val="none"/>
          <w:lang w:val="en-US" w:eastAsia="zh-CN"/>
        </w:rPr>
        <w:t>........................21</w:t>
      </w:r>
    </w:p>
    <w:p w14:paraId="6851CB0A">
      <w:pPr>
        <w:pStyle w:val="13"/>
        <w:keepNext w:val="0"/>
        <w:keepLines w:val="0"/>
        <w:pageBreakBefore w:val="0"/>
        <w:numPr>
          <w:numId w:val="0"/>
        </w:numPr>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八、</w:t>
      </w:r>
      <w:r>
        <w:rPr>
          <w:rFonts w:hint="eastAsia" w:ascii="Times New Roman" w:hAnsi="Times New Roman" w:eastAsia="仿宋_GB2312" w:cs="仿宋_GB2312"/>
          <w:color w:val="auto"/>
          <w:sz w:val="32"/>
          <w:szCs w:val="32"/>
          <w:highlight w:val="none"/>
        </w:rPr>
        <w:t>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黑体" w:cs="黑体"/>
          <w:color w:val="auto"/>
          <w:sz w:val="32"/>
          <w:szCs w:val="32"/>
          <w:highlight w:val="none"/>
          <w:lang w:val="en-US" w:eastAsia="zh-CN"/>
        </w:rPr>
        <w:t>................21</w:t>
      </w:r>
    </w:p>
    <w:p w14:paraId="23F7A055">
      <w:pPr>
        <w:pStyle w:val="13"/>
        <w:keepNext w:val="0"/>
        <w:keepLines w:val="0"/>
        <w:pageBreakBefore w:val="0"/>
        <w:numPr>
          <w:numId w:val="0"/>
        </w:numPr>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黑体" w:cs="黑体"/>
          <w:color w:val="auto"/>
          <w:sz w:val="32"/>
          <w:szCs w:val="32"/>
          <w:highlight w:val="none"/>
          <w:lang w:val="en-US" w:eastAsia="zh-CN"/>
        </w:rPr>
        <w:t>........................21</w:t>
      </w:r>
    </w:p>
    <w:p w14:paraId="010F315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黑体" w:cs="黑体"/>
          <w:color w:val="auto"/>
          <w:sz w:val="32"/>
          <w:szCs w:val="32"/>
          <w:highlight w:val="none"/>
          <w:lang w:val="en-US" w:eastAsia="zh-CN"/>
        </w:rPr>
        <w:t>....................21</w:t>
      </w:r>
    </w:p>
    <w:p w14:paraId="6E1A80B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Times New Roman" w:hAnsi="Times New Roman" w:eastAsia="黑体" w:cs="黑体"/>
          <w:color w:val="auto"/>
          <w:sz w:val="32"/>
          <w:szCs w:val="32"/>
          <w:highlight w:val="none"/>
          <w:lang w:val="en-US" w:eastAsia="zh-CN"/>
        </w:rPr>
        <w:t>.............21</w:t>
      </w:r>
    </w:p>
    <w:p w14:paraId="2C26CA9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Times New Roman" w:hAnsi="Times New Roman" w:eastAsia="黑体" w:cs="黑体"/>
          <w:color w:val="auto"/>
          <w:sz w:val="32"/>
          <w:szCs w:val="32"/>
          <w:highlight w:val="none"/>
          <w:lang w:val="en-US" w:eastAsia="zh-CN"/>
        </w:rPr>
        <w:t>.....................21</w:t>
      </w:r>
    </w:p>
    <w:p w14:paraId="284A8FC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Times New Roman" w:hAnsi="Times New Roman" w:eastAsia="黑体" w:cs="黑体"/>
          <w:color w:val="auto"/>
          <w:sz w:val="32"/>
          <w:szCs w:val="32"/>
          <w:highlight w:val="none"/>
          <w:lang w:val="en-US" w:eastAsia="zh-CN"/>
        </w:rPr>
        <w:t>................................21</w:t>
      </w:r>
    </w:p>
    <w:p w14:paraId="0D4864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38C7C63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4DD501FF">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eastAsia="方正小标宋简体" w:cs="方正小标宋简体"/>
          <w:b w:val="0"/>
          <w:bCs w:val="0"/>
        </w:rPr>
        <w:t>单位</w:t>
      </w:r>
      <w:r>
        <w:rPr>
          <w:rStyle w:val="28"/>
          <w:rFonts w:hint="eastAsia" w:ascii="Times New Roman" w:hAnsi="Times New Roman" w:eastAsia="方正小标宋简体" w:cs="方正小标宋简体"/>
          <w:b w:val="0"/>
          <w:bCs w:val="0"/>
          <w:color w:val="auto"/>
          <w:highlight w:val="none"/>
        </w:rPr>
        <w:t>概况</w:t>
      </w:r>
      <w:bookmarkEnd w:id="12"/>
      <w:bookmarkEnd w:id="13"/>
    </w:p>
    <w:p w14:paraId="428B2B1D">
      <w:pPr>
        <w:widowControl/>
        <w:jc w:val="left"/>
        <w:rPr>
          <w:rFonts w:ascii="Times New Roman" w:hAnsi="Times New Roman" w:eastAsia="黑体"/>
          <w:color w:val="auto"/>
          <w:sz w:val="32"/>
          <w:szCs w:val="32"/>
          <w:highlight w:val="none"/>
        </w:rPr>
      </w:pPr>
    </w:p>
    <w:p w14:paraId="467C08DD">
      <w:pP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单位</w:t>
      </w:r>
      <w:r>
        <w:rPr>
          <w:rFonts w:hint="eastAsia" w:ascii="黑体" w:hAnsi="黑体" w:eastAsia="黑体" w:cs="黑体"/>
          <w:color w:val="auto"/>
          <w:sz w:val="32"/>
          <w:szCs w:val="32"/>
          <w:highlight w:val="none"/>
          <w:lang w:eastAsia="zh-CN"/>
        </w:rPr>
        <w:t>职责</w:t>
      </w:r>
      <w:bookmarkStart w:id="14" w:name="_Toc15396601"/>
      <w:bookmarkStart w:id="15" w:name="_Toc15377200"/>
    </w:p>
    <w:p w14:paraId="3CDF5449">
      <w:pPr>
        <w:ind w:firstLine="800" w:firstLineChars="2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创造一流的办学条件，为全市教育现代化服务。主要负责全市电化教育发展规划、年度工作计划，负责对全市中小学现代教育技术的评估、督导和检查工作；负责中小学实验室、计算机室、艺体劳技室和图书室等教育装备及其配套设施的建设、配备、管理和使用；组织开展基于多媒体和网络环境下的学科优质课竞赛，教师自制CAI教学软件和中小学生电脑作品大赛等活动；负责组织中学实验操作考核、高中信息技术毕业会考工作，负责组织全市中小学实验竞赛；指导、评估学校现代教育技术及科研课题的推广应用及研究；负责国家、省、市现代教育技术示范学校和实验教学示范学校的管理、评估；负责农村中小学现代远程教育的管理与应用指导；负责攀枝花市城域网建设、信息资源中心建设、远程教育、视频会议、网络技术、安全维护等工作；具体负责攀枝花市教育新闻的宣传报道工作。</w:t>
      </w:r>
    </w:p>
    <w:p w14:paraId="5824253B">
      <w:pPr>
        <w:pStyle w:val="6"/>
        <w:numPr>
          <w:ilvl w:val="0"/>
          <w:numId w:val="0"/>
        </w:numPr>
        <w:rPr>
          <w:rFonts w:hint="eastAsia" w:ascii="Times New Roman" w:hAnsi="Times New Roman" w:eastAsia="黑体"/>
          <w:b w:val="0"/>
          <w:color w:val="auto"/>
          <w:highlight w:val="none"/>
        </w:rPr>
      </w:pPr>
    </w:p>
    <w:p w14:paraId="000842DC">
      <w:pPr>
        <w:pStyle w:val="6"/>
        <w:numPr>
          <w:ilvl w:val="0"/>
          <w:numId w:val="0"/>
        </w:numPr>
        <w:rPr>
          <w:rFonts w:hint="eastAsia" w:ascii="Times New Roman" w:hAnsi="Times New Roman" w:eastAsia="黑体"/>
          <w:b w:val="0"/>
          <w:color w:val="auto"/>
          <w:highlight w:val="none"/>
        </w:rPr>
      </w:pPr>
    </w:p>
    <w:p w14:paraId="6132BD77">
      <w:pPr>
        <w:pStyle w:val="6"/>
        <w:numPr>
          <w:ilvl w:val="0"/>
          <w:numId w:val="0"/>
        </w:numPr>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13AA53A1">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攀枝花市电化教育（技术装备）中心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27F24049">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044CCB97">
      <w:pPr>
        <w:pStyle w:val="5"/>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1BAE7BE8">
      <w:pPr>
        <w:rPr>
          <w:rFonts w:ascii="Times New Roman" w:hAnsi="Times New Roman"/>
          <w:color w:val="auto"/>
          <w:highlight w:val="none"/>
        </w:rPr>
      </w:pPr>
    </w:p>
    <w:p w14:paraId="04B8D38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318023E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收入、支出总计均为536.92万元。与2024年度相比，收入总计增加49.42万元，增长10.14%；支出总计增加49.42万元，增长10.14%。主要变动原因：一是人员正常晋级晋档，人员经费相应增加；二是教育信息化运维、教育装备业务项目经费增加。</w:t>
      </w:r>
      <w:r>
        <w:drawing>
          <wp:anchor distT="0" distB="0" distL="114300" distR="114300" simplePos="0" relativeHeight="251660288" behindDoc="0" locked="0" layoutInCell="1" allowOverlap="1">
            <wp:simplePos x="0" y="0"/>
            <wp:positionH relativeFrom="column">
              <wp:posOffset>248285</wp:posOffset>
            </wp:positionH>
            <wp:positionV relativeFrom="page">
              <wp:posOffset>4366895</wp:posOffset>
            </wp:positionV>
            <wp:extent cx="4826000" cy="2743200"/>
            <wp:effectExtent l="4445" t="4445" r="15875" b="1079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3D3392A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3775DE0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20AC92B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536.92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507.5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94.52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w:t>
      </w:r>
      <w:r>
        <w:drawing>
          <wp:anchor distT="0" distB="0" distL="114300" distR="114300" simplePos="0" relativeHeight="251661312" behindDoc="1" locked="0" layoutInCell="1" allowOverlap="1">
            <wp:simplePos x="0" y="0"/>
            <wp:positionH relativeFrom="column">
              <wp:posOffset>286385</wp:posOffset>
            </wp:positionH>
            <wp:positionV relativeFrom="paragraph">
              <wp:posOffset>758825</wp:posOffset>
            </wp:positionV>
            <wp:extent cx="4826000" cy="2743200"/>
            <wp:effectExtent l="4445" t="4445" r="15875" b="41275"/>
            <wp:wrapThrough wrapText="bothSides">
              <wp:wrapPolygon>
                <wp:start x="-20" y="-35"/>
                <wp:lineTo x="-20" y="21805"/>
                <wp:lineTo x="21535" y="21805"/>
                <wp:lineTo x="21535" y="-35"/>
                <wp:lineTo x="-20" y="-35"/>
              </wp:wrapPolygon>
            </wp:wrapThrough>
            <wp:docPr id="2" name="图表 2" descr="7b0a202020202263686172745265734964223a2022323034363835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仿宋_GB2312" w:cs="仿宋_GB2312"/>
          <w:color w:val="auto"/>
          <w:sz w:val="32"/>
          <w:szCs w:val="32"/>
          <w:highlight w:val="none"/>
          <w:lang w:eastAsia="zh-CN"/>
        </w:rPr>
        <w:t>收入</w:t>
      </w:r>
      <w:r>
        <w:rPr>
          <w:rFonts w:hint="eastAsia" w:ascii="仿宋_GB2312" w:hAnsi="仿宋_GB2312" w:eastAsia="仿宋_GB2312" w:cs="仿宋_GB2312"/>
          <w:sz w:val="32"/>
          <w:szCs w:val="32"/>
        </w:rPr>
        <w:t>29.42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5.4</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D8C6EF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0731D92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536.92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442.32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82.38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94.6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17.6</w:t>
      </w:r>
      <w:r>
        <w:rPr>
          <w:rFonts w:hint="eastAsia" w:ascii="仿宋_GB2312" w:hAnsi="仿宋_GB2312" w:eastAsia="仿宋_GB2312" w:cs="仿宋_GB2312"/>
          <w:sz w:val="32"/>
          <w:szCs w:val="32"/>
          <w:lang w:val="en-US" w:eastAsia="zh-CN"/>
        </w:rPr>
        <w:t>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1DABC08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2336" behindDoc="1" locked="0" layoutInCell="1" allowOverlap="1">
            <wp:simplePos x="0" y="0"/>
            <wp:positionH relativeFrom="column">
              <wp:posOffset>354965</wp:posOffset>
            </wp:positionH>
            <wp:positionV relativeFrom="page">
              <wp:posOffset>6593840</wp:posOffset>
            </wp:positionV>
            <wp:extent cx="4826000" cy="2743200"/>
            <wp:effectExtent l="4445" t="4445" r="15875" b="10795"/>
            <wp:wrapThrough wrapText="bothSides">
              <wp:wrapPolygon>
                <wp:start x="-20" y="-35"/>
                <wp:lineTo x="-20" y="21565"/>
                <wp:lineTo x="21535" y="21565"/>
                <wp:lineTo x="21535" y="-35"/>
                <wp:lineTo x="-20" y="-35"/>
              </wp:wrapPolygon>
            </wp:wrapThrough>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B601034">
      <w:pPr>
        <w:spacing w:line="600" w:lineRule="exact"/>
        <w:ind w:firstLine="640" w:firstLineChars="200"/>
        <w:outlineLvl w:val="1"/>
        <w:rPr>
          <w:rFonts w:hint="eastAsia" w:ascii="Times New Roman" w:hAnsi="Times New Roman" w:eastAsia="黑体"/>
          <w:color w:val="auto"/>
          <w:sz w:val="32"/>
          <w:szCs w:val="32"/>
          <w:highlight w:val="none"/>
        </w:rPr>
      </w:pPr>
      <w:bookmarkStart w:id="24" w:name="_Toc15377208"/>
      <w:bookmarkStart w:id="25" w:name="_Toc15396606"/>
    </w:p>
    <w:p w14:paraId="398C7997">
      <w:pPr>
        <w:spacing w:line="600" w:lineRule="exact"/>
        <w:ind w:firstLine="640" w:firstLineChars="200"/>
        <w:outlineLvl w:val="1"/>
        <w:rPr>
          <w:rFonts w:hint="eastAsia" w:ascii="Times New Roman" w:hAnsi="Times New Roman" w:eastAsia="黑体"/>
          <w:color w:val="auto"/>
          <w:sz w:val="32"/>
          <w:szCs w:val="32"/>
          <w:highlight w:val="none"/>
        </w:rPr>
      </w:pPr>
    </w:p>
    <w:p w14:paraId="14BCAF04">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31C520C3">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2025年度财政拨款收入、支出总计均为507.5万元。与2024年度相比，财政拨款收入、支出总计各增加50.00万元，增长10.93%。主要变动原因：人员工资、社保公积金等人员经费标准提高，相应增加财政拨款基本支出。</w:t>
      </w:r>
    </w:p>
    <w:p w14:paraId="7BA9E2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1" locked="0" layoutInCell="1" allowOverlap="1">
            <wp:simplePos x="0" y="0"/>
            <wp:positionH relativeFrom="column">
              <wp:posOffset>212725</wp:posOffset>
            </wp:positionH>
            <wp:positionV relativeFrom="paragraph">
              <wp:posOffset>159385</wp:posOffset>
            </wp:positionV>
            <wp:extent cx="4826000" cy="2743200"/>
            <wp:effectExtent l="4445" t="4445" r="15875" b="10795"/>
            <wp:wrapThrough wrapText="bothSides">
              <wp:wrapPolygon>
                <wp:start x="-20" y="-35"/>
                <wp:lineTo x="-20" y="21565"/>
                <wp:lineTo x="21535" y="21565"/>
                <wp:lineTo x="21535" y="-35"/>
                <wp:lineTo x="-20" y="-35"/>
              </wp:wrapPolygon>
            </wp:wrapThrough>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86F7F38">
      <w:pPr>
        <w:spacing w:line="600" w:lineRule="exact"/>
        <w:ind w:firstLine="640" w:firstLineChars="200"/>
        <w:outlineLvl w:val="1"/>
        <w:rPr>
          <w:rStyle w:val="29"/>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429056F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41EC988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2025年度一般公共预算财政拨款支出507.5万元，占本年支出合计的94.52%。与2024年度相比，一般公共预算财政拨款支出增加50.00万元，增长10.93%。主要变动原因：人员晋级晋档，工资、社保、公积金等人员经费增加。</w:t>
      </w:r>
    </w:p>
    <w:p w14:paraId="5DA14734">
      <w:pPr>
        <w:spacing w:line="600" w:lineRule="exact"/>
        <w:ind w:firstLine="640"/>
        <w:rPr>
          <w:rFonts w:hint="eastAsia" w:eastAsia="仿宋_GB2312" w:cs="仿宋_GB2312"/>
          <w:color w:val="auto"/>
          <w:kern w:val="2"/>
          <w:sz w:val="32"/>
          <w:szCs w:val="32"/>
          <w:highlight w:val="none"/>
          <w:lang w:val="en-US" w:eastAsia="zh-CN" w:bidi="ar-SA"/>
        </w:rPr>
      </w:pPr>
    </w:p>
    <w:p w14:paraId="0B9FAEBC">
      <w:pPr>
        <w:spacing w:line="600" w:lineRule="exact"/>
        <w:outlineLvl w:val="2"/>
        <w:rPr>
          <w:rFonts w:hint="eastAsia" w:ascii="Times New Roman" w:hAnsi="Times New Roman" w:eastAsia="楷体_GB2312" w:cs="楷体_GB2312"/>
          <w:b/>
          <w:color w:val="auto"/>
          <w:sz w:val="32"/>
          <w:szCs w:val="32"/>
          <w:highlight w:val="none"/>
        </w:rPr>
      </w:pPr>
      <w:bookmarkStart w:id="29" w:name="_Toc15377211"/>
    </w:p>
    <w:p w14:paraId="51E91494">
      <w:pPr>
        <w:spacing w:line="600" w:lineRule="exact"/>
        <w:ind w:firstLine="420" w:firstLineChars="200"/>
        <w:outlineLvl w:val="2"/>
        <w:rPr>
          <w:rFonts w:hint="eastAsia" w:ascii="Times New Roman" w:hAnsi="Times New Roman" w:eastAsia="楷体_GB2312" w:cs="楷体_GB2312"/>
          <w:b/>
          <w:color w:val="auto"/>
          <w:sz w:val="32"/>
          <w:szCs w:val="32"/>
          <w:highlight w:val="none"/>
        </w:rPr>
      </w:pPr>
      <w:r>
        <w:drawing>
          <wp:anchor distT="0" distB="0" distL="114300" distR="114300" simplePos="0" relativeHeight="251659264" behindDoc="1" locked="0" layoutInCell="1" allowOverlap="1">
            <wp:simplePos x="0" y="0"/>
            <wp:positionH relativeFrom="column">
              <wp:posOffset>156845</wp:posOffset>
            </wp:positionH>
            <wp:positionV relativeFrom="page">
              <wp:posOffset>1056005</wp:posOffset>
            </wp:positionV>
            <wp:extent cx="4826000" cy="2743200"/>
            <wp:effectExtent l="4445" t="4445" r="15875" b="10795"/>
            <wp:wrapThrough wrapText="bothSides">
              <wp:wrapPolygon>
                <wp:start x="-20" y="-35"/>
                <wp:lineTo x="-20" y="21565"/>
                <wp:lineTo x="21535" y="21565"/>
                <wp:lineTo x="21535" y="-35"/>
                <wp:lineTo x="-20" y="-35"/>
              </wp:wrapPolygon>
            </wp:wrapThrough>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C7CF9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00790E5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2025年度一般公共预算财政拨款支出507.50万元，主要用于以下方面：教育支出366.47万元，占72.21%；社会保障和就业支出89.73万元，占17.68%；卫生健康支出21.75万元，占4.29%；住房保障支出29.55万元，占5.82%。</w:t>
      </w:r>
    </w:p>
    <w:p w14:paraId="3E1F7849">
      <w:pPr>
        <w:pStyle w:val="2"/>
        <w:rPr>
          <w:rFonts w:hint="eastAsia" w:eastAsia="仿宋_GB2312" w:cs="仿宋_GB2312"/>
          <w:color w:val="auto"/>
          <w:kern w:val="2"/>
          <w:sz w:val="32"/>
          <w:szCs w:val="32"/>
          <w:highlight w:val="none"/>
          <w:lang w:val="en-US" w:eastAsia="zh-CN" w:bidi="ar-SA"/>
        </w:rPr>
      </w:pPr>
    </w:p>
    <w:p w14:paraId="1C8852C8">
      <w:pPr>
        <w:pStyle w:val="3"/>
        <w:rPr>
          <w:rFonts w:hint="eastAsia" w:eastAsia="仿宋_GB2312" w:cs="仿宋_GB2312"/>
          <w:color w:val="auto"/>
          <w:kern w:val="2"/>
          <w:sz w:val="32"/>
          <w:szCs w:val="32"/>
          <w:highlight w:val="none"/>
          <w:lang w:val="en-US" w:eastAsia="zh-CN" w:bidi="ar-SA"/>
        </w:rPr>
      </w:pPr>
      <w:r>
        <w:drawing>
          <wp:anchor distT="0" distB="0" distL="114300" distR="114300" simplePos="0" relativeHeight="251665408" behindDoc="1" locked="0" layoutInCell="1" allowOverlap="1">
            <wp:simplePos x="0" y="0"/>
            <wp:positionH relativeFrom="column">
              <wp:posOffset>149225</wp:posOffset>
            </wp:positionH>
            <wp:positionV relativeFrom="page">
              <wp:posOffset>6142990</wp:posOffset>
            </wp:positionV>
            <wp:extent cx="4826000" cy="2743200"/>
            <wp:effectExtent l="4445" t="4445" r="15875" b="10795"/>
            <wp:wrapThrough wrapText="bothSides">
              <wp:wrapPolygon>
                <wp:start x="-20" y="-35"/>
                <wp:lineTo x="-20" y="21565"/>
                <wp:lineTo x="21535" y="21565"/>
                <wp:lineTo x="21535" y="-35"/>
                <wp:lineTo x="-20" y="-35"/>
              </wp:wrapPolygon>
            </wp:wrapThrough>
            <wp:docPr id="10" name="图表 3" descr="7b0a202020202263686172745265734964223a202235303037313330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1120023">
      <w:pPr>
        <w:pStyle w:val="3"/>
        <w:rPr>
          <w:rFonts w:hint="eastAsia" w:eastAsia="仿宋_GB2312" w:cs="仿宋_GB2312"/>
          <w:color w:val="auto"/>
          <w:kern w:val="2"/>
          <w:sz w:val="32"/>
          <w:szCs w:val="32"/>
          <w:highlight w:val="none"/>
          <w:lang w:val="en-US" w:eastAsia="zh-CN" w:bidi="ar-SA"/>
        </w:rPr>
      </w:pPr>
    </w:p>
    <w:p w14:paraId="4FB185C5">
      <w:pPr>
        <w:pStyle w:val="3"/>
        <w:rPr>
          <w:rFonts w:hint="eastAsia" w:eastAsia="仿宋_GB2312" w:cs="仿宋_GB2312"/>
          <w:color w:val="auto"/>
          <w:kern w:val="2"/>
          <w:sz w:val="32"/>
          <w:szCs w:val="32"/>
          <w:highlight w:val="none"/>
          <w:lang w:val="en-US" w:eastAsia="zh-CN" w:bidi="ar-SA"/>
        </w:rPr>
      </w:pPr>
    </w:p>
    <w:p w14:paraId="5ED14230">
      <w:pPr>
        <w:pStyle w:val="3"/>
        <w:rPr>
          <w:rFonts w:hint="eastAsia" w:eastAsia="仿宋_GB2312" w:cs="仿宋_GB2312"/>
          <w:color w:val="auto"/>
          <w:kern w:val="2"/>
          <w:sz w:val="32"/>
          <w:szCs w:val="32"/>
          <w:highlight w:val="none"/>
          <w:lang w:val="en-US" w:eastAsia="zh-CN" w:bidi="ar-SA"/>
        </w:rPr>
      </w:pPr>
    </w:p>
    <w:p w14:paraId="256434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5DD02D6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2025年度一般公共预算支出决算数为507.5万元，完成预算100%。其中：</w:t>
      </w:r>
    </w:p>
    <w:p w14:paraId="1273E23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1.教育支出（类）其他教育支出（款）其他教育支出（项）：支出决算为301.29万元，完成预算100%。</w:t>
      </w:r>
    </w:p>
    <w:p w14:paraId="2C1BC59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2.教育支出（类）教育费附加安排的支出（款）其他教育费附加安排的支出（项）：支出决算为65.18万元，完成预算100%。</w:t>
      </w:r>
    </w:p>
    <w:p w14:paraId="434D33A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3.社会保障和就业支出（类）行政事业单位养老支出（款）事业单位离退休（项）：支出决算为49.36万元，完成预算100%。</w:t>
      </w:r>
    </w:p>
    <w:p w14:paraId="70A6894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4.社会保障和就业支出（类）行政事业单位养老支出（款）机关事业单位基本养老保险缴费支出（项）：支出决算为40.37万元，完成预算100%。</w:t>
      </w:r>
    </w:p>
    <w:p w14:paraId="3D78142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5.卫生健康支出（类）行政事业单位医疗（款）事业单位医疗（项）：支出决算为19.47万元，完成预算100%。</w:t>
      </w:r>
    </w:p>
    <w:p w14:paraId="5170602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6.卫生健康支出（类）行政事业单位医疗（款）公务员医疗补助（项）：支出决算为2.28万元，完成预算100%。</w:t>
      </w:r>
    </w:p>
    <w:p w14:paraId="17C1969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7.住房保障支出（类）住房改革支出（款）住房公积金（项）：支出决算为29.55万元，完成预算100%。</w:t>
      </w:r>
    </w:p>
    <w:p w14:paraId="549A9705">
      <w:pPr>
        <w:pStyle w:val="2"/>
        <w:rPr>
          <w:rFonts w:hint="eastAsia"/>
          <w:lang w:val="en-US" w:eastAsia="zh-CN"/>
        </w:rPr>
      </w:pPr>
    </w:p>
    <w:p w14:paraId="585435F9">
      <w:pPr>
        <w:tabs>
          <w:tab w:val="right" w:pos="8306"/>
        </w:tabs>
        <w:spacing w:line="600" w:lineRule="exact"/>
        <w:ind w:firstLine="640"/>
        <w:outlineLvl w:val="1"/>
        <w:rPr>
          <w:rStyle w:val="29"/>
          <w:rFonts w:ascii="Times New Roman" w:hAnsi="Times New Roman"/>
          <w:color w:val="auto"/>
          <w:highlight w:val="none"/>
        </w:rPr>
      </w:pPr>
      <w:bookmarkStart w:id="31" w:name="_Toc15396608"/>
      <w:bookmarkStart w:id="32"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1"/>
      <w:bookmarkEnd w:id="32"/>
      <w:r>
        <w:rPr>
          <w:rStyle w:val="29"/>
          <w:rFonts w:ascii="Times New Roman" w:hAnsi="Times New Roman" w:eastAsia="黑体"/>
          <w:b w:val="0"/>
          <w:color w:val="auto"/>
          <w:highlight w:val="none"/>
        </w:rPr>
        <w:tab/>
      </w:r>
    </w:p>
    <w:p w14:paraId="3FF6884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2025年度一般公共预算财政拨款基本支出442.32万元，其中：</w:t>
      </w:r>
    </w:p>
    <w:p w14:paraId="3A3F957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416.21万元，主要包括：基本工资106.78万元、津贴补贴10.36万元、绩效工资145.77万元、机关事业单位基本养老保险缴费40.37万元、职工基本医疗保险缴费19.47万元、公务员医疗补助缴费4.52万元、其他社会保障缴费2.02万元、生活补助52.99万元、医疗费补助4.36万元、奖励金0.03万元、住房公积金29.55万元。</w:t>
      </w:r>
    </w:p>
    <w:p w14:paraId="1B43EA0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26.11万元，主要包括：办公费2.51万元、水费0.05万元、电费0.97万元、差旅费9.40万元、劳务费3.90万元、工会经费4.47万元、福利费2.19万元、公务用车运行维护费1.12万元、其他商品和服务支出1.23万元、办公设备购置0.27万元。本年度无公务接待费支出。</w:t>
      </w:r>
    </w:p>
    <w:p w14:paraId="70D1B3DF">
      <w:pPr>
        <w:pStyle w:val="2"/>
        <w:rPr>
          <w:rFonts w:hint="eastAsia"/>
          <w:lang w:val="en-US" w:eastAsia="zh-CN"/>
        </w:rPr>
      </w:pPr>
    </w:p>
    <w:p w14:paraId="68A57E2B">
      <w:pPr>
        <w:spacing w:line="600" w:lineRule="exact"/>
        <w:ind w:firstLine="640"/>
        <w:outlineLvl w:val="1"/>
        <w:rPr>
          <w:rStyle w:val="29"/>
          <w:rFonts w:ascii="Times New Roman" w:hAnsi="Times New Roman" w:eastAsia="黑体"/>
          <w:b w:val="0"/>
          <w:color w:val="auto"/>
          <w:highlight w:val="none"/>
        </w:rPr>
      </w:pPr>
      <w:bookmarkStart w:id="33" w:name="_Toc15377215"/>
      <w:bookmarkStart w:id="34"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3"/>
      <w:bookmarkEnd w:id="34"/>
    </w:p>
    <w:p w14:paraId="0479A62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5"/>
    </w:p>
    <w:p w14:paraId="65B57A98">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bookmarkStart w:id="36" w:name="_Toc15377217"/>
      <w:r>
        <w:rPr>
          <w:rFonts w:hint="eastAsia" w:eastAsia="仿宋_GB2312" w:cs="仿宋_GB2312"/>
          <w:color w:val="auto"/>
          <w:kern w:val="2"/>
          <w:sz w:val="32"/>
          <w:szCs w:val="32"/>
          <w:highlight w:val="none"/>
          <w:lang w:val="en-US" w:eastAsia="zh-CN" w:bidi="ar-SA"/>
        </w:rPr>
        <w:t>2025年度财政拨款“三公”经费支出决算为1.12万元，完成预算100%，较2024年度减少0.30万元，下降21.13%。主要变动原因：本年度无公务接待费未发生支出。</w:t>
      </w:r>
    </w:p>
    <w:p w14:paraId="46264A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（二）财政拨款“三公”经费支出决算具体情况说明</w:t>
      </w:r>
      <w:bookmarkEnd w:id="36"/>
    </w:p>
    <w:p w14:paraId="5DF2CC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2025年度财政拨款“三公”经费支出决算中，因公出国（境）费支出决算0万元，占0%；公务用车购置及运行维护费支出决算1.12万元，占100%；公务接待费支出决算0万元，占0%。</w:t>
      </w:r>
      <w:r>
        <w:rPr>
          <w:rFonts w:hint="eastAsia" w:ascii="Times New Roman" w:hAnsi="Times New Roman" w:eastAsia="仿宋_GB2312" w:cs="仿宋_GB2312"/>
          <w:color w:val="auto"/>
          <w:kern w:val="2"/>
          <w:sz w:val="32"/>
          <w:szCs w:val="32"/>
          <w:highlight w:val="none"/>
          <w:lang w:val="en-US" w:eastAsia="zh-CN" w:bidi="ar-SA"/>
        </w:rPr>
        <w:t>具体情况如下：</w:t>
      </w:r>
    </w:p>
    <w:p w14:paraId="7E15E6EF">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p>
    <w:p w14:paraId="723BF6FD">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drawing>
          <wp:anchor distT="0" distB="0" distL="114300" distR="114300" simplePos="0" relativeHeight="251664384" behindDoc="1" locked="0" layoutInCell="1" allowOverlap="1">
            <wp:simplePos x="0" y="0"/>
            <wp:positionH relativeFrom="column">
              <wp:posOffset>189865</wp:posOffset>
            </wp:positionH>
            <wp:positionV relativeFrom="page">
              <wp:posOffset>1078865</wp:posOffset>
            </wp:positionV>
            <wp:extent cx="4826000" cy="2743200"/>
            <wp:effectExtent l="4445" t="4445" r="15875" b="41275"/>
            <wp:wrapThrough wrapText="bothSides">
              <wp:wrapPolygon>
                <wp:start x="-20" y="-35"/>
                <wp:lineTo x="-20" y="21805"/>
                <wp:lineTo x="21535" y="21805"/>
                <wp:lineTo x="21535" y="-35"/>
                <wp:lineTo x="-20" y="-35"/>
              </wp:wrapPolygon>
            </wp:wrapThrough>
            <wp:docPr id="9" name="图表 2" descr="7b0a202020202263686172745265734964223a202235303037313330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09D3222">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p>
    <w:p w14:paraId="55C3838D">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p>
    <w:p w14:paraId="47E5C94A">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因公出国（境）经费支出0万元，完成预算0%。</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全年安排因公出国（境）团组0次，出国（境）0人。因公出国（境）支出决算与2024年度持平，无增减变动，主要原因是无预算未发生相关支出。</w:t>
      </w:r>
    </w:p>
    <w:p w14:paraId="6843C4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1.12</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公务用车购置及运行维护费支出决算与2024年度持平，无增减变动。主要原因：车辆使用强度与上年度基本一致，车辆运维成本稳定。</w:t>
      </w:r>
    </w:p>
    <w:p w14:paraId="2940AB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A29E7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1.12</w:t>
      </w:r>
      <w:r>
        <w:rPr>
          <w:rFonts w:hint="eastAsia" w:ascii="Times New Roman" w:hAnsi="Times New Roman" w:eastAsia="仿宋_GB2312" w:cs="仿宋_GB2312"/>
          <w:color w:val="auto"/>
          <w:kern w:val="2"/>
          <w:sz w:val="32"/>
          <w:szCs w:val="32"/>
          <w:highlight w:val="none"/>
          <w:lang w:val="en-US" w:eastAsia="zh-CN" w:bidi="ar-SA"/>
        </w:rPr>
        <w:t>万元。主要用于教育宣传、电化教育、教育装备标准化建设等工作所需的公务用车燃料费、维修费、过路过桥费、保险费等支出。</w:t>
      </w:r>
    </w:p>
    <w:p w14:paraId="3749C621">
      <w:pPr>
        <w:numPr>
          <w:ilvl w:val="0"/>
          <w:numId w:val="1"/>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公务接待费支出决算较2024年度减少0.30万元，下降100%。主要原因：本年度无上级及外单位调研接待任务。本年度无国内公务接待、外事接待批次及人次，无相关支出。其中：</w:t>
      </w:r>
    </w:p>
    <w:p w14:paraId="2AD109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017C6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7" w:name="_Toc15396610"/>
      <w:bookmarkStart w:id="38" w:name="_Toc15377218"/>
    </w:p>
    <w:p w14:paraId="3BC239C3">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7"/>
      <w:bookmarkEnd w:id="38"/>
    </w:p>
    <w:p w14:paraId="3F004F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2024年度相比持平。</w:t>
      </w:r>
    </w:p>
    <w:p w14:paraId="1577C8E7">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9" w:name="_Toc15377219"/>
      <w:bookmarkStart w:id="40"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9"/>
      <w:bookmarkEnd w:id="40"/>
    </w:p>
    <w:p w14:paraId="0CF438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%。与2024年度相比持平。</w:t>
      </w:r>
    </w:p>
    <w:p w14:paraId="54F0D6B1">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1" w:name="_Toc15396612"/>
      <w:bookmarkStart w:id="42"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1"/>
      <w:bookmarkEnd w:id="42"/>
    </w:p>
    <w:p w14:paraId="15D8B0A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14:paraId="7ED69B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22025年度，四川省攀枝花市电化教育（技术装备）中心机关运行经费支出0万元，与2024年度决算数持平。</w:t>
      </w:r>
    </w:p>
    <w:p w14:paraId="669FF3F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3"/>
      <w:r>
        <w:rPr>
          <w:rFonts w:hint="eastAsia" w:ascii="Times New Roman" w:hAnsi="Times New Roman" w:eastAsia="楷体_GB2312" w:cs="楷体_GB2312"/>
          <w:b/>
          <w:color w:val="auto"/>
          <w:sz w:val="32"/>
          <w:szCs w:val="32"/>
          <w:highlight w:val="none"/>
        </w:rPr>
        <w:t>（二）政府采购支出情况</w:t>
      </w:r>
      <w:bookmarkEnd w:id="44"/>
    </w:p>
    <w:p w14:paraId="6CEACB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攀枝花市电化教育（技术装备）中心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1.19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0.27</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0.92</w:t>
      </w:r>
      <w:r>
        <w:rPr>
          <w:rFonts w:hint="eastAsia" w:ascii="Times New Roman" w:hAnsi="Times New Roman" w:eastAsia="仿宋_GB2312" w:cs="仿宋_GB2312"/>
          <w:color w:val="auto"/>
          <w:kern w:val="2"/>
          <w:sz w:val="32"/>
          <w:szCs w:val="32"/>
          <w:highlight w:val="none"/>
          <w:lang w:val="en-US" w:eastAsia="zh-CN" w:bidi="ar-SA"/>
        </w:rPr>
        <w:t>万元。主要用于日常办公设备采购、公务出行保障。授予中小企业合同金额</w:t>
      </w:r>
      <w:r>
        <w:rPr>
          <w:rFonts w:hint="eastAsia" w:ascii="仿宋_GB2312" w:hAnsi="仿宋_GB2312" w:eastAsia="仿宋_GB2312" w:cs="仿宋_GB2312"/>
          <w:sz w:val="32"/>
          <w:szCs w:val="32"/>
        </w:rPr>
        <w:t>1.07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90.11</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1.07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90.11</w:t>
      </w:r>
      <w:r>
        <w:rPr>
          <w:rFonts w:hint="eastAsia" w:ascii="Times New Roman" w:hAnsi="Times New Roman" w:eastAsia="仿宋_GB2312" w:cs="仿宋_GB2312"/>
          <w:color w:val="auto"/>
          <w:kern w:val="2"/>
          <w:sz w:val="32"/>
          <w:szCs w:val="32"/>
          <w:highlight w:val="none"/>
          <w:lang w:val="en-US" w:eastAsia="zh-CN" w:bidi="ar-SA"/>
        </w:rPr>
        <w:t>%。</w:t>
      </w:r>
    </w:p>
    <w:p w14:paraId="0D0099B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4"/>
      <w:r>
        <w:rPr>
          <w:rFonts w:hint="eastAsia" w:ascii="Times New Roman" w:hAnsi="Times New Roman" w:eastAsia="楷体_GB2312" w:cs="楷体_GB2312"/>
          <w:b/>
          <w:color w:val="auto"/>
          <w:sz w:val="32"/>
          <w:szCs w:val="32"/>
          <w:highlight w:val="none"/>
        </w:rPr>
        <w:t>（三）国有资产占有使用情况</w:t>
      </w:r>
      <w:bookmarkEnd w:id="45"/>
    </w:p>
    <w:p w14:paraId="059D9C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攀枝花市电化教育（技术装备）中心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辆，其他用车主要是用于教育宣传、电化教育、教育装备业务开展。单位无领导用车、机要通信用车、应急保障用车等各类专项车辆，无单价100万元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9D200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10E20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根据预算绩效管理要求，市电化教育（技术装备）中心在2025年度，组织对考试考务管理等</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65.18</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7FA9A035">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组织对2025年度一般公共预算全面开展绩效自评，形成市电化教育（技术装备）中心部门整体（含部门预算项目）绩效自评报告，绩效自评报告详见附件</w:t>
      </w:r>
      <w:bookmarkStart w:id="46" w:name="_Toc15377225"/>
      <w:bookmarkStart w:id="47" w:name="_Toc15396613"/>
      <w:r>
        <w:rPr>
          <w:rFonts w:hint="eastAsia" w:eastAsia="仿宋_GB2312" w:cs="仿宋_GB2312"/>
          <w:color w:val="auto"/>
          <w:kern w:val="2"/>
          <w:sz w:val="32"/>
          <w:szCs w:val="32"/>
          <w:highlight w:val="none"/>
          <w:lang w:val="en-US" w:eastAsia="zh-CN" w:bidi="ar-SA"/>
        </w:rPr>
        <w:t>。</w:t>
      </w:r>
    </w:p>
    <w:p w14:paraId="68C6D303">
      <w:pPr>
        <w:spacing w:line="600" w:lineRule="exact"/>
        <w:ind w:firstLine="640"/>
        <w:rPr>
          <w:rFonts w:hint="eastAsia" w:eastAsia="仿宋_GB2312" w:cs="仿宋_GB2312"/>
          <w:color w:val="auto"/>
          <w:kern w:val="2"/>
          <w:sz w:val="32"/>
          <w:szCs w:val="32"/>
          <w:highlight w:val="none"/>
          <w:lang w:val="en-US" w:eastAsia="zh-CN" w:bidi="ar-SA"/>
        </w:rPr>
      </w:pPr>
    </w:p>
    <w:p w14:paraId="0398A852">
      <w:pPr>
        <w:spacing w:line="600" w:lineRule="exact"/>
        <w:ind w:firstLine="640"/>
        <w:rPr>
          <w:rFonts w:hint="eastAsia" w:ascii="Times New Roman" w:hAnsi="Times New Roman" w:eastAsia="黑体"/>
          <w:color w:val="auto"/>
          <w:sz w:val="44"/>
          <w:szCs w:val="44"/>
          <w:highlight w:val="none"/>
        </w:rPr>
      </w:pPr>
    </w:p>
    <w:p w14:paraId="762C1427">
      <w:pPr>
        <w:spacing w:line="600" w:lineRule="exact"/>
        <w:ind w:firstLine="640"/>
        <w:jc w:val="cente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6"/>
      <w:bookmarkEnd w:id="47"/>
    </w:p>
    <w:p w14:paraId="46F2CC02">
      <w:pPr>
        <w:spacing w:line="600" w:lineRule="exact"/>
        <w:jc w:val="left"/>
        <w:rPr>
          <w:rFonts w:ascii="Times New Roman" w:hAnsi="Times New Roman"/>
          <w:b/>
          <w:color w:val="auto"/>
          <w:sz w:val="44"/>
          <w:szCs w:val="44"/>
          <w:highlight w:val="none"/>
        </w:rPr>
      </w:pPr>
    </w:p>
    <w:p w14:paraId="5A740A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5332C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133D3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其他收入：指单位取得的除上述收入以外的各项收入。 </w:t>
      </w:r>
    </w:p>
    <w:p w14:paraId="1ACF78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3943CC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2D4015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5F66BD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7A7409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教育（类）教育附加安排的支出（款）其他教育附加安排的支出（项）：反映除农村中小学校舍建设、农村中小学教学设施、城市中小学校舍建设、城市中小学教学设施、中等职业学校教学设施以外的教育费附加支出。教育（类）其他教育支出（款）其他教育支出（项）：其他用于教育方面的支出。</w:t>
      </w:r>
    </w:p>
    <w:p w14:paraId="6C0DF9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事业单位离退休（项）：反映事业单位开支的离退休经费。社会保障和就业（类）行政事业单位养老支出（款）机关事业单位基本养老保险缴费支出（项）：反映机关事业单位实施养老保险制度由单位缴纳的基本养老保险费支出。</w:t>
      </w:r>
    </w:p>
    <w:p w14:paraId="390603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.住房保障（类）住房改革支出（款）住房公积金（项）：指反映行政事业单位按人力资源和社会保障部、财政部规定的基本工资和津贴补贴以及规定比例为职工缴纳的住房公积金。</w:t>
      </w:r>
    </w:p>
    <w:p w14:paraId="594637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反映财政部门安排的事业单位基本医疗保险缴费经费，未参加医疗保险的事业单位的公费医疗经费，按国家规定享受离休人员待遇的医疗经费；卫生健康支出（类）行政事业单位医疗（款）公务员医疗补助（项）：反映财政部门安排的公务员医疗补助经费。</w:t>
      </w:r>
    </w:p>
    <w:p w14:paraId="5653BD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BF763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.项目支出：指在基本支出之外为完成特定行政任务和事业发展目标所发生的支出。</w:t>
      </w:r>
    </w:p>
    <w:p w14:paraId="27AD84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543560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A8DBDD">
      <w:pPr>
        <w:spacing w:line="600" w:lineRule="exact"/>
        <w:jc w:val="center"/>
        <w:rPr>
          <w:rStyle w:val="28"/>
          <w:rFonts w:hint="eastAsia" w:ascii="Times New Roman" w:hAnsi="Times New Roman" w:eastAsia="黑体"/>
          <w:b w:val="0"/>
          <w:color w:val="auto"/>
          <w:highlight w:val="none"/>
          <w:lang w:eastAsia="zh-CN"/>
        </w:rPr>
      </w:pPr>
      <w:bookmarkStart w:id="48"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9"/>
    </w:p>
    <w:p w14:paraId="4ECEA1F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A0B9835">
      <w:pPr>
        <w:widowControl/>
        <w:jc w:val="center"/>
        <w:rPr>
          <w:rFonts w:hint="eastAsia"/>
          <w:sz w:val="32"/>
          <w:szCs w:val="32"/>
        </w:rPr>
      </w:pPr>
      <w:bookmarkStart w:id="50" w:name="_Toc15396618"/>
      <w:r>
        <w:rPr>
          <w:rFonts w:hint="eastAsia"/>
          <w:sz w:val="32"/>
          <w:szCs w:val="32"/>
        </w:rPr>
        <w:t>部门预算项目支出绩效自评表（202</w:t>
      </w:r>
      <w:r>
        <w:rPr>
          <w:rFonts w:hint="eastAsia"/>
          <w:sz w:val="32"/>
          <w:szCs w:val="32"/>
          <w:lang w:val="en-US" w:eastAsia="zh-CN"/>
        </w:rPr>
        <w:t>5</w:t>
      </w:r>
      <w:r>
        <w:rPr>
          <w:rFonts w:hint="eastAsia"/>
          <w:sz w:val="32"/>
          <w:szCs w:val="32"/>
        </w:rPr>
        <w:t>年度）见附件</w:t>
      </w:r>
    </w:p>
    <w:p w14:paraId="3C66F3BC">
      <w:pPr>
        <w:widowControl/>
        <w:jc w:val="center"/>
        <w:rPr>
          <w:rFonts w:hint="eastAsia" w:ascii="Times New Roman" w:hAnsi="Times New Roman" w:eastAsia="黑体"/>
          <w:color w:val="auto"/>
          <w:sz w:val="44"/>
          <w:szCs w:val="44"/>
          <w:highlight w:val="none"/>
        </w:rPr>
      </w:pPr>
    </w:p>
    <w:p w14:paraId="049E1E93">
      <w:pPr>
        <w:widowControl/>
        <w:jc w:val="center"/>
        <w:rPr>
          <w:rFonts w:hint="eastAsia" w:ascii="Times New Roman" w:hAnsi="Times New Roman" w:eastAsia="黑体"/>
          <w:color w:val="auto"/>
          <w:sz w:val="44"/>
          <w:szCs w:val="44"/>
          <w:highlight w:val="none"/>
        </w:rPr>
      </w:pPr>
    </w:p>
    <w:p w14:paraId="4C257783">
      <w:pPr>
        <w:widowControl/>
        <w:jc w:val="center"/>
        <w:rPr>
          <w:rFonts w:hint="eastAsia" w:ascii="Times New Roman" w:hAnsi="Times New Roman" w:eastAsia="黑体"/>
          <w:color w:val="auto"/>
          <w:sz w:val="44"/>
          <w:szCs w:val="44"/>
          <w:highlight w:val="none"/>
        </w:rPr>
      </w:pPr>
    </w:p>
    <w:p w14:paraId="45706DA2">
      <w:pPr>
        <w:widowControl/>
        <w:jc w:val="center"/>
        <w:rPr>
          <w:rFonts w:hint="eastAsia" w:ascii="Times New Roman" w:hAnsi="Times New Roman" w:eastAsia="黑体"/>
          <w:color w:val="auto"/>
          <w:sz w:val="44"/>
          <w:szCs w:val="44"/>
          <w:highlight w:val="none"/>
        </w:rPr>
      </w:pPr>
    </w:p>
    <w:p w14:paraId="1FFD3DD2">
      <w:pPr>
        <w:widowControl/>
        <w:jc w:val="center"/>
        <w:rPr>
          <w:rFonts w:hint="eastAsia" w:ascii="Times New Roman" w:hAnsi="Times New Roman" w:eastAsia="黑体"/>
          <w:color w:val="auto"/>
          <w:sz w:val="44"/>
          <w:szCs w:val="44"/>
          <w:highlight w:val="none"/>
        </w:rPr>
      </w:pPr>
    </w:p>
    <w:p w14:paraId="59FC4047">
      <w:pPr>
        <w:widowControl/>
        <w:jc w:val="center"/>
        <w:rPr>
          <w:rFonts w:hint="eastAsia" w:ascii="Times New Roman" w:hAnsi="Times New Roman" w:eastAsia="黑体"/>
          <w:color w:val="auto"/>
          <w:sz w:val="44"/>
          <w:szCs w:val="44"/>
          <w:highlight w:val="none"/>
        </w:rPr>
      </w:pPr>
    </w:p>
    <w:p w14:paraId="4278665C">
      <w:pPr>
        <w:widowControl/>
        <w:jc w:val="center"/>
        <w:rPr>
          <w:rFonts w:hint="eastAsia" w:ascii="Times New Roman" w:hAnsi="Times New Roman" w:eastAsia="黑体"/>
          <w:color w:val="auto"/>
          <w:sz w:val="44"/>
          <w:szCs w:val="44"/>
          <w:highlight w:val="none"/>
        </w:rPr>
      </w:pPr>
    </w:p>
    <w:p w14:paraId="62496CC0">
      <w:pPr>
        <w:widowControl/>
        <w:jc w:val="center"/>
        <w:rPr>
          <w:rFonts w:hint="eastAsia" w:ascii="Times New Roman" w:hAnsi="Times New Roman" w:eastAsia="黑体"/>
          <w:color w:val="auto"/>
          <w:sz w:val="44"/>
          <w:szCs w:val="44"/>
          <w:highlight w:val="none"/>
        </w:rPr>
      </w:pPr>
    </w:p>
    <w:p w14:paraId="7D319F2D">
      <w:pPr>
        <w:widowControl/>
        <w:jc w:val="center"/>
        <w:rPr>
          <w:rFonts w:hint="eastAsia" w:ascii="Times New Roman" w:hAnsi="Times New Roman" w:eastAsia="黑体"/>
          <w:color w:val="auto"/>
          <w:sz w:val="44"/>
          <w:szCs w:val="44"/>
          <w:highlight w:val="none"/>
        </w:rPr>
      </w:pPr>
    </w:p>
    <w:p w14:paraId="6FD4E6CB">
      <w:pPr>
        <w:widowControl/>
        <w:jc w:val="center"/>
        <w:rPr>
          <w:rFonts w:hint="eastAsia" w:ascii="Times New Roman" w:hAnsi="Times New Roman" w:eastAsia="黑体"/>
          <w:color w:val="auto"/>
          <w:sz w:val="44"/>
          <w:szCs w:val="44"/>
          <w:highlight w:val="none"/>
        </w:rPr>
      </w:pPr>
    </w:p>
    <w:p w14:paraId="7AC79B1B">
      <w:pPr>
        <w:widowControl/>
        <w:jc w:val="center"/>
        <w:rPr>
          <w:rFonts w:hint="eastAsia" w:ascii="Times New Roman" w:hAnsi="Times New Roman" w:eastAsia="黑体"/>
          <w:color w:val="auto"/>
          <w:sz w:val="44"/>
          <w:szCs w:val="44"/>
          <w:highlight w:val="none"/>
        </w:rPr>
      </w:pPr>
    </w:p>
    <w:p w14:paraId="07329329">
      <w:pPr>
        <w:widowControl/>
        <w:jc w:val="center"/>
        <w:rPr>
          <w:rFonts w:hint="eastAsia" w:ascii="Times New Roman" w:hAnsi="Times New Roman" w:eastAsia="黑体"/>
          <w:color w:val="auto"/>
          <w:sz w:val="44"/>
          <w:szCs w:val="44"/>
          <w:highlight w:val="none"/>
        </w:rPr>
      </w:pPr>
    </w:p>
    <w:p w14:paraId="44952F0C">
      <w:pPr>
        <w:widowControl/>
        <w:jc w:val="center"/>
        <w:rPr>
          <w:rFonts w:hint="eastAsia" w:ascii="Times New Roman" w:hAnsi="Times New Roman" w:eastAsia="黑体"/>
          <w:color w:val="auto"/>
          <w:sz w:val="44"/>
          <w:szCs w:val="44"/>
          <w:highlight w:val="none"/>
        </w:rPr>
      </w:pPr>
    </w:p>
    <w:p w14:paraId="7FAC5ED2">
      <w:pPr>
        <w:widowControl/>
        <w:jc w:val="center"/>
        <w:rPr>
          <w:rFonts w:hint="eastAsia" w:ascii="Times New Roman" w:hAnsi="Times New Roman" w:eastAsia="黑体"/>
          <w:color w:val="auto"/>
          <w:sz w:val="44"/>
          <w:szCs w:val="44"/>
          <w:highlight w:val="none"/>
        </w:rPr>
      </w:pPr>
    </w:p>
    <w:p w14:paraId="2E50CAFA">
      <w:pPr>
        <w:widowControl/>
        <w:jc w:val="center"/>
        <w:rPr>
          <w:rFonts w:hint="eastAsia" w:ascii="Times New Roman" w:hAnsi="Times New Roman" w:eastAsia="黑体"/>
          <w:color w:val="auto"/>
          <w:sz w:val="44"/>
          <w:szCs w:val="44"/>
          <w:highlight w:val="none"/>
        </w:rPr>
      </w:pPr>
    </w:p>
    <w:p w14:paraId="18178B0A">
      <w:pPr>
        <w:widowControl/>
        <w:jc w:val="center"/>
        <w:rPr>
          <w:rFonts w:hint="eastAsia" w:ascii="Times New Roman" w:hAnsi="Times New Roman" w:eastAsia="黑体"/>
          <w:color w:val="auto"/>
          <w:sz w:val="44"/>
          <w:szCs w:val="44"/>
          <w:highlight w:val="none"/>
        </w:rPr>
      </w:pPr>
    </w:p>
    <w:p w14:paraId="337D18FA">
      <w:pPr>
        <w:widowControl/>
        <w:jc w:val="center"/>
        <w:rPr>
          <w:rFonts w:hint="eastAsia" w:ascii="Times New Roman" w:hAnsi="Times New Roman" w:eastAsia="黑体"/>
          <w:color w:val="auto"/>
          <w:sz w:val="44"/>
          <w:szCs w:val="44"/>
          <w:highlight w:val="none"/>
        </w:rPr>
      </w:pPr>
    </w:p>
    <w:p w14:paraId="4F6277DA">
      <w:pPr>
        <w:widowControl/>
        <w:jc w:val="center"/>
        <w:rPr>
          <w:rFonts w:hint="eastAsia" w:ascii="Times New Roman" w:hAnsi="Times New Roman" w:eastAsia="黑体"/>
          <w:color w:val="auto"/>
          <w:sz w:val="44"/>
          <w:szCs w:val="44"/>
          <w:highlight w:val="none"/>
        </w:rPr>
      </w:pPr>
    </w:p>
    <w:p w14:paraId="5681CCED">
      <w:pPr>
        <w:widowControl/>
        <w:jc w:val="center"/>
        <w:rPr>
          <w:rFonts w:hint="eastAsia" w:ascii="Times New Roman" w:hAnsi="Times New Roman" w:eastAsia="黑体"/>
          <w:color w:val="auto"/>
          <w:sz w:val="44"/>
          <w:szCs w:val="44"/>
          <w:highlight w:val="none"/>
        </w:rPr>
      </w:pPr>
    </w:p>
    <w:p w14:paraId="7952CABC">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8"/>
      <w:bookmarkEnd w:id="50"/>
      <w:bookmarkStart w:id="51" w:name="_Toc15396619"/>
    </w:p>
    <w:p w14:paraId="75A56C1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FF0A71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1"/>
    </w:p>
    <w:p w14:paraId="7238FC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0"/>
      <w:r>
        <w:rPr>
          <w:rFonts w:hint="eastAsia" w:ascii="Times New Roman" w:hAnsi="Times New Roman" w:eastAsia="仿宋_GB2312" w:cs="仿宋_GB2312"/>
          <w:color w:val="auto"/>
          <w:sz w:val="32"/>
          <w:szCs w:val="32"/>
          <w:highlight w:val="none"/>
        </w:rPr>
        <w:t>二、收入决算表</w:t>
      </w:r>
      <w:bookmarkEnd w:id="52"/>
    </w:p>
    <w:p w14:paraId="56C5C20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1"/>
      <w:r>
        <w:rPr>
          <w:rFonts w:hint="eastAsia" w:ascii="Times New Roman" w:hAnsi="Times New Roman" w:eastAsia="仿宋_GB2312" w:cs="仿宋_GB2312"/>
          <w:color w:val="auto"/>
          <w:sz w:val="32"/>
          <w:szCs w:val="32"/>
          <w:highlight w:val="none"/>
        </w:rPr>
        <w:t>三、支出决算表</w:t>
      </w:r>
      <w:bookmarkEnd w:id="53"/>
    </w:p>
    <w:p w14:paraId="49BD90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2"/>
      <w:r>
        <w:rPr>
          <w:rFonts w:hint="eastAsia" w:ascii="Times New Roman" w:hAnsi="Times New Roman" w:eastAsia="仿宋_GB2312" w:cs="仿宋_GB2312"/>
          <w:color w:val="auto"/>
          <w:sz w:val="32"/>
          <w:szCs w:val="32"/>
          <w:highlight w:val="none"/>
        </w:rPr>
        <w:t>四、财政拨款收入支出决算总表</w:t>
      </w:r>
      <w:bookmarkEnd w:id="54"/>
    </w:p>
    <w:p w14:paraId="2124308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3"/>
      <w:r>
        <w:rPr>
          <w:rFonts w:hint="eastAsia" w:ascii="Times New Roman" w:hAnsi="Times New Roman" w:eastAsia="仿宋_GB2312" w:cs="仿宋_GB2312"/>
          <w:color w:val="auto"/>
          <w:sz w:val="32"/>
          <w:szCs w:val="32"/>
          <w:highlight w:val="none"/>
        </w:rPr>
        <w:t>五、财政拨款支出决算明细表</w:t>
      </w:r>
      <w:bookmarkEnd w:id="55"/>
      <w:bookmarkStart w:id="56" w:name="_Toc15396624"/>
    </w:p>
    <w:p w14:paraId="59E4F6A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6"/>
    </w:p>
    <w:p w14:paraId="253451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5"/>
      <w:r>
        <w:rPr>
          <w:rFonts w:hint="eastAsia" w:ascii="Times New Roman" w:hAnsi="Times New Roman" w:eastAsia="仿宋_GB2312" w:cs="仿宋_GB2312"/>
          <w:color w:val="auto"/>
          <w:sz w:val="32"/>
          <w:szCs w:val="32"/>
          <w:highlight w:val="none"/>
        </w:rPr>
        <w:t>七、一般公共预算财政拨款支出决算明细表</w:t>
      </w:r>
      <w:bookmarkEnd w:id="57"/>
    </w:p>
    <w:p w14:paraId="56B6AC6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6"/>
      <w:r>
        <w:rPr>
          <w:rFonts w:hint="eastAsia" w:ascii="Times New Roman" w:hAnsi="Times New Roman" w:eastAsia="仿宋_GB2312" w:cs="仿宋_GB2312"/>
          <w:color w:val="auto"/>
          <w:sz w:val="32"/>
          <w:szCs w:val="32"/>
          <w:highlight w:val="none"/>
        </w:rPr>
        <w:t>八、一般公共预算财政拨款基本支出决算表</w:t>
      </w:r>
      <w:bookmarkEnd w:id="58"/>
    </w:p>
    <w:p w14:paraId="1234DE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7"/>
      <w:r>
        <w:rPr>
          <w:rFonts w:hint="eastAsia" w:ascii="Times New Roman" w:hAnsi="Times New Roman" w:eastAsia="仿宋_GB2312" w:cs="仿宋_GB2312"/>
          <w:color w:val="auto"/>
          <w:sz w:val="32"/>
          <w:szCs w:val="32"/>
          <w:highlight w:val="none"/>
        </w:rPr>
        <w:t>九、一般公共预算财政拨款项目支出决算表</w:t>
      </w:r>
      <w:bookmarkEnd w:id="59"/>
    </w:p>
    <w:p w14:paraId="2C36EC5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8"/>
      <w:r>
        <w:rPr>
          <w:rFonts w:hint="eastAsia" w:ascii="Times New Roman" w:hAnsi="Times New Roman" w:eastAsia="仿宋_GB2312" w:cs="仿宋_GB2312"/>
          <w:color w:val="auto"/>
          <w:sz w:val="32"/>
          <w:szCs w:val="32"/>
          <w:highlight w:val="none"/>
        </w:rPr>
        <w:t>十、</w:t>
      </w:r>
      <w:bookmarkEnd w:id="60"/>
      <w:r>
        <w:rPr>
          <w:rFonts w:hint="eastAsia" w:ascii="Times New Roman" w:hAnsi="Times New Roman" w:eastAsia="仿宋_GB2312" w:cs="仿宋_GB2312"/>
          <w:color w:val="auto"/>
          <w:sz w:val="32"/>
          <w:szCs w:val="32"/>
          <w:highlight w:val="none"/>
        </w:rPr>
        <w:t>政府性基金预算财政拨款收入支出决算表</w:t>
      </w:r>
    </w:p>
    <w:p w14:paraId="3033FC6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9"/>
      <w:r>
        <w:rPr>
          <w:rFonts w:hint="eastAsia" w:ascii="Times New Roman" w:hAnsi="Times New Roman" w:eastAsia="仿宋_GB2312" w:cs="仿宋_GB2312"/>
          <w:color w:val="auto"/>
          <w:sz w:val="32"/>
          <w:szCs w:val="32"/>
          <w:highlight w:val="none"/>
        </w:rPr>
        <w:t>十一、</w:t>
      </w:r>
      <w:bookmarkEnd w:id="6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5C3220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30"/>
      <w:r>
        <w:rPr>
          <w:rFonts w:hint="eastAsia" w:ascii="Times New Roman" w:hAnsi="Times New Roman" w:eastAsia="仿宋_GB2312" w:cs="仿宋_GB2312"/>
          <w:color w:val="auto"/>
          <w:sz w:val="32"/>
          <w:szCs w:val="32"/>
          <w:highlight w:val="none"/>
        </w:rPr>
        <w:t>十二、</w:t>
      </w:r>
      <w:bookmarkEnd w:id="62"/>
      <w:r>
        <w:rPr>
          <w:rFonts w:hint="eastAsia" w:ascii="Times New Roman" w:hAnsi="Times New Roman" w:eastAsia="仿宋_GB2312" w:cs="仿宋_GB2312"/>
          <w:color w:val="auto"/>
          <w:sz w:val="32"/>
          <w:szCs w:val="32"/>
          <w:highlight w:val="none"/>
          <w:lang w:eastAsia="zh-CN"/>
        </w:rPr>
        <w:t>国有资本经营预算财政拨款支出决算表</w:t>
      </w:r>
    </w:p>
    <w:p w14:paraId="0FD276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3" w:name="_Toc15396631"/>
      <w:r>
        <w:rPr>
          <w:rFonts w:hint="eastAsia" w:ascii="Times New Roman" w:hAnsi="Times New Roman" w:eastAsia="仿宋_GB2312" w:cs="仿宋_GB2312"/>
          <w:color w:val="auto"/>
          <w:sz w:val="32"/>
          <w:szCs w:val="32"/>
          <w:highlight w:val="none"/>
        </w:rPr>
        <w:t>十三、</w:t>
      </w:r>
      <w:bookmarkEnd w:id="63"/>
      <w:r>
        <w:rPr>
          <w:rFonts w:hint="eastAsia" w:ascii="Times New Roman" w:hAnsi="Times New Roman" w:eastAsia="仿宋_GB2312" w:cs="仿宋_GB2312"/>
          <w:color w:val="auto"/>
          <w:sz w:val="32"/>
          <w:szCs w:val="32"/>
          <w:highlight w:val="none"/>
          <w:lang w:eastAsia="zh-CN"/>
        </w:rPr>
        <w:t>财政拨款“三公”经费支出决算表</w:t>
      </w:r>
    </w:p>
    <w:p w14:paraId="5B381F16">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FD8E4">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BAB3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3BAB3E">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043A45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856F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EEAB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AFEEAB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A362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E55346"/>
    <w:multiLevelType w:val="singleLevel"/>
    <w:tmpl w:val="C3E55346"/>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0B1FDF"/>
    <w:rsid w:val="0D35B1ED"/>
    <w:rsid w:val="0DE07E2B"/>
    <w:rsid w:val="0F98263C"/>
    <w:rsid w:val="101860EC"/>
    <w:rsid w:val="10C055FF"/>
    <w:rsid w:val="11772AA4"/>
    <w:rsid w:val="118107EC"/>
    <w:rsid w:val="12304C9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016F69"/>
    <w:rsid w:val="40E54C45"/>
    <w:rsid w:val="41313393"/>
    <w:rsid w:val="43A407DF"/>
    <w:rsid w:val="44515BEA"/>
    <w:rsid w:val="44E268DA"/>
    <w:rsid w:val="453F7E5B"/>
    <w:rsid w:val="486A6C7A"/>
    <w:rsid w:val="49176D9B"/>
    <w:rsid w:val="494006BD"/>
    <w:rsid w:val="4A627F82"/>
    <w:rsid w:val="4B0E749A"/>
    <w:rsid w:val="4B4F25DA"/>
    <w:rsid w:val="4BDA0CFB"/>
    <w:rsid w:val="4BE068DB"/>
    <w:rsid w:val="4BF80263"/>
    <w:rsid w:val="4D3C0CCC"/>
    <w:rsid w:val="4D577224"/>
    <w:rsid w:val="4DBF1CEB"/>
    <w:rsid w:val="4EAB630A"/>
    <w:rsid w:val="4ECE2238"/>
    <w:rsid w:val="4F833267"/>
    <w:rsid w:val="4FE9BD67"/>
    <w:rsid w:val="4FFB052F"/>
    <w:rsid w:val="53083A92"/>
    <w:rsid w:val="537E6D0A"/>
    <w:rsid w:val="53AF27A2"/>
    <w:rsid w:val="53F74C96"/>
    <w:rsid w:val="55C51BA3"/>
    <w:rsid w:val="56E47B74"/>
    <w:rsid w:val="57BD3DD4"/>
    <w:rsid w:val="5808324A"/>
    <w:rsid w:val="582C02C3"/>
    <w:rsid w:val="5AF92295"/>
    <w:rsid w:val="5BDD79E6"/>
    <w:rsid w:val="5BF561CA"/>
    <w:rsid w:val="5BFF5DFC"/>
    <w:rsid w:val="5CD71FC4"/>
    <w:rsid w:val="5D1F11B5"/>
    <w:rsid w:val="5DAE1B18"/>
    <w:rsid w:val="5DCE5755"/>
    <w:rsid w:val="5DE7D9E5"/>
    <w:rsid w:val="5ECEC941"/>
    <w:rsid w:val="5F493CB7"/>
    <w:rsid w:val="5FBF9FF3"/>
    <w:rsid w:val="5FCD4E2C"/>
    <w:rsid w:val="5FD15F49"/>
    <w:rsid w:val="5FEF394A"/>
    <w:rsid w:val="5FF67715"/>
    <w:rsid w:val="62BF3928"/>
    <w:rsid w:val="647F5392"/>
    <w:rsid w:val="661713C4"/>
    <w:rsid w:val="664B1D71"/>
    <w:rsid w:val="67AA3209"/>
    <w:rsid w:val="681C4F0D"/>
    <w:rsid w:val="69046D0F"/>
    <w:rsid w:val="698D0931"/>
    <w:rsid w:val="6A340A04"/>
    <w:rsid w:val="6A993CED"/>
    <w:rsid w:val="6B053271"/>
    <w:rsid w:val="6BCE6674"/>
    <w:rsid w:val="6C4A05C8"/>
    <w:rsid w:val="6C8742B8"/>
    <w:rsid w:val="6C8A170F"/>
    <w:rsid w:val="6CB54609"/>
    <w:rsid w:val="6DBF5E93"/>
    <w:rsid w:val="6DFF077E"/>
    <w:rsid w:val="6E23318C"/>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1C7B91"/>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Personal\Desktop\2025&#24180;&#24230;&#20915;&#31639;&#35828;&#26126;&#22270;&#34920;&#21442;&#25968;&#27719;&#24635;&#3492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D:\Personal\Desktop\2025&#24180;&#24230;&#20915;&#31639;&#35828;&#26126;&#22270;&#34920;&#21442;&#25968;&#27719;&#24635;&#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Personal\Desktop\2025&#24180;&#24230;&#20915;&#31639;&#35828;&#26126;&#22270;&#34920;&#21442;&#25968;&#27719;&#24635;&#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Personal\Desktop\2025&#24180;&#24230;&#20915;&#31639;&#35828;&#26126;&#22270;&#34920;&#21442;&#25968;&#27719;&#24635;&#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Personal\Desktop\2025&#24180;&#24230;&#20915;&#31639;&#35828;&#26126;&#22270;&#34920;&#21442;&#25968;&#27719;&#24635;&#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Personal\Desktop\2025&#24180;&#24230;&#20915;&#31639;&#35828;&#26126;&#22270;&#34920;&#21442;&#25968;&#27719;&#24635;&#34920;.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2.xml"/><Relationship Id="rId1" Type="http://schemas.openxmlformats.org/officeDocument/2006/relationships/oleObject" Target="file:///D:\Personal\Desktop\2025&#24180;&#24230;&#20915;&#31639;&#35828;&#26126;&#22270;&#34920;&#21442;&#25968;&#27719;&#2463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图1：收入、支出决算总计变动情况图</a:t>
            </a:r>
          </a:p>
        </c:rich>
      </c:tx>
      <c:layout>
        <c:manualLayout>
          <c:xMode val="edge"/>
          <c:yMode val="edge"/>
          <c:x val="0.242105263157895"/>
          <c:y val="0.0444444444444445"/>
        </c:manualLayout>
      </c:layout>
      <c:overlay val="0"/>
      <c:spPr>
        <a:noFill/>
        <a:ln>
          <a:noFill/>
        </a:ln>
        <a:effectLst/>
      </c:spPr>
    </c:title>
    <c:autoTitleDeleted val="0"/>
    <c:plotArea>
      <c:layout>
        <c:manualLayout>
          <c:layoutTarget val="inner"/>
          <c:xMode val="edge"/>
          <c:yMode val="edge"/>
          <c:x val="0.118368421052632"/>
          <c:y val="0.20625"/>
          <c:w val="0.870315789473684"/>
          <c:h val="0.606805555555556"/>
        </c:manualLayout>
      </c:layout>
      <c:barChart>
        <c:barDir val="col"/>
        <c:grouping val="clustered"/>
        <c:varyColors val="0"/>
        <c:ser>
          <c:idx val="0"/>
          <c:order val="0"/>
          <c:tx>
            <c:strRef>
              <c:f>'[2025年度决算说明图表参数汇总表.xlsx]图1-收支总计变动'!$A$2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'[2025年度决算说明图表参数汇总表.xlsx]图1-收支总计变动'!$B$1:$C$1</c:f>
              <c:strCache>
                <c:ptCount val="2"/>
                <c:pt idx="0">
                  <c:v>收入总计（万元）</c:v>
                </c:pt>
                <c:pt idx="1">
                  <c:v>支出总计（万元）</c:v>
                </c:pt>
              </c:strCache>
            </c:strRef>
          </c:cat>
          <c:val>
            <c:numRef>
              <c:f>'[2025年度决算说明图表参数汇总表.xlsx]图1-收支总计变动'!$B$2:$C$2</c:f>
              <c:numCache>
                <c:formatCode>#,##0.00</c:formatCode>
                <c:ptCount val="2"/>
                <c:pt idx="0">
                  <c:v>487.5</c:v>
                </c:pt>
                <c:pt idx="1">
                  <c:v>487.5</c:v>
                </c:pt>
              </c:numCache>
            </c:numRef>
          </c:val>
        </c:ser>
        <c:ser>
          <c:idx val="1"/>
          <c:order val="1"/>
          <c:tx>
            <c:strRef>
              <c:f>'[2025年度决算说明图表参数汇总表.xlsx]图1-收支总计变动'!$A$3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'[2025年度决算说明图表参数汇总表.xlsx]图1-收支总计变动'!$B$1:$C$1</c:f>
              <c:strCache>
                <c:ptCount val="2"/>
                <c:pt idx="0">
                  <c:v>收入总计（万元）</c:v>
                </c:pt>
                <c:pt idx="1">
                  <c:v>支出总计（万元）</c:v>
                </c:pt>
              </c:strCache>
            </c:strRef>
          </c:cat>
          <c:val>
            <c:numRef>
              <c:f>'[2025年度决算说明图表参数汇总表.xlsx]图1-收支总计变动'!$B$3:$C$3</c:f>
              <c:numCache>
                <c:formatCode>#,##0.00</c:formatCode>
                <c:ptCount val="2"/>
                <c:pt idx="0">
                  <c:v>536.92</c:v>
                </c:pt>
                <c:pt idx="1">
                  <c:v>536.92</c:v>
                </c:pt>
              </c:numCache>
            </c:numRef>
          </c:val>
        </c:ser>
        <c:dLbls>
          <c:showLegendKey val="0"/>
          <c:showVal val="1"/>
          <c:showCatName val="0"/>
          <c:showSerName val="0"/>
          <c:showPercent val="0"/>
          <c:showBubbleSize val="0"/>
        </c:dLbls>
        <c:gapWidth val="246"/>
        <c:overlap val="-28"/>
        <c:axId val="325767546"/>
        <c:axId val="936702921"/>
      </c:barChart>
      <c:catAx>
        <c:axId val="32576754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702921"/>
        <c:crosses val="autoZero"/>
        <c:auto val="1"/>
        <c:lblAlgn val="ctr"/>
        <c:lblOffset val="100"/>
        <c:noMultiLvlLbl val="0"/>
      </c:catAx>
      <c:valAx>
        <c:axId val="936702921"/>
        <c:scaling>
          <c:orientation val="minMax"/>
        </c:scaling>
        <c:delete val="0"/>
        <c:axPos val="l"/>
        <c:majorGridlines>
          <c:spPr>
            <a:ln w="9525" cap="flat" cmpd="sng" algn="ctr">
              <a:solidFill>
                <a:schemeClr val="lt1">
                  <a:lumMod val="902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7675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ecf494-b05d-42a8-ad2f-08cc645f44b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图2：收入决算结构图</a:t>
            </a:r>
          </a:p>
        </c:rich>
      </c:tx>
      <c:layout/>
      <c:overlay val="0"/>
      <c:spPr>
        <a:noFill/>
        <a:ln>
          <a:noFill/>
        </a:ln>
        <a:effectLst/>
      </c:spPr>
    </c:title>
    <c:autoTitleDeleted val="0"/>
    <c:plotArea>
      <c:layout/>
      <c:pieChart>
        <c:varyColors val="1"/>
        <c:ser>
          <c:idx val="0"/>
          <c:order val="0"/>
          <c:tx>
            <c:strRef>
              <c:f>'[2025年度决算说明图表参数汇总表.xlsx]图2-收入决算结构'!$B$1</c:f>
              <c:strCache>
                <c:ptCount val="1"/>
                <c:pt idx="0">
                  <c:v>金额（万元）</c:v>
                </c:pt>
              </c:strCache>
            </c:strRef>
          </c:tx>
          <c:spPr>
            <a:solidFill>
              <a:schemeClr val="accent1"/>
            </a:solidFill>
            <a:ln w="25400">
              <a:solidFill>
                <a:schemeClr val="bg1"/>
              </a:solidFill>
            </a:ln>
            <a:effectLst>
              <a:outerShdw blurRad="63500" sx="104000" sy="104000" algn="ctr" rotWithShape="0">
                <a:schemeClr val="bg1">
                  <a:alpha val="33000"/>
                </a:schemeClr>
              </a:outerShdw>
            </a:effectLst>
            <a:sp3d contourW="25400"/>
          </c:spPr>
          <c:explosion val="0"/>
          <c:dPt>
            <c:idx val="0"/>
            <c:bubble3D val="0"/>
            <c:spPr>
              <a:solidFill>
                <a:schemeClr val="accent1"/>
              </a:solidFill>
              <a:ln w="25400">
                <a:solidFill>
                  <a:schemeClr val="bg1"/>
                </a:solidFill>
              </a:ln>
              <a:effectLst>
                <a:outerShdw blurRad="63500" sx="104000" sy="104000" algn="ctr" rotWithShape="0">
                  <a:schemeClr val="bg1">
                    <a:alpha val="33000"/>
                  </a:schemeClr>
                </a:outerShdw>
              </a:effectLst>
              <a:sp3d contourW="25400"/>
            </c:spPr>
          </c:dPt>
          <c:dPt>
            <c:idx val="1"/>
            <c:bubble3D val="0"/>
            <c:spPr>
              <a:solidFill>
                <a:schemeClr val="accent1">
                  <a:lumMod val="60000"/>
                  <a:lumOff val="40000"/>
                </a:schemeClr>
              </a:solidFill>
              <a:ln w="25400">
                <a:solidFill>
                  <a:schemeClr val="bg1"/>
                </a:solidFill>
              </a:ln>
              <a:effectLst>
                <a:outerShdw blurRad="63500" sx="104000" sy="104000" algn="ctr" rotWithShape="0">
                  <a:schemeClr val="bg1">
                    <a:alpha val="33000"/>
                  </a:schemeClr>
                </a:outerShdw>
              </a:effectLst>
              <a:sp3d contourW="25400"/>
            </c:spPr>
          </c:dPt>
          <c:dPt>
            <c:idx val="2"/>
            <c:bubble3D val="0"/>
            <c:spPr>
              <a:solidFill>
                <a:schemeClr val="accent1">
                  <a:lumMod val="40000"/>
                  <a:lumOff val="60000"/>
                </a:schemeClr>
              </a:solidFill>
              <a:ln w="25400">
                <a:solidFill>
                  <a:schemeClr val="bg1"/>
                </a:solidFill>
              </a:ln>
              <a:effectLst>
                <a:outerShdw blurRad="63500" sx="104000" sy="104000" algn="ctr" rotWithShape="0">
                  <a:schemeClr val="bg1">
                    <a:alpha val="33000"/>
                  </a:schemeClr>
                </a:outerShdw>
              </a:effectLst>
              <a:sp3d contourW="25400"/>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accent1">
                          <a:lumMod val="7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'[2025年度决算说明图表参数汇总表.xlsx]图2-收入决算结构'!$A$2:$A$4</c:f>
              <c:strCache>
                <c:ptCount val="3"/>
                <c:pt idx="0" c:formatCode="@">
                  <c:v>一般公共预算财政拨款收入</c:v>
                </c:pt>
                <c:pt idx="1" c:formatCode="@">
                  <c:v>事业收入</c:v>
                </c:pt>
                <c:pt idx="2" c:formatCode="@">
                  <c:v>其他收入</c:v>
                </c:pt>
              </c:strCache>
            </c:strRef>
          </c:cat>
          <c:val>
            <c:numRef>
              <c:f>'[2025年度决算说明图表参数汇总表.xlsx]图2-收入决算结构'!$B$2:$B$4</c:f>
              <c:numCache>
                <c:formatCode>#,##0.00</c:formatCode>
                <c:ptCount val="3"/>
                <c:pt idx="0">
                  <c:v>507.5</c:v>
                </c:pt>
                <c:pt idx="1">
                  <c:v>29.42</c:v>
                </c:pt>
                <c:pt idx="2">
                  <c:v>0</c:v>
                </c:pt>
              </c:numCache>
            </c:numRef>
          </c:val>
        </c:ser>
        <c:ser>
          <c:idx val="1"/>
          <c:order val="1"/>
          <c:tx>
            <c:strRef>
              <c:f>'[2025年度决算说明图表参数汇总表.xlsx]图2-收入决算结构'!$C$1</c:f>
              <c:strCache>
                <c:ptCount val="1"/>
                <c:pt idx="0">
                  <c:v>占比</c:v>
                </c:pt>
              </c:strCache>
            </c:strRef>
          </c:tx>
          <c:spPr>
            <a:solidFill>
              <a:schemeClr val="accent1"/>
            </a:solidFill>
            <a:ln w="25400">
              <a:solidFill>
                <a:schemeClr val="bg1"/>
              </a:solidFill>
            </a:ln>
            <a:effectLst>
              <a:outerShdw blurRad="63500" sx="104000" sy="104000" algn="ctr" rotWithShape="0">
                <a:schemeClr val="bg1">
                  <a:alpha val="33000"/>
                </a:schemeClr>
              </a:outerShdw>
            </a:effectLst>
            <a:sp3d contourW="25400"/>
          </c:spPr>
          <c:explosion val="0"/>
          <c:dPt>
            <c:idx val="0"/>
            <c:bubble3D val="0"/>
            <c:spPr>
              <a:solidFill>
                <a:schemeClr val="accent1"/>
              </a:solidFill>
              <a:ln w="25400">
                <a:solidFill>
                  <a:schemeClr val="bg1"/>
                </a:solidFill>
              </a:ln>
              <a:effectLst>
                <a:outerShdw blurRad="63500" sx="104000" sy="104000" algn="ctr" rotWithShape="0">
                  <a:schemeClr val="bg1">
                    <a:alpha val="33000"/>
                  </a:schemeClr>
                </a:outerShdw>
              </a:effectLst>
              <a:sp3d contourW="25400"/>
            </c:spPr>
          </c:dPt>
          <c:dPt>
            <c:idx val="1"/>
            <c:bubble3D val="0"/>
            <c:spPr>
              <a:solidFill>
                <a:schemeClr val="accent1">
                  <a:lumMod val="60000"/>
                  <a:lumOff val="40000"/>
                </a:schemeClr>
              </a:solidFill>
              <a:ln w="25400">
                <a:solidFill>
                  <a:schemeClr val="bg1"/>
                </a:solidFill>
              </a:ln>
              <a:effectLst>
                <a:outerShdw blurRad="63500" sx="104000" sy="104000" algn="ctr" rotWithShape="0">
                  <a:schemeClr val="bg1">
                    <a:alpha val="33000"/>
                  </a:schemeClr>
                </a:outerShdw>
              </a:effectLst>
              <a:sp3d contourW="25400"/>
            </c:spPr>
          </c:dPt>
          <c:dPt>
            <c:idx val="2"/>
            <c:bubble3D val="0"/>
            <c:spPr>
              <a:solidFill>
                <a:schemeClr val="accent1">
                  <a:lumMod val="40000"/>
                  <a:lumOff val="60000"/>
                </a:schemeClr>
              </a:solidFill>
              <a:ln w="25400">
                <a:solidFill>
                  <a:schemeClr val="bg1"/>
                </a:solidFill>
              </a:ln>
              <a:effectLst>
                <a:outerShdw blurRad="63500" sx="104000" sy="104000" algn="ctr" rotWithShape="0">
                  <a:schemeClr val="bg1">
                    <a:alpha val="33000"/>
                  </a:schemeClr>
                </a:outerShdw>
              </a:effectLst>
              <a:sp3d contourW="25400"/>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'[2025年度决算说明图表参数汇总表.xlsx]图2-收入决算结构'!$A$2:$A$4</c:f>
              <c:strCache>
                <c:ptCount val="3"/>
                <c:pt idx="0" c:formatCode="@">
                  <c:v>一般公共预算财政拨款收入</c:v>
                </c:pt>
                <c:pt idx="1" c:formatCode="@">
                  <c:v>事业收入</c:v>
                </c:pt>
                <c:pt idx="2" c:formatCode="@">
                  <c:v>其他收入</c:v>
                </c:pt>
              </c:strCache>
            </c:strRef>
          </c:cat>
          <c:val>
            <c:numRef>
              <c:f>'[2025年度决算说明图表参数汇总表.xlsx]图2-收入决算结构'!$C$2:$C$4</c:f>
              <c:numCache>
                <c:formatCode>0.00%</c:formatCode>
                <c:ptCount val="3"/>
                <c:pt idx="0">
                  <c:v>0.9452</c:v>
                </c:pt>
                <c:pt idx="1">
                  <c:v>0.0548</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00897ce8-7ab0-4e22-bf29-e73a540970ad}"/>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图3-支出决算结构</a:t>
            </a:r>
          </a:p>
        </c:rich>
      </c:tx>
      <c:layout>
        <c:manualLayout>
          <c:xMode val="edge"/>
          <c:yMode val="edge"/>
          <c:x val="0.385263157894737"/>
          <c:y val="0.0277777777777778"/>
        </c:manualLayout>
      </c:layout>
      <c:overlay val="0"/>
      <c:spPr>
        <a:noFill/>
        <a:ln>
          <a:noFill/>
        </a:ln>
        <a:effectLst/>
      </c:spPr>
    </c:title>
    <c:autoTitleDeleted val="0"/>
    <c:plotArea>
      <c:layout/>
      <c:pieChart>
        <c:varyColors val="1"/>
        <c:ser>
          <c:idx val="0"/>
          <c:order val="0"/>
          <c:tx>
            <c:strRef>
              <c:f>'[2025年度决算说明图表参数汇总表.xlsx]图3-支出决算结构'!$B$1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'[2025年度决算说明图表参数汇总表.xlsx]图3-支出决算结构'!$A$2:$A$4</c:f>
              <c:strCache>
                <c:ptCount val="3"/>
                <c:pt idx="0" c:formatCode="@">
                  <c:v>基本支出</c:v>
                </c:pt>
                <c:pt idx="1" c:formatCode="@">
                  <c:v>项目支出</c:v>
                </c:pt>
                <c:pt idx="2" c:formatCode="@">
                  <c:v>其他支出</c:v>
                </c:pt>
              </c:strCache>
            </c:strRef>
          </c:cat>
          <c:val>
            <c:numRef>
              <c:f>'[2025年度决算说明图表参数汇总表.xlsx]图3-支出决算结构'!$B$2:$B$4</c:f>
              <c:numCache>
                <c:formatCode>#,##0.00</c:formatCode>
                <c:ptCount val="3"/>
                <c:pt idx="0">
                  <c:v>442.32</c:v>
                </c:pt>
                <c:pt idx="1">
                  <c:v>94.6</c:v>
                </c:pt>
                <c:pt idx="2">
                  <c:v>0</c:v>
                </c:pt>
              </c:numCache>
            </c:numRef>
          </c:val>
        </c:ser>
        <c:ser>
          <c:idx val="1"/>
          <c:order val="1"/>
          <c:tx>
            <c:strRef>
              <c:f>'[2025年度决算说明图表参数汇总表.xlsx]图3-支出决算结构'!$C$1</c:f>
              <c:strCache>
                <c:ptCount val="1"/>
                <c:pt idx="0">
                  <c:v>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'[2025年度决算说明图表参数汇总表.xlsx]图3-支出决算结构'!$A$2:$A$4</c:f>
              <c:strCache>
                <c:ptCount val="3"/>
                <c:pt idx="0" c:formatCode="@">
                  <c:v>基本支出</c:v>
                </c:pt>
                <c:pt idx="1" c:formatCode="@">
                  <c:v>项目支出</c:v>
                </c:pt>
                <c:pt idx="2" c:formatCode="@">
                  <c:v>其他支出</c:v>
                </c:pt>
              </c:strCache>
            </c:strRef>
          </c:cat>
          <c:val>
            <c:numRef>
              <c:f>'[2025年度决算说明图表参数汇总表.xlsx]图3-支出决算结构'!$C$2:$C$4</c:f>
              <c:numCache>
                <c:formatCode>0.00%</c:formatCode>
                <c:ptCount val="3"/>
                <c:pt idx="0">
                  <c:v>0.8238</c:v>
                </c:pt>
                <c:pt idx="1">
                  <c:v>0.1762</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d46f98c-6b88-46af-9150-63a7b5a4845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图4：财政拨款收、支决算总计变动情况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'[2025年度决算说明图表参数汇总表.xlsx]图4-财政拨款变动'!$B$1</c:f>
              <c:strCache>
                <c:ptCount val="1"/>
                <c:pt idx="0">
                  <c:v>财政拨款收支总计（万元）</c:v>
                </c:pt>
              </c:strCache>
            </c:strRef>
          </c:tx>
          <c:spPr>
            <a:solidFill>
              <a:schemeClr val="accent1"/>
            </a:solidFill>
            <a:ln>
              <a:noFill/>
            </a:ln>
            <a:effectLst/>
          </c:spPr>
          <c:invertIfNegative val="0"/>
          <c:dLbls>
            <c:delete val="1"/>
          </c:dLbls>
          <c:trendline>
            <c:spPr>
              <a:ln w="19050" cap="rnd">
                <a:solidFill>
                  <a:schemeClr val="accent1"/>
                </a:solidFill>
                <a:prstDash val="sysDot"/>
              </a:ln>
              <a:effectLst/>
            </c:spPr>
            <c:trendlineType val="linear"/>
            <c:dispRSqr val="0"/>
            <c:dispEq val="0"/>
          </c:trendline>
          <c:errBars>
            <c:errBarType val="both"/>
            <c:errValType val="stdErr"/>
            <c:noEndCap val="0"/>
            <c:spPr>
              <a:noFill/>
              <a:ln w="9525" cap="flat" cmpd="sng" algn="ctr">
                <a:solidFill>
                  <a:schemeClr val="tx1">
                    <a:lumMod val="65000"/>
                    <a:lumOff val="35000"/>
                  </a:schemeClr>
                </a:solidFill>
                <a:round/>
              </a:ln>
              <a:effectLst/>
            </c:spPr>
          </c:errBars>
          <c:cat>
            <c:strRef>
              <c:f>'[2025年度决算说明图表参数汇总表.xlsx]图4-财政拨款变动'!$A$2:$A$3</c:f>
              <c:strCache>
                <c:ptCount val="2"/>
                <c:pt idx="0" c:formatCode="@">
                  <c:v>2024年</c:v>
                </c:pt>
                <c:pt idx="1" c:formatCode="@">
                  <c:v>2025年</c:v>
                </c:pt>
              </c:strCache>
            </c:strRef>
          </c:cat>
          <c:val>
            <c:numRef>
              <c:f>'[2025年度决算说明图表参数汇总表.xlsx]图4-财政拨款变动'!$B$2:$B$3</c:f>
              <c:numCache>
                <c:formatCode>#,##0.00</c:formatCode>
                <c:ptCount val="2"/>
                <c:pt idx="0">
                  <c:v>457.5</c:v>
                </c:pt>
                <c:pt idx="1">
                  <c:v>507.5</c:v>
                </c:pt>
              </c:numCache>
            </c:numRef>
          </c:val>
        </c:ser>
        <c:dLbls>
          <c:showLegendKey val="0"/>
          <c:showVal val="0"/>
          <c:showCatName val="0"/>
          <c:showSerName val="0"/>
          <c:showPercent val="0"/>
          <c:showBubbleSize val="0"/>
        </c:dLbls>
        <c:gapWidth val="246"/>
        <c:overlap val="-28"/>
        <c:axId val="209411218"/>
        <c:axId val="396633031"/>
      </c:barChart>
      <c:catAx>
        <c:axId val="209411218"/>
        <c:scaling>
          <c:orientation val="minMax"/>
        </c:scaling>
        <c:delete val="0"/>
        <c:axPos val="b"/>
        <c:title>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633031"/>
        <c:crosses val="autoZero"/>
        <c:auto val="1"/>
        <c:lblAlgn val="ctr"/>
        <c:lblOffset val="100"/>
        <c:noMultiLvlLbl val="0"/>
      </c:catAx>
      <c:valAx>
        <c:axId val="396633031"/>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41121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18b08e-8ead-4433-bfc7-18ff322ffc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图5：一般公共预算财政拨款支出决算变动情况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'[2025年度决算说明图表参数汇总表.xlsx]图5-一般公共预算支出'!$B$1</c:f>
              <c:strCache>
                <c:ptCount val="1"/>
                <c:pt idx="0">
                  <c:v>一般公共预算财政拨款支出（万元）</c:v>
                </c:pt>
              </c:strCache>
            </c:strRef>
          </c:tx>
          <c:spPr>
            <a:solidFill>
              <a:schemeClr val="accent1"/>
            </a:solidFill>
            <a:ln>
              <a:noFill/>
            </a:ln>
            <a:effectLst/>
          </c:spPr>
          <c:invertIfNegative val="0"/>
          <c:dLbls>
            <c:delete val="1"/>
          </c:dLbls>
          <c:cat>
            <c:strRef>
              <c:f>'[2025年度决算说明图表参数汇总表.xlsx]图5-一般公共预算支出'!$A$2:$A$3</c:f>
              <c:strCache>
                <c:ptCount val="2"/>
                <c:pt idx="0" c:formatCode="@">
                  <c:v>2024年</c:v>
                </c:pt>
                <c:pt idx="1" c:formatCode="@">
                  <c:v>2025年</c:v>
                </c:pt>
              </c:strCache>
            </c:strRef>
          </c:cat>
          <c:val>
            <c:numRef>
              <c:f>'[2025年度决算说明图表参数汇总表.xlsx]图5-一般公共预算支出'!$B$2:$B$3</c:f>
              <c:numCache>
                <c:formatCode>#,##0.00</c:formatCode>
                <c:ptCount val="2"/>
                <c:pt idx="0">
                  <c:v>457.5</c:v>
                </c:pt>
                <c:pt idx="1">
                  <c:v>507.5</c:v>
                </c:pt>
              </c:numCache>
            </c:numRef>
          </c:val>
        </c:ser>
        <c:dLbls>
          <c:showLegendKey val="0"/>
          <c:showVal val="0"/>
          <c:showCatName val="0"/>
          <c:showSerName val="0"/>
          <c:showPercent val="0"/>
          <c:showBubbleSize val="0"/>
        </c:dLbls>
        <c:gapWidth val="246"/>
        <c:overlap val="-28"/>
        <c:axId val="763255994"/>
        <c:axId val="53389521"/>
      </c:barChart>
      <c:catAx>
        <c:axId val="7632559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389521"/>
        <c:crosses val="autoZero"/>
        <c:auto val="1"/>
        <c:lblAlgn val="ctr"/>
        <c:lblOffset val="100"/>
        <c:noMultiLvlLbl val="0"/>
      </c:catAx>
      <c:valAx>
        <c:axId val="53389521"/>
        <c:scaling>
          <c:orientation val="minMax"/>
        </c:scaling>
        <c:delete val="0"/>
        <c:axPos val="l"/>
        <c:majorGridlines>
          <c:spPr>
            <a:ln w="9525" cap="flat" cmpd="sng" algn="ctr">
              <a:solidFill>
                <a:schemeClr val="lt1">
                  <a:lumMod val="902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32559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78cc112-3046-426d-953e-4d1efbf2bc0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图6：一般公共预算财政拨款支出决算结构</a:t>
            </a:r>
          </a:p>
        </c:rich>
      </c:tx>
      <c:layout/>
      <c:overlay val="0"/>
      <c:spPr>
        <a:noFill/>
        <a:ln>
          <a:noFill/>
        </a:ln>
        <a:effectLst/>
      </c:spPr>
    </c:title>
    <c:autoTitleDeleted val="0"/>
    <c:plotArea>
      <c:layout/>
      <c:pieChart>
        <c:varyColors val="1"/>
        <c:ser>
          <c:idx val="0"/>
          <c:order val="0"/>
          <c:tx>
            <c:strRef>
              <c:f>'[2025年度决算说明图表参数汇总表.xlsx]图6-一般公共预算支出结构'!$B$1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'[2025年度决算说明图表参数汇总表.xlsx]图6-一般公共预算支出结构'!$A$2:$A$5</c:f>
              <c:strCache>
                <c:ptCount val="4"/>
                <c:pt idx="0" c:formatCode="@">
                  <c:v>教育支出</c:v>
                </c:pt>
                <c:pt idx="1" c:formatCode="@">
                  <c:v>社会保障和就业支出</c:v>
                </c:pt>
                <c:pt idx="2" c:formatCode="@">
                  <c:v>卫生健康支出</c:v>
                </c:pt>
                <c:pt idx="3" c:formatCode="@">
                  <c:v>住房保障支出</c:v>
                </c:pt>
              </c:strCache>
            </c:strRef>
          </c:cat>
          <c:val>
            <c:numRef>
              <c:f>'[2025年度决算说明图表参数汇总表.xlsx]图6-一般公共预算支出结构'!$B$2:$B$5</c:f>
              <c:numCache>
                <c:formatCode>#,##0.00</c:formatCode>
                <c:ptCount val="4"/>
                <c:pt idx="0">
                  <c:v>366.47</c:v>
                </c:pt>
                <c:pt idx="1">
                  <c:v>89.73</c:v>
                </c:pt>
                <c:pt idx="2">
                  <c:v>21.75</c:v>
                </c:pt>
                <c:pt idx="3">
                  <c:v>29.55</c:v>
                </c:pt>
              </c:numCache>
            </c:numRef>
          </c:val>
        </c:ser>
        <c:ser>
          <c:idx val="1"/>
          <c:order val="1"/>
          <c:tx>
            <c:strRef>
              <c:f>'[2025年度决算说明图表参数汇总表.xlsx]图6-一般公共预算支出结构'!$C$1</c:f>
              <c:strCache>
                <c:ptCount val="1"/>
                <c:pt idx="0">
                  <c:v>占比</c:v>
                </c:pt>
              </c:strCache>
            </c:strRef>
          </c:tx>
          <c:spPr/>
          <c:explosion val="0"/>
          <c:dPt>
            <c:idx val="0"/>
            <c:bubble3D val="0"/>
            <c:explosion val="1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dLblPos val="bestFit"/>
              <c:showLegendKey val="0"/>
              <c:showVal val="1"/>
              <c:showCatName val="0"/>
              <c:showSerName val="0"/>
              <c:showPercent val="0"/>
              <c:showBubbleSize val="0"/>
              <c:separator>
</c:separator>
              <c:extLst>
                <c:ext xmlns:c15="http://schemas.microsoft.com/office/drawing/2012/chart" uri="{CE6537A1-D6FC-4f65-9D91-7224C49458BB}"/>
              </c:extLst>
            </c:dLbl>
            <c:dLbl>
              <c:idx val="1"/>
              <c:layout/>
              <c:dLblPos val="bestFit"/>
              <c:showLegendKey val="0"/>
              <c:showVal val="1"/>
              <c:showCatName val="0"/>
              <c:showSerName val="0"/>
              <c:showPercent val="0"/>
              <c:showBubbleSize val="0"/>
              <c:separator>
</c:separator>
              <c:extLst>
                <c:ext xmlns:c15="http://schemas.microsoft.com/office/drawing/2012/chart" uri="{CE6537A1-D6FC-4f65-9D91-7224C49458BB}"/>
              </c:extLst>
            </c:dLbl>
            <c:dLbl>
              <c:idx val="2"/>
              <c:layout/>
              <c:dLblPos val="bestFit"/>
              <c:showLegendKey val="0"/>
              <c:showVal val="1"/>
              <c:showCatName val="0"/>
              <c:showSerName val="0"/>
              <c:showPercent val="0"/>
              <c:showBubbleSize val="0"/>
              <c:separator>
</c:separator>
              <c:extLst>
                <c:ext xmlns:c15="http://schemas.microsoft.com/office/drawing/2012/chart" uri="{CE6537A1-D6FC-4f65-9D91-7224C49458BB}"/>
              </c:extLst>
            </c:dLbl>
            <c:dLbl>
              <c:idx val="3"/>
              <c:layout/>
              <c:dLblPos val="bestFit"/>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'[2025年度决算说明图表参数汇总表.xlsx]图6-一般公共预算支出结构'!$A$2:$A$5</c:f>
              <c:strCache>
                <c:ptCount val="4"/>
                <c:pt idx="0" c:formatCode="@">
                  <c:v>教育支出</c:v>
                </c:pt>
                <c:pt idx="1" c:formatCode="@">
                  <c:v>社会保障和就业支出</c:v>
                </c:pt>
                <c:pt idx="2" c:formatCode="@">
                  <c:v>卫生健康支出</c:v>
                </c:pt>
                <c:pt idx="3" c:formatCode="@">
                  <c:v>住房保障支出</c:v>
                </c:pt>
              </c:strCache>
            </c:strRef>
          </c:cat>
          <c:val>
            <c:numRef>
              <c:f>'[2025年度决算说明图表参数汇总表.xlsx]图6-一般公共预算支出结构'!$C$2:$C$5</c:f>
              <c:numCache>
                <c:formatCode>0.00%</c:formatCode>
                <c:ptCount val="4"/>
                <c:pt idx="0">
                  <c:v>0.7221</c:v>
                </c:pt>
                <c:pt idx="1">
                  <c:v>0.1768</c:v>
                </c:pt>
                <c:pt idx="2">
                  <c:v>0.0429</c:v>
                </c:pt>
                <c:pt idx="3">
                  <c:v>0.0582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e42bac0-1920-4f51-8cfe-ddf26123ef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mn-cs"/>
              </a:defRPr>
            </a:pPr>
            <a:r>
              <a:t>图7：财政拨款“三公”经费支出结构</a:t>
            </a:r>
          </a:p>
        </c:rich>
      </c:tx>
      <c:layout/>
      <c:overlay val="0"/>
      <c:spPr>
        <a:noFill/>
        <a:ln>
          <a:noFill/>
        </a:ln>
        <a:effectLst/>
      </c:spPr>
    </c:title>
    <c:autoTitleDeleted val="0"/>
    <c:plotArea>
      <c:layout/>
      <c:pieChart>
        <c:varyColors val="1"/>
        <c:ser>
          <c:idx val="0"/>
          <c:order val="0"/>
          <c:tx>
            <c:strRef>
              <c:f>'[2025年度决算说明图表参数汇总表.xlsx]图7-三公经费结构'!$B$1</c:f>
              <c:strCache>
                <c:ptCount val="1"/>
                <c:pt idx="0">
                  <c:v>金额（万元）</c:v>
                </c:pt>
              </c:strCache>
            </c:strRef>
          </c:tx>
          <c:spPr>
            <a:ln w="15875">
              <a:noFill/>
            </a:ln>
            <a:effectLst>
              <a:outerShdw blurRad="63500" sx="102000" sy="102000" algn="ctr" rotWithShape="0">
                <a:schemeClr val="tx1">
                  <a:lumMod val="50000"/>
                  <a:lumOff val="50000"/>
                  <a:alpha val="40000"/>
                </a:schemeClr>
              </a:outerShdw>
            </a:effectLst>
          </c:spPr>
          <c:explosion val="0"/>
          <c:dPt>
            <c:idx val="0"/>
            <c:bubble3D val="0"/>
            <c:explosion val="10"/>
            <c:spPr>
              <a:solidFill>
                <a:schemeClr val="accent1"/>
              </a:solidFill>
              <a:ln w="15875">
                <a:noFill/>
              </a:ln>
              <a:effectLst>
                <a:outerShdw blurRad="63500" sx="102000" sy="102000" algn="ctr" rotWithShape="0">
                  <a:schemeClr val="tx1">
                    <a:lumMod val="50000"/>
                    <a:lumOff val="50000"/>
                    <a:alpha val="40000"/>
                  </a:schemeClr>
                </a:outerShdw>
              </a:effectLst>
            </c:spPr>
          </c:dPt>
          <c:dPt>
            <c:idx val="1"/>
            <c:bubble3D val="0"/>
            <c:spPr>
              <a:solidFill>
                <a:schemeClr val="accent2"/>
              </a:solidFill>
              <a:ln w="15875">
                <a:noFill/>
              </a:ln>
              <a:effectLst>
                <a:outerShdw blurRad="63500" sx="102000" sy="102000" algn="ctr" rotWithShape="0">
                  <a:schemeClr val="tx1">
                    <a:lumMod val="50000"/>
                    <a:lumOff val="50000"/>
                    <a:alpha val="40000"/>
                  </a:schemeClr>
                </a:outerShdw>
              </a:effectLst>
            </c:spPr>
          </c:dPt>
          <c:dPt>
            <c:idx val="2"/>
            <c:bubble3D val="0"/>
            <c:spPr>
              <a:solidFill>
                <a:schemeClr val="accent3"/>
              </a:solidFill>
              <a:ln w="15875">
                <a:noFill/>
              </a:ln>
              <a:effectLst>
                <a:outerShdw blurRad="63500" sx="102000" sy="102000" algn="ctr" rotWithShape="0">
                  <a:schemeClr val="tx1">
                    <a:lumMod val="50000"/>
                    <a:lumOff val="50000"/>
                    <a:alpha val="4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mn-cs"/>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'[2025年度决算说明图表参数汇总表.xlsx]图7-三公经费结构'!$A$2:$A$4</c:f>
              <c:strCache>
                <c:ptCount val="3"/>
                <c:pt idx="0" c:formatCode="@">
                  <c:v>公务用车购置及运行维护费</c:v>
                </c:pt>
                <c:pt idx="1" c:formatCode="@">
                  <c:v>因公出国（境）费</c:v>
                </c:pt>
                <c:pt idx="2" c:formatCode="@">
                  <c:v>公务接待费</c:v>
                </c:pt>
              </c:strCache>
            </c:strRef>
          </c:cat>
          <c:val>
            <c:numRef>
              <c:f>'[2025年度决算说明图表参数汇总表.xlsx]图7-三公经费结构'!$B$2:$B$4</c:f>
              <c:numCache>
                <c:formatCode>#,##0.00</c:formatCode>
                <c:ptCount val="3"/>
                <c:pt idx="0">
                  <c:v>1.12</c:v>
                </c:pt>
                <c:pt idx="1">
                  <c:v>0</c:v>
                </c:pt>
                <c:pt idx="2">
                  <c:v>0</c:v>
                </c:pt>
              </c:numCache>
            </c:numRef>
          </c:val>
        </c:ser>
        <c:ser>
          <c:idx val="1"/>
          <c:order val="1"/>
          <c:tx>
            <c:strRef>
              <c:f>'[2025年度决算说明图表参数汇总表.xlsx]图7-三公经费结构'!$C$1</c:f>
              <c:strCache>
                <c:ptCount val="1"/>
                <c:pt idx="0">
                  <c:v>占比</c:v>
                </c:pt>
              </c:strCache>
            </c:strRef>
          </c:tx>
          <c:spPr>
            <a:ln w="15875">
              <a:noFill/>
            </a:ln>
            <a:effectLst>
              <a:outerShdw blurRad="63500" sx="102000" sy="102000" algn="ctr" rotWithShape="0">
                <a:schemeClr val="tx1">
                  <a:lumMod val="50000"/>
                  <a:lumOff val="50000"/>
                  <a:alpha val="40000"/>
                </a:schemeClr>
              </a:outerShdw>
            </a:effectLst>
          </c:spPr>
          <c:explosion val="0"/>
          <c:dPt>
            <c:idx val="0"/>
            <c:bubble3D val="0"/>
            <c:explosion val="10"/>
            <c:spPr>
              <a:solidFill>
                <a:schemeClr val="accent1"/>
              </a:solidFill>
              <a:ln w="15875">
                <a:noFill/>
              </a:ln>
              <a:effectLst>
                <a:outerShdw blurRad="63500" sx="102000" sy="102000" algn="ctr" rotWithShape="0">
                  <a:schemeClr val="tx1">
                    <a:lumMod val="50000"/>
                    <a:lumOff val="50000"/>
                    <a:alpha val="40000"/>
                  </a:schemeClr>
                </a:outerShdw>
              </a:effectLst>
            </c:spPr>
          </c:dPt>
          <c:dPt>
            <c:idx val="1"/>
            <c:bubble3D val="0"/>
            <c:spPr>
              <a:solidFill>
                <a:schemeClr val="accent2"/>
              </a:solidFill>
              <a:ln w="15875">
                <a:noFill/>
              </a:ln>
              <a:effectLst>
                <a:outerShdw blurRad="63500" sx="102000" sy="102000" algn="ctr" rotWithShape="0">
                  <a:schemeClr val="tx1">
                    <a:lumMod val="50000"/>
                    <a:lumOff val="50000"/>
                    <a:alpha val="40000"/>
                  </a:schemeClr>
                </a:outerShdw>
              </a:effectLst>
            </c:spPr>
          </c:dPt>
          <c:dPt>
            <c:idx val="2"/>
            <c:bubble3D val="0"/>
            <c:spPr>
              <a:solidFill>
                <a:schemeClr val="accent3"/>
              </a:solidFill>
              <a:ln w="15875">
                <a:noFill/>
              </a:ln>
              <a:effectLst>
                <a:outerShdw blurRad="63500" sx="102000" sy="102000" algn="ctr" rotWithShape="0">
                  <a:schemeClr val="tx1">
                    <a:lumMod val="50000"/>
                    <a:lumOff val="50000"/>
                    <a:alpha val="4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mn-cs"/>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'[2025年度决算说明图表参数汇总表.xlsx]图7-三公经费结构'!$A$2:$A$4</c:f>
              <c:strCache>
                <c:ptCount val="3"/>
                <c:pt idx="0" c:formatCode="@">
                  <c:v>公务用车购置及运行维护费</c:v>
                </c:pt>
                <c:pt idx="1" c:formatCode="@">
                  <c:v>因公出国（境）费</c:v>
                </c:pt>
                <c:pt idx="2" c:formatCode="@">
                  <c:v>公务接待费</c:v>
                </c:pt>
              </c:strCache>
            </c:strRef>
          </c:cat>
          <c:val>
            <c:numRef>
              <c:f>'[2025年度决算说明图表参数汇总表.xlsx]图7-三公经费结构'!$C$2:$C$4</c:f>
              <c:numCache>
                <c:formatCode>0.00%</c:formatCode>
                <c:ptCount val="3"/>
                <c:pt idx="0">
                  <c:v>1</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mn-cs"/>
            </a:defRPr>
          </a:pPr>
        </a:p>
      </c:txPr>
    </c:legend>
    <c:plotVisOnly val="1"/>
    <c:dispBlanksAs val="gap"/>
    <c:showDLblsOverMax val="0"/>
    <c:extLst>
      <c:ext uri="{0b15fc19-7d7d-44ad-8c2d-2c3a37ce22c3}">
        <chartProps xmlns="https://web.wps.cn/et/2018/main" chartId="{f81093c6-723c-4634-8a06-98109f282ff0}"/>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27">
    <a:dk1>
      <a:srgbClr val="000000"/>
    </a:dk1>
    <a:lt1>
      <a:srgbClr val="FFFFFF"/>
    </a:lt1>
    <a:dk2>
      <a:srgbClr val="000000"/>
    </a:dk2>
    <a:lt2>
      <a:srgbClr val="FEFFFF"/>
    </a:lt2>
    <a:accent1>
      <a:srgbClr val="3B73FF"/>
    </a:accent1>
    <a:accent2>
      <a:srgbClr val="1DDC98"/>
    </a:accent2>
    <a:accent3>
      <a:srgbClr val="FFCC3E"/>
    </a:accent3>
    <a:accent4>
      <a:srgbClr val="FF7640"/>
    </a:accent4>
    <a:accent5>
      <a:srgbClr val="FC4242"/>
    </a:accent5>
    <a:accent6>
      <a:srgbClr val="A766FF"/>
    </a:accent6>
    <a:hlink>
      <a:srgbClr val="304FFE"/>
    </a:hlink>
    <a:folHlink>
      <a:srgbClr val="492067"/>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商务蓝">
    <a:dk1>
      <a:srgbClr val="000000"/>
    </a:dk1>
    <a:lt1>
      <a:srgbClr val="FFFFFF"/>
    </a:lt1>
    <a:dk2>
      <a:srgbClr val="44546A"/>
    </a:dk2>
    <a:lt2>
      <a:srgbClr val="E7E6E6"/>
    </a:lt2>
    <a:accent1>
      <a:srgbClr val="0D208B"/>
    </a:accent1>
    <a:accent2>
      <a:srgbClr val="0174CD"/>
    </a:accent2>
    <a:accent3>
      <a:srgbClr val="4499D9"/>
    </a:accent3>
    <a:accent4>
      <a:srgbClr val="63A8DE"/>
    </a:accent4>
    <a:accent5>
      <a:srgbClr val="A6CAE7"/>
    </a:accent5>
    <a:accent6>
      <a:srgbClr val="D1E1F5"/>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69</Words>
  <Characters>79</Characters>
  <Lines>61</Lines>
  <Paragraphs>17</Paragraphs>
  <TotalTime>17</TotalTime>
  <ScaleCrop>false</ScaleCrop>
  <LinksUpToDate>false</LinksUpToDate>
  <CharactersWithSpaces>79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椛鈽嚡</cp:lastModifiedBy>
  <cp:lastPrinted>2026-08-03T09:27:00Z</cp:lastPrinted>
  <dcterms:modified xsi:type="dcterms:W3CDTF">2026-09-03T11:17:07Z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208D2C55B46C4051ADBB5CA88306E402_13</vt:lpwstr>
  </property>
  <property fmtid="{D5CDD505-2E9C-101B-9397-08002B2CF9AE}" pid="4" name="KSOTemplateDocerSaveRecord">
    <vt:lpwstr>eyJoZGlkIjoiN2Q2Njc1YmE1YjcyYWVhZDQwNDI4MzFkMDE1MDc4ZGMiLCJ1c2VySWQiOiIyMDg4NTA5NzQifQ==</vt:lpwstr>
  </property>
</Properties>
</file>