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62B18">
      <w:pPr>
        <w:pStyle w:val="8"/>
        <w:rPr>
          <w:rFonts w:hint="eastAsia" w:ascii="黑体" w:hAnsi="黑体" w:eastAsia="黑体" w:cs="黑体"/>
          <w:color w:val="auto"/>
          <w:kern w:val="2"/>
          <w:sz w:val="32"/>
          <w:szCs w:val="32"/>
          <w:highlight w:val="none"/>
          <w:lang w:val="en-US" w:eastAsia="zh-CN" w:bidi="ar-SA"/>
        </w:rPr>
      </w:pPr>
      <w:bookmarkStart w:id="0" w:name="_Toc15396597"/>
      <w:bookmarkStart w:id="1" w:name="_Toc15378441"/>
      <w:bookmarkStart w:id="2" w:name="_Toc15377425"/>
      <w:bookmarkStart w:id="3" w:name="_Toc15377193"/>
      <w:bookmarkStart w:id="4" w:name="_Toc15396475"/>
      <w:bookmarkStart w:id="5" w:name="_Toc15306267"/>
    </w:p>
    <w:p w14:paraId="2FE21F77">
      <w:pPr>
        <w:pStyle w:val="8"/>
        <w:rPr>
          <w:rFonts w:hint="eastAsia" w:ascii="Times New Roman" w:hAnsi="Times New Roman" w:eastAsia="方正小标宋简体" w:cs="Times New Roman"/>
          <w:color w:val="auto"/>
          <w:kern w:val="2"/>
          <w:sz w:val="72"/>
          <w:szCs w:val="72"/>
          <w:highlight w:val="none"/>
          <w:lang w:val="en-US" w:eastAsia="zh-CN" w:bidi="ar-SA"/>
        </w:rPr>
      </w:pPr>
    </w:p>
    <w:p w14:paraId="27413FFF">
      <w:pPr>
        <w:pStyle w:val="8"/>
        <w:rPr>
          <w:rFonts w:hint="eastAsia" w:ascii="Times New Roman" w:hAnsi="Times New Roman" w:eastAsia="方正小标宋简体" w:cs="Times New Roman"/>
          <w:color w:val="auto"/>
          <w:kern w:val="2"/>
          <w:sz w:val="72"/>
          <w:szCs w:val="72"/>
          <w:highlight w:val="none"/>
          <w:lang w:val="en-US" w:eastAsia="zh-CN" w:bidi="ar-SA"/>
        </w:rPr>
      </w:pPr>
    </w:p>
    <w:p w14:paraId="7B6B0EDD">
      <w:pPr>
        <w:pStyle w:val="8"/>
        <w:rPr>
          <w:rFonts w:hint="eastAsia" w:ascii="Times New Roman" w:hAnsi="Times New Roman" w:eastAsia="方正小标宋简体" w:cs="Times New Roman"/>
          <w:color w:val="auto"/>
          <w:kern w:val="2"/>
          <w:sz w:val="72"/>
          <w:szCs w:val="72"/>
          <w:highlight w:val="none"/>
          <w:lang w:val="en-US" w:eastAsia="zh-CN" w:bidi="ar-SA"/>
        </w:rPr>
      </w:pPr>
    </w:p>
    <w:p w14:paraId="5200A080">
      <w:pPr>
        <w:pStyle w:val="8"/>
        <w:rPr>
          <w:rFonts w:hint="eastAsia" w:ascii="Times New Roman" w:hAnsi="Times New Roman" w:eastAsia="方正小标宋简体" w:cs="Times New Roman"/>
          <w:color w:val="auto"/>
          <w:kern w:val="2"/>
          <w:sz w:val="72"/>
          <w:szCs w:val="72"/>
          <w:highlight w:val="none"/>
          <w:lang w:val="en-US" w:eastAsia="zh-CN" w:bidi="ar-SA"/>
        </w:rPr>
      </w:pPr>
    </w:p>
    <w:p w14:paraId="55CDB1A1">
      <w:pPr>
        <w:pStyle w:val="8"/>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2025年度四川省攀枝花市实验幼儿园</w:t>
      </w:r>
    </w:p>
    <w:p w14:paraId="42E6C8A1">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决算公开文字说明范本</w:t>
      </w:r>
      <w:r>
        <w:rPr>
          <w:rFonts w:hint="eastAsia" w:ascii="Times New Roman" w:eastAsia="方正小标宋简体" w:cs="Times New Roman"/>
          <w:color w:val="auto"/>
          <w:kern w:val="2"/>
          <w:sz w:val="44"/>
          <w:szCs w:val="44"/>
          <w:highlight w:val="none"/>
          <w:lang w:val="en-US" w:eastAsia="zh-CN" w:bidi="ar-SA"/>
        </w:rPr>
        <w:t>及样表</w:t>
      </w:r>
    </w:p>
    <w:p w14:paraId="2372D2E4">
      <w:pPr>
        <w:spacing w:line="600" w:lineRule="exact"/>
        <w:jc w:val="center"/>
        <w:outlineLvl w:val="0"/>
        <w:rPr>
          <w:rFonts w:ascii="Times New Roman" w:hAnsi="Times New Roman" w:eastAsia="方正小标宋简体"/>
          <w:color w:val="auto"/>
          <w:sz w:val="72"/>
          <w:szCs w:val="72"/>
          <w:highlight w:val="none"/>
        </w:rPr>
      </w:pPr>
    </w:p>
    <w:p w14:paraId="3058FCD4">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7D6DA73">
      <w:pPr>
        <w:rPr>
          <w:rFonts w:ascii="Times New Roman" w:hAnsi="Times New Roman"/>
        </w:rPr>
      </w:pPr>
    </w:p>
    <w:p w14:paraId="37EF6D30">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290D362B">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B372111">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CCAF478">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2BAC4BFA">
      <w:pPr>
        <w:pStyle w:val="8"/>
        <w:jc w:val="center"/>
        <w:rPr>
          <w:rFonts w:hint="eastAsia" w:ascii="Times New Roman" w:eastAsia="方正小标宋简体" w:cs="Times New Roman"/>
          <w:color w:val="auto"/>
          <w:kern w:val="2"/>
          <w:sz w:val="44"/>
          <w:szCs w:val="44"/>
          <w:highlight w:val="none"/>
          <w:lang w:val="en-US" w:eastAsia="zh-CN" w:bidi="ar-SA"/>
        </w:rPr>
      </w:pPr>
      <w:bookmarkStart w:id="6" w:name="_Toc15396598"/>
      <w:bookmarkStart w:id="7" w:name="_Toc15396476"/>
      <w:bookmarkStart w:id="8" w:name="_Toc15377194"/>
      <w:bookmarkStart w:id="9" w:name="_Toc15377426"/>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 xml:space="preserve">攀枝花市实验幼儿园 </w:t>
      </w:r>
    </w:p>
    <w:p w14:paraId="753B410E">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05397647">
      <w:pPr>
        <w:pStyle w:val="14"/>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lang w:val="en-US" w:eastAsia="zh-CN"/>
        </w:rPr>
      </w:pPr>
    </w:p>
    <w:p w14:paraId="7A349B12">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01E1A13A">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8A9AE4C">
      <w:pPr>
        <w:widowControl/>
        <w:jc w:val="center"/>
        <w:rPr>
          <w:rFonts w:ascii="Times New Roman" w:hAnsi="Times New Roman" w:eastAsia="黑体" w:cstheme="minorBidi"/>
          <w:color w:val="auto"/>
          <w:sz w:val="28"/>
          <w:szCs w:val="28"/>
          <w:highlight w:val="none"/>
        </w:rPr>
      </w:pPr>
    </w:p>
    <w:p w14:paraId="45DD10A8">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11</w:t>
      </w:r>
      <w:r>
        <w:rPr>
          <w:rFonts w:hint="eastAsia" w:ascii="Times New Roman" w:hAnsi="Times New Roman" w:eastAsia="仿宋_GB2312" w:cs="仿宋_GB2312"/>
          <w:color w:val="auto"/>
          <w:sz w:val="32"/>
          <w:szCs w:val="32"/>
          <w:highlight w:val="none"/>
        </w:rPr>
        <w:t>日</w:t>
      </w:r>
    </w:p>
    <w:p w14:paraId="1A24E2D9">
      <w:pPr>
        <w:rPr>
          <w:rFonts w:ascii="Times New Roman" w:hAnsi="Times New Roman"/>
          <w:color w:val="auto"/>
          <w:highlight w:val="none"/>
        </w:rPr>
      </w:pPr>
    </w:p>
    <w:p w14:paraId="60E7311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cs="Times New Roman"/>
          <w:sz w:val="24"/>
          <w:szCs w:val="24"/>
        </w:rPr>
        <w:tab/>
      </w:r>
      <w:r>
        <w:rPr>
          <w:rFonts w:hint="eastAsia" w:cs="Times New Roman"/>
          <w:sz w:val="24"/>
          <w:szCs w:val="24"/>
          <w:lang w:val="en-US" w:eastAsia="zh-CN"/>
        </w:rPr>
        <w:t>5</w:t>
      </w:r>
    </w:p>
    <w:p w14:paraId="50A39DE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cs="Times New Roman"/>
          <w:sz w:val="24"/>
          <w:szCs w:val="24"/>
        </w:rPr>
        <w:tab/>
      </w:r>
      <w:r>
        <w:rPr>
          <w:rFonts w:hint="eastAsia" w:cs="Times New Roman"/>
          <w:sz w:val="24"/>
          <w:szCs w:val="24"/>
          <w:lang w:val="en-US" w:eastAsia="zh-CN"/>
        </w:rPr>
        <w:t>5</w:t>
      </w:r>
    </w:p>
    <w:p w14:paraId="5EFE851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cs="Times New Roman"/>
          <w:sz w:val="24"/>
          <w:szCs w:val="24"/>
        </w:rPr>
        <w:tab/>
      </w:r>
      <w:r>
        <w:rPr>
          <w:rFonts w:hint="eastAsia" w:cs="Times New Roman"/>
          <w:sz w:val="24"/>
          <w:szCs w:val="24"/>
          <w:lang w:val="en-US" w:eastAsia="zh-CN"/>
        </w:rPr>
        <w:t>5</w:t>
      </w:r>
    </w:p>
    <w:p w14:paraId="4B9EF97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cs="Times New Roman"/>
          <w:sz w:val="24"/>
          <w:szCs w:val="24"/>
        </w:rPr>
        <w:tab/>
      </w:r>
      <w:r>
        <w:rPr>
          <w:rFonts w:hint="eastAsia" w:cs="Times New Roman"/>
          <w:sz w:val="24"/>
          <w:szCs w:val="24"/>
          <w:lang w:val="en-US" w:eastAsia="zh-CN"/>
        </w:rPr>
        <w:t>6</w:t>
      </w:r>
    </w:p>
    <w:p w14:paraId="731C4C4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cs="Times New Roman"/>
          <w:sz w:val="24"/>
          <w:szCs w:val="24"/>
        </w:rPr>
        <w:tab/>
      </w:r>
      <w:r>
        <w:rPr>
          <w:rFonts w:hint="eastAsia" w:cs="Times New Roman"/>
          <w:sz w:val="24"/>
          <w:szCs w:val="24"/>
          <w:lang w:val="en-US" w:eastAsia="zh-CN"/>
        </w:rPr>
        <w:t>6</w:t>
      </w:r>
    </w:p>
    <w:p w14:paraId="0DECE80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cs="Times New Roman"/>
          <w:sz w:val="24"/>
          <w:szCs w:val="24"/>
        </w:rPr>
        <w:tab/>
      </w:r>
      <w:r>
        <w:rPr>
          <w:rFonts w:hint="eastAsia" w:cs="Times New Roman"/>
          <w:sz w:val="24"/>
          <w:szCs w:val="24"/>
          <w:lang w:val="en-US" w:eastAsia="zh-CN"/>
        </w:rPr>
        <w:t>6</w:t>
      </w:r>
    </w:p>
    <w:p w14:paraId="7A876FA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cs="Times New Roman"/>
          <w:sz w:val="24"/>
          <w:szCs w:val="24"/>
        </w:rPr>
        <w:tab/>
      </w:r>
      <w:r>
        <w:rPr>
          <w:rFonts w:hint="eastAsia" w:cs="Times New Roman"/>
          <w:sz w:val="24"/>
          <w:szCs w:val="24"/>
          <w:lang w:val="en-US" w:eastAsia="zh-CN"/>
        </w:rPr>
        <w:t>7</w:t>
      </w:r>
    </w:p>
    <w:p w14:paraId="7AE32AA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cs="Times New Roman"/>
          <w:sz w:val="24"/>
          <w:szCs w:val="24"/>
        </w:rPr>
        <w:tab/>
      </w:r>
      <w:r>
        <w:rPr>
          <w:rFonts w:hint="eastAsia" w:cs="Times New Roman"/>
          <w:sz w:val="24"/>
          <w:szCs w:val="24"/>
          <w:lang w:val="en-US" w:eastAsia="zh-CN"/>
        </w:rPr>
        <w:t>7</w:t>
      </w:r>
    </w:p>
    <w:p w14:paraId="66C4154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cs="Times New Roman"/>
          <w:sz w:val="24"/>
          <w:szCs w:val="24"/>
        </w:rPr>
        <w:tab/>
      </w:r>
      <w:r>
        <w:rPr>
          <w:rFonts w:hint="eastAsia" w:cs="Times New Roman"/>
          <w:sz w:val="24"/>
          <w:szCs w:val="24"/>
          <w:lang w:val="en-US" w:eastAsia="zh-CN"/>
        </w:rPr>
        <w:t>8</w:t>
      </w:r>
    </w:p>
    <w:p w14:paraId="6536682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cs="Times New Roman"/>
          <w:sz w:val="24"/>
          <w:szCs w:val="24"/>
        </w:rPr>
        <w:tab/>
      </w:r>
      <w:r>
        <w:rPr>
          <w:rFonts w:hint="eastAsia" w:cs="Times New Roman"/>
          <w:sz w:val="24"/>
          <w:szCs w:val="24"/>
          <w:lang w:val="en-US" w:eastAsia="zh-CN"/>
        </w:rPr>
        <w:t>11</w:t>
      </w:r>
    </w:p>
    <w:p w14:paraId="1B272D5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cs="Times New Roman"/>
          <w:sz w:val="24"/>
          <w:szCs w:val="24"/>
        </w:rPr>
        <w:tab/>
      </w:r>
      <w:r>
        <w:rPr>
          <w:rFonts w:hint="eastAsia" w:cs="Times New Roman"/>
          <w:sz w:val="24"/>
          <w:szCs w:val="24"/>
          <w:lang w:val="en-US" w:eastAsia="zh-CN"/>
        </w:rPr>
        <w:t>11</w:t>
      </w:r>
    </w:p>
    <w:p w14:paraId="1E6557B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cs="Times New Roman"/>
          <w:sz w:val="24"/>
          <w:szCs w:val="24"/>
        </w:rPr>
        <w:tab/>
      </w:r>
      <w:r>
        <w:rPr>
          <w:rFonts w:hint="eastAsia" w:cs="Times New Roman"/>
          <w:sz w:val="24"/>
          <w:szCs w:val="24"/>
          <w:lang w:val="en-US" w:eastAsia="zh-CN"/>
        </w:rPr>
        <w:t>13</w:t>
      </w:r>
    </w:p>
    <w:p w14:paraId="63C9091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cs="Times New Roman"/>
          <w:sz w:val="24"/>
          <w:szCs w:val="24"/>
        </w:rPr>
        <w:tab/>
      </w:r>
      <w:r>
        <w:rPr>
          <w:rFonts w:hint="eastAsia" w:cs="Times New Roman"/>
          <w:sz w:val="24"/>
          <w:szCs w:val="24"/>
          <w:lang w:val="en-US" w:eastAsia="zh-CN"/>
        </w:rPr>
        <w:t>14</w:t>
      </w:r>
    </w:p>
    <w:p w14:paraId="25901F4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cs="Times New Roman"/>
          <w:sz w:val="24"/>
          <w:szCs w:val="24"/>
        </w:rPr>
        <w:tab/>
      </w:r>
      <w:r>
        <w:rPr>
          <w:rFonts w:hint="eastAsia" w:cs="Times New Roman"/>
          <w:sz w:val="24"/>
          <w:szCs w:val="24"/>
          <w:lang w:val="en-US" w:eastAsia="zh-CN"/>
        </w:rPr>
        <w:t>14</w:t>
      </w:r>
    </w:p>
    <w:p w14:paraId="238F3E8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cs="Times New Roman"/>
          <w:sz w:val="24"/>
          <w:szCs w:val="24"/>
        </w:rPr>
        <w:tab/>
      </w:r>
      <w:r>
        <w:rPr>
          <w:rFonts w:hint="eastAsia" w:cs="Times New Roman"/>
          <w:sz w:val="24"/>
          <w:szCs w:val="24"/>
          <w:lang w:val="en-US" w:eastAsia="zh-CN"/>
        </w:rPr>
        <w:t>16</w:t>
      </w:r>
    </w:p>
    <w:p w14:paraId="604D1972">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cs="Times New Roman"/>
          <w:sz w:val="24"/>
          <w:szCs w:val="24"/>
        </w:rPr>
        <w:tab/>
      </w:r>
      <w:r>
        <w:rPr>
          <w:rFonts w:hint="eastAsia" w:cs="Times New Roman"/>
          <w:sz w:val="24"/>
          <w:szCs w:val="24"/>
          <w:lang w:val="en-US" w:eastAsia="zh-CN"/>
        </w:rPr>
        <w:t>20</w:t>
      </w:r>
    </w:p>
    <w:p w14:paraId="37303BB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cs="Times New Roman"/>
          <w:sz w:val="24"/>
          <w:szCs w:val="24"/>
        </w:rPr>
        <w:tab/>
      </w:r>
      <w:r>
        <w:rPr>
          <w:rFonts w:hint="eastAsia" w:cs="Times New Roman"/>
          <w:sz w:val="24"/>
          <w:szCs w:val="24"/>
          <w:lang w:val="en-US" w:eastAsia="zh-CN"/>
        </w:rPr>
        <w:t>21</w:t>
      </w:r>
    </w:p>
    <w:p w14:paraId="7FC796B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cs="Times New Roman"/>
          <w:sz w:val="24"/>
          <w:szCs w:val="24"/>
        </w:rPr>
        <w:tab/>
      </w:r>
      <w:r>
        <w:rPr>
          <w:rFonts w:hint="eastAsia" w:cs="Times New Roman"/>
          <w:sz w:val="24"/>
          <w:szCs w:val="24"/>
          <w:lang w:val="en-US" w:eastAsia="zh-CN"/>
        </w:rPr>
        <w:t>21</w:t>
      </w:r>
    </w:p>
    <w:p w14:paraId="0CC5F6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cs="Times New Roman"/>
          <w:sz w:val="24"/>
          <w:szCs w:val="24"/>
        </w:rPr>
        <w:tab/>
      </w:r>
      <w:r>
        <w:rPr>
          <w:rFonts w:hint="eastAsia" w:cs="Times New Roman"/>
          <w:sz w:val="24"/>
          <w:szCs w:val="24"/>
          <w:lang w:val="en-US" w:eastAsia="zh-CN"/>
        </w:rPr>
        <w:t>21</w:t>
      </w:r>
    </w:p>
    <w:p w14:paraId="0ACA718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cs="Times New Roman"/>
          <w:sz w:val="24"/>
          <w:szCs w:val="24"/>
        </w:rPr>
        <w:tab/>
      </w:r>
      <w:r>
        <w:rPr>
          <w:rFonts w:hint="eastAsia" w:cs="Times New Roman"/>
          <w:sz w:val="24"/>
          <w:szCs w:val="24"/>
          <w:lang w:val="en-US" w:eastAsia="zh-CN"/>
        </w:rPr>
        <w:t>21</w:t>
      </w:r>
    </w:p>
    <w:p w14:paraId="416AC05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cs="Times New Roman"/>
          <w:sz w:val="24"/>
          <w:szCs w:val="24"/>
        </w:rPr>
        <w:tab/>
      </w:r>
      <w:r>
        <w:rPr>
          <w:rFonts w:hint="eastAsia" w:cs="Times New Roman"/>
          <w:sz w:val="24"/>
          <w:szCs w:val="24"/>
          <w:lang w:val="en-US" w:eastAsia="zh-CN"/>
        </w:rPr>
        <w:t>21</w:t>
      </w:r>
    </w:p>
    <w:p w14:paraId="4B564C3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cs="Times New Roman"/>
          <w:sz w:val="24"/>
          <w:szCs w:val="24"/>
        </w:rPr>
        <w:tab/>
      </w:r>
      <w:r>
        <w:rPr>
          <w:rFonts w:hint="eastAsia" w:cs="Times New Roman"/>
          <w:sz w:val="24"/>
          <w:szCs w:val="24"/>
          <w:lang w:val="en-US" w:eastAsia="zh-CN"/>
        </w:rPr>
        <w:t>21</w:t>
      </w:r>
    </w:p>
    <w:p w14:paraId="4C69D4C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cs="Times New Roman"/>
          <w:sz w:val="24"/>
          <w:szCs w:val="24"/>
        </w:rPr>
        <w:tab/>
      </w:r>
      <w:r>
        <w:rPr>
          <w:rFonts w:hint="eastAsia" w:cs="Times New Roman"/>
          <w:sz w:val="24"/>
          <w:szCs w:val="24"/>
          <w:lang w:val="en-US" w:eastAsia="zh-CN"/>
        </w:rPr>
        <w:t>21</w:t>
      </w:r>
    </w:p>
    <w:p w14:paraId="13C9C6F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cs="Times New Roman"/>
          <w:sz w:val="24"/>
          <w:szCs w:val="24"/>
        </w:rPr>
        <w:tab/>
      </w:r>
      <w:r>
        <w:rPr>
          <w:rFonts w:hint="eastAsia" w:cs="Times New Roman"/>
          <w:sz w:val="24"/>
          <w:szCs w:val="24"/>
          <w:lang w:val="en-US" w:eastAsia="zh-CN"/>
        </w:rPr>
        <w:t>21</w:t>
      </w:r>
    </w:p>
    <w:p w14:paraId="2014F4A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cs="Times New Roman"/>
          <w:sz w:val="24"/>
          <w:szCs w:val="24"/>
        </w:rPr>
        <w:tab/>
      </w:r>
      <w:r>
        <w:rPr>
          <w:rFonts w:hint="eastAsia" w:cs="Times New Roman"/>
          <w:sz w:val="24"/>
          <w:szCs w:val="24"/>
          <w:lang w:val="en-US" w:eastAsia="zh-CN"/>
        </w:rPr>
        <w:t>21</w:t>
      </w:r>
    </w:p>
    <w:p w14:paraId="7A78F2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cs="Times New Roman"/>
          <w:sz w:val="24"/>
          <w:szCs w:val="24"/>
        </w:rPr>
        <w:tab/>
      </w:r>
      <w:r>
        <w:rPr>
          <w:rFonts w:hint="eastAsia" w:cs="Times New Roman"/>
          <w:sz w:val="24"/>
          <w:szCs w:val="24"/>
          <w:lang w:val="en-US" w:eastAsia="zh-CN"/>
        </w:rPr>
        <w:t>21</w:t>
      </w:r>
    </w:p>
    <w:p w14:paraId="37A62DE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cs="Times New Roman"/>
          <w:sz w:val="24"/>
          <w:szCs w:val="24"/>
        </w:rPr>
        <w:tab/>
      </w:r>
      <w:r>
        <w:rPr>
          <w:rFonts w:hint="eastAsia" w:cs="Times New Roman"/>
          <w:sz w:val="24"/>
          <w:szCs w:val="24"/>
          <w:lang w:val="en-US" w:eastAsia="zh-CN"/>
        </w:rPr>
        <w:t>21</w:t>
      </w:r>
    </w:p>
    <w:p w14:paraId="0D288EA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cs="Times New Roman"/>
          <w:sz w:val="24"/>
          <w:szCs w:val="24"/>
        </w:rPr>
        <w:tab/>
      </w:r>
      <w:r>
        <w:rPr>
          <w:rFonts w:hint="eastAsia" w:cs="Times New Roman"/>
          <w:sz w:val="24"/>
          <w:szCs w:val="24"/>
          <w:lang w:val="en-US" w:eastAsia="zh-CN"/>
        </w:rPr>
        <w:t>21</w:t>
      </w:r>
    </w:p>
    <w:p w14:paraId="5699B78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cs="Times New Roman"/>
          <w:sz w:val="24"/>
          <w:szCs w:val="24"/>
        </w:rPr>
        <w:tab/>
      </w:r>
      <w:r>
        <w:rPr>
          <w:rFonts w:hint="eastAsia" w:cs="Times New Roman"/>
          <w:sz w:val="24"/>
          <w:szCs w:val="24"/>
          <w:lang w:val="en-US" w:eastAsia="zh-CN"/>
        </w:rPr>
        <w:t>21</w:t>
      </w:r>
    </w:p>
    <w:p w14:paraId="1C9990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cs="Times New Roman"/>
          <w:sz w:val="24"/>
          <w:szCs w:val="24"/>
        </w:rPr>
        <w:tab/>
      </w:r>
      <w:r>
        <w:rPr>
          <w:rFonts w:hint="eastAsia" w:cs="Times New Roman"/>
          <w:sz w:val="24"/>
          <w:szCs w:val="24"/>
          <w:lang w:val="en-US" w:eastAsia="zh-CN"/>
        </w:rPr>
        <w:t>21</w:t>
      </w:r>
      <w:bookmarkStart w:id="67" w:name="_GoBack"/>
      <w:bookmarkEnd w:id="67"/>
    </w:p>
    <w:p w14:paraId="6C4B526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b/>
          <w:bCs/>
          <w:color w:val="auto"/>
          <w:sz w:val="32"/>
          <w:szCs w:val="32"/>
          <w:highlight w:val="none"/>
          <w:lang w:eastAsia="zh-CN"/>
        </w:rPr>
      </w:pPr>
    </w:p>
    <w:p w14:paraId="53166AA3">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086D9D6F">
      <w:pPr>
        <w:pStyle w:val="5"/>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188D8B4D">
      <w:pPr>
        <w:widowControl/>
        <w:jc w:val="left"/>
        <w:rPr>
          <w:rFonts w:ascii="Times New Roman" w:hAnsi="Times New Roman" w:eastAsia="黑体"/>
          <w:color w:val="auto"/>
          <w:sz w:val="32"/>
          <w:szCs w:val="32"/>
          <w:highlight w:val="none"/>
        </w:rPr>
      </w:pPr>
    </w:p>
    <w:p w14:paraId="5FCA7D05">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71773BA">
      <w:pPr>
        <w:ind w:firstLine="800" w:firstLineChars="25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2025年度，在市教育和体育局的坚强领导下，我园密切关注教育改革和发展，深入贯彻《幼儿园保育教育质量评估指南》。立足党建、保教、后勤等各项基本工作，大力弘扬和践行教育家精神，引领教师主动增强自身整体素质，全面落实立德树人根本任务，抓好精细化管理，促进保教质量稳步提升，助推幼儿园高品质建设。</w:t>
      </w:r>
    </w:p>
    <w:p w14:paraId="47ED9633">
      <w:pPr>
        <w:pStyle w:val="6"/>
        <w:rPr>
          <w:rStyle w:val="29"/>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465408A6">
      <w:pPr>
        <w:pStyle w:val="8"/>
        <w:adjustRightInd w:val="0"/>
        <w:snapToGrid w:val="0"/>
        <w:spacing w:before="93" w:line="600" w:lineRule="exact"/>
        <w:ind w:firstLine="672" w:firstLineChars="210"/>
        <w:rPr>
          <w:rFonts w:ascii="Times New Roman" w:hAnsi="Times New Roman" w:eastAsia="仿宋"/>
          <w:color w:val="auto"/>
          <w:kern w:val="0"/>
          <w:sz w:val="32"/>
          <w:szCs w:val="32"/>
          <w:highlight w:val="none"/>
        </w:rPr>
      </w:pPr>
      <w:r>
        <w:rPr>
          <w:rFonts w:hint="eastAsia" w:ascii="仿宋_GB2312" w:hAnsi="仿宋_GB2312" w:eastAsia="仿宋_GB2312" w:cs="仿宋_GB2312"/>
          <w:color w:val="auto"/>
          <w:kern w:val="2"/>
          <w:sz w:val="32"/>
          <w:szCs w:val="32"/>
          <w:highlight w:val="none"/>
          <w:lang w:val="en-US" w:eastAsia="zh-CN" w:bidi="ar-SA"/>
        </w:rPr>
        <w:t>四川省攀枝花市实验幼儿园是市教育和体育局直属幼儿园，四川省省级示范幼儿园，本部门机构数为1个。</w:t>
      </w:r>
      <w:r>
        <w:rPr>
          <w:rFonts w:hint="eastAsia" w:ascii="仿宋_GB2312" w:hAnsi="仿宋_GB2312" w:eastAsia="仿宋_GB2312" w:cs="仿宋_GB2312"/>
          <w:color w:val="auto"/>
          <w:kern w:val="2"/>
          <w:sz w:val="32"/>
          <w:szCs w:val="32"/>
          <w:highlight w:val="none"/>
          <w:lang w:val="zh-CN" w:eastAsia="zh-CN" w:bidi="ar-SA"/>
        </w:rPr>
        <w:t>本学年，</w:t>
      </w:r>
      <w:r>
        <w:rPr>
          <w:rFonts w:hint="eastAsia" w:ascii="仿宋_GB2312" w:hAnsi="仿宋_GB2312" w:eastAsia="仿宋_GB2312" w:cs="仿宋_GB2312"/>
          <w:color w:val="auto"/>
          <w:kern w:val="2"/>
          <w:sz w:val="32"/>
          <w:szCs w:val="32"/>
          <w:highlight w:val="none"/>
          <w:lang w:val="en-US" w:eastAsia="zh-CN" w:bidi="ar-SA"/>
        </w:rPr>
        <w:t>本学年，全园共有大、中、小班38个，在园幼儿共计1</w:t>
      </w:r>
      <w:r>
        <w:rPr>
          <w:rFonts w:hint="eastAsia" w:hAnsi="仿宋_GB2312" w:cs="仿宋_GB2312"/>
          <w:color w:val="auto"/>
          <w:kern w:val="2"/>
          <w:sz w:val="32"/>
          <w:szCs w:val="32"/>
          <w:highlight w:val="none"/>
          <w:lang w:val="en-US" w:eastAsia="zh-CN" w:bidi="ar-SA"/>
        </w:rPr>
        <w:t>183</w:t>
      </w:r>
      <w:r>
        <w:rPr>
          <w:rFonts w:hint="eastAsia" w:ascii="仿宋_GB2312" w:hAnsi="仿宋_GB2312" w:eastAsia="仿宋_GB2312" w:cs="仿宋_GB2312"/>
          <w:color w:val="auto"/>
          <w:kern w:val="2"/>
          <w:sz w:val="32"/>
          <w:szCs w:val="32"/>
          <w:highlight w:val="none"/>
          <w:lang w:val="en-US" w:eastAsia="zh-CN" w:bidi="ar-SA"/>
        </w:rPr>
        <w:t>人，教职工总数为20</w:t>
      </w:r>
      <w:r>
        <w:rPr>
          <w:rFonts w:hint="eastAsia" w:hAnsi="仿宋_GB2312" w:cs="仿宋_GB2312"/>
          <w:color w:val="auto"/>
          <w:kern w:val="2"/>
          <w:sz w:val="32"/>
          <w:szCs w:val="32"/>
          <w:highlight w:val="none"/>
          <w:lang w:val="en-US" w:eastAsia="zh-CN" w:bidi="ar-SA"/>
        </w:rPr>
        <w:t>6</w:t>
      </w:r>
      <w:r>
        <w:rPr>
          <w:rFonts w:hint="eastAsia" w:ascii="仿宋_GB2312" w:hAnsi="仿宋_GB2312" w:eastAsia="仿宋_GB2312" w:cs="仿宋_GB2312"/>
          <w:color w:val="auto"/>
          <w:kern w:val="2"/>
          <w:sz w:val="32"/>
          <w:szCs w:val="32"/>
          <w:highlight w:val="none"/>
          <w:lang w:val="en-US" w:eastAsia="zh-CN" w:bidi="ar-SA"/>
        </w:rPr>
        <w:t>人</w:t>
      </w:r>
      <w:r>
        <w:rPr>
          <w:rFonts w:hint="eastAsia" w:hAnsi="仿宋_GB2312" w:cs="仿宋_GB2312"/>
          <w:color w:val="auto"/>
          <w:kern w:val="2"/>
          <w:sz w:val="32"/>
          <w:szCs w:val="32"/>
          <w:highlight w:val="none"/>
          <w:lang w:val="en-US" w:eastAsia="zh-CN" w:bidi="ar-SA"/>
        </w:rPr>
        <w:t>。</w:t>
      </w:r>
      <w:r>
        <w:rPr>
          <w:rFonts w:ascii="Times New Roman" w:hAnsi="Times New Roman" w:eastAsia="仿宋"/>
          <w:color w:val="auto"/>
          <w:sz w:val="32"/>
          <w:szCs w:val="32"/>
          <w:highlight w:val="none"/>
        </w:rPr>
        <w:br w:type="page"/>
      </w:r>
    </w:p>
    <w:p w14:paraId="22B01FC5">
      <w:pPr>
        <w:pStyle w:val="5"/>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7BF793CA">
      <w:pPr>
        <w:rPr>
          <w:rFonts w:ascii="Times New Roman" w:hAnsi="Times New Roman"/>
          <w:color w:val="auto"/>
          <w:highlight w:val="none"/>
        </w:rPr>
      </w:pPr>
    </w:p>
    <w:p w14:paraId="1839D94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6A20C66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3117.18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32.57</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1.1</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是</w:t>
      </w:r>
      <w:r>
        <w:rPr>
          <w:rFonts w:hint="eastAsia" w:eastAsia="仿宋_GB2312" w:cs="仿宋_GB2312"/>
          <w:color w:val="auto"/>
          <w:sz w:val="32"/>
          <w:szCs w:val="32"/>
          <w:highlight w:val="none"/>
          <w:lang w:val="en-US" w:eastAsia="zh-CN"/>
        </w:rPr>
        <w:t>2025年度新入职职工2人，同时</w:t>
      </w:r>
      <w:r>
        <w:rPr>
          <w:rFonts w:hint="eastAsia" w:ascii="仿宋_GB2312" w:hAnsi="仿宋_GB2312" w:eastAsia="仿宋_GB2312" w:cs="仿宋_GB2312"/>
          <w:color w:val="auto"/>
          <w:sz w:val="32"/>
          <w:szCs w:val="32"/>
          <w:highlight w:val="none"/>
          <w:lang w:val="en-US" w:eastAsia="zh-CN"/>
        </w:rPr>
        <w:t>人员经费调标，以及对应调整保险、公积金等，因此收入、支出均增加。</w:t>
      </w:r>
    </w:p>
    <w:p w14:paraId="2577EDF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rPr>
          <w:highlight w:val="none"/>
        </w:rPr>
        <w:drawing>
          <wp:anchor distT="0" distB="0" distL="114300" distR="114300" simplePos="0" relativeHeight="251659264" behindDoc="0" locked="0" layoutInCell="1" allowOverlap="1">
            <wp:simplePos x="0" y="0"/>
            <wp:positionH relativeFrom="column">
              <wp:posOffset>118745</wp:posOffset>
            </wp:positionH>
            <wp:positionV relativeFrom="paragraph">
              <wp:posOffset>61595</wp:posOffset>
            </wp:positionV>
            <wp:extent cx="5225415" cy="2781300"/>
            <wp:effectExtent l="4445" t="4445" r="8890" b="14605"/>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6EFAC3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12DFAD7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4BA957F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3097.18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3096.18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99.96</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0.03</w:t>
      </w:r>
      <w:r>
        <w:rPr>
          <w:rFonts w:hint="eastAsia" w:ascii="Times New Roman" w:hAnsi="Times New Roman" w:eastAsia="仿宋_GB2312" w:cs="仿宋_GB2312"/>
          <w:color w:val="auto"/>
          <w:sz w:val="32"/>
          <w:szCs w:val="32"/>
          <w:highlight w:val="none"/>
          <w:lang w:eastAsia="zh-CN"/>
        </w:rPr>
        <w:t>%。</w:t>
      </w:r>
    </w:p>
    <w:p w14:paraId="73FB282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499745</wp:posOffset>
            </wp:positionH>
            <wp:positionV relativeFrom="paragraph">
              <wp:posOffset>-6280150</wp:posOffset>
            </wp:positionV>
            <wp:extent cx="4692650" cy="2572385"/>
            <wp:effectExtent l="4445" t="4445" r="8255" b="13970"/>
            <wp:wrapTopAndBottom/>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6D10C6C7">
      <w:pPr>
        <w:ind w:firstLine="800" w:firstLineChars="250"/>
        <w:rPr>
          <w:rFonts w:hint="eastAsia" w:ascii="Times New Roman" w:hAnsi="Times New Roman" w:eastAsia="仿宋_GB2312" w:cs="仿宋_GB2312"/>
          <w:color w:val="auto"/>
          <w:sz w:val="32"/>
          <w:szCs w:val="32"/>
          <w:highlight w:val="none"/>
          <w:lang w:eastAsia="zh-CN"/>
        </w:rPr>
      </w:pPr>
    </w:p>
    <w:p w14:paraId="5B29852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218BA36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3109.73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2743.86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88.2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365.87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sz w:val="32"/>
          <w:szCs w:val="32"/>
          <w:highlight w:val="none"/>
          <w:lang w:eastAsia="zh-CN"/>
        </w:rPr>
        <w:t>%。</w:t>
      </w:r>
    </w:p>
    <w:p w14:paraId="535EB76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175895</wp:posOffset>
            </wp:positionH>
            <wp:positionV relativeFrom="paragraph">
              <wp:posOffset>61595</wp:posOffset>
            </wp:positionV>
            <wp:extent cx="4826000" cy="2743200"/>
            <wp:effectExtent l="4445" t="4445" r="8255" b="14605"/>
            <wp:wrapTopAndBottom/>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3BD81E29">
      <w:pPr>
        <w:ind w:firstLine="800" w:firstLineChars="250"/>
        <w:rPr>
          <w:rFonts w:hint="eastAsia" w:ascii="Times New Roman" w:hAnsi="Times New Roman" w:eastAsia="仿宋_GB2312" w:cs="仿宋_GB2312"/>
          <w:color w:val="auto"/>
          <w:sz w:val="32"/>
          <w:szCs w:val="32"/>
          <w:highlight w:val="none"/>
          <w:lang w:eastAsia="zh-CN"/>
        </w:rPr>
      </w:pPr>
    </w:p>
    <w:p w14:paraId="5B464E9F">
      <w:pPr>
        <w:spacing w:line="600" w:lineRule="exact"/>
        <w:ind w:firstLine="640" w:firstLineChars="200"/>
        <w:outlineLvl w:val="1"/>
        <w:rPr>
          <w:rStyle w:val="29"/>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0F3FDB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3097.18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12.57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sz w:val="32"/>
          <w:szCs w:val="32"/>
          <w:highlight w:val="none"/>
          <w:lang w:eastAsia="zh-CN"/>
        </w:rPr>
        <w:t>是</w:t>
      </w:r>
      <w:r>
        <w:rPr>
          <w:rFonts w:hint="eastAsia" w:eastAsia="仿宋_GB2312" w:cs="仿宋_GB2312"/>
          <w:color w:val="auto"/>
          <w:sz w:val="32"/>
          <w:szCs w:val="32"/>
          <w:highlight w:val="none"/>
          <w:lang w:val="en-US" w:eastAsia="zh-CN"/>
        </w:rPr>
        <w:t>2025年度新入职职工2人，同时</w:t>
      </w:r>
      <w:r>
        <w:rPr>
          <w:rFonts w:hint="eastAsia" w:ascii="仿宋_GB2312" w:hAnsi="仿宋_GB2312" w:eastAsia="仿宋_GB2312" w:cs="仿宋_GB2312"/>
          <w:color w:val="auto"/>
          <w:sz w:val="32"/>
          <w:szCs w:val="32"/>
          <w:highlight w:val="none"/>
          <w:lang w:val="en-US" w:eastAsia="zh-CN"/>
        </w:rPr>
        <w:t>人员经费调标，以及对应调整保险、公积金等，因此</w:t>
      </w:r>
      <w:r>
        <w:rPr>
          <w:rFonts w:hint="eastAsia" w:ascii="Times New Roman" w:hAnsi="Times New Roman" w:eastAsia="仿宋_GB2312" w:cs="仿宋_GB2312"/>
          <w:color w:val="auto"/>
          <w:kern w:val="2"/>
          <w:sz w:val="32"/>
          <w:szCs w:val="32"/>
          <w:highlight w:val="none"/>
          <w:lang w:val="en-US" w:eastAsia="zh-CN" w:bidi="ar-SA"/>
        </w:rPr>
        <w:t>财政拨款收入、支出</w:t>
      </w:r>
      <w:r>
        <w:rPr>
          <w:rFonts w:hint="eastAsia" w:ascii="仿宋_GB2312" w:hAnsi="仿宋_GB2312" w:eastAsia="仿宋_GB2312" w:cs="仿宋_GB2312"/>
          <w:color w:val="auto"/>
          <w:sz w:val="32"/>
          <w:szCs w:val="32"/>
          <w:highlight w:val="none"/>
          <w:lang w:val="en-US" w:eastAsia="zh-CN"/>
        </w:rPr>
        <w:t>均增加。</w:t>
      </w:r>
    </w:p>
    <w:p w14:paraId="7AE6FBBB">
      <w:pPr>
        <w:spacing w:line="600" w:lineRule="exact"/>
        <w:ind w:firstLine="420" w:firstLineChars="20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-33655</wp:posOffset>
            </wp:positionH>
            <wp:positionV relativeFrom="paragraph">
              <wp:posOffset>4445</wp:posOffset>
            </wp:positionV>
            <wp:extent cx="5225415" cy="2781300"/>
            <wp:effectExtent l="4445" t="4445" r="8890" b="14605"/>
            <wp:wrapTopAndBottom/>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1565B9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06B934">
      <w:pPr>
        <w:spacing w:line="600" w:lineRule="exact"/>
        <w:ind w:firstLine="640" w:firstLineChars="200"/>
        <w:outlineLvl w:val="1"/>
        <w:rPr>
          <w:rStyle w:val="29"/>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7B8E410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18E261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185420</wp:posOffset>
            </wp:positionH>
            <wp:positionV relativeFrom="paragraph">
              <wp:posOffset>1961515</wp:posOffset>
            </wp:positionV>
            <wp:extent cx="5196840" cy="2562860"/>
            <wp:effectExtent l="4445" t="4445" r="18415" b="23495"/>
            <wp:wrapTopAndBottom/>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3096.18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11.57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sz w:val="32"/>
          <w:szCs w:val="32"/>
          <w:highlight w:val="none"/>
          <w:lang w:eastAsia="zh-CN"/>
        </w:rPr>
        <w:t>是</w:t>
      </w:r>
      <w:r>
        <w:rPr>
          <w:rFonts w:hint="eastAsia" w:eastAsia="仿宋_GB2312" w:cs="仿宋_GB2312"/>
          <w:color w:val="auto"/>
          <w:sz w:val="32"/>
          <w:szCs w:val="32"/>
          <w:highlight w:val="none"/>
          <w:lang w:val="en-US" w:eastAsia="zh-CN"/>
        </w:rPr>
        <w:t>2025年度新入职职工2人，同时</w:t>
      </w:r>
      <w:r>
        <w:rPr>
          <w:rFonts w:hint="eastAsia" w:ascii="仿宋_GB2312" w:hAnsi="仿宋_GB2312" w:eastAsia="仿宋_GB2312" w:cs="仿宋_GB2312"/>
          <w:color w:val="auto"/>
          <w:sz w:val="32"/>
          <w:szCs w:val="32"/>
          <w:highlight w:val="none"/>
          <w:lang w:val="en-US" w:eastAsia="zh-CN"/>
        </w:rPr>
        <w:t>人员经费调标，以及对应调整保险、公积金等，因此</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color w:val="auto"/>
          <w:sz w:val="32"/>
          <w:szCs w:val="32"/>
          <w:highlight w:val="none"/>
          <w:lang w:val="en-US" w:eastAsia="zh-CN"/>
        </w:rPr>
        <w:t>增加。</w:t>
      </w:r>
    </w:p>
    <w:p w14:paraId="2E1AF6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8C4B8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B9B85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2115FD9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3096.18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2303.59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428.16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164.39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190.03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C3929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137795</wp:posOffset>
            </wp:positionH>
            <wp:positionV relativeFrom="paragraph">
              <wp:posOffset>23495</wp:posOffset>
            </wp:positionV>
            <wp:extent cx="5273675" cy="2827655"/>
            <wp:effectExtent l="4445" t="4445" r="17780" b="6350"/>
            <wp:wrapTopAndBottom/>
            <wp:docPr id="11" name="图表 10" descr="7b0a202020202263686172745265734964223a202232303437363039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7CCE33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1F08C0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5FD503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213"/>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3096.18</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37F9A4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.教育</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普通教育</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学前教育</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支出决算为2240.54万元，完成预算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98E5D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2.教育（类）教育费附加安排的支出（款）其他教育费附加安排的支出（项）: 支出决算为63.06万元，完成预算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64CA3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3.社会保障和就业（类）人力资源和社会保障管理事务（款）其他人力资源和社会保障管理事务支出（项）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支出决算为11.72万元，完成预算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B9262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4.社会保障和就业（类）行政事业单位养老支出（款）事业单位离退休（项）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支出决算为149.36万元，完成预算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BB288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支出决算为259.45万元，完成预算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9BD3A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支出决算为17.62万元，完成预算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A8AA1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.卫生健康（类）卫生健康管理事务（款）其他卫生健康管理事务支出（项）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支出决算为20万元，完成预算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31A76A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支出决算为127.71万元，完成预算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285EE3C">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支出决算为16.68万元，完成预算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3C6CC2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.住房保障（类）住房改革支出（款）住房公积金（项）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支出决算为190.03万元，完成预算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A575E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8F29819">
      <w:pPr>
        <w:tabs>
          <w:tab w:val="right" w:pos="8306"/>
        </w:tabs>
        <w:spacing w:line="600" w:lineRule="exact"/>
        <w:ind w:firstLine="640"/>
        <w:outlineLvl w:val="1"/>
        <w:rPr>
          <w:rStyle w:val="29"/>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4E2F63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2743.86</w:t>
      </w:r>
      <w:r>
        <w:rPr>
          <w:rFonts w:hint="eastAsia" w:ascii="Times New Roman" w:hAnsi="Times New Roman" w:eastAsia="仿宋_GB2312" w:cs="仿宋_GB2312"/>
          <w:color w:val="auto"/>
          <w:kern w:val="2"/>
          <w:sz w:val="32"/>
          <w:szCs w:val="32"/>
          <w:highlight w:val="none"/>
          <w:lang w:val="en-US" w:eastAsia="zh-CN" w:bidi="ar-SA"/>
        </w:rPr>
        <w:t>万元，其中：</w:t>
      </w:r>
    </w:p>
    <w:p w14:paraId="1D0781E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2563.45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万元，主要包括：基本工资、津贴补贴、绩效工资、机关事业单位基本养老保险缴费、职业年金缴费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职工基本医疗保险缴费</w:t>
      </w:r>
      <w:r>
        <w:rPr>
          <w:rFonts w:hint="eastAsia" w:eastAsia="仿宋_GB2312" w:cs="仿宋_GB2312"/>
          <w:color w:val="auto"/>
          <w:kern w:val="2"/>
          <w:sz w:val="32"/>
          <w:szCs w:val="32"/>
          <w:highlight w:val="none"/>
          <w:lang w:val="en-US" w:eastAsia="zh-CN" w:bidi="ar-SA"/>
        </w:rPr>
        <w:t>、公务员医疗补助缴费、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其他工资福利支出、生活补助、医疗费补助、奖励金、其他对个人和家庭的补助支出等。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180.42</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万元，主要包括：办公费、水费、电费、邮电费、物业管理费、差旅费、维修（护）费、劳务费、工会经费、福利费、公务用车运行维护费、其他商品和服务支出等。</w:t>
      </w:r>
    </w:p>
    <w:p w14:paraId="0475A2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5C1745D">
      <w:pPr>
        <w:spacing w:line="600" w:lineRule="exact"/>
        <w:ind w:firstLine="64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610F858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0B84E73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1.09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%。决算数与预算数</w:t>
      </w:r>
      <w:r>
        <w:rPr>
          <w:rFonts w:hint="eastAsia" w:eastAsia="仿宋_GB2312" w:cs="仿宋_GB2312"/>
          <w:color w:val="auto"/>
          <w:kern w:val="2"/>
          <w:sz w:val="32"/>
          <w:szCs w:val="32"/>
          <w:highlight w:val="none"/>
          <w:lang w:val="en-US" w:eastAsia="zh-CN" w:bidi="ar-SA"/>
        </w:rPr>
        <w:t>。</w:t>
      </w:r>
    </w:p>
    <w:p w14:paraId="4544939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37FFFB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1.09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41C885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-43180</wp:posOffset>
            </wp:positionH>
            <wp:positionV relativeFrom="paragraph">
              <wp:posOffset>23495</wp:posOffset>
            </wp:positionV>
            <wp:extent cx="5273675" cy="2827655"/>
            <wp:effectExtent l="4445" t="4445" r="17780" b="6350"/>
            <wp:wrapTopAndBottom/>
            <wp:docPr id="13" name="图表 12" descr="7b0a202020202263686172745265734964223a202232303437363039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7091EB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上年度持平，</w:t>
      </w:r>
      <w:r>
        <w:rPr>
          <w:rFonts w:hint="eastAsia" w:ascii="Times New Roman" w:hAnsi="Times New Roman" w:eastAsia="仿宋_GB2312" w:cs="仿宋_GB2312"/>
          <w:color w:val="auto"/>
          <w:kern w:val="2"/>
          <w:sz w:val="32"/>
          <w:szCs w:val="32"/>
          <w:highlight w:val="none"/>
          <w:lang w:val="en-US" w:eastAsia="zh-CN" w:bidi="ar-SA"/>
        </w:rPr>
        <w:t>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2025年度与2024年度均未安排因公出国（</w:t>
      </w:r>
      <w:r>
        <w:rPr>
          <w:rFonts w:hint="eastAsia" w:ascii="仿宋_GB2312" w:eastAsia="仿宋_GB2312"/>
          <w:color w:val="auto"/>
          <w:sz w:val="32"/>
          <w:szCs w:val="32"/>
          <w:highlight w:val="none"/>
        </w:rPr>
        <w:t>境</w:t>
      </w:r>
      <w:r>
        <w:rPr>
          <w:rFonts w:hint="eastAsia" w:eastAsia="仿宋_GB2312" w:cs="仿宋_GB2312"/>
          <w:color w:val="auto"/>
          <w:kern w:val="2"/>
          <w:sz w:val="32"/>
          <w:szCs w:val="32"/>
          <w:highlight w:val="none"/>
          <w:lang w:val="en-US" w:eastAsia="zh-CN" w:bidi="ar-SA"/>
        </w:rPr>
        <w:t>）。</w:t>
      </w:r>
    </w:p>
    <w:p w14:paraId="7DA6FF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（团组名称、出访地点、取得成效等）</w:t>
      </w:r>
    </w:p>
    <w:p w14:paraId="32CE7E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1.09</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2025年度公务用车加油减少。</w:t>
      </w:r>
    </w:p>
    <w:p w14:paraId="11291C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9E90E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1.09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参加市、区教育主管部门及相关单位的重要会议、专项活动；幼儿园重大活动、师生集体公务出行；开展教育调研、帮扶活动；园区内紧急事务处置以及经园领导批准的其他重要公务等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65C21E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2025年度和2024年度均未安排公务接待</w:t>
      </w:r>
      <w:r>
        <w:rPr>
          <w:rFonts w:hint="eastAsia" w:ascii="Times New Roman" w:hAnsi="Times New Roman" w:eastAsia="仿宋_GB2312" w:cs="仿宋_GB2312"/>
          <w:color w:val="auto"/>
          <w:kern w:val="2"/>
          <w:sz w:val="32"/>
          <w:szCs w:val="32"/>
          <w:highlight w:val="none"/>
          <w:lang w:val="en-US" w:eastAsia="zh-CN" w:bidi="ar-SA"/>
        </w:rPr>
        <w:t>。其中：</w:t>
      </w:r>
    </w:p>
    <w:p w14:paraId="4830AC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（接待具体项目、金额）。</w:t>
      </w:r>
    </w:p>
    <w:p w14:paraId="41E8AD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（具体项目）。外事接待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2E523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96610"/>
      <w:bookmarkStart w:id="41" w:name="_Toc15377218"/>
    </w:p>
    <w:p w14:paraId="6828262A">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3F95E43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0.03</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2025年度安排项目经费参加“奔跑吧少年”第八届体育大会。</w:t>
      </w:r>
    </w:p>
    <w:p w14:paraId="445DE2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C6DDCC9">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96611"/>
      <w:bookmarkStart w:id="43"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30EDD1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w:t>
      </w:r>
    </w:p>
    <w:p w14:paraId="567125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4AFCD0B">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96612"/>
      <w:bookmarkStart w:id="45"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1011797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557F24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攀枝花市实验幼儿园</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eastAsia="仿宋_GB2312" w:cs="仿宋_GB2312"/>
          <w:color w:val="auto"/>
          <w:kern w:val="2"/>
          <w:sz w:val="32"/>
          <w:szCs w:val="32"/>
          <w:highlight w:val="none"/>
          <w:lang w:val="en-US" w:eastAsia="zh-CN" w:bidi="ar-SA"/>
        </w:rPr>
        <w:t>攀枝花市实验幼儿园</w:t>
      </w:r>
      <w:r>
        <w:rPr>
          <w:rFonts w:hint="eastAsia" w:ascii="仿宋_GB2312" w:eastAsia="仿宋_GB2312"/>
          <w:color w:val="auto"/>
          <w:sz w:val="32"/>
          <w:szCs w:val="32"/>
          <w:highlight w:val="none"/>
          <w:lang w:val="en-US" w:eastAsia="zh-CN"/>
        </w:rPr>
        <w:t>为事业单位，按规定未使用机关运行的相关科目。</w:t>
      </w:r>
    </w:p>
    <w:p w14:paraId="6E6DC6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281554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240412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攀枝花市实验幼儿园</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80.76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79.63</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1.13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hAnsi="仿宋_GB2312" w:eastAsia="仿宋_GB2312" w:cs="仿宋_GB2312"/>
          <w:color w:val="auto"/>
          <w:sz w:val="32"/>
          <w:szCs w:val="32"/>
          <w:highlight w:val="none"/>
          <w:lang w:val="en-US" w:eastAsia="zh-CN"/>
        </w:rPr>
        <w:t>教学仪器设备采购项目、触控一体化采购项目、台式计算机、复印机采购以及公务用车加油、维修及保险服务</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80.6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99.8</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80.03</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99.1</w:t>
      </w:r>
      <w:r>
        <w:rPr>
          <w:rFonts w:hint="eastAsia" w:ascii="Times New Roman" w:hAnsi="Times New Roman" w:eastAsia="仿宋_GB2312" w:cs="仿宋_GB2312"/>
          <w:color w:val="auto"/>
          <w:kern w:val="2"/>
          <w:sz w:val="32"/>
          <w:szCs w:val="32"/>
          <w:highlight w:val="none"/>
          <w:lang w:val="en-US" w:eastAsia="zh-CN" w:bidi="ar-SA"/>
        </w:rPr>
        <w:t>%。</w:t>
      </w:r>
    </w:p>
    <w:p w14:paraId="322D0A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22A3B4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3012BF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攀枝花市实验幼儿园</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参加市、区教育主管部门及相关单位的重要会议、专项活动；幼儿园重大活动、师生集体公务出行；开展教育调研、帮扶活动；园区内紧急事务处置以及经园领导批准的其他重要公务等。</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194424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E176BF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017BD7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根据预算绩效管理要求，四川省攀枝花市实验幼儿园在2025年度，组织对市实验幼儿园教学保障经费1个项目涉及金额300万元开展了事前绩效评估，对36个项目编制了绩效目标，预算执行过程中，选取6个项目开展绩效监控。</w:t>
      </w:r>
    </w:p>
    <w:p w14:paraId="190F46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组织对2025年度一般公共预算、政府性基金预算等全面开展绩效自评，形成部门整体绩效自评报告、市实验幼儿园教师教育基地、实践基地跟岗经费、托幼一体化服务、支持学前教育发展资金等专项预算项目绩效自评报告，其中，部门整体绩效自评得分为86分，绩效自评综述：2025年度我园积极履职，强化管理，目标完成情况较好，各项指标均能按时完成，各项指标值均能达到，各项质量控制较好，绩效效果明显；市实验幼儿园教师教育基地、实践基地跟岗经费专项预算项目绩效自评得分为100分，绩效自评综述：该项目跟岗培训为期22天，实际参训4人，准予结业4人。经过全体成员的一致努力，本次培训取得了非常好的成效，得到了培训主管部门和全体学员的认可；托幼一体化服务专项预算项目绩效自评得分为100分，绩效自评综述：给家长提供优质、普惠的托幼一体化服务，在建设街园区和人民街园区建设2个托育班，提供40个学位，</w:t>
      </w:r>
      <w:r>
        <w:rPr>
          <w:rFonts w:hint="eastAsia" w:eastAsia="仿宋_GB2312" w:cs="仿宋_GB2312"/>
          <w:color w:val="auto"/>
          <w:kern w:val="2"/>
          <w:sz w:val="32"/>
          <w:szCs w:val="32"/>
          <w:highlight w:val="none"/>
          <w:lang w:val="zh-CN" w:eastAsia="zh-CN" w:bidi="ar-SA"/>
        </w:rPr>
        <w:t>改善了幼儿园教学环境</w:t>
      </w:r>
      <w:r>
        <w:rPr>
          <w:rFonts w:hint="eastAsia" w:eastAsia="仿宋_GB2312" w:cs="仿宋_GB2312"/>
          <w:color w:val="auto"/>
          <w:kern w:val="2"/>
          <w:sz w:val="32"/>
          <w:szCs w:val="32"/>
          <w:highlight w:val="none"/>
          <w:lang w:val="en-US" w:eastAsia="zh-CN" w:bidi="ar-SA"/>
        </w:rPr>
        <w:t>；支持学前教育发展资金专项预算项目绩效自评得分为100分，绩效自评综述：该项目完成了完成教室、活动室、功能室等室内场所健康光源（照明灯）建设使用，三个园区幼儿图书（绘本）及部分教师用书采购项目，教学仪器设备及触控一体机采购，完善了三个园区设施设备更新，</w:t>
      </w:r>
      <w:r>
        <w:rPr>
          <w:rFonts w:hint="eastAsia" w:eastAsia="仿宋_GB2312" w:cs="仿宋_GB2312"/>
          <w:color w:val="auto"/>
          <w:kern w:val="2"/>
          <w:sz w:val="32"/>
          <w:szCs w:val="32"/>
          <w:highlight w:val="none"/>
          <w:lang w:val="zh-CN" w:eastAsia="zh-CN" w:bidi="ar-SA"/>
        </w:rPr>
        <w:t>改善了</w:t>
      </w:r>
      <w:r>
        <w:rPr>
          <w:rFonts w:hint="eastAsia" w:eastAsia="仿宋_GB2312" w:cs="仿宋_GB2312"/>
          <w:color w:val="auto"/>
          <w:kern w:val="2"/>
          <w:sz w:val="32"/>
          <w:szCs w:val="32"/>
          <w:highlight w:val="none"/>
          <w:lang w:val="en-US" w:eastAsia="zh-CN" w:bidi="ar-SA"/>
        </w:rPr>
        <w:t>幼儿园</w:t>
      </w:r>
      <w:r>
        <w:rPr>
          <w:rFonts w:hint="eastAsia" w:eastAsia="仿宋_GB2312" w:cs="仿宋_GB2312"/>
          <w:color w:val="auto"/>
          <w:kern w:val="2"/>
          <w:sz w:val="32"/>
          <w:szCs w:val="32"/>
          <w:highlight w:val="none"/>
          <w:lang w:val="zh-CN" w:eastAsia="zh-CN" w:bidi="ar-SA"/>
        </w:rPr>
        <w:t>办学条件</w:t>
      </w:r>
      <w:r>
        <w:rPr>
          <w:rFonts w:hint="eastAsia" w:eastAsia="仿宋_GB2312" w:cs="仿宋_GB2312"/>
          <w:color w:val="auto"/>
          <w:kern w:val="2"/>
          <w:sz w:val="32"/>
          <w:szCs w:val="32"/>
          <w:highlight w:val="none"/>
          <w:lang w:val="en-US" w:eastAsia="zh-CN" w:bidi="ar-SA"/>
        </w:rPr>
        <w:t>。绩效自评报告详见附件。</w:t>
      </w:r>
    </w:p>
    <w:p w14:paraId="78B43A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BB210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4736151D">
      <w:pPr>
        <w:spacing w:line="600" w:lineRule="exact"/>
        <w:jc w:val="left"/>
        <w:rPr>
          <w:rFonts w:ascii="Times New Roman" w:hAnsi="Times New Roman"/>
          <w:b/>
          <w:color w:val="auto"/>
          <w:sz w:val="44"/>
          <w:szCs w:val="44"/>
          <w:highlight w:val="none"/>
        </w:rPr>
      </w:pPr>
    </w:p>
    <w:p w14:paraId="362479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440271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2.其他收入：指单位取得的除上述收入以外的各项收入。主要是</w:t>
      </w:r>
      <w:r>
        <w:rPr>
          <w:rFonts w:hint="eastAsia" w:ascii="仿宋_GB2312" w:eastAsia="仿宋_GB2312"/>
          <w:color w:val="auto"/>
          <w:sz w:val="32"/>
          <w:szCs w:val="32"/>
        </w:rPr>
        <w:t>利息收入、除财政外其他相关单位拨款</w:t>
      </w:r>
      <w:r>
        <w:rPr>
          <w:rFonts w:hint="eastAsia" w:ascii="仿宋_GB2312" w:eastAsia="仿宋_GB2312"/>
          <w:color w:val="auto"/>
          <w:sz w:val="32"/>
          <w:szCs w:val="32"/>
          <w:lang w:val="en-US" w:eastAsia="zh-CN"/>
        </w:rPr>
        <w:t>等。</w:t>
      </w:r>
    </w:p>
    <w:p w14:paraId="729745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3.使用非财政拨款结余（含专用结余）：指事业单位使用以前年度积累的非财政拨款结余弥补当年收支差额的金额。 </w:t>
      </w:r>
    </w:p>
    <w:p w14:paraId="5CF95A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346DB8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32ADD7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2988ED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auto"/>
          <w:sz w:val="32"/>
          <w:szCs w:val="32"/>
          <w:lang w:val="en-US" w:eastAsia="zh-CN"/>
        </w:rPr>
        <w:t>教育（类）普通教育（款）学前教育支出(项）：反映各部门举办的学前教育支出。政府各部门对社会组织等举办的幼儿园资助，如捐赠、补贴等，也在本科目中反映</w:t>
      </w:r>
      <w:r>
        <w:rPr>
          <w:rFonts w:hint="eastAsia" w:ascii="Times New Roman" w:hAnsi="Times New Roman" w:eastAsia="仿宋_GB2312" w:cs="仿宋_GB2312"/>
          <w:color w:val="auto"/>
          <w:kern w:val="2"/>
          <w:sz w:val="32"/>
          <w:szCs w:val="32"/>
          <w:highlight w:val="none"/>
          <w:lang w:val="en-US" w:eastAsia="zh-CN" w:bidi="ar-SA"/>
        </w:rPr>
        <w:t>。</w:t>
      </w:r>
    </w:p>
    <w:p w14:paraId="08F056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w:t>
      </w:r>
      <w:r>
        <w:rPr>
          <w:rFonts w:hint="eastAsia" w:ascii="仿宋_GB2312" w:eastAsia="仿宋_GB2312" w:cs="仿宋_GB2312"/>
          <w:sz w:val="32"/>
          <w:szCs w:val="32"/>
        </w:rPr>
        <w:t>教育（类）教育附加安排的支出（款）其他教育附加安排的支出（项）</w:t>
      </w:r>
      <w:r>
        <w:rPr>
          <w:rFonts w:ascii="仿宋_GB2312" w:eastAsia="仿宋_GB2312" w:cs="仿宋_GB2312"/>
          <w:sz w:val="32"/>
          <w:szCs w:val="32"/>
        </w:rPr>
        <w:t>:</w:t>
      </w:r>
      <w:r>
        <w:rPr>
          <w:rFonts w:hint="eastAsia" w:ascii="仿宋_GB2312" w:eastAsia="仿宋_GB2312" w:cs="仿宋_GB2312"/>
          <w:sz w:val="32"/>
          <w:szCs w:val="32"/>
        </w:rPr>
        <w:t>反映除农村中小学校舍建设、农村中小学教学设施、城市中小学校舍建设、城市中小学教学设施、中等职业学校教学设施以外的教育费附加支出</w:t>
      </w:r>
      <w:r>
        <w:rPr>
          <w:rFonts w:hint="eastAsia" w:ascii="Times New Roman" w:hAnsi="Times New Roman" w:eastAsia="仿宋_GB2312" w:cs="仿宋_GB2312"/>
          <w:color w:val="auto"/>
          <w:kern w:val="2"/>
          <w:sz w:val="32"/>
          <w:szCs w:val="32"/>
          <w:highlight w:val="none"/>
          <w:lang w:val="en-US" w:eastAsia="zh-CN" w:bidi="ar-SA"/>
        </w:rPr>
        <w:t xml:space="preserve">。 </w:t>
      </w:r>
    </w:p>
    <w:p w14:paraId="52F8EC83">
      <w:pPr>
        <w:pStyle w:val="26"/>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9</w:t>
      </w:r>
      <w:r>
        <w:rPr>
          <w:rFonts w:ascii="仿宋_GB2312" w:eastAsia="仿宋_GB2312"/>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社会保障和就业支出（类）人力资源和社会保障管理事务（款）其他人力资源和社会保障管理事务支出（项）：</w:t>
      </w:r>
      <w:r>
        <w:rPr>
          <w:rFonts w:hint="eastAsia" w:ascii="仿宋_GB2312" w:eastAsia="仿宋_GB2312" w:cs="仿宋_GB2312"/>
          <w:sz w:val="32"/>
          <w:szCs w:val="32"/>
        </w:rPr>
        <w:t>反映</w:t>
      </w:r>
      <w:r>
        <w:rPr>
          <w:rFonts w:hint="eastAsia" w:ascii="仿宋_GB2312" w:eastAsia="仿宋_GB2312" w:cs="仿宋_GB2312"/>
          <w:sz w:val="32"/>
          <w:szCs w:val="32"/>
          <w:lang w:val="en-US" w:eastAsia="zh-CN"/>
        </w:rPr>
        <w:t>除行政运行、一般行政管理事务、机关服务、综合业务管理、劳动保障监察、就业管理事务、社会保险业务管理事务、信息化建设、社会保险经办机构、劳动关系和维权、公共就业服务和职业技能鉴定机构、劳动人事争议调解仲裁、政府特殊津贴、资助留学回国人员、博士后日常经费、引进人才费用、事业运行以外的其他用于人力资源和社会保障管理事务方面的支出。</w:t>
      </w:r>
    </w:p>
    <w:p w14:paraId="7202BD7A">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10</w:t>
      </w:r>
      <w:r>
        <w:rPr>
          <w:rFonts w:ascii="仿宋_GB2312" w:eastAsia="仿宋_GB2312"/>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社会保障和就业支出（类）行政事业单位养老支出（款）事业单位离退休（项）：反映事业单位</w:t>
      </w:r>
      <w:r>
        <w:rPr>
          <w:rFonts w:hint="eastAsia" w:ascii="仿宋_GB2312" w:eastAsia="仿宋_GB2312" w:cs="仿宋"/>
          <w:color w:val="auto"/>
          <w:kern w:val="0"/>
          <w:sz w:val="32"/>
          <w:szCs w:val="32"/>
          <w:highlight w:val="none"/>
          <w:lang w:val="en-US" w:eastAsia="zh-CN" w:bidi="ar-SA"/>
        </w:rPr>
        <w:t>开支的离退休经费</w:t>
      </w:r>
      <w:r>
        <w:rPr>
          <w:rFonts w:hint="eastAsia" w:ascii="仿宋_GB2312" w:eastAsia="仿宋_GB2312"/>
          <w:color w:val="auto"/>
          <w:sz w:val="32"/>
          <w:szCs w:val="32"/>
          <w:highlight w:val="none"/>
        </w:rPr>
        <w:t>。</w:t>
      </w:r>
    </w:p>
    <w:p w14:paraId="428F22D8">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s="仿宋"/>
          <w:color w:val="auto"/>
          <w:kern w:val="0"/>
          <w:sz w:val="32"/>
          <w:szCs w:val="32"/>
          <w:highlight w:val="none"/>
          <w:lang w:val="en-US" w:eastAsia="zh-CN" w:bidi="ar-SA"/>
        </w:rPr>
        <w:t>11.</w:t>
      </w:r>
      <w:r>
        <w:rPr>
          <w:rFonts w:hint="eastAsia" w:ascii="仿宋_GB2312" w:hAnsi="Calibri" w:eastAsia="仿宋_GB2312" w:cs="仿宋"/>
          <w:color w:val="auto"/>
          <w:kern w:val="0"/>
          <w:sz w:val="32"/>
          <w:szCs w:val="32"/>
          <w:highlight w:val="none"/>
          <w:lang w:val="en-US" w:eastAsia="zh-CN" w:bidi="ar-SA"/>
        </w:rPr>
        <w:t>社会保障和就业支出（类）行政事业单位养老支出（款）机关事业单位基本养老保险缴费支出（项）：反映事业单位</w:t>
      </w:r>
      <w:r>
        <w:rPr>
          <w:rFonts w:hint="eastAsia" w:ascii="仿宋_GB2312" w:eastAsia="仿宋_GB2312" w:cs="仿宋"/>
          <w:color w:val="auto"/>
          <w:kern w:val="0"/>
          <w:sz w:val="32"/>
          <w:szCs w:val="32"/>
          <w:highlight w:val="none"/>
          <w:lang w:val="en-US" w:eastAsia="zh-CN" w:bidi="ar-SA"/>
        </w:rPr>
        <w:t>实施</w:t>
      </w:r>
      <w:r>
        <w:rPr>
          <w:rFonts w:hint="eastAsia" w:ascii="仿宋_GB2312" w:hAnsi="Calibri" w:eastAsia="仿宋_GB2312" w:cs="仿宋"/>
          <w:color w:val="auto"/>
          <w:kern w:val="0"/>
          <w:sz w:val="32"/>
          <w:szCs w:val="32"/>
          <w:highlight w:val="none"/>
          <w:lang w:val="en-US" w:eastAsia="zh-CN" w:bidi="ar-SA"/>
        </w:rPr>
        <w:t>养老保险制度由单位实际缴纳的基本养老保险费支出</w:t>
      </w:r>
      <w:r>
        <w:rPr>
          <w:rFonts w:hint="eastAsia" w:ascii="仿宋_GB2312" w:eastAsia="仿宋_GB2312"/>
          <w:color w:val="auto"/>
          <w:sz w:val="32"/>
          <w:szCs w:val="32"/>
          <w:highlight w:val="none"/>
        </w:rPr>
        <w:t>。</w:t>
      </w:r>
    </w:p>
    <w:p w14:paraId="1A1BDFE4">
      <w:pPr>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社会保障和就业支出（类）行政事业单位养老支出（款）机关事业单位职业年金缴费支出（项）：反映事业单位</w:t>
      </w:r>
      <w:r>
        <w:rPr>
          <w:rFonts w:hint="eastAsia" w:ascii="仿宋_GB2312" w:eastAsia="仿宋_GB2312" w:cs="仿宋"/>
          <w:color w:val="auto"/>
          <w:kern w:val="0"/>
          <w:sz w:val="32"/>
          <w:szCs w:val="32"/>
          <w:highlight w:val="none"/>
          <w:lang w:val="en-US" w:eastAsia="zh-CN" w:bidi="ar-SA"/>
        </w:rPr>
        <w:t>实施</w:t>
      </w:r>
      <w:r>
        <w:rPr>
          <w:rFonts w:hint="eastAsia" w:ascii="仿宋_GB2312" w:hAnsi="Calibri" w:eastAsia="仿宋_GB2312" w:cs="仿宋"/>
          <w:color w:val="auto"/>
          <w:kern w:val="0"/>
          <w:sz w:val="32"/>
          <w:szCs w:val="32"/>
          <w:highlight w:val="none"/>
          <w:lang w:val="en-US" w:eastAsia="zh-CN" w:bidi="ar-SA"/>
        </w:rPr>
        <w:t>养老保险制度由单位实际缴纳的</w:t>
      </w:r>
      <w:r>
        <w:rPr>
          <w:rFonts w:hint="eastAsia" w:ascii="仿宋_GB2312" w:eastAsia="仿宋_GB2312" w:cs="仿宋"/>
          <w:color w:val="auto"/>
          <w:kern w:val="0"/>
          <w:sz w:val="32"/>
          <w:szCs w:val="32"/>
          <w:highlight w:val="none"/>
          <w:lang w:val="en-US" w:eastAsia="zh-CN" w:bidi="ar-SA"/>
        </w:rPr>
        <w:t>职业年金</w:t>
      </w:r>
      <w:r>
        <w:rPr>
          <w:rFonts w:hint="eastAsia" w:ascii="仿宋_GB2312" w:hAnsi="Calibri" w:eastAsia="仿宋_GB2312" w:cs="仿宋"/>
          <w:color w:val="auto"/>
          <w:kern w:val="0"/>
          <w:sz w:val="32"/>
          <w:szCs w:val="32"/>
          <w:highlight w:val="none"/>
          <w:lang w:val="en-US" w:eastAsia="zh-CN" w:bidi="ar-SA"/>
        </w:rPr>
        <w:t>支出</w:t>
      </w:r>
      <w:r>
        <w:rPr>
          <w:rFonts w:hint="eastAsia" w:ascii="仿宋_GB2312" w:eastAsia="仿宋_GB2312"/>
          <w:color w:val="auto"/>
          <w:sz w:val="32"/>
          <w:szCs w:val="32"/>
          <w:highlight w:val="none"/>
        </w:rPr>
        <w:t>。</w:t>
      </w:r>
    </w:p>
    <w:p w14:paraId="636E8B69">
      <w:pPr>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13.卫生健康支出（类）卫生健康管理事务（款）其他卫生健康管理事务支出（项）：反映除行政运行、一般行政管理事务、机关服务以外的其他用于卫生健康管理事务方面的支出。</w:t>
      </w:r>
    </w:p>
    <w:p w14:paraId="57327BEA">
      <w:pPr>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14.卫生健康支出（类）行政事业单位医疗（款）事业单位医疗（项）：反映财政部门安排的事业单位基本医疗保险缴费经费，未参加医疗保险的事业单位的公费医疗经费，按国家规定享受离休人员待遇的医疗经费。</w:t>
      </w:r>
    </w:p>
    <w:p w14:paraId="6D3AE152">
      <w:pPr>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15.卫生健康支出（类）行政事业单位医疗（款）公务员医疗补助（项）：反映财政部门安排的公务员医疗补助经费。</w:t>
      </w:r>
    </w:p>
    <w:p w14:paraId="2C4F37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住房保障支出（类）住房改革支出（款）住房公积金（项）：反映行政事业单位按人力资源和社会保障部、财政部规定的基本工资和津贴补贴以及规定比例为职工缴纳的住房公积金。</w:t>
      </w:r>
    </w:p>
    <w:p w14:paraId="3C43DF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7.基本支出：指为保障机构正常运转、完成日常工作任务而发生的人员支出和公用支出。</w:t>
      </w:r>
    </w:p>
    <w:p w14:paraId="31426D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 xml:space="preserve">8.项目支出：指在基本支出之外为完成特定行政任务和事业发展目标所发生的支出。 </w:t>
      </w:r>
    </w:p>
    <w:p w14:paraId="2E43C19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9.</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D2E9D3E">
      <w:pPr>
        <w:spacing w:line="600" w:lineRule="exact"/>
        <w:jc w:val="center"/>
        <w:rPr>
          <w:rStyle w:val="28"/>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5978749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部门预算项目支出绩效自评表（2025年度）见附件</w:t>
      </w:r>
      <w:r>
        <w:rPr>
          <w:rFonts w:hint="eastAsia" w:eastAsia="仿宋_GB2312" w:cs="仿宋_GB2312"/>
          <w:color w:val="auto"/>
          <w:kern w:val="2"/>
          <w:sz w:val="32"/>
          <w:szCs w:val="32"/>
          <w:highlight w:val="none"/>
          <w:lang w:val="en-US" w:eastAsia="zh-CN" w:bidi="ar-SA"/>
        </w:rPr>
        <w:t>1</w:t>
      </w:r>
    </w:p>
    <w:p w14:paraId="2BC924E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7A7BD1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342F2E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3"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069D8243">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1"/>
      <w:bookmarkEnd w:id="53"/>
      <w:bookmarkStart w:id="54" w:name="_Toc15396619"/>
    </w:p>
    <w:p w14:paraId="202102E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32CE3A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7DCA8F0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5402E01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08F339A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769ADEB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3B514EC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6C28F15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18BB8B5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1E044DD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109005A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7D6D1AD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84AB2C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73C1F85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71216ADF">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29E02">
    <w:pPr>
      <w:pStyle w:val="11"/>
      <w:jc w:val="center"/>
    </w:pPr>
  </w:p>
  <w:p w14:paraId="6ABDBA7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0DCCE">
    <w:pPr>
      <w:pStyle w:val="11"/>
      <w:jc w:val="center"/>
    </w:pPr>
  </w:p>
  <w:p w14:paraId="4FC15328">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8C284">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E2569">
    <w:pPr>
      <w:pStyle w:val="11"/>
      <w:jc w:val="center"/>
    </w:pPr>
  </w:p>
  <w:p w14:paraId="371C571D">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31E18">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4C227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64C227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E5EC2">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1CDFA"/>
    <w:multiLevelType w:val="singleLevel"/>
    <w:tmpl w:val="07B1CDF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A13842"/>
    <w:rsid w:val="10C055FF"/>
    <w:rsid w:val="11772AA4"/>
    <w:rsid w:val="118107EC"/>
    <w:rsid w:val="1248664B"/>
    <w:rsid w:val="13957196"/>
    <w:rsid w:val="13D50BC4"/>
    <w:rsid w:val="14022904"/>
    <w:rsid w:val="152F2A07"/>
    <w:rsid w:val="165E0673"/>
    <w:rsid w:val="16BB723D"/>
    <w:rsid w:val="16F13FCB"/>
    <w:rsid w:val="186504BB"/>
    <w:rsid w:val="1938089F"/>
    <w:rsid w:val="19A445FC"/>
    <w:rsid w:val="19F23B69"/>
    <w:rsid w:val="1A5C035F"/>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07AF1"/>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990E39"/>
    <w:rsid w:val="4DBF1CEB"/>
    <w:rsid w:val="4EAB630A"/>
    <w:rsid w:val="4ECE2238"/>
    <w:rsid w:val="4F833267"/>
    <w:rsid w:val="4FE9BD67"/>
    <w:rsid w:val="4FFB052F"/>
    <w:rsid w:val="53083A92"/>
    <w:rsid w:val="537E6D0A"/>
    <w:rsid w:val="53AF27A2"/>
    <w:rsid w:val="53F74C96"/>
    <w:rsid w:val="55D33B20"/>
    <w:rsid w:val="56E47B74"/>
    <w:rsid w:val="57BD3DD4"/>
    <w:rsid w:val="5AF92295"/>
    <w:rsid w:val="5BDD79E6"/>
    <w:rsid w:val="5BF561CA"/>
    <w:rsid w:val="5BFF5DFC"/>
    <w:rsid w:val="5CD71FC4"/>
    <w:rsid w:val="5D1F11B5"/>
    <w:rsid w:val="5DAE1B18"/>
    <w:rsid w:val="5DE7D9E5"/>
    <w:rsid w:val="5ECEC941"/>
    <w:rsid w:val="5F493CB7"/>
    <w:rsid w:val="5FBF9FF3"/>
    <w:rsid w:val="5FC00C27"/>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7F015F"/>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DE1184"/>
    <w:rsid w:val="7CFE0F48"/>
    <w:rsid w:val="7D7EC23E"/>
    <w:rsid w:val="7D916348"/>
    <w:rsid w:val="7E8ADEBF"/>
    <w:rsid w:val="7EEF11D3"/>
    <w:rsid w:val="7F0971A6"/>
    <w:rsid w:val="7F3F679B"/>
    <w:rsid w:val="7F4FC4EF"/>
    <w:rsid w:val="7F5E4D54"/>
    <w:rsid w:val="7F6E0135"/>
    <w:rsid w:val="7FA30C79"/>
    <w:rsid w:val="7FAF8ABF"/>
    <w:rsid w:val="7FB7269E"/>
    <w:rsid w:val="7FC55840"/>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ovo\Desktop\2025&#24180;&#24230;&#37096;&#38376;&#20915;&#31639;&#20844;&#24320;\&#22270;&#22270;202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Lenovo\Desktop\2025&#24180;&#24230;&#37096;&#38376;&#20915;&#31639;&#20844;&#24320;\&#22270;&#22270;202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Lenovo\Desktop\2025&#24180;&#24230;&#37096;&#38376;&#20915;&#31639;&#20844;&#24320;\&#22270;&#22270;2024.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Desktop\2025&#24180;&#24230;&#37096;&#38376;&#20915;&#31639;&#20844;&#24320;\&#22270;&#22270;2024.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Lenovo\Desktop\2025&#24180;&#24230;&#37096;&#38376;&#20915;&#31639;&#20844;&#24320;\&#22270;&#22270;202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Lenovo\Desktop\2025&#24180;&#24230;&#37096;&#38376;&#20915;&#31639;&#20844;&#24320;\&#22270;&#22270;2024.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Lenovo\Desktop\2025&#24180;&#24230;&#37096;&#38376;&#20915;&#31639;&#20844;&#24320;\&#22270;&#2227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收入、支出决算总计变动情况图（单位：万元）</a:t>
            </a:r>
          </a:p>
        </c:rich>
      </c:tx>
      <c:layout>
        <c:manualLayout>
          <c:xMode val="edge"/>
          <c:yMode val="edge"/>
          <c:x val="0.230921052631579"/>
          <c:y val="0.0277777777777778"/>
        </c:manualLayout>
      </c:layout>
      <c:overlay val="0"/>
      <c:spPr>
        <a:noFill/>
        <a:ln>
          <a:noFill/>
        </a:ln>
        <a:effectLst/>
      </c:spPr>
    </c:title>
    <c:autoTitleDeleted val="0"/>
    <c:plotArea>
      <c:layout/>
      <c:barChart>
        <c:barDir val="col"/>
        <c:grouping val="clustered"/>
        <c:varyColors val="0"/>
        <c:ser>
          <c:idx val="0"/>
          <c:order val="0"/>
          <c:tx>
            <c:strRef>
              <c:f>[图图2024.xlsx]Sheet1!$A$13</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[图图2024.xlsx]Sheet1!$B$12:$C$12</c:f>
              <c:strCache>
                <c:ptCount val="2"/>
                <c:pt idx="0">
                  <c:v>收入</c:v>
                </c:pt>
                <c:pt idx="1">
                  <c:v>支出</c:v>
                </c:pt>
              </c:strCache>
            </c:strRef>
          </c:cat>
          <c:val>
            <c:numRef>
              <c:f>[图图2024.xlsx]Sheet1!$B$13:$C$13</c:f>
              <c:numCache>
                <c:formatCode>General</c:formatCode>
                <c:ptCount val="2"/>
                <c:pt idx="0">
                  <c:v>3084.61</c:v>
                </c:pt>
                <c:pt idx="1">
                  <c:v>3084.61</c:v>
                </c:pt>
              </c:numCache>
            </c:numRef>
          </c:val>
        </c:ser>
        <c:ser>
          <c:idx val="1"/>
          <c:order val="1"/>
          <c:tx>
            <c:strRef>
              <c:f>[图图2024.xlsx]Sheet1!$A$14</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[图图2024.xlsx]Sheet1!$B$12:$C$12</c:f>
              <c:strCache>
                <c:ptCount val="2"/>
                <c:pt idx="0">
                  <c:v>收入</c:v>
                </c:pt>
                <c:pt idx="1">
                  <c:v>支出</c:v>
                </c:pt>
              </c:strCache>
            </c:strRef>
          </c:cat>
          <c:val>
            <c:numRef>
              <c:f>[图图2024.xlsx]Sheet1!$B$14:$C$14</c:f>
              <c:numCache>
                <c:formatCode>General</c:formatCode>
                <c:ptCount val="2"/>
                <c:pt idx="0">
                  <c:v>3117.18</c:v>
                </c:pt>
                <c:pt idx="1">
                  <c:v>3117.18</c:v>
                </c:pt>
              </c:numCache>
            </c:numRef>
          </c:val>
        </c:ser>
        <c:dLbls>
          <c:showLegendKey val="0"/>
          <c:showVal val="1"/>
          <c:showCatName val="0"/>
          <c:showSerName val="0"/>
          <c:showPercent val="0"/>
          <c:showBubbleSize val="0"/>
        </c:dLbls>
        <c:gapWidth val="246"/>
        <c:overlap val="-28"/>
        <c:axId val="590671047"/>
        <c:axId val="271978547"/>
      </c:barChart>
      <c:catAx>
        <c:axId val="59067104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1978547"/>
        <c:crosses val="autoZero"/>
        <c:auto val="1"/>
        <c:lblAlgn val="ctr"/>
        <c:lblOffset val="100"/>
        <c:noMultiLvlLbl val="0"/>
      </c:catAx>
      <c:valAx>
        <c:axId val="271978547"/>
        <c:scaling>
          <c:orientation val="minMax"/>
          <c:min val="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6710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d1b8395-0842-4698-9e0a-cb87c9e3074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收入决算结构图（单位：万元）</a:t>
            </a:r>
          </a:p>
        </c:rich>
      </c:tx>
      <c:layout/>
      <c:overlay val="0"/>
      <c:spPr>
        <a:noFill/>
        <a:ln>
          <a:noFill/>
        </a:ln>
        <a:effectLst/>
      </c:spPr>
    </c:title>
    <c:autoTitleDeleted val="0"/>
    <c:plotArea>
      <c:layout/>
      <c:pieChart>
        <c:varyColors val="1"/>
        <c:ser>
          <c:idx val="0"/>
          <c:order val="0"/>
          <c:tx>
            <c:strRef>
              <c:f>[图图2024.xlsx]Sheet1!$A$37</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[图图2024.xlsx]Sheet1!$B$36:$C$36</c:f>
              <c:strCache>
                <c:ptCount val="2"/>
                <c:pt idx="0">
                  <c:v>一般公共预算财政拨款收入</c:v>
                </c:pt>
                <c:pt idx="1">
                  <c:v>政府性基金预算财政拨款收入</c:v>
                </c:pt>
              </c:strCache>
            </c:strRef>
          </c:cat>
          <c:val>
            <c:numRef>
              <c:f>[图图2024.xlsx]Sheet1!$B$37:$C$37</c:f>
              <c:numCache>
                <c:formatCode>General</c:formatCode>
                <c:ptCount val="2"/>
                <c:pt idx="0">
                  <c:v>3096.18</c:v>
                </c:pt>
                <c:pt idx="1">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15736545441854"/>
          <c:y val="0.91840886939571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d6f0eea-c277-4a09-9e99-d9880dff359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[图图2024.xlsx]Sheet1!$A$68</c:f>
              <c:strCache>
                <c:ptCount val="1"/>
                <c:pt idx="0">
                  <c:v>支出决算结构图（单位：万元）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[图图2024.xlsx]Sheet1!$B$67:$C$67</c:f>
              <c:strCache>
                <c:ptCount val="2"/>
                <c:pt idx="0">
                  <c:v>基本支出</c:v>
                </c:pt>
                <c:pt idx="1">
                  <c:v>项目支出</c:v>
                </c:pt>
              </c:strCache>
            </c:strRef>
          </c:cat>
          <c:val>
            <c:numRef>
              <c:f>[图图2024.xlsx]Sheet1!$B$68:$C$68</c:f>
              <c:numCache>
                <c:formatCode>General</c:formatCode>
                <c:ptCount val="2"/>
                <c:pt idx="0">
                  <c:v>2743.86</c:v>
                </c:pt>
                <c:pt idx="1">
                  <c:v>365.87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723815789473684"/>
          <c:y val="0.486574074074074"/>
          <c:w val="0.217105263157895"/>
          <c:h val="0.23680555555555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e3ac466-4732-4275-b315-cef196ecd05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财政拨款收、支决算总计变动情况（单位：万元）</a:t>
            </a:r>
          </a:p>
        </c:rich>
      </c:tx>
      <c:layout>
        <c:manualLayout>
          <c:xMode val="edge"/>
          <c:yMode val="edge"/>
          <c:x val="0.172590757334459"/>
          <c:y val="0.0277777777777778"/>
        </c:manualLayout>
      </c:layout>
      <c:overlay val="0"/>
      <c:spPr>
        <a:noFill/>
        <a:ln>
          <a:noFill/>
        </a:ln>
        <a:effectLst/>
      </c:spPr>
    </c:title>
    <c:autoTitleDeleted val="0"/>
    <c:plotArea>
      <c:layout/>
      <c:barChart>
        <c:barDir val="col"/>
        <c:grouping val="clustered"/>
        <c:varyColors val="0"/>
        <c:ser>
          <c:idx val="0"/>
          <c:order val="0"/>
          <c:tx>
            <c:strRef>
              <c:f>[图图2024.xlsx]Sheet1!$A$95</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[图图2024.xlsx]Sheet1!$B$94:$C$94</c:f>
              <c:strCache>
                <c:ptCount val="2"/>
                <c:pt idx="0">
                  <c:v>收入</c:v>
                </c:pt>
                <c:pt idx="1">
                  <c:v>支出</c:v>
                </c:pt>
              </c:strCache>
            </c:strRef>
          </c:cat>
          <c:val>
            <c:numRef>
              <c:f>[图图2024.xlsx]Sheet1!$B$95:$C$95</c:f>
              <c:numCache>
                <c:formatCode>General</c:formatCode>
                <c:ptCount val="2"/>
                <c:pt idx="0">
                  <c:v>3084.61</c:v>
                </c:pt>
                <c:pt idx="1">
                  <c:v>3084.61</c:v>
                </c:pt>
              </c:numCache>
            </c:numRef>
          </c:val>
        </c:ser>
        <c:ser>
          <c:idx val="1"/>
          <c:order val="1"/>
          <c:tx>
            <c:strRef>
              <c:f>[图图2024.xlsx]Sheet1!$A$96</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[图图2024.xlsx]Sheet1!$B$94:$C$94</c:f>
              <c:strCache>
                <c:ptCount val="2"/>
                <c:pt idx="0">
                  <c:v>收入</c:v>
                </c:pt>
                <c:pt idx="1">
                  <c:v>支出</c:v>
                </c:pt>
              </c:strCache>
            </c:strRef>
          </c:cat>
          <c:val>
            <c:numRef>
              <c:f>[图图2024.xlsx]Sheet1!$B$96:$C$96</c:f>
              <c:numCache>
                <c:formatCode>General</c:formatCode>
                <c:ptCount val="2"/>
                <c:pt idx="0">
                  <c:v>3097.18</c:v>
                </c:pt>
                <c:pt idx="1">
                  <c:v>3097.18</c:v>
                </c:pt>
              </c:numCache>
            </c:numRef>
          </c:val>
        </c:ser>
        <c:dLbls>
          <c:showLegendKey val="0"/>
          <c:showVal val="1"/>
          <c:showCatName val="0"/>
          <c:showSerName val="0"/>
          <c:showPercent val="0"/>
          <c:showBubbleSize val="0"/>
        </c:dLbls>
        <c:gapWidth val="246"/>
        <c:overlap val="-28"/>
        <c:axId val="590671047"/>
        <c:axId val="271978547"/>
      </c:barChart>
      <c:catAx>
        <c:axId val="59067104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1978547"/>
        <c:crosses val="autoZero"/>
        <c:auto val="1"/>
        <c:lblAlgn val="ctr"/>
        <c:lblOffset val="100"/>
        <c:noMultiLvlLbl val="0"/>
      </c:catAx>
      <c:valAx>
        <c:axId val="271978547"/>
        <c:scaling>
          <c:orientation val="minMax"/>
          <c:min val="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6710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d42b168-85be-426d-84a2-d4581a4c8ce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80" b="1" i="0" u="none" strike="noStrike" kern="1200" baseline="0">
                <a:solidFill>
                  <a:schemeClr val="tx1">
                    <a:lumMod val="75000"/>
                    <a:lumOff val="25000"/>
                  </a:schemeClr>
                </a:solidFill>
                <a:latin typeface="+mn-lt"/>
                <a:ea typeface="+mn-ea"/>
                <a:cs typeface="+mn-cs"/>
              </a:defRPr>
            </a:pPr>
            <a:r>
              <a:rPr sz="1080"/>
              <a:t>一般公共预算财政拨款支出决算变动情况（单位：万元）</a:t>
            </a:r>
            <a:endParaRPr sz="1080"/>
          </a:p>
        </c:rich>
      </c:tx>
      <c:layout>
        <c:manualLayout>
          <c:xMode val="edge"/>
          <c:yMode val="edge"/>
          <c:x val="0.143425609685899"/>
          <c:y val="0.0380517503805175"/>
        </c:manualLayout>
      </c:layout>
      <c:overlay val="0"/>
      <c:spPr>
        <a:noFill/>
        <a:ln>
          <a:noFill/>
        </a:ln>
        <a:effectLst/>
      </c:spPr>
    </c:title>
    <c:autoTitleDeleted val="0"/>
    <c:plotArea>
      <c:layout/>
      <c:barChart>
        <c:barDir val="col"/>
        <c:grouping val="clustered"/>
        <c:varyColors val="0"/>
        <c:ser>
          <c:idx val="0"/>
          <c:order val="0"/>
          <c:tx>
            <c:strRef>
              <c:f>[图图2024.xlsx]Sheet1!$A$122</c:f>
              <c:strCache>
                <c:ptCount val="1"/>
                <c:pt idx="0">
                  <c:v>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[图图2024.xlsx]Sheet1!$B$121:$C$121</c:f>
              <c:strCache>
                <c:ptCount val="2"/>
                <c:pt idx="0">
                  <c:v>2024年</c:v>
                </c:pt>
                <c:pt idx="1">
                  <c:v>2025年</c:v>
                </c:pt>
              </c:strCache>
            </c:strRef>
          </c:cat>
          <c:val>
            <c:numRef>
              <c:f>[图图2024.xlsx]Sheet1!$B$122:$C$122</c:f>
              <c:numCache>
                <c:formatCode>General</c:formatCode>
                <c:ptCount val="2"/>
                <c:pt idx="0">
                  <c:v>3084.61</c:v>
                </c:pt>
                <c:pt idx="1">
                  <c:v>3096.18</c:v>
                </c:pt>
              </c:numCache>
            </c:numRef>
          </c:val>
        </c:ser>
        <c:dLbls>
          <c:showLegendKey val="0"/>
          <c:showVal val="1"/>
          <c:showCatName val="0"/>
          <c:showSerName val="0"/>
          <c:showPercent val="0"/>
          <c:showBubbleSize val="0"/>
        </c:dLbls>
        <c:gapWidth val="246"/>
        <c:overlap val="-28"/>
        <c:axId val="590671047"/>
        <c:axId val="271978547"/>
      </c:barChart>
      <c:catAx>
        <c:axId val="59067104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1978547"/>
        <c:crosses val="autoZero"/>
        <c:auto val="1"/>
        <c:lblAlgn val="ctr"/>
        <c:lblOffset val="100"/>
        <c:noMultiLvlLbl val="0"/>
      </c:catAx>
      <c:valAx>
        <c:axId val="271978547"/>
        <c:scaling>
          <c:orientation val="minMax"/>
          <c:min val="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671047"/>
        <c:crosses val="autoZero"/>
        <c:crossBetween val="between"/>
      </c:valAx>
      <c:spPr>
        <a:noFill/>
        <a:ln>
          <a:noFill/>
        </a:ln>
        <a:effectLst/>
      </c:spPr>
    </c:plotArea>
    <c:plotVisOnly val="1"/>
    <c:dispBlanksAs val="gap"/>
    <c:showDLblsOverMax val="0"/>
    <c:extLst>
      <c:ext uri="{0b15fc19-7d7d-44ad-8c2d-2c3a37ce22c3}">
        <chartProps xmlns="https://web.wps.cn/et/2018/main" chartId="{6d42b168-85be-426d-84a2-d4581a4c8ce2}"/>
      </c:ext>
    </c:extLst>
  </c:chart>
  <c:spPr>
    <a:solidFill>
      <a:schemeClr val="bg1"/>
    </a:solidFill>
    <a:ln w="9525" cap="flat" cmpd="sng" algn="ctr">
      <a:solidFill>
        <a:schemeClr val="tx1">
          <a:lumMod val="15000"/>
          <a:lumOff val="85000"/>
        </a:schemeClr>
      </a:solidFill>
      <a:round/>
    </a:ln>
    <a:effectLst/>
  </c:spPr>
  <c:txPr>
    <a:bodyPr/>
    <a:lstStyle/>
    <a:p>
      <a:pPr>
        <a:defRPr lang="zh-CN" sz="900"/>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一般公共预算财政拨款支出决算结构（单位：万元）</a:t>
            </a:r>
          </a:p>
        </c:rich>
      </c:tx>
      <c:layout/>
      <c:overlay val="0"/>
      <c:spPr>
        <a:noFill/>
        <a:ln>
          <a:noFill/>
        </a:ln>
        <a:effectLst/>
      </c:spPr>
    </c:title>
    <c:autoTitleDeleted val="0"/>
    <c:plotArea>
      <c:layout/>
      <c:pieChart>
        <c:varyColors val="1"/>
        <c:ser>
          <c:idx val="0"/>
          <c:order val="0"/>
          <c:tx>
            <c:strRef>
              <c:f>[图图2024.xlsx]Sheet1!$B$147</c:f>
              <c:strCache>
                <c:ptCount val="1"/>
                <c:pt idx="0">
                  <c:v>金额</c:v>
                </c:pt>
              </c:strCache>
            </c:strRef>
          </c:tx>
          <c:spPr/>
          <c:explosion val="0"/>
          <c:dPt>
            <c:idx val="0"/>
            <c:bubble3D val="0"/>
            <c:explosion val="1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1"/>
              <c:layout/>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2"/>
              <c:layout/>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3"/>
              <c:layout/>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cap="flat" cmpd="sng" algn="ctr">
                      <a:solidFill>
                        <a:schemeClr val="tx1">
                          <a:lumMod val="35000"/>
                          <a:lumOff val="65000"/>
                        </a:schemeClr>
                      </a:solidFill>
                      <a:round/>
                    </a:ln>
                    <a:effectLst/>
                  </c:spPr>
                </c15:leaderLines>
              </c:ext>
            </c:extLst>
          </c:dLbls>
          <c:cat>
            <c:strRef>
              <c:f>[图图2024.xlsx]Sheet1!$A$148:$A$151</c:f>
              <c:strCache>
                <c:ptCount val="4"/>
                <c:pt idx="0">
                  <c:v>教育支出</c:v>
                </c:pt>
                <c:pt idx="1">
                  <c:v>社会保障和就业支出</c:v>
                </c:pt>
                <c:pt idx="2">
                  <c:v>卫生健康支出</c:v>
                </c:pt>
                <c:pt idx="3">
                  <c:v>住房保障支出</c:v>
                </c:pt>
              </c:strCache>
            </c:strRef>
          </c:cat>
          <c:val>
            <c:numRef>
              <c:f>[图图2024.xlsx]Sheet1!$B$148:$B$151</c:f>
              <c:numCache>
                <c:formatCode>#,##0.00</c:formatCode>
                <c:ptCount val="4"/>
                <c:pt idx="0">
                  <c:v>2303.59</c:v>
                </c:pt>
                <c:pt idx="1">
                  <c:v>438.16</c:v>
                </c:pt>
                <c:pt idx="2">
                  <c:v>164.39</c:v>
                </c:pt>
                <c:pt idx="3">
                  <c:v>190.03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673797437756829"/>
          <c:y val="0.425289919714541"/>
          <c:w val="0.320884699057288"/>
          <c:h val="0.36083853702051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ee8c5c-e83d-435a-ac20-f2db8362656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“三公”经费财政拨款支出结构（单位：万元）</a:t>
            </a:r>
          </a:p>
        </c:rich>
      </c:tx>
      <c:layout/>
      <c:overlay val="0"/>
      <c:spPr>
        <a:noFill/>
        <a:ln>
          <a:noFill/>
        </a:ln>
        <a:effectLst/>
      </c:spPr>
    </c:title>
    <c:autoTitleDeleted val="0"/>
    <c:plotArea>
      <c:layout/>
      <c:pieChart>
        <c:varyColors val="1"/>
        <c:ser>
          <c:idx val="0"/>
          <c:order val="0"/>
          <c:tx>
            <c:strRef>
              <c:f>[图图2024.xlsx]Sheet1!$B$178</c:f>
              <c:strCache>
                <c:ptCount val="1"/>
                <c:pt idx="0">
                  <c:v>金额</c:v>
                </c:pt>
              </c:strCache>
            </c:strRef>
          </c:tx>
          <c:spPr/>
          <c:explosion val="0"/>
          <c:dPt>
            <c:idx val="0"/>
            <c:bubble3D val="0"/>
            <c:explosion val="1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1"/>
              <c:layout/>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0453226976069616"/>
                  <c:y val="-0.00669045495093666"/>
                </c:manualLayout>
              </c:layout>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cap="flat" cmpd="sng" algn="ctr">
                      <a:solidFill>
                        <a:schemeClr val="tx1">
                          <a:lumMod val="35000"/>
                          <a:lumOff val="65000"/>
                        </a:schemeClr>
                      </a:solidFill>
                      <a:round/>
                    </a:ln>
                    <a:effectLst/>
                  </c:spPr>
                </c15:leaderLines>
              </c:ext>
            </c:extLst>
          </c:dLbls>
          <c:cat>
            <c:strRef>
              <c:f>[图图2024.xlsx]Sheet1!$A$179:$A$181</c:f>
              <c:strCache>
                <c:ptCount val="3"/>
                <c:pt idx="0">
                  <c:v>因公出国（境）费</c:v>
                </c:pt>
                <c:pt idx="1">
                  <c:v>公务用车购置及运行维护费</c:v>
                </c:pt>
                <c:pt idx="2">
                  <c:v>公务接待费</c:v>
                </c:pt>
              </c:strCache>
            </c:strRef>
          </c:cat>
          <c:val>
            <c:numRef>
              <c:f>[图图2024.xlsx]Sheet1!$B$179:$B$181</c:f>
              <c:numCache>
                <c:formatCode>General</c:formatCode>
                <c:ptCount val="3"/>
                <c:pt idx="0">
                  <c:v>0</c:v>
                </c:pt>
                <c:pt idx="1">
                  <c:v>1.09</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673797437756829"/>
          <c:y val="0.425289919714541"/>
          <c:w val="0.320884699057288"/>
          <c:h val="0.36083853702051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0c29435-6da5-4065-ae23-28ecf8b1b0d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6136</Words>
  <Characters>6610</Characters>
  <Lines>61</Lines>
  <Paragraphs>17</Paragraphs>
  <TotalTime>0</TotalTime>
  <ScaleCrop>false</ScaleCrop>
  <LinksUpToDate>false</LinksUpToDate>
  <CharactersWithSpaces>6663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小火柴</cp:lastModifiedBy>
  <cp:lastPrinted>2026-08-03T09:27:00Z</cp:lastPrinted>
  <dcterms:modified xsi:type="dcterms:W3CDTF">2026-09-02T09:19:17Z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eyJoZGlkIjoiY2I3NjE3OTZhNjZlN2I1NDgzZGU4MGI0NTUwMTQ2ZmEiLCJ1c2VySWQiOiI0MjI4MDQ1NDkifQ==</vt:lpwstr>
  </property>
</Properties>
</file>