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E1467">
      <w:pPr>
        <w:pStyle w:val="6"/>
        <w:spacing w:before="93"/>
        <w:rPr>
          <w:rFonts w:ascii="黑体" w:hAnsi="黑体" w:eastAsia="黑体" w:cs="黑体"/>
          <w:kern w:val="2"/>
          <w:sz w:val="32"/>
          <w:szCs w:val="32"/>
        </w:rPr>
      </w:pPr>
      <w:bookmarkStart w:id="0" w:name="_Toc15378441"/>
      <w:bookmarkStart w:id="1" w:name="_Toc15396475"/>
      <w:bookmarkStart w:id="2" w:name="_Toc15377193"/>
      <w:bookmarkStart w:id="3" w:name="_Toc15396597"/>
      <w:bookmarkStart w:id="4" w:name="_Toc15377425"/>
      <w:bookmarkStart w:id="5" w:name="_Toc15306267"/>
    </w:p>
    <w:p w14:paraId="7B65892E">
      <w:pPr>
        <w:pStyle w:val="6"/>
        <w:spacing w:before="93"/>
        <w:rPr>
          <w:rFonts w:ascii="Times New Roman" w:eastAsia="方正小标宋简体"/>
          <w:kern w:val="2"/>
          <w:sz w:val="72"/>
          <w:szCs w:val="72"/>
        </w:rPr>
      </w:pPr>
    </w:p>
    <w:p w14:paraId="3AA55069">
      <w:pPr>
        <w:pStyle w:val="6"/>
        <w:spacing w:before="93"/>
        <w:rPr>
          <w:rFonts w:ascii="Times New Roman" w:eastAsia="方正小标宋简体"/>
          <w:kern w:val="2"/>
          <w:sz w:val="72"/>
          <w:szCs w:val="72"/>
        </w:rPr>
      </w:pPr>
    </w:p>
    <w:p w14:paraId="7493868C">
      <w:pPr>
        <w:pStyle w:val="6"/>
        <w:spacing w:before="93"/>
        <w:rPr>
          <w:rFonts w:ascii="Times New Roman" w:eastAsia="方正小标宋简体"/>
          <w:kern w:val="2"/>
          <w:sz w:val="72"/>
          <w:szCs w:val="72"/>
        </w:rPr>
      </w:pPr>
    </w:p>
    <w:p w14:paraId="740D7224">
      <w:pPr>
        <w:pStyle w:val="6"/>
        <w:spacing w:before="93"/>
        <w:rPr>
          <w:rFonts w:ascii="Times New Roman" w:eastAsia="方正小标宋简体"/>
          <w:kern w:val="2"/>
          <w:sz w:val="72"/>
          <w:szCs w:val="72"/>
        </w:rPr>
      </w:pPr>
    </w:p>
    <w:p w14:paraId="1EE352E4">
      <w:pPr>
        <w:pStyle w:val="6"/>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2025年度省级部门（单位）决算</w:t>
      </w:r>
    </w:p>
    <w:p w14:paraId="7DAA2969">
      <w:pPr>
        <w:pStyle w:val="6"/>
        <w:spacing w:before="93"/>
        <w:jc w:val="center"/>
        <w:rPr>
          <w:rFonts w:ascii="Times New Roman" w:eastAsia="方正小标宋简体"/>
          <w:kern w:val="2"/>
          <w:sz w:val="44"/>
          <w:szCs w:val="44"/>
        </w:rPr>
      </w:pPr>
      <w:r>
        <w:rPr>
          <w:rFonts w:hint="eastAsia" w:ascii="Times New Roman" w:eastAsia="方正小标宋简体"/>
          <w:kern w:val="2"/>
          <w:sz w:val="44"/>
          <w:szCs w:val="44"/>
        </w:rPr>
        <w:t>公开文字说明范本及样表</w:t>
      </w:r>
    </w:p>
    <w:p w14:paraId="125BB8B2">
      <w:pPr>
        <w:spacing w:line="600" w:lineRule="exact"/>
        <w:jc w:val="center"/>
        <w:outlineLvl w:val="0"/>
        <w:rPr>
          <w:rFonts w:eastAsia="方正小标宋简体"/>
          <w:sz w:val="72"/>
          <w:szCs w:val="72"/>
        </w:rPr>
      </w:pPr>
    </w:p>
    <w:p w14:paraId="45E4B9FF">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BB9DBD8"/>
    <w:p w14:paraId="3DC42E32">
      <w:pPr>
        <w:pStyle w:val="6"/>
        <w:spacing w:before="93"/>
        <w:jc w:val="center"/>
        <w:rPr>
          <w:rFonts w:ascii="Times New Roman" w:eastAsia="方正小标宋简体"/>
          <w:kern w:val="2"/>
          <w:sz w:val="44"/>
          <w:szCs w:val="44"/>
        </w:rPr>
      </w:pPr>
    </w:p>
    <w:p w14:paraId="7CBAB1EC">
      <w:pPr>
        <w:pStyle w:val="6"/>
        <w:spacing w:before="93"/>
        <w:jc w:val="center"/>
        <w:rPr>
          <w:rFonts w:ascii="Times New Roman" w:eastAsia="方正小标宋简体"/>
          <w:kern w:val="2"/>
          <w:sz w:val="44"/>
          <w:szCs w:val="44"/>
        </w:rPr>
      </w:pPr>
    </w:p>
    <w:p w14:paraId="01AADAA0">
      <w:pPr>
        <w:pStyle w:val="6"/>
        <w:spacing w:before="93"/>
        <w:jc w:val="center"/>
        <w:rPr>
          <w:rFonts w:ascii="Times New Roman" w:eastAsia="方正小标宋简体"/>
          <w:kern w:val="2"/>
          <w:sz w:val="44"/>
          <w:szCs w:val="44"/>
        </w:rPr>
      </w:pPr>
    </w:p>
    <w:p w14:paraId="52A5E5D7">
      <w:pPr>
        <w:pStyle w:val="6"/>
        <w:spacing w:before="93"/>
        <w:jc w:val="center"/>
        <w:rPr>
          <w:rFonts w:ascii="Times New Roman" w:eastAsia="方正小标宋简体"/>
          <w:kern w:val="2"/>
          <w:sz w:val="44"/>
          <w:szCs w:val="44"/>
        </w:rPr>
      </w:pPr>
    </w:p>
    <w:bookmarkEnd w:id="0"/>
    <w:bookmarkEnd w:id="1"/>
    <w:bookmarkEnd w:id="2"/>
    <w:bookmarkEnd w:id="3"/>
    <w:bookmarkEnd w:id="4"/>
    <w:p w14:paraId="41727D12">
      <w:pPr>
        <w:pStyle w:val="6"/>
        <w:spacing w:before="93"/>
        <w:jc w:val="center"/>
        <w:rPr>
          <w:rFonts w:ascii="Times New Roman" w:eastAsia="方正小标宋简体"/>
          <w:kern w:val="2"/>
          <w:sz w:val="44"/>
          <w:szCs w:val="44"/>
        </w:rPr>
      </w:pPr>
      <w:bookmarkStart w:id="6" w:name="_Toc15377426"/>
      <w:bookmarkStart w:id="7" w:name="_Toc15396476"/>
      <w:bookmarkStart w:id="8" w:name="_Toc15378442"/>
      <w:bookmarkStart w:id="9" w:name="_Toc15396598"/>
      <w:bookmarkStart w:id="10" w:name="_Toc15377194"/>
      <w:r>
        <w:rPr>
          <w:rFonts w:hint="eastAsia" w:ascii="Times New Roman" w:eastAsia="方正小标宋简体"/>
          <w:kern w:val="2"/>
          <w:sz w:val="44"/>
          <w:szCs w:val="44"/>
        </w:rPr>
        <w:t>2025年度四川省</w:t>
      </w:r>
      <w:bookmarkEnd w:id="5"/>
      <w:bookmarkStart w:id="11" w:name="_Toc15306268"/>
      <w:r>
        <w:rPr>
          <w:rFonts w:hint="eastAsia" w:ascii="Times New Roman" w:eastAsia="方正小标宋简体"/>
          <w:kern w:val="2"/>
          <w:sz w:val="44"/>
          <w:szCs w:val="44"/>
          <w:lang w:eastAsia="zh-CN"/>
        </w:rPr>
        <w:t>攀枝花市学校后勤保障服务中心</w:t>
      </w:r>
      <w:r>
        <w:rPr>
          <w:rFonts w:hint="eastAsia" w:ascii="Times New Roman" w:eastAsia="方正小标宋简体"/>
          <w:kern w:val="2"/>
          <w:sz w:val="44"/>
          <w:szCs w:val="44"/>
        </w:rPr>
        <w:t>部门决算</w:t>
      </w:r>
      <w:bookmarkEnd w:id="6"/>
      <w:bookmarkEnd w:id="7"/>
      <w:bookmarkEnd w:id="8"/>
      <w:bookmarkEnd w:id="9"/>
      <w:bookmarkEnd w:id="10"/>
      <w:bookmarkEnd w:id="11"/>
    </w:p>
    <w:p w14:paraId="2073752F">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14:paraId="04A7DB56">
      <w:pPr>
        <w:widowControl/>
        <w:jc w:val="center"/>
        <w:rPr>
          <w:rFonts w:eastAsia="黑体"/>
          <w:sz w:val="48"/>
          <w:szCs w:val="48"/>
        </w:rPr>
      </w:pPr>
      <w:r>
        <w:rPr>
          <w:rFonts w:hint="eastAsia" w:eastAsia="黑体"/>
          <w:sz w:val="48"/>
          <w:szCs w:val="48"/>
        </w:rPr>
        <w:t>目录</w:t>
      </w:r>
    </w:p>
    <w:p w14:paraId="46727211">
      <w:pPr>
        <w:widowControl/>
        <w:jc w:val="center"/>
        <w:rPr>
          <w:rFonts w:eastAsia="黑体" w:cstheme="minorBidi"/>
          <w:sz w:val="28"/>
          <w:szCs w:val="28"/>
        </w:rPr>
      </w:pPr>
    </w:p>
    <w:p w14:paraId="18C4743A">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 xml:space="preserve"> 日</w:t>
      </w:r>
    </w:p>
    <w:p w14:paraId="2F445610"/>
    <w:p w14:paraId="62A1238C">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7612207D">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..............................................................1</w:t>
      </w:r>
    </w:p>
    <w:p w14:paraId="443A6073">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..............................................................1</w:t>
      </w:r>
    </w:p>
    <w:p w14:paraId="37FD47CF">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03304738">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..............................2</w:t>
      </w:r>
    </w:p>
    <w:p w14:paraId="2EF34BDF">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二、收入决算情况说明</w:t>
      </w:r>
      <w:r>
        <w:rPr>
          <w:rFonts w:hint="eastAsia" w:eastAsia="仿宋_GB2312" w:cs="仿宋_GB2312"/>
          <w:sz w:val="32"/>
          <w:szCs w:val="32"/>
          <w:lang w:val="en-US" w:eastAsia="zh-CN"/>
        </w:rPr>
        <w:t>..............................................3</w:t>
      </w:r>
    </w:p>
    <w:p w14:paraId="77553867">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eastAsia="仿宋_GB2312" w:cs="仿宋_GB2312"/>
          <w:sz w:val="32"/>
          <w:szCs w:val="32"/>
          <w:lang w:val="en-US" w:eastAsia="zh-CN"/>
        </w:rPr>
        <w:t>..............................................3</w:t>
      </w:r>
    </w:p>
    <w:p w14:paraId="10BB28CE">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..............4</w:t>
      </w:r>
    </w:p>
    <w:p w14:paraId="07A85AE0">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......5</w:t>
      </w:r>
    </w:p>
    <w:p w14:paraId="4EA5D4BB">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..8</w:t>
      </w:r>
    </w:p>
    <w:p w14:paraId="02C7974D">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......8</w:t>
      </w:r>
    </w:p>
    <w:p w14:paraId="0FD401E2">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..................10</w:t>
      </w:r>
    </w:p>
    <w:p w14:paraId="381643BB">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..............10</w:t>
      </w:r>
    </w:p>
    <w:p w14:paraId="5DAF3AE7">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..................................10</w:t>
      </w:r>
    </w:p>
    <w:p w14:paraId="0FE49128">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17B41D12">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4C079A95">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0653834B">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一、收入支出决算总表</w:t>
      </w:r>
      <w:r>
        <w:rPr>
          <w:rFonts w:hint="eastAsia" w:eastAsia="仿宋_GB2312" w:cs="仿宋_GB2312"/>
          <w:sz w:val="32"/>
          <w:szCs w:val="32"/>
          <w:lang w:val="en-US" w:eastAsia="zh-CN"/>
        </w:rPr>
        <w:t>.............................................15</w:t>
      </w:r>
    </w:p>
    <w:p w14:paraId="6490A58B">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二、收入决算表</w:t>
      </w:r>
      <w:r>
        <w:rPr>
          <w:rFonts w:hint="eastAsia" w:eastAsia="仿宋_GB2312" w:cs="仿宋_GB2312"/>
          <w:sz w:val="32"/>
          <w:szCs w:val="32"/>
          <w:lang w:val="en-US" w:eastAsia="zh-CN"/>
        </w:rPr>
        <w:t>.........................................................15</w:t>
      </w:r>
    </w:p>
    <w:p w14:paraId="3BE00A83">
      <w:pPr>
        <w:pStyle w:val="15"/>
        <w:adjustRightInd w:val="0"/>
        <w:snapToGrid w:val="0"/>
        <w:spacing w:line="560" w:lineRule="exact"/>
        <w:ind w:firstLine="320" w:firstLineChars="100"/>
        <w:jc w:val="left"/>
        <w:rPr>
          <w:rFonts w:hint="default" w:eastAsia="仿宋_GB2312" w:cs="仿宋_GB2312"/>
          <w:sz w:val="32"/>
          <w:szCs w:val="32"/>
          <w:lang w:val="en-US"/>
        </w:rPr>
      </w:pPr>
      <w:r>
        <w:rPr>
          <w:rFonts w:hint="eastAsia" w:eastAsia="仿宋_GB2312" w:cs="仿宋_GB2312"/>
          <w:sz w:val="32"/>
          <w:szCs w:val="32"/>
          <w:lang w:eastAsia="zh-CN"/>
        </w:rPr>
        <w:t>三</w:t>
      </w:r>
      <w:r>
        <w:rPr>
          <w:rFonts w:hint="eastAsia" w:eastAsia="仿宋_GB2312" w:cs="仿宋_GB2312"/>
          <w:sz w:val="32"/>
          <w:szCs w:val="32"/>
        </w:rPr>
        <w:t>、</w:t>
      </w:r>
      <w:r>
        <w:rPr>
          <w:rFonts w:hint="eastAsia" w:eastAsia="仿宋_GB2312" w:cs="仿宋_GB2312"/>
          <w:sz w:val="32"/>
          <w:szCs w:val="32"/>
          <w:lang w:eastAsia="zh-CN"/>
        </w:rPr>
        <w:t>支出</w:t>
      </w:r>
      <w:r>
        <w:rPr>
          <w:rFonts w:hint="eastAsia" w:eastAsia="仿宋_GB2312" w:cs="仿宋_GB2312"/>
          <w:sz w:val="32"/>
          <w:szCs w:val="32"/>
        </w:rPr>
        <w:t>决算表</w:t>
      </w:r>
      <w:r>
        <w:rPr>
          <w:rFonts w:hint="eastAsia" w:eastAsia="仿宋_GB2312" w:cs="仿宋_GB2312"/>
          <w:sz w:val="32"/>
          <w:szCs w:val="32"/>
          <w:lang w:val="en-US" w:eastAsia="zh-CN"/>
        </w:rPr>
        <w:t>........................................................15</w:t>
      </w:r>
    </w:p>
    <w:p w14:paraId="0ECF1181">
      <w:pPr>
        <w:pStyle w:val="15"/>
        <w:adjustRightInd w:val="0"/>
        <w:snapToGrid w:val="0"/>
        <w:spacing w:line="560" w:lineRule="exact"/>
        <w:ind w:left="0" w:leftChars="0" w:firstLine="640" w:firstLineChars="200"/>
        <w:jc w:val="left"/>
        <w:rPr>
          <w:rFonts w:hint="eastAsia" w:eastAsia="仿宋_GB2312" w:cs="仿宋_GB2312"/>
          <w:sz w:val="32"/>
          <w:szCs w:val="32"/>
        </w:rPr>
        <w:sectPr>
          <w:footerReference r:id="rId7" w:type="default"/>
          <w:pgSz w:w="11906" w:h="16838"/>
          <w:pgMar w:top="1440" w:right="1800" w:bottom="1440" w:left="1800" w:header="851" w:footer="992" w:gutter="0"/>
          <w:pgNumType w:start="1"/>
          <w:cols w:space="425" w:num="1"/>
          <w:docGrid w:type="lines" w:linePitch="312" w:charSpace="0"/>
        </w:sectPr>
      </w:pPr>
    </w:p>
    <w:p w14:paraId="766C2515">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四、财政拨款收入支出决算总表</w:t>
      </w:r>
      <w:r>
        <w:rPr>
          <w:rFonts w:hint="eastAsia" w:eastAsia="仿宋_GB2312" w:cs="仿宋_GB2312"/>
          <w:sz w:val="32"/>
          <w:szCs w:val="32"/>
          <w:lang w:val="en-US" w:eastAsia="zh-CN"/>
        </w:rPr>
        <w:t>...............................15</w:t>
      </w:r>
    </w:p>
    <w:p w14:paraId="70BFF7B5">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eastAsia" w:eastAsia="仿宋_GB2312" w:cs="仿宋_GB2312"/>
          <w:sz w:val="32"/>
          <w:szCs w:val="32"/>
          <w:lang w:val="en-US" w:eastAsia="zh-CN"/>
        </w:rPr>
        <w:t>...................................15</w:t>
      </w:r>
    </w:p>
    <w:p w14:paraId="649485CC">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eastAsia" w:eastAsia="仿宋_GB2312" w:cs="仿宋_GB2312"/>
          <w:sz w:val="32"/>
          <w:szCs w:val="32"/>
          <w:lang w:val="en-US" w:eastAsia="zh-CN"/>
        </w:rPr>
        <w:t>...................15</w:t>
      </w:r>
    </w:p>
    <w:p w14:paraId="2A25E4B0">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七、一般公共预算财政拨款支出决算明细表</w:t>
      </w:r>
      <w:r>
        <w:rPr>
          <w:rFonts w:hint="eastAsia" w:eastAsia="仿宋_GB2312" w:cs="仿宋_GB2312"/>
          <w:sz w:val="32"/>
          <w:szCs w:val="32"/>
          <w:lang w:val="en-US" w:eastAsia="zh-CN"/>
        </w:rPr>
        <w:t>...........15</w:t>
      </w:r>
    </w:p>
    <w:p w14:paraId="6807F901">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八、一般公共预算财政拨款基本支出决算明细表</w:t>
      </w:r>
      <w:r>
        <w:rPr>
          <w:rFonts w:hint="eastAsia" w:eastAsia="仿宋_GB2312" w:cs="仿宋_GB2312"/>
          <w:sz w:val="32"/>
          <w:szCs w:val="32"/>
          <w:lang w:val="en-US" w:eastAsia="zh-CN"/>
        </w:rPr>
        <w:t>...15</w:t>
      </w:r>
    </w:p>
    <w:p w14:paraId="68932589">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九、一般公共预算财政拨款项目支出决算表</w:t>
      </w:r>
      <w:r>
        <w:rPr>
          <w:rFonts w:hint="eastAsia" w:eastAsia="仿宋_GB2312" w:cs="仿宋_GB2312"/>
          <w:sz w:val="32"/>
          <w:szCs w:val="32"/>
          <w:lang w:val="en-US" w:eastAsia="zh-CN"/>
        </w:rPr>
        <w:t>...........15</w:t>
      </w:r>
    </w:p>
    <w:p w14:paraId="191CBE57">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十、政府性基金预算财政拨款收入支出决算表</w:t>
      </w:r>
      <w:r>
        <w:rPr>
          <w:rFonts w:hint="eastAsia" w:eastAsia="仿宋_GB2312" w:cs="仿宋_GB2312"/>
          <w:sz w:val="32"/>
          <w:szCs w:val="32"/>
          <w:lang w:val="en-US" w:eastAsia="zh-CN"/>
        </w:rPr>
        <w:t>.......15</w:t>
      </w:r>
    </w:p>
    <w:p w14:paraId="1152146B">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十一、国有资本经营预算财政拨款收入支出决算表</w:t>
      </w:r>
      <w:r>
        <w:rPr>
          <w:rFonts w:hint="eastAsia" w:eastAsia="仿宋_GB2312" w:cs="仿宋_GB2312"/>
          <w:sz w:val="32"/>
          <w:szCs w:val="32"/>
          <w:lang w:val="en-US" w:eastAsia="zh-CN"/>
        </w:rPr>
        <w:t>.15</w:t>
      </w:r>
    </w:p>
    <w:p w14:paraId="44063A38">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十二、国有资本经营预算财政拨款支出决算表</w:t>
      </w:r>
      <w:r>
        <w:rPr>
          <w:rFonts w:hint="eastAsia" w:eastAsia="仿宋_GB2312" w:cs="仿宋_GB2312"/>
          <w:sz w:val="32"/>
          <w:szCs w:val="32"/>
          <w:lang w:val="en-US" w:eastAsia="zh-CN"/>
        </w:rPr>
        <w:t>........15</w:t>
      </w:r>
    </w:p>
    <w:p w14:paraId="6DE627E7">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bookmarkStart w:id="12" w:name="_Toc15377196"/>
      <w:bookmarkStart w:id="13" w:name="_Toc15396599"/>
      <w:r>
        <w:rPr>
          <w:rFonts w:hint="eastAsia" w:eastAsia="仿宋_GB2312" w:cs="仿宋_GB2312"/>
          <w:sz w:val="32"/>
          <w:szCs w:val="32"/>
        </w:rPr>
        <w:t>十</w:t>
      </w:r>
      <w:r>
        <w:rPr>
          <w:rFonts w:hint="eastAsia" w:eastAsia="仿宋_GB2312" w:cs="仿宋_GB2312"/>
          <w:sz w:val="32"/>
          <w:szCs w:val="32"/>
          <w:lang w:eastAsia="zh-CN"/>
        </w:rPr>
        <w:t>三</w:t>
      </w:r>
      <w:r>
        <w:rPr>
          <w:rFonts w:hint="eastAsia" w:eastAsia="仿宋_GB2312" w:cs="仿宋_GB2312"/>
          <w:sz w:val="32"/>
          <w:szCs w:val="32"/>
        </w:rPr>
        <w:t>、</w:t>
      </w:r>
      <w:r>
        <w:rPr>
          <w:rFonts w:hint="eastAsia" w:eastAsia="仿宋_GB2312" w:cs="仿宋_GB2312"/>
          <w:sz w:val="32"/>
          <w:szCs w:val="32"/>
          <w:lang w:eastAsia="zh-CN"/>
        </w:rPr>
        <w:t>财政拨款“三公”经费</w:t>
      </w:r>
      <w:r>
        <w:rPr>
          <w:rFonts w:hint="eastAsia" w:eastAsia="仿宋_GB2312" w:cs="仿宋_GB2312"/>
          <w:sz w:val="32"/>
          <w:szCs w:val="32"/>
        </w:rPr>
        <w:t>支出决算表</w:t>
      </w:r>
      <w:r>
        <w:rPr>
          <w:rFonts w:hint="eastAsia" w:eastAsia="仿宋_GB2312" w:cs="仿宋_GB2312"/>
          <w:sz w:val="32"/>
          <w:szCs w:val="32"/>
          <w:lang w:val="en-US" w:eastAsia="zh-CN"/>
        </w:rPr>
        <w:t>................15</w:t>
      </w:r>
    </w:p>
    <w:p w14:paraId="55D29AE6">
      <w:pPr>
        <w:pStyle w:val="3"/>
        <w:jc w:val="center"/>
        <w:rPr>
          <w:rFonts w:hint="eastAsia" w:eastAsia="方正小标宋简体" w:cs="方正小标宋简体"/>
          <w:b w:val="0"/>
        </w:rPr>
      </w:pPr>
    </w:p>
    <w:p w14:paraId="18E91FEC">
      <w:pPr>
        <w:pStyle w:val="3"/>
        <w:jc w:val="center"/>
        <w:rPr>
          <w:rFonts w:hint="eastAsia" w:eastAsia="方正小标宋简体" w:cs="方正小标宋简体"/>
          <w:b w:val="0"/>
        </w:rPr>
      </w:pPr>
    </w:p>
    <w:p w14:paraId="18A42CCE">
      <w:pPr>
        <w:pStyle w:val="3"/>
        <w:jc w:val="both"/>
        <w:rPr>
          <w:rFonts w:hint="eastAsia" w:eastAsia="方正小标宋简体" w:cs="方正小标宋简体"/>
          <w:b w:val="0"/>
        </w:rPr>
      </w:pPr>
    </w:p>
    <w:p w14:paraId="7EA76B52">
      <w:pPr>
        <w:rPr>
          <w:rFonts w:hint="eastAsia" w:eastAsia="方正小标宋简体" w:cs="方正小标宋简体"/>
          <w:b w:val="0"/>
        </w:rPr>
      </w:pPr>
    </w:p>
    <w:p w14:paraId="3EEBBB1A">
      <w:pPr>
        <w:pStyle w:val="3"/>
        <w:jc w:val="both"/>
        <w:rPr>
          <w:rFonts w:hint="eastAsia" w:eastAsia="方正小标宋简体" w:cs="方正小标宋简体"/>
          <w:b w:val="0"/>
        </w:rPr>
      </w:pPr>
    </w:p>
    <w:p w14:paraId="21F4707E">
      <w:pPr>
        <w:rPr>
          <w:rFonts w:hint="eastAsia"/>
        </w:rPr>
      </w:pPr>
    </w:p>
    <w:p w14:paraId="5460D2EB">
      <w:pPr>
        <w:pStyle w:val="3"/>
        <w:jc w:val="center"/>
        <w:rPr>
          <w:rFonts w:hint="eastAsia" w:eastAsia="方正小标宋简体" w:cs="方正小标宋简体"/>
          <w:b w:val="0"/>
        </w:rPr>
        <w:sectPr>
          <w:footerReference r:id="rId8" w:type="default"/>
          <w:pgSz w:w="11906" w:h="16838"/>
          <w:pgMar w:top="1440" w:right="1800" w:bottom="1440" w:left="1800" w:header="851" w:footer="992" w:gutter="0"/>
          <w:pgNumType w:start="1"/>
          <w:cols w:space="425" w:num="1"/>
          <w:docGrid w:type="lines" w:linePitch="312" w:charSpace="0"/>
        </w:sectPr>
      </w:pPr>
    </w:p>
    <w:p w14:paraId="1ADAA6C3">
      <w:pPr>
        <w:pStyle w:val="3"/>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1910B817">
      <w:pPr>
        <w:pStyle w:val="4"/>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73CBB665">
      <w:pPr>
        <w:ind w:firstLine="640" w:firstLineChars="200"/>
      </w:pPr>
      <w:r>
        <w:rPr>
          <w:rFonts w:hint="eastAsia" w:ascii="仿宋_GB2312" w:hAnsi="仿宋" w:eastAsia="仿宋_GB2312"/>
          <w:sz w:val="32"/>
          <w:szCs w:val="32"/>
        </w:rPr>
        <w:t>攀枝花市学校后勤保障服务中心（攀枝花市学生资助指导中心），是市教育体育局直属事业单位，一套班子两块牌子。本单位在市教育局的领导下，在省教育厅学校后勤与产业管理处、省学生资助管理中心的指导下，以为师生生活学习服务、为学校教育教学服务，为基础教育的改革与发展服务为宗旨，紧紧围绕实施素质教育这个战略主题，履行保障、服务、育人的基本职责，着力打造学校后勤保障、勤工俭学、风险管理、节约型学校建设、校园环境与文化建设等五大服务平台，并负责全市学生资助管理工作。</w:t>
      </w:r>
    </w:p>
    <w:p w14:paraId="39067873">
      <w:pPr>
        <w:pStyle w:val="4"/>
        <w:rPr>
          <w:rStyle w:val="29"/>
          <w:rFonts w:ascii="Times New Roman" w:hAnsi="Times New Roman"/>
          <w:b w:val="0"/>
          <w:bCs w:val="0"/>
        </w:rPr>
      </w:pPr>
      <w:bookmarkStart w:id="14" w:name="_Toc15396601"/>
      <w:bookmarkStart w:id="15"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p>
    <w:p w14:paraId="676758F0">
      <w:pPr>
        <w:ind w:firstLine="800" w:firstLineChars="250"/>
        <w:rPr>
          <w:rFonts w:eastAsia="仿宋_GB2312" w:cs="仿宋_GB2312"/>
          <w:sz w:val="32"/>
          <w:szCs w:val="32"/>
        </w:rPr>
      </w:pPr>
      <w:r>
        <w:rPr>
          <w:rFonts w:hint="eastAsia" w:ascii="仿宋_GB2312" w:hAnsi="仿宋_GB2312" w:eastAsia="仿宋_GB2312" w:cs="仿宋_GB2312"/>
          <w:sz w:val="32"/>
          <w:szCs w:val="32"/>
        </w:rPr>
        <w:t>攀枝花市学校后勤保障服务中心</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4B5B70D6">
      <w:pPr>
        <w:pStyle w:val="6"/>
        <w:adjustRightInd w:val="0"/>
        <w:snapToGrid w:val="0"/>
        <w:spacing w:before="93" w:line="600" w:lineRule="exact"/>
        <w:ind w:firstLine="672" w:firstLineChars="210"/>
        <w:rPr>
          <w:rFonts w:hint="default" w:ascii="Times New Roman" w:eastAsia="仿宋_GB2312" w:cs="仿宋_GB2312"/>
          <w:sz w:val="32"/>
          <w:szCs w:val="32"/>
          <w:lang w:val="en-US" w:eastAsia="zh-CN"/>
        </w:rPr>
      </w:pPr>
      <w:r>
        <w:rPr>
          <w:rFonts w:hint="eastAsia" w:ascii="Times New Roman" w:cs="仿宋_GB2312"/>
          <w:sz w:val="32"/>
          <w:szCs w:val="32"/>
        </w:rPr>
        <w:t>纳入</w:t>
      </w:r>
      <w:r>
        <w:rPr>
          <w:rFonts w:hint="eastAsia" w:hAnsi="仿宋_GB2312" w:cs="仿宋_GB2312"/>
          <w:sz w:val="32"/>
          <w:szCs w:val="32"/>
        </w:rPr>
        <w:t>攀枝花市学校后勤保障服务中心</w:t>
      </w:r>
      <w:r>
        <w:rPr>
          <w:rFonts w:hint="eastAsia" w:ascii="Times New Roman" w:cs="仿宋_GB2312"/>
          <w:sz w:val="32"/>
          <w:szCs w:val="32"/>
        </w:rPr>
        <w:t>2025年度部门决算编制范围的二级预算单位</w:t>
      </w:r>
      <w:r>
        <w:rPr>
          <w:rFonts w:hint="eastAsia" w:ascii="Times New Roman" w:cs="仿宋_GB2312"/>
          <w:sz w:val="32"/>
          <w:szCs w:val="32"/>
          <w:lang w:eastAsia="zh-CN"/>
        </w:rPr>
        <w:t>为</w:t>
      </w:r>
      <w:r>
        <w:rPr>
          <w:rFonts w:hint="eastAsia" w:ascii="Times New Roman" w:cs="仿宋_GB2312"/>
          <w:sz w:val="32"/>
          <w:szCs w:val="32"/>
          <w:lang w:val="en-US" w:eastAsia="zh-CN"/>
        </w:rPr>
        <w:t>0。</w:t>
      </w:r>
    </w:p>
    <w:p w14:paraId="67459818">
      <w:pPr>
        <w:pStyle w:val="3"/>
        <w:jc w:val="center"/>
        <w:rPr>
          <w:rFonts w:eastAsia="方正小标宋简体" w:cs="方正小标宋简体"/>
          <w:b w:val="0"/>
        </w:rPr>
      </w:pPr>
      <w:bookmarkStart w:id="16" w:name="_Toc15396602"/>
      <w:bookmarkStart w:id="17" w:name="_Toc15377204"/>
      <w:r>
        <w:rPr>
          <w:rFonts w:hint="eastAsia" w:eastAsia="方正小标宋简体" w:cs="方正小标宋简体"/>
          <w:b w:val="0"/>
        </w:rPr>
        <w:t>第二部分  2025年度部门决算情况说明</w:t>
      </w:r>
      <w:bookmarkEnd w:id="16"/>
      <w:bookmarkEnd w:id="17"/>
    </w:p>
    <w:p w14:paraId="2D7AC2B4"/>
    <w:p w14:paraId="3398D6F1">
      <w:pPr>
        <w:pStyle w:val="27"/>
        <w:spacing w:line="600" w:lineRule="exact"/>
        <w:ind w:firstLine="640"/>
        <w:outlineLvl w:val="1"/>
        <w:rPr>
          <w:rStyle w:val="29"/>
          <w:rFonts w:ascii="Times New Roman" w:hAnsi="Times New Roman" w:eastAsia="黑体"/>
          <w:b w:val="0"/>
        </w:rPr>
      </w:pPr>
      <w:bookmarkStart w:id="18" w:name="_Toc15396603"/>
      <w:bookmarkStart w:id="19"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18"/>
      <w:bookmarkEnd w:id="19"/>
    </w:p>
    <w:p w14:paraId="390EE466">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2208.66</w:t>
      </w:r>
      <w:r>
        <w:rPr>
          <w:rFonts w:hint="eastAsia" w:eastAsia="仿宋_GB2312" w:cs="仿宋_GB2312"/>
          <w:sz w:val="32"/>
          <w:szCs w:val="32"/>
        </w:rPr>
        <w:t>万元。与上年度相比，收入、支出总计各</w:t>
      </w:r>
      <w:r>
        <w:rPr>
          <w:rFonts w:hint="eastAsia" w:eastAsia="仿宋_GB2312" w:cs="仿宋_GB2312"/>
          <w:sz w:val="32"/>
          <w:szCs w:val="32"/>
          <w:lang w:eastAsia="zh-CN"/>
        </w:rPr>
        <w:t>增加</w:t>
      </w:r>
      <w:r>
        <w:rPr>
          <w:rFonts w:hint="eastAsia" w:eastAsia="仿宋_GB2312" w:cs="仿宋_GB2312"/>
          <w:sz w:val="32"/>
          <w:szCs w:val="32"/>
          <w:lang w:val="en-US" w:eastAsia="zh-CN"/>
        </w:rPr>
        <w:t>568.66</w:t>
      </w:r>
      <w:r>
        <w:rPr>
          <w:rFonts w:hint="eastAsia" w:eastAsia="仿宋_GB2312" w:cs="仿宋_GB2312"/>
          <w:sz w:val="32"/>
          <w:szCs w:val="32"/>
        </w:rPr>
        <w:t>万元，</w:t>
      </w:r>
      <w:r>
        <w:rPr>
          <w:rFonts w:hint="eastAsia" w:eastAsia="仿宋_GB2312" w:cs="仿宋_GB2312"/>
          <w:sz w:val="32"/>
          <w:szCs w:val="32"/>
          <w:lang w:eastAsia="zh-CN"/>
        </w:rPr>
        <w:t>上升</w:t>
      </w:r>
      <w:r>
        <w:rPr>
          <w:rFonts w:hint="eastAsia" w:eastAsia="仿宋_GB2312" w:cs="仿宋_GB2312"/>
          <w:sz w:val="32"/>
          <w:szCs w:val="32"/>
          <w:lang w:val="en-US" w:eastAsia="zh-CN"/>
        </w:rPr>
        <w:t>34.67</w:t>
      </w:r>
      <w:r>
        <w:rPr>
          <w:rFonts w:hint="eastAsia" w:eastAsia="仿宋_GB2312" w:cs="仿宋_GB2312"/>
          <w:sz w:val="32"/>
          <w:szCs w:val="32"/>
        </w:rPr>
        <w:t>%。主要变动原因是202</w:t>
      </w:r>
      <w:r>
        <w:rPr>
          <w:rFonts w:hint="eastAsia" w:eastAsia="仿宋_GB2312" w:cs="仿宋_GB2312"/>
          <w:sz w:val="32"/>
          <w:szCs w:val="32"/>
          <w:lang w:val="en-US" w:eastAsia="zh-CN"/>
        </w:rPr>
        <w:t>5</w:t>
      </w:r>
      <w:r>
        <w:rPr>
          <w:rFonts w:hint="eastAsia" w:eastAsia="仿宋_GB2312" w:cs="仿宋_GB2312"/>
          <w:sz w:val="32"/>
          <w:szCs w:val="32"/>
        </w:rPr>
        <w:t>年</w:t>
      </w:r>
      <w:r>
        <w:rPr>
          <w:rFonts w:hint="eastAsia" w:eastAsia="仿宋_GB2312" w:cs="仿宋_GB2312"/>
          <w:sz w:val="32"/>
          <w:szCs w:val="32"/>
          <w:lang w:eastAsia="zh-CN"/>
        </w:rPr>
        <w:t>高中、中职助学金提标和扩面，大致资金大幅度上升。</w:t>
      </w:r>
    </w:p>
    <w:p w14:paraId="5308B1DB">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2FD1CF87">
      <w:pPr>
        <w:ind w:firstLine="640" w:firstLineChars="200"/>
        <w:rPr>
          <w:rFonts w:eastAsia="仿宋_GB2312" w:cs="仿宋_GB2312"/>
          <w:sz w:val="32"/>
          <w:szCs w:val="32"/>
        </w:rPr>
      </w:pPr>
    </w:p>
    <w:p w14:paraId="3FA4C641">
      <w:pPr>
        <w:pStyle w:val="2"/>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A2867F">
      <w:pPr>
        <w:rPr>
          <w:rFonts w:eastAsia="仿宋_GB2312" w:cs="仿宋_GB2312"/>
          <w:sz w:val="32"/>
          <w:szCs w:val="32"/>
        </w:rPr>
      </w:pPr>
    </w:p>
    <w:p w14:paraId="290E3105">
      <w:pPr>
        <w:pStyle w:val="2"/>
        <w:rPr>
          <w:rFonts w:eastAsia="仿宋_GB2312" w:cs="仿宋_GB2312"/>
          <w:sz w:val="32"/>
          <w:szCs w:val="32"/>
        </w:rPr>
      </w:pPr>
    </w:p>
    <w:p w14:paraId="08AB85C9">
      <w:pPr>
        <w:rPr>
          <w:rFonts w:eastAsia="仿宋_GB2312" w:cs="仿宋_GB2312"/>
          <w:sz w:val="32"/>
          <w:szCs w:val="32"/>
        </w:rPr>
      </w:pPr>
    </w:p>
    <w:p w14:paraId="73B3D8C9">
      <w:pPr>
        <w:pStyle w:val="2"/>
      </w:pPr>
    </w:p>
    <w:p w14:paraId="219F0DD3">
      <w:pPr>
        <w:pStyle w:val="27"/>
        <w:spacing w:line="600" w:lineRule="exact"/>
        <w:ind w:firstLine="640"/>
        <w:outlineLvl w:val="1"/>
        <w:rPr>
          <w:rFonts w:eastAsia="黑体"/>
          <w:sz w:val="32"/>
          <w:szCs w:val="32"/>
        </w:rPr>
      </w:pPr>
      <w:bookmarkStart w:id="20" w:name="_Toc15377206"/>
      <w:bookmarkStart w:id="21" w:name="_Toc15396604"/>
      <w:r>
        <w:rPr>
          <w:rFonts w:hint="eastAsia" w:eastAsia="黑体"/>
          <w:sz w:val="32"/>
          <w:szCs w:val="32"/>
        </w:rPr>
        <w:t>二、收入决算情况说明</w:t>
      </w:r>
      <w:bookmarkEnd w:id="20"/>
      <w:bookmarkEnd w:id="21"/>
    </w:p>
    <w:p w14:paraId="483059E7">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2208.66</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2163.58</w:t>
      </w:r>
      <w:r>
        <w:rPr>
          <w:rFonts w:hint="eastAsia" w:eastAsia="仿宋_GB2312" w:cs="仿宋_GB2312"/>
          <w:sz w:val="32"/>
          <w:szCs w:val="32"/>
        </w:rPr>
        <w:t>万元，占</w:t>
      </w:r>
      <w:r>
        <w:rPr>
          <w:rFonts w:hint="eastAsia" w:ascii="仿宋_GB2312" w:hAnsi="仿宋_GB2312" w:eastAsia="仿宋_GB2312" w:cs="仿宋_GB2312"/>
          <w:sz w:val="32"/>
          <w:szCs w:val="32"/>
        </w:rPr>
        <w:t>97.95</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45.08</w:t>
      </w:r>
      <w:r>
        <w:rPr>
          <w:rFonts w:hint="eastAsia" w:eastAsia="仿宋_GB2312" w:cs="仿宋_GB2312"/>
          <w:sz w:val="32"/>
          <w:szCs w:val="32"/>
        </w:rPr>
        <w:t>万元，占</w:t>
      </w:r>
      <w:r>
        <w:rPr>
          <w:rFonts w:hint="eastAsia" w:ascii="仿宋_GB2312" w:hAnsi="仿宋_GB2312" w:eastAsia="仿宋_GB2312" w:cs="仿宋_GB2312"/>
          <w:sz w:val="32"/>
          <w:szCs w:val="32"/>
        </w:rPr>
        <w:t>2.04</w:t>
      </w:r>
      <w:r>
        <w:rPr>
          <w:rFonts w:hint="eastAsia" w:eastAsia="仿宋_GB2312" w:cs="仿宋_GB2312"/>
          <w:sz w:val="32"/>
          <w:szCs w:val="32"/>
        </w:rPr>
        <w:t>%。（图2：收入决算结构图）（饼状图）</w:t>
      </w:r>
    </w:p>
    <w:p w14:paraId="75B7C177">
      <w:pPr>
        <w:pStyle w:val="2"/>
        <w:rPr>
          <w:rFonts w:eastAsia="仿宋_GB2312" w:cs="仿宋_GB2312"/>
          <w:sz w:val="32"/>
          <w:szCs w:val="32"/>
        </w:rPr>
      </w:pPr>
      <w:r>
        <w:rPr>
          <w:rFonts w:hint="eastAsia" w:eastAsia="黑体"/>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A08C06F"/>
    <w:p w14:paraId="7C56100C">
      <w:pPr>
        <w:pStyle w:val="27"/>
        <w:spacing w:line="600" w:lineRule="exact"/>
        <w:ind w:firstLine="640"/>
        <w:outlineLvl w:val="1"/>
        <w:rPr>
          <w:rStyle w:val="29"/>
          <w:rFonts w:ascii="Times New Roman" w:hAnsi="Times New Roman" w:eastAsia="黑体"/>
          <w:b w:val="0"/>
        </w:rPr>
      </w:pPr>
      <w:bookmarkStart w:id="22" w:name="_Toc15396605"/>
      <w:bookmarkStart w:id="23" w:name="_Toc15377207"/>
      <w:r>
        <w:rPr>
          <w:rFonts w:hint="eastAsia" w:eastAsia="黑体"/>
          <w:sz w:val="32"/>
          <w:szCs w:val="32"/>
        </w:rPr>
        <w:t>三、支</w:t>
      </w:r>
      <w:r>
        <w:rPr>
          <w:rStyle w:val="29"/>
          <w:rFonts w:hint="eastAsia" w:ascii="Times New Roman" w:hAnsi="Times New Roman" w:eastAsia="黑体"/>
          <w:b w:val="0"/>
        </w:rPr>
        <w:t>出决算情况说明</w:t>
      </w:r>
      <w:bookmarkEnd w:id="22"/>
      <w:bookmarkEnd w:id="23"/>
    </w:p>
    <w:p w14:paraId="0CC713FF">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2208.66</w:t>
      </w:r>
      <w:r>
        <w:rPr>
          <w:rFonts w:hint="eastAsia" w:eastAsia="仿宋_GB2312" w:cs="仿宋_GB2312"/>
          <w:sz w:val="32"/>
          <w:szCs w:val="32"/>
        </w:rPr>
        <w:t>万元，其中：基本支出</w:t>
      </w:r>
      <w:r>
        <w:rPr>
          <w:rFonts w:hint="eastAsia" w:ascii="仿宋_GB2312" w:hAnsi="仿宋_GB2312" w:eastAsia="仿宋_GB2312" w:cs="仿宋_GB2312"/>
          <w:sz w:val="32"/>
          <w:szCs w:val="32"/>
        </w:rPr>
        <w:t>246.07</w:t>
      </w:r>
      <w:r>
        <w:rPr>
          <w:rFonts w:hint="eastAsia" w:eastAsia="仿宋_GB2312" w:cs="仿宋_GB2312"/>
          <w:sz w:val="32"/>
          <w:szCs w:val="32"/>
        </w:rPr>
        <w:t>万元，占</w:t>
      </w:r>
      <w:r>
        <w:rPr>
          <w:rFonts w:hint="eastAsia" w:ascii="仿宋_GB2312" w:hAnsi="仿宋_GB2312" w:eastAsia="仿宋_GB2312" w:cs="仿宋_GB2312"/>
          <w:sz w:val="32"/>
          <w:szCs w:val="32"/>
        </w:rPr>
        <w:t>11.14</w:t>
      </w:r>
      <w:r>
        <w:rPr>
          <w:rFonts w:hint="eastAsia" w:eastAsia="仿宋_GB2312" w:cs="仿宋_GB2312"/>
          <w:sz w:val="32"/>
          <w:szCs w:val="32"/>
        </w:rPr>
        <w:t>%；项目支出</w:t>
      </w:r>
      <w:r>
        <w:rPr>
          <w:rFonts w:hint="eastAsia" w:ascii="仿宋_GB2312" w:hAnsi="仿宋_GB2312" w:eastAsia="仿宋_GB2312" w:cs="仿宋_GB2312"/>
          <w:sz w:val="32"/>
          <w:szCs w:val="32"/>
        </w:rPr>
        <w:t>1962.59</w:t>
      </w:r>
      <w:r>
        <w:rPr>
          <w:rFonts w:hint="eastAsia" w:eastAsia="仿宋_GB2312" w:cs="仿宋_GB2312"/>
          <w:sz w:val="32"/>
          <w:szCs w:val="32"/>
        </w:rPr>
        <w:t>万元，占</w:t>
      </w:r>
      <w:r>
        <w:rPr>
          <w:rFonts w:hint="eastAsia" w:ascii="仿宋_GB2312" w:hAnsi="仿宋_GB2312" w:eastAsia="仿宋_GB2312" w:cs="仿宋_GB2312"/>
          <w:sz w:val="32"/>
          <w:szCs w:val="32"/>
        </w:rPr>
        <w:t>88.85</w:t>
      </w:r>
      <w:r>
        <w:rPr>
          <w:rFonts w:hint="eastAsia" w:eastAsia="仿宋_GB2312" w:cs="仿宋_GB2312"/>
          <w:sz w:val="32"/>
          <w:szCs w:val="32"/>
        </w:rPr>
        <w:t>%。</w:t>
      </w:r>
    </w:p>
    <w:p w14:paraId="78D1F99E">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（图3：支出决算结构图）（饼状图）</w:t>
      </w:r>
    </w:p>
    <w:p w14:paraId="074F9C18">
      <w:pPr>
        <w:pStyle w:val="27"/>
        <w:spacing w:line="600" w:lineRule="exact"/>
        <w:ind w:firstLine="640"/>
        <w:outlineLvl w:val="1"/>
        <w:rPr>
          <w:rFonts w:hint="eastAsia" w:eastAsia="仿宋_GB2312" w:cs="仿宋_GB2312"/>
          <w:sz w:val="32"/>
          <w:szCs w:val="32"/>
        </w:rPr>
      </w:pPr>
    </w:p>
    <w:p w14:paraId="40231AF6">
      <w:pPr>
        <w:pStyle w:val="27"/>
        <w:spacing w:line="600" w:lineRule="exact"/>
        <w:ind w:firstLine="640"/>
        <w:outlineLvl w:val="1"/>
        <w:rPr>
          <w:rFonts w:hint="eastAsia" w:eastAsia="仿宋_GB2312" w:cs="仿宋_GB2312"/>
          <w:sz w:val="32"/>
          <w:szCs w:val="32"/>
        </w:rPr>
      </w:pPr>
    </w:p>
    <w:p w14:paraId="073C15A6">
      <w:pPr>
        <w:pStyle w:val="27"/>
        <w:spacing w:line="600" w:lineRule="exact"/>
        <w:ind w:firstLine="640"/>
        <w:outlineLvl w:val="1"/>
        <w:rPr>
          <w:rFonts w:hint="eastAsia" w:eastAsia="仿宋_GB2312" w:cs="仿宋_GB2312"/>
          <w:sz w:val="32"/>
          <w:szCs w:val="32"/>
        </w:rPr>
      </w:pPr>
    </w:p>
    <w:p w14:paraId="4AE513B5">
      <w:pPr>
        <w:pStyle w:val="27"/>
        <w:spacing w:line="600" w:lineRule="exact"/>
        <w:ind w:firstLine="640"/>
        <w:outlineLvl w:val="1"/>
        <w:rPr>
          <w:rFonts w:eastAsia="仿宋_GB2312" w:cs="仿宋_GB2312"/>
          <w:sz w:val="32"/>
          <w:szCs w:val="32"/>
        </w:rPr>
      </w:pPr>
      <w:r>
        <w:rPr>
          <w:rFonts w:hint="eastAsia"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24130</wp:posOffset>
            </wp:positionH>
            <wp:positionV relativeFrom="paragraph">
              <wp:posOffset>-205105</wp:posOffset>
            </wp:positionV>
            <wp:extent cx="5256530" cy="2988310"/>
            <wp:effectExtent l="5080" t="4445" r="15240" b="1714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FA9C8AF">
      <w:pPr>
        <w:spacing w:line="600" w:lineRule="exact"/>
        <w:ind w:firstLine="640" w:firstLineChars="200"/>
        <w:outlineLvl w:val="1"/>
        <w:rPr>
          <w:rStyle w:val="29"/>
          <w:rFonts w:ascii="Times New Roman" w:hAnsi="Times New Roman" w:eastAsia="黑体"/>
          <w:b w:val="0"/>
        </w:rPr>
      </w:pPr>
      <w:bookmarkStart w:id="24" w:name="_Toc15396606"/>
      <w:bookmarkStart w:id="25"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4"/>
      <w:bookmarkEnd w:id="25"/>
    </w:p>
    <w:p w14:paraId="23E0B572">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2208.66</w:t>
      </w:r>
      <w:r>
        <w:rPr>
          <w:rFonts w:hint="eastAsia" w:eastAsia="仿宋_GB2312" w:cs="仿宋_GB2312"/>
          <w:sz w:val="32"/>
          <w:szCs w:val="32"/>
        </w:rPr>
        <w:t>万元。与上年度相比，收入、支出总计各</w:t>
      </w:r>
      <w:r>
        <w:rPr>
          <w:rFonts w:hint="eastAsia" w:eastAsia="仿宋_GB2312" w:cs="仿宋_GB2312"/>
          <w:sz w:val="32"/>
          <w:szCs w:val="32"/>
          <w:lang w:eastAsia="zh-CN"/>
        </w:rPr>
        <w:t>增加</w:t>
      </w:r>
      <w:r>
        <w:rPr>
          <w:rFonts w:hint="eastAsia" w:eastAsia="仿宋_GB2312" w:cs="仿宋_GB2312"/>
          <w:sz w:val="32"/>
          <w:szCs w:val="32"/>
          <w:lang w:val="en-US" w:eastAsia="zh-CN"/>
        </w:rPr>
        <w:t>568.66</w:t>
      </w:r>
      <w:r>
        <w:rPr>
          <w:rFonts w:hint="eastAsia" w:eastAsia="仿宋_GB2312" w:cs="仿宋_GB2312"/>
          <w:sz w:val="32"/>
          <w:szCs w:val="32"/>
        </w:rPr>
        <w:t>万元，</w:t>
      </w:r>
      <w:r>
        <w:rPr>
          <w:rFonts w:hint="eastAsia" w:eastAsia="仿宋_GB2312" w:cs="仿宋_GB2312"/>
          <w:sz w:val="32"/>
          <w:szCs w:val="32"/>
          <w:lang w:eastAsia="zh-CN"/>
        </w:rPr>
        <w:t>上升</w:t>
      </w:r>
      <w:r>
        <w:rPr>
          <w:rFonts w:hint="eastAsia" w:eastAsia="仿宋_GB2312" w:cs="仿宋_GB2312"/>
          <w:sz w:val="32"/>
          <w:szCs w:val="32"/>
          <w:lang w:val="en-US" w:eastAsia="zh-CN"/>
        </w:rPr>
        <w:t>34.67</w:t>
      </w:r>
      <w:r>
        <w:rPr>
          <w:rFonts w:hint="eastAsia" w:eastAsia="仿宋_GB2312" w:cs="仿宋_GB2312"/>
          <w:sz w:val="32"/>
          <w:szCs w:val="32"/>
        </w:rPr>
        <w:t>%。主要变动原因是202</w:t>
      </w:r>
      <w:r>
        <w:rPr>
          <w:rFonts w:hint="eastAsia" w:eastAsia="仿宋_GB2312" w:cs="仿宋_GB2312"/>
          <w:sz w:val="32"/>
          <w:szCs w:val="32"/>
          <w:lang w:val="en-US" w:eastAsia="zh-CN"/>
        </w:rPr>
        <w:t>5</w:t>
      </w:r>
      <w:r>
        <w:rPr>
          <w:rFonts w:hint="eastAsia" w:eastAsia="仿宋_GB2312" w:cs="仿宋_GB2312"/>
          <w:sz w:val="32"/>
          <w:szCs w:val="32"/>
        </w:rPr>
        <w:t>年</w:t>
      </w:r>
      <w:r>
        <w:rPr>
          <w:rFonts w:hint="eastAsia" w:eastAsia="仿宋_GB2312" w:cs="仿宋_GB2312"/>
          <w:sz w:val="32"/>
          <w:szCs w:val="32"/>
          <w:lang w:eastAsia="zh-CN"/>
        </w:rPr>
        <w:t>高中、中职助学金提标和扩面，大致资金大幅度上升。</w:t>
      </w:r>
    </w:p>
    <w:p w14:paraId="59EFFF62">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41CDB2CC">
      <w:pPr>
        <w:rPr>
          <w:rFonts w:eastAsia="仿宋_GB2312" w:cs="仿宋_GB2312"/>
          <w:sz w:val="32"/>
          <w:szCs w:val="32"/>
        </w:rPr>
      </w:pPr>
    </w:p>
    <w:p w14:paraId="033FB836">
      <w:pPr>
        <w:pStyle w:val="2"/>
      </w:pPr>
      <w:r>
        <w:rPr>
          <w:rFonts w:hint="eastAsia" w:eastAsia="仿宋_GB2312"/>
          <w:lang w:eastAsia="zh-CN"/>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16F470">
      <w:pPr>
        <w:spacing w:line="600" w:lineRule="exact"/>
        <w:ind w:firstLine="640" w:firstLineChars="200"/>
        <w:outlineLvl w:val="1"/>
        <w:rPr>
          <w:rStyle w:val="29"/>
          <w:rFonts w:ascii="Times New Roman" w:hAnsi="Times New Roman" w:eastAsia="黑体"/>
          <w:b w:val="0"/>
        </w:rPr>
      </w:pPr>
      <w:bookmarkStart w:id="26" w:name="_Toc15377209"/>
      <w:bookmarkStart w:id="27"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6"/>
      <w:bookmarkEnd w:id="27"/>
    </w:p>
    <w:p w14:paraId="2F053599">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1A8D17AE">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2163.58</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97.95</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523.58</w:t>
      </w:r>
      <w:r>
        <w:rPr>
          <w:rFonts w:hint="eastAsia" w:eastAsia="仿宋_GB2312" w:cs="仿宋_GB2312"/>
          <w:sz w:val="32"/>
          <w:szCs w:val="32"/>
        </w:rPr>
        <w:t>万元，增长</w:t>
      </w:r>
      <w:r>
        <w:rPr>
          <w:rFonts w:hint="eastAsia" w:eastAsia="仿宋_GB2312" w:cs="仿宋_GB2312"/>
          <w:sz w:val="32"/>
          <w:szCs w:val="32"/>
          <w:lang w:val="en-US" w:eastAsia="zh-CN"/>
        </w:rPr>
        <w:t>31.92</w:t>
      </w:r>
      <w:r>
        <w:rPr>
          <w:rFonts w:hint="eastAsia" w:eastAsia="仿宋_GB2312" w:cs="仿宋_GB2312"/>
          <w:sz w:val="32"/>
          <w:szCs w:val="32"/>
        </w:rPr>
        <w:t>%。主要变动原因是202</w:t>
      </w:r>
      <w:r>
        <w:rPr>
          <w:rFonts w:hint="eastAsia" w:eastAsia="仿宋_GB2312" w:cs="仿宋_GB2312"/>
          <w:sz w:val="32"/>
          <w:szCs w:val="32"/>
          <w:lang w:val="en-US" w:eastAsia="zh-CN"/>
        </w:rPr>
        <w:t>5</w:t>
      </w:r>
      <w:r>
        <w:rPr>
          <w:rFonts w:hint="eastAsia" w:eastAsia="仿宋_GB2312" w:cs="仿宋_GB2312"/>
          <w:sz w:val="32"/>
          <w:szCs w:val="32"/>
        </w:rPr>
        <w:t>年</w:t>
      </w:r>
      <w:r>
        <w:rPr>
          <w:rFonts w:hint="eastAsia" w:eastAsia="仿宋_GB2312" w:cs="仿宋_GB2312"/>
          <w:sz w:val="32"/>
          <w:szCs w:val="32"/>
          <w:lang w:eastAsia="zh-CN"/>
        </w:rPr>
        <w:t>高中、中职助学金提标和扩面，大致资金大幅度上升。</w:t>
      </w:r>
    </w:p>
    <w:p w14:paraId="7C5F239D">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213D3358">
      <w:pPr>
        <w:rPr>
          <w:rFonts w:eastAsia="仿宋_GB2312" w:cs="仿宋_GB2312"/>
          <w:sz w:val="32"/>
          <w:szCs w:val="32"/>
        </w:rPr>
      </w:pPr>
    </w:p>
    <w:p w14:paraId="30198D50">
      <w:pPr>
        <w:pStyle w:val="2"/>
        <w:rPr>
          <w:rFonts w:eastAsia="仿宋_GB2312" w:cs="仿宋_GB2312"/>
          <w:sz w:val="32"/>
          <w:szCs w:val="32"/>
        </w:rPr>
      </w:pPr>
      <w:r>
        <w:rPr>
          <w:rFonts w:hint="eastAsia" w:eastAsia="仿宋_GB2312" w:cs="仿宋_GB2312"/>
          <w:sz w:val="32"/>
          <w:szCs w:val="32"/>
          <w:lang w:eastAsia="zh-CN"/>
        </w:rPr>
        <w:drawing>
          <wp:inline distT="0" distB="0" distL="114300" distR="114300">
            <wp:extent cx="5256530" cy="2988310"/>
            <wp:effectExtent l="5080" t="4445" r="15240" b="1714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4BFDCE"/>
    <w:p w14:paraId="7426D938">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6469E557">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2163.58</w:t>
      </w:r>
      <w:r>
        <w:rPr>
          <w:rFonts w:hint="eastAsia" w:eastAsia="仿宋_GB2312" w:cs="仿宋_GB2312"/>
          <w:sz w:val="32"/>
          <w:szCs w:val="32"/>
        </w:rPr>
        <w:t>万元，主要用于以下方面：教育支出</w:t>
      </w:r>
      <w:r>
        <w:rPr>
          <w:rFonts w:hint="eastAsia" w:eastAsia="仿宋_GB2312" w:cs="仿宋_GB2312"/>
          <w:sz w:val="32"/>
          <w:szCs w:val="32"/>
          <w:lang w:val="en-US" w:eastAsia="zh-CN"/>
        </w:rPr>
        <w:t>2095.85</w:t>
      </w:r>
      <w:r>
        <w:rPr>
          <w:rFonts w:hint="eastAsia" w:eastAsia="仿宋_GB2312" w:cs="仿宋_GB2312"/>
          <w:sz w:val="32"/>
          <w:szCs w:val="32"/>
        </w:rPr>
        <w:t>万元，占</w:t>
      </w:r>
      <w:r>
        <w:rPr>
          <w:rFonts w:hint="eastAsia" w:eastAsia="仿宋_GB2312" w:cs="仿宋_GB2312"/>
          <w:sz w:val="32"/>
          <w:szCs w:val="32"/>
          <w:lang w:val="en-US" w:eastAsia="zh-CN"/>
        </w:rPr>
        <w:t>96.87</w:t>
      </w:r>
      <w:r>
        <w:rPr>
          <w:rFonts w:hint="eastAsia" w:eastAsia="仿宋_GB2312" w:cs="仿宋_GB2312"/>
          <w:sz w:val="32"/>
          <w:szCs w:val="32"/>
        </w:rPr>
        <w:t>%；社会保障和就业支出</w:t>
      </w:r>
      <w:r>
        <w:rPr>
          <w:rFonts w:hint="eastAsia" w:eastAsia="仿宋_GB2312" w:cs="仿宋_GB2312"/>
          <w:sz w:val="32"/>
          <w:szCs w:val="32"/>
          <w:lang w:val="en-US" w:eastAsia="zh-CN"/>
        </w:rPr>
        <w:t>39.61</w:t>
      </w:r>
      <w:r>
        <w:rPr>
          <w:rFonts w:hint="eastAsia" w:eastAsia="仿宋_GB2312" w:cs="仿宋_GB2312"/>
          <w:sz w:val="32"/>
          <w:szCs w:val="32"/>
        </w:rPr>
        <w:t>万元，占</w:t>
      </w:r>
      <w:r>
        <w:rPr>
          <w:rFonts w:hint="eastAsia" w:eastAsia="仿宋_GB2312" w:cs="仿宋_GB2312"/>
          <w:sz w:val="32"/>
          <w:szCs w:val="32"/>
          <w:lang w:val="en-US" w:eastAsia="zh-CN"/>
        </w:rPr>
        <w:t>1.83</w:t>
      </w:r>
      <w:r>
        <w:rPr>
          <w:rFonts w:hint="eastAsia" w:eastAsia="仿宋_GB2312" w:cs="仿宋_GB2312"/>
          <w:sz w:val="32"/>
          <w:szCs w:val="32"/>
        </w:rPr>
        <w:t>%；卫生健康支出</w:t>
      </w:r>
      <w:r>
        <w:rPr>
          <w:rFonts w:hint="eastAsia" w:eastAsia="仿宋_GB2312" w:cs="仿宋_GB2312"/>
          <w:sz w:val="32"/>
          <w:szCs w:val="32"/>
          <w:lang w:val="en-US" w:eastAsia="zh-CN"/>
        </w:rPr>
        <w:t>11.77</w:t>
      </w:r>
      <w:r>
        <w:rPr>
          <w:rFonts w:hint="eastAsia" w:eastAsia="仿宋_GB2312" w:cs="仿宋_GB2312"/>
          <w:sz w:val="32"/>
          <w:szCs w:val="32"/>
        </w:rPr>
        <w:t>万元，占</w:t>
      </w:r>
      <w:r>
        <w:rPr>
          <w:rFonts w:hint="eastAsia" w:eastAsia="仿宋_GB2312" w:cs="仿宋_GB2312"/>
          <w:sz w:val="32"/>
          <w:szCs w:val="32"/>
          <w:lang w:val="en-US" w:eastAsia="zh-CN"/>
        </w:rPr>
        <w:t>0.54</w:t>
      </w:r>
      <w:r>
        <w:rPr>
          <w:rFonts w:hint="eastAsia" w:eastAsia="仿宋_GB2312" w:cs="仿宋_GB2312"/>
          <w:sz w:val="32"/>
          <w:szCs w:val="32"/>
        </w:rPr>
        <w:t>%；住房保障支出</w:t>
      </w:r>
      <w:r>
        <w:rPr>
          <w:rFonts w:hint="eastAsia" w:eastAsia="仿宋_GB2312" w:cs="仿宋_GB2312"/>
          <w:sz w:val="32"/>
          <w:szCs w:val="32"/>
          <w:lang w:val="en-US" w:eastAsia="zh-CN"/>
        </w:rPr>
        <w:t>16.35</w:t>
      </w:r>
      <w:r>
        <w:rPr>
          <w:rFonts w:hint="eastAsia" w:eastAsia="仿宋_GB2312" w:cs="仿宋_GB2312"/>
          <w:sz w:val="32"/>
          <w:szCs w:val="32"/>
        </w:rPr>
        <w:t>万元，占</w:t>
      </w:r>
      <w:r>
        <w:rPr>
          <w:rFonts w:hint="eastAsia" w:eastAsia="仿宋_GB2312" w:cs="仿宋_GB2312"/>
          <w:sz w:val="32"/>
          <w:szCs w:val="32"/>
          <w:lang w:val="en-US" w:eastAsia="zh-CN"/>
        </w:rPr>
        <w:t>0.76</w:t>
      </w:r>
      <w:r>
        <w:rPr>
          <w:rFonts w:hint="eastAsia" w:eastAsia="仿宋_GB2312" w:cs="仿宋_GB2312"/>
          <w:sz w:val="32"/>
          <w:szCs w:val="32"/>
        </w:rPr>
        <w:t>%；（图6：一般公共预算财政拨款支出决算结构）（饼状图）</w:t>
      </w:r>
    </w:p>
    <w:p w14:paraId="1B9730F5">
      <w:pPr>
        <w:spacing w:line="600" w:lineRule="exact"/>
        <w:ind w:firstLine="640"/>
        <w:rPr>
          <w:rFonts w:eastAsia="仿宋_GB2312" w:cs="仿宋_GB2312"/>
          <w:sz w:val="32"/>
          <w:szCs w:val="32"/>
        </w:rPr>
      </w:pPr>
    </w:p>
    <w:p w14:paraId="6ECAA208">
      <w:pPr>
        <w:pStyle w:val="2"/>
      </w:pPr>
      <w:r>
        <w:rPr>
          <w:rFonts w:hint="eastAsia" w:eastAsia="仿宋_GB2312" w:cs="仿宋_GB2312"/>
          <w:sz w:val="32"/>
          <w:szCs w:val="32"/>
          <w:lang w:eastAsia="zh-CN"/>
        </w:rPr>
        <w:drawing>
          <wp:inline distT="0" distB="0" distL="114300" distR="114300">
            <wp:extent cx="5256530" cy="2988310"/>
            <wp:effectExtent l="5080" t="4445" r="15240"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15EAC5">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7BEEAD1E">
      <w:pPr>
        <w:spacing w:line="600" w:lineRule="exact"/>
        <w:ind w:firstLine="640"/>
        <w:rPr>
          <w:rFonts w:eastAsia="仿宋_GB2312" w:cs="仿宋_GB2312"/>
          <w:sz w:val="32"/>
          <w:szCs w:val="32"/>
        </w:rPr>
      </w:pPr>
      <w:bookmarkStart w:id="31" w:name="_Toc15377444"/>
      <w:bookmarkStart w:id="32" w:name="_Toc15377213"/>
      <w:bookmarkStart w:id="33" w:name="_Toc15378460"/>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2163.58</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1"/>
      <w:bookmarkEnd w:id="32"/>
      <w:bookmarkEnd w:id="33"/>
    </w:p>
    <w:p w14:paraId="106F8190">
      <w:pPr>
        <w:spacing w:line="600" w:lineRule="exact"/>
        <w:ind w:firstLine="640"/>
        <w:rPr>
          <w:rFonts w:hint="eastAsia" w:eastAsia="仿宋_GB2312" w:cs="仿宋_GB2312"/>
          <w:sz w:val="32"/>
          <w:szCs w:val="32"/>
        </w:rPr>
      </w:pPr>
      <w:r>
        <w:rPr>
          <w:rFonts w:hint="eastAsia" w:eastAsia="仿宋_GB2312" w:cs="仿宋_GB2312"/>
          <w:sz w:val="32"/>
          <w:szCs w:val="32"/>
        </w:rPr>
        <w:t>1.教育（205）普通教育（02）学前教育（01）: 支出决算为</w:t>
      </w:r>
      <w:r>
        <w:rPr>
          <w:rFonts w:hint="eastAsia" w:eastAsia="仿宋_GB2312" w:cs="仿宋_GB2312"/>
          <w:sz w:val="32"/>
          <w:szCs w:val="32"/>
          <w:lang w:val="en-US" w:eastAsia="zh-CN"/>
        </w:rPr>
        <w:t>3.4</w:t>
      </w:r>
      <w:r>
        <w:rPr>
          <w:rFonts w:hint="eastAsia" w:eastAsia="仿宋_GB2312" w:cs="仿宋_GB2312"/>
          <w:sz w:val="32"/>
          <w:szCs w:val="32"/>
        </w:rPr>
        <w:t>万元，完成预算100%。</w:t>
      </w:r>
    </w:p>
    <w:p w14:paraId="69FE1768">
      <w:pPr>
        <w:spacing w:line="600" w:lineRule="exact"/>
        <w:ind w:firstLine="640"/>
        <w:rPr>
          <w:rFonts w:hint="eastAsia" w:eastAsia="仿宋_GB2312" w:cs="仿宋_GB2312"/>
          <w:sz w:val="32"/>
          <w:szCs w:val="32"/>
        </w:rPr>
      </w:pPr>
      <w:r>
        <w:rPr>
          <w:rFonts w:hint="eastAsia" w:eastAsia="仿宋_GB2312" w:cs="仿宋_GB2312"/>
          <w:sz w:val="32"/>
          <w:szCs w:val="32"/>
        </w:rPr>
        <w:t>2.教育（205）普通教育（02）小学教育（02）: 支出决算为</w:t>
      </w:r>
      <w:r>
        <w:rPr>
          <w:rFonts w:hint="eastAsia" w:eastAsia="仿宋_GB2312" w:cs="仿宋_GB2312"/>
          <w:sz w:val="32"/>
          <w:szCs w:val="32"/>
          <w:lang w:val="en-US" w:eastAsia="zh-CN"/>
        </w:rPr>
        <w:t>2.71</w:t>
      </w:r>
      <w:r>
        <w:rPr>
          <w:rFonts w:hint="eastAsia" w:eastAsia="仿宋_GB2312" w:cs="仿宋_GB2312"/>
          <w:sz w:val="32"/>
          <w:szCs w:val="32"/>
        </w:rPr>
        <w:t>万元，完成预算100%。</w:t>
      </w:r>
    </w:p>
    <w:p w14:paraId="41FA65A1">
      <w:pPr>
        <w:spacing w:line="600" w:lineRule="exact"/>
        <w:ind w:firstLine="640"/>
        <w:rPr>
          <w:rFonts w:hint="eastAsia" w:eastAsia="仿宋_GB2312" w:cs="仿宋_GB2312"/>
          <w:sz w:val="32"/>
          <w:szCs w:val="32"/>
        </w:rPr>
      </w:pPr>
      <w:r>
        <w:rPr>
          <w:rFonts w:hint="eastAsia" w:eastAsia="仿宋_GB2312" w:cs="仿宋_GB2312"/>
          <w:sz w:val="32"/>
          <w:szCs w:val="32"/>
        </w:rPr>
        <w:t>3.2.教育（205）普通教育（02）初中教育（03）: 支出决算为</w:t>
      </w:r>
      <w:r>
        <w:rPr>
          <w:rFonts w:hint="eastAsia" w:eastAsia="仿宋_GB2312" w:cs="仿宋_GB2312"/>
          <w:sz w:val="32"/>
          <w:szCs w:val="32"/>
          <w:lang w:val="en-US" w:eastAsia="zh-CN"/>
        </w:rPr>
        <w:t>128.77</w:t>
      </w:r>
      <w:r>
        <w:rPr>
          <w:rFonts w:hint="eastAsia" w:eastAsia="仿宋_GB2312" w:cs="仿宋_GB2312"/>
          <w:sz w:val="32"/>
          <w:szCs w:val="32"/>
        </w:rPr>
        <w:t>万元，完成预算100%。</w:t>
      </w:r>
    </w:p>
    <w:p w14:paraId="5F55AA7A">
      <w:pPr>
        <w:spacing w:line="600" w:lineRule="exact"/>
        <w:ind w:firstLine="640"/>
        <w:rPr>
          <w:rFonts w:hint="eastAsia" w:eastAsia="仿宋_GB2312" w:cs="仿宋_GB2312"/>
          <w:sz w:val="32"/>
          <w:szCs w:val="32"/>
        </w:rPr>
      </w:pPr>
      <w:r>
        <w:rPr>
          <w:rFonts w:hint="eastAsia" w:eastAsia="仿宋_GB2312" w:cs="仿宋_GB2312"/>
          <w:sz w:val="32"/>
          <w:szCs w:val="32"/>
        </w:rPr>
        <w:t>4.教育（205）普通教育（02）高中教育（04）: 支出决算为</w:t>
      </w:r>
      <w:r>
        <w:rPr>
          <w:rFonts w:hint="eastAsia" w:eastAsia="仿宋_GB2312" w:cs="仿宋_GB2312"/>
          <w:sz w:val="32"/>
          <w:szCs w:val="32"/>
          <w:lang w:val="en-US" w:eastAsia="zh-CN"/>
        </w:rPr>
        <w:t>542.9</w:t>
      </w:r>
      <w:r>
        <w:rPr>
          <w:rFonts w:hint="eastAsia" w:eastAsia="仿宋_GB2312" w:cs="仿宋_GB2312"/>
          <w:sz w:val="32"/>
          <w:szCs w:val="32"/>
        </w:rPr>
        <w:t>万元，完成预算100%。</w:t>
      </w:r>
    </w:p>
    <w:p w14:paraId="125F3BBB">
      <w:pPr>
        <w:spacing w:line="600" w:lineRule="exact"/>
        <w:ind w:firstLine="640"/>
        <w:rPr>
          <w:rFonts w:hint="eastAsia" w:eastAsia="仿宋_GB2312" w:cs="仿宋_GB2312"/>
          <w:sz w:val="32"/>
          <w:szCs w:val="32"/>
        </w:rPr>
      </w:pPr>
      <w:r>
        <w:rPr>
          <w:rFonts w:hint="eastAsia" w:eastAsia="仿宋_GB2312" w:cs="仿宋_GB2312"/>
          <w:sz w:val="32"/>
          <w:szCs w:val="32"/>
        </w:rPr>
        <w:t>5. 教育（205）职业教育（03）中等职业教育（02）: 支出决算为</w:t>
      </w:r>
      <w:r>
        <w:rPr>
          <w:rFonts w:hint="eastAsia" w:eastAsia="仿宋_GB2312" w:cs="仿宋_GB2312"/>
          <w:sz w:val="32"/>
          <w:szCs w:val="32"/>
          <w:lang w:val="en-US" w:eastAsia="zh-CN"/>
        </w:rPr>
        <w:t>834.6</w:t>
      </w:r>
      <w:r>
        <w:rPr>
          <w:rFonts w:hint="eastAsia" w:eastAsia="仿宋_GB2312" w:cs="仿宋_GB2312"/>
          <w:sz w:val="32"/>
          <w:szCs w:val="32"/>
        </w:rPr>
        <w:t>万元，完成预算100%。</w:t>
      </w:r>
    </w:p>
    <w:p w14:paraId="4CEA3C0E">
      <w:pPr>
        <w:spacing w:line="600" w:lineRule="exact"/>
        <w:ind w:firstLine="640"/>
        <w:rPr>
          <w:rFonts w:eastAsia="仿宋_GB2312" w:cs="仿宋_GB2312"/>
          <w:sz w:val="32"/>
          <w:szCs w:val="32"/>
        </w:rPr>
      </w:pPr>
      <w:r>
        <w:rPr>
          <w:rFonts w:hint="eastAsia" w:eastAsia="仿宋_GB2312" w:cs="仿宋_GB2312"/>
          <w:sz w:val="32"/>
          <w:szCs w:val="32"/>
        </w:rPr>
        <w:t>6. 教育（205）教育费附加安排的支出（09）其他教育费附加安排的支出（99）: 支出决算为</w:t>
      </w:r>
      <w:r>
        <w:rPr>
          <w:rFonts w:hint="eastAsia" w:eastAsia="仿宋_GB2312" w:cs="仿宋_GB2312"/>
          <w:sz w:val="32"/>
          <w:szCs w:val="32"/>
          <w:lang w:val="en-US" w:eastAsia="zh-CN"/>
        </w:rPr>
        <w:t>398.73</w:t>
      </w:r>
      <w:r>
        <w:rPr>
          <w:rFonts w:hint="eastAsia" w:eastAsia="仿宋_GB2312" w:cs="仿宋_GB2312"/>
          <w:sz w:val="32"/>
          <w:szCs w:val="32"/>
        </w:rPr>
        <w:t>万元，完成预算100%。</w:t>
      </w:r>
    </w:p>
    <w:p w14:paraId="21C5CD28">
      <w:pPr>
        <w:tabs>
          <w:tab w:val="right" w:pos="8306"/>
        </w:tabs>
        <w:spacing w:line="600" w:lineRule="exact"/>
        <w:ind w:firstLine="640"/>
        <w:outlineLvl w:val="1"/>
        <w:rPr>
          <w:rStyle w:val="29"/>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4"/>
      <w:bookmarkEnd w:id="35"/>
      <w:r>
        <w:rPr>
          <w:rStyle w:val="29"/>
          <w:rFonts w:ascii="Times New Roman" w:hAnsi="Times New Roman" w:eastAsia="黑体"/>
          <w:b w:val="0"/>
        </w:rPr>
        <w:tab/>
      </w:r>
    </w:p>
    <w:p w14:paraId="269B8633">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246.07</w:t>
      </w:r>
      <w:r>
        <w:rPr>
          <w:rFonts w:hint="eastAsia" w:eastAsia="仿宋_GB2312" w:cs="仿宋_GB2312"/>
          <w:sz w:val="32"/>
          <w:szCs w:val="32"/>
        </w:rPr>
        <w:t>万元，其中：</w:t>
      </w:r>
    </w:p>
    <w:p w14:paraId="5B48912B">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230.71</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15.36</w:t>
      </w:r>
      <w:r>
        <w:rPr>
          <w:rFonts w:hint="eastAsia" w:eastAsia="仿宋_GB2312" w:cs="仿宋_GB2312"/>
          <w:sz w:val="32"/>
          <w:szCs w:val="32"/>
        </w:rPr>
        <w:t>万元，主要包括：办公费、水费、电费、邮电费、物业管理费、差旅费、租赁费、劳务费、委托业务费、工会经费、福利费、公务用车运行维护费、信息网络及软件购置更新。</w:t>
      </w:r>
    </w:p>
    <w:p w14:paraId="7033A466">
      <w:pPr>
        <w:spacing w:line="600" w:lineRule="exact"/>
        <w:ind w:firstLine="640"/>
        <w:outlineLvl w:val="1"/>
        <w:rPr>
          <w:rStyle w:val="29"/>
          <w:rFonts w:ascii="Times New Roman" w:hAnsi="Times New Roman" w:eastAsia="黑体"/>
          <w:b w:val="0"/>
        </w:rPr>
      </w:pPr>
      <w:bookmarkStart w:id="36" w:name="_Toc15396609"/>
      <w:bookmarkStart w:id="37"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6"/>
      <w:bookmarkEnd w:id="37"/>
    </w:p>
    <w:p w14:paraId="0392F4B7">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（一）财政拨款“三公”经费支出决算总体情况说明</w:t>
      </w:r>
      <w:bookmarkEnd w:id="38"/>
    </w:p>
    <w:p w14:paraId="25A074C0">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1.1</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%，较上年度减少</w:t>
      </w:r>
      <w:r>
        <w:rPr>
          <w:rFonts w:hint="eastAsia" w:eastAsia="仿宋_GB2312" w:cs="仿宋_GB2312"/>
          <w:sz w:val="32"/>
          <w:szCs w:val="32"/>
          <w:lang w:val="en-US" w:eastAsia="zh-CN"/>
        </w:rPr>
        <w:t>0.03</w:t>
      </w:r>
      <w:r>
        <w:rPr>
          <w:rFonts w:hint="eastAsia" w:eastAsia="仿宋_GB2312" w:cs="仿宋_GB2312"/>
          <w:sz w:val="32"/>
          <w:szCs w:val="32"/>
        </w:rPr>
        <w:t>万元，下降</w:t>
      </w:r>
      <w:r>
        <w:rPr>
          <w:rFonts w:hint="eastAsia" w:eastAsia="仿宋_GB2312" w:cs="仿宋_GB2312"/>
          <w:sz w:val="32"/>
          <w:szCs w:val="32"/>
          <w:lang w:val="en-US" w:eastAsia="zh-CN"/>
        </w:rPr>
        <w:t>2.65</w:t>
      </w:r>
      <w:r>
        <w:rPr>
          <w:rFonts w:hint="eastAsia" w:eastAsia="仿宋_GB2312" w:cs="仿宋_GB2312"/>
          <w:sz w:val="32"/>
          <w:szCs w:val="32"/>
        </w:rPr>
        <w:t>%。</w:t>
      </w:r>
    </w:p>
    <w:p w14:paraId="79F6631D">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（二）财政拨款“三公”经费支出决算具体情况说明</w:t>
      </w:r>
      <w:bookmarkEnd w:id="39"/>
    </w:p>
    <w:p w14:paraId="3995FB3E">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ascii="仿宋_GB2312" w:hAnsi="仿宋_GB2312" w:eastAsia="仿宋_GB2312" w:cs="仿宋_GB2312"/>
          <w:sz w:val="32"/>
          <w:szCs w:val="32"/>
        </w:rPr>
        <w:t>1.1</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%；公务接待费支出决算</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500EAD7C">
      <w:pPr>
        <w:spacing w:line="600" w:lineRule="exact"/>
        <w:ind w:firstLine="640"/>
        <w:rPr>
          <w:rFonts w:hint="eastAsia" w:eastAsia="仿宋_GB2312" w:cs="仿宋_GB2312"/>
          <w:sz w:val="32"/>
          <w:szCs w:val="32"/>
        </w:rPr>
      </w:pPr>
      <w:r>
        <w:rPr>
          <w:rFonts w:hint="eastAsia" w:eastAsia="仿宋_GB2312" w:cs="仿宋_GB2312"/>
          <w:sz w:val="32"/>
          <w:szCs w:val="32"/>
        </w:rPr>
        <w:t>（图7：财政拨款“三公”经费支出结构）（饼状图）</w:t>
      </w:r>
    </w:p>
    <w:p w14:paraId="070BF961">
      <w:pPr>
        <w:pStyle w:val="2"/>
      </w:pPr>
      <w:r>
        <w:rPr>
          <w:rFonts w:hint="eastAsia" w:eastAsia="仿宋_GB2312" w:cs="仿宋_GB2312"/>
          <w:sz w:val="32"/>
          <w:szCs w:val="32"/>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B7F90B">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p>
    <w:p w14:paraId="4F591A1B">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1.1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年度减少0.0</w:t>
      </w:r>
      <w:r>
        <w:rPr>
          <w:rFonts w:hint="eastAsia" w:eastAsia="仿宋_GB2312" w:cs="仿宋_GB2312"/>
          <w:sz w:val="32"/>
          <w:szCs w:val="32"/>
          <w:lang w:val="en-US" w:eastAsia="zh-CN"/>
        </w:rPr>
        <w:t>3</w:t>
      </w:r>
      <w:r>
        <w:rPr>
          <w:rFonts w:hint="eastAsia" w:eastAsia="仿宋_GB2312" w:cs="仿宋_GB2312"/>
          <w:sz w:val="32"/>
          <w:szCs w:val="32"/>
        </w:rPr>
        <w:t>万元，下降</w:t>
      </w:r>
      <w:r>
        <w:rPr>
          <w:rFonts w:hint="eastAsia" w:eastAsia="仿宋_GB2312" w:cs="仿宋_GB2312"/>
          <w:sz w:val="32"/>
          <w:szCs w:val="32"/>
          <w:lang w:val="en-US" w:eastAsia="zh-CN"/>
        </w:rPr>
        <w:t>2.65</w:t>
      </w:r>
      <w:r>
        <w:rPr>
          <w:rFonts w:hint="eastAsia" w:eastAsia="仿宋_GB2312" w:cs="仿宋_GB2312"/>
          <w:sz w:val="32"/>
          <w:szCs w:val="32"/>
        </w:rPr>
        <w:t>%。主要原因是过紧日子。</w:t>
      </w:r>
    </w:p>
    <w:p w14:paraId="5A671CBC">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648B2CB8">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1.1</w:t>
      </w:r>
      <w:r>
        <w:rPr>
          <w:rFonts w:hint="eastAsia" w:eastAsia="仿宋_GB2312" w:cs="仿宋_GB2312"/>
          <w:sz w:val="32"/>
          <w:szCs w:val="32"/>
        </w:rPr>
        <w:t>万元。主要用于</w:t>
      </w:r>
      <w:r>
        <w:rPr>
          <w:rFonts w:hint="eastAsia" w:ascii="仿宋_GB2312" w:eastAsia="仿宋_GB2312"/>
          <w:sz w:val="32"/>
          <w:szCs w:val="32"/>
        </w:rPr>
        <w:t>市内交通，到县区、学校检查指导工作等</w:t>
      </w:r>
      <w:r>
        <w:rPr>
          <w:rFonts w:hint="eastAsia" w:eastAsia="仿宋_GB2312" w:cs="仿宋_GB2312"/>
          <w:sz w:val="32"/>
          <w:szCs w:val="32"/>
        </w:rPr>
        <w:t>所需的公务用车燃料费、维修费、过路过桥费、保险费等支出。</w:t>
      </w:r>
    </w:p>
    <w:p w14:paraId="1F8B7445">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公务接待费支出决算与202</w:t>
      </w:r>
      <w:r>
        <w:rPr>
          <w:rFonts w:hint="eastAsia" w:eastAsia="仿宋_GB2312" w:cs="仿宋_GB2312"/>
          <w:sz w:val="32"/>
          <w:szCs w:val="32"/>
          <w:lang w:val="en-US" w:eastAsia="zh-CN"/>
        </w:rPr>
        <w:t>4</w:t>
      </w:r>
      <w:r>
        <w:rPr>
          <w:rFonts w:hint="eastAsia" w:eastAsia="仿宋_GB2312" w:cs="仿宋_GB2312"/>
          <w:sz w:val="32"/>
          <w:szCs w:val="32"/>
        </w:rPr>
        <w:t>年持平。</w:t>
      </w:r>
      <w:r>
        <w:rPr>
          <w:rFonts w:hint="eastAsia" w:ascii="仿宋_GB2312" w:eastAsia="仿宋_GB2312"/>
          <w:sz w:val="32"/>
          <w:szCs w:val="32"/>
        </w:rPr>
        <w:t>主要原因是无</w:t>
      </w:r>
      <w:r>
        <w:rPr>
          <w:rFonts w:ascii="仿宋_GB2312" w:eastAsia="仿宋_GB2312"/>
          <w:sz w:val="32"/>
          <w:szCs w:val="32"/>
        </w:rPr>
        <w:t>此项支出</w:t>
      </w:r>
      <w:r>
        <w:rPr>
          <w:rFonts w:hint="eastAsia" w:eastAsia="仿宋_GB2312" w:cs="仿宋_GB2312"/>
          <w:sz w:val="32"/>
          <w:szCs w:val="32"/>
        </w:rPr>
        <w:t>。其中：</w:t>
      </w:r>
    </w:p>
    <w:p w14:paraId="65A1C530">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w:t>
      </w:r>
      <w:r>
        <w:rPr>
          <w:rFonts w:hint="eastAsia" w:eastAsia="仿宋_GB2312" w:cs="仿宋_GB2312"/>
          <w:sz w:val="32"/>
          <w:szCs w:val="32"/>
        </w:rPr>
        <w:t>万元。</w:t>
      </w:r>
    </w:p>
    <w:p w14:paraId="21873C11">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w:t>
      </w:r>
      <w:bookmarkStart w:id="40" w:name="_Toc15396610"/>
      <w:bookmarkStart w:id="41" w:name="_Toc15377218"/>
    </w:p>
    <w:p w14:paraId="5B0E9DF3">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0"/>
      <w:bookmarkEnd w:id="41"/>
    </w:p>
    <w:p w14:paraId="570A6651">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45.08</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2.04</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45.08</w:t>
      </w:r>
      <w:r>
        <w:rPr>
          <w:rFonts w:hint="eastAsia" w:eastAsia="仿宋_GB2312" w:cs="仿宋_GB2312"/>
          <w:sz w:val="32"/>
          <w:szCs w:val="32"/>
        </w:rPr>
        <w:t>万元，增长</w:t>
      </w:r>
      <w:r>
        <w:rPr>
          <w:rFonts w:hint="eastAsia" w:eastAsia="仿宋_GB2312" w:cs="仿宋_GB2312"/>
          <w:sz w:val="32"/>
          <w:szCs w:val="32"/>
          <w:lang w:val="en-US" w:eastAsia="zh-CN"/>
        </w:rPr>
        <w:t>100</w:t>
      </w:r>
      <w:r>
        <w:rPr>
          <w:rFonts w:hint="eastAsia" w:eastAsia="仿宋_GB2312" w:cs="仿宋_GB2312"/>
          <w:sz w:val="32"/>
          <w:szCs w:val="32"/>
        </w:rPr>
        <w:t>%。主要变动原因是</w:t>
      </w:r>
      <w:r>
        <w:rPr>
          <w:rFonts w:hint="eastAsia" w:eastAsia="仿宋_GB2312" w:cs="仿宋_GB2312"/>
          <w:sz w:val="32"/>
          <w:szCs w:val="32"/>
          <w:lang w:val="en-US" w:eastAsia="zh-CN"/>
        </w:rPr>
        <w:t>2025年发放2024和2025年度两年的体育彩票助学金。</w:t>
      </w:r>
    </w:p>
    <w:p w14:paraId="21AA7D34">
      <w:pPr>
        <w:spacing w:line="600" w:lineRule="exact"/>
        <w:ind w:left="630"/>
        <w:outlineLvl w:val="1"/>
        <w:rPr>
          <w:rStyle w:val="29"/>
          <w:rFonts w:ascii="Times New Roman" w:hAnsi="Times New Roman" w:eastAsia="黑体"/>
          <w:b w:val="0"/>
        </w:rPr>
      </w:pPr>
      <w:bookmarkStart w:id="42" w:name="_Toc15377219"/>
      <w:bookmarkStart w:id="43" w:name="_Toc15396611"/>
      <w:r>
        <w:rPr>
          <w:rStyle w:val="29"/>
          <w:rFonts w:hint="eastAsia" w:ascii="Times New Roman" w:hAnsi="Times New Roman" w:eastAsia="黑体"/>
          <w:b w:val="0"/>
        </w:rPr>
        <w:t>九、国有资本经营预算支出决算情况说明</w:t>
      </w:r>
      <w:bookmarkEnd w:id="42"/>
      <w:bookmarkEnd w:id="43"/>
    </w:p>
    <w:p w14:paraId="382F9901">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w:t>
      </w:r>
      <w:r>
        <w:rPr>
          <w:rFonts w:hint="eastAsia" w:eastAsia="仿宋_GB2312" w:cs="仿宋_GB2312"/>
          <w:sz w:val="32"/>
          <w:szCs w:val="32"/>
          <w:lang w:eastAsia="zh-CN"/>
        </w:rPr>
        <w:t>，与上年度持平。</w:t>
      </w:r>
    </w:p>
    <w:p w14:paraId="7A4AEC3B">
      <w:pPr>
        <w:spacing w:line="600" w:lineRule="exact"/>
        <w:ind w:left="630"/>
        <w:outlineLvl w:val="1"/>
        <w:rPr>
          <w:rStyle w:val="29"/>
          <w:rFonts w:ascii="Times New Roman" w:hAnsi="Times New Roman" w:eastAsia="黑体"/>
          <w:b w:val="0"/>
        </w:rPr>
      </w:pPr>
      <w:bookmarkStart w:id="44" w:name="_Toc15377221"/>
      <w:bookmarkStart w:id="45" w:name="_Toc15396612"/>
      <w:r>
        <w:rPr>
          <w:rStyle w:val="29"/>
          <w:rFonts w:hint="eastAsia" w:ascii="Times New Roman" w:hAnsi="Times New Roman" w:eastAsia="黑体"/>
          <w:b w:val="0"/>
        </w:rPr>
        <w:t>十、其他重要事项的情况说明</w:t>
      </w:r>
      <w:bookmarkEnd w:id="44"/>
      <w:bookmarkEnd w:id="45"/>
    </w:p>
    <w:p w14:paraId="62F8FC23">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5262F07C">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攀枝花市学校后勤保障服务中心</w:t>
      </w:r>
      <w:r>
        <w:rPr>
          <w:rFonts w:hint="eastAsia" w:eastAsia="仿宋_GB2312" w:cs="仿宋_GB2312"/>
          <w:sz w:val="32"/>
          <w:szCs w:val="32"/>
        </w:rPr>
        <w:t>机关运行经费支出</w:t>
      </w:r>
      <w:r>
        <w:rPr>
          <w:rFonts w:hint="eastAsia" w:ascii="仿宋_GB2312" w:hAnsi="仿宋_GB2312" w:eastAsia="仿宋_GB2312" w:cs="仿宋_GB2312"/>
          <w:sz w:val="32"/>
          <w:szCs w:val="32"/>
        </w:rPr>
        <w:t>0</w:t>
      </w:r>
      <w:r>
        <w:rPr>
          <w:rFonts w:hint="eastAsia" w:eastAsia="仿宋_GB2312" w:cs="仿宋_GB2312"/>
          <w:sz w:val="32"/>
          <w:szCs w:val="32"/>
        </w:rPr>
        <w:t>万元，</w:t>
      </w:r>
      <w:r>
        <w:rPr>
          <w:rFonts w:hint="eastAsia" w:eastAsia="仿宋_GB2312" w:cs="仿宋_GB2312"/>
          <w:sz w:val="32"/>
          <w:szCs w:val="32"/>
          <w:lang w:eastAsia="zh-CN"/>
        </w:rPr>
        <w:t>与上年持平。</w:t>
      </w:r>
    </w:p>
    <w:p w14:paraId="28E3802B">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0B110EBA">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攀枝花市学校后勤保障服务中心</w:t>
      </w:r>
      <w:r>
        <w:rPr>
          <w:rFonts w:hint="eastAsia" w:eastAsia="仿宋_GB2312" w:cs="仿宋_GB2312"/>
          <w:sz w:val="32"/>
          <w:szCs w:val="32"/>
        </w:rPr>
        <w:t>政府采购支出总额</w:t>
      </w:r>
      <w:r>
        <w:rPr>
          <w:rFonts w:hint="eastAsia" w:ascii="仿宋_GB2312" w:hAnsi="仿宋_GB2312" w:eastAsia="仿宋_GB2312" w:cs="仿宋_GB2312"/>
          <w:sz w:val="32"/>
          <w:szCs w:val="32"/>
        </w:rPr>
        <w:t>0.66</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0</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0.66</w:t>
      </w:r>
      <w:r>
        <w:rPr>
          <w:rFonts w:hint="eastAsia" w:eastAsia="仿宋_GB2312" w:cs="仿宋_GB2312"/>
          <w:sz w:val="32"/>
          <w:szCs w:val="32"/>
        </w:rPr>
        <w:t>万元。主要</w:t>
      </w:r>
      <w:r>
        <w:rPr>
          <w:rFonts w:hint="eastAsia" w:eastAsia="仿宋_GB2312" w:cs="仿宋_GB2312"/>
          <w:sz w:val="32"/>
          <w:szCs w:val="32"/>
          <w:lang w:eastAsia="zh-CN"/>
        </w:rPr>
        <w:t>为公务车燃油费和保险</w:t>
      </w:r>
      <w:r>
        <w:rPr>
          <w:rFonts w:hint="eastAsia" w:eastAsia="仿宋_GB2312" w:cs="仿宋_GB2312"/>
          <w:sz w:val="32"/>
          <w:szCs w:val="32"/>
        </w:rPr>
        <w:t>。授予中小企业合同金额</w:t>
      </w:r>
      <w:r>
        <w:rPr>
          <w:rFonts w:hint="eastAsia" w:ascii="仿宋_GB2312" w:hAnsi="仿宋_GB2312" w:eastAsia="仿宋_GB2312" w:cs="仿宋_GB2312"/>
          <w:sz w:val="32"/>
          <w:szCs w:val="32"/>
        </w:rPr>
        <w:t>0.66</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100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0.66</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100</w:t>
      </w:r>
      <w:r>
        <w:rPr>
          <w:rFonts w:hint="eastAsia" w:eastAsia="仿宋_GB2312" w:cs="仿宋_GB2312"/>
          <w:sz w:val="32"/>
          <w:szCs w:val="32"/>
        </w:rPr>
        <w:t>%。</w:t>
      </w:r>
    </w:p>
    <w:p w14:paraId="021B073F">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7B8DFC49">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攀枝花市学校后勤保障服务中心</w:t>
      </w:r>
      <w:r>
        <w:rPr>
          <w:rFonts w:hint="eastAsia" w:eastAsia="仿宋_GB2312" w:cs="仿宋_GB2312"/>
          <w:sz w:val="32"/>
          <w:szCs w:val="32"/>
        </w:rPr>
        <w:t>共有车辆</w:t>
      </w:r>
      <w:r>
        <w:rPr>
          <w:rFonts w:hint="eastAsia" w:ascii="仿宋_GB2312" w:hAnsi="仿宋_GB2312" w:eastAsia="仿宋_GB2312" w:cs="仿宋_GB2312"/>
          <w:sz w:val="32"/>
          <w:szCs w:val="32"/>
        </w:rPr>
        <w:t>1</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1</w:t>
      </w:r>
      <w:r>
        <w:rPr>
          <w:rFonts w:hint="eastAsia" w:eastAsia="仿宋_GB2312" w:cs="仿宋_GB2312"/>
          <w:sz w:val="32"/>
          <w:szCs w:val="32"/>
        </w:rPr>
        <w:t>辆，其他用车主要是用于</w:t>
      </w:r>
      <w:r>
        <w:rPr>
          <w:rFonts w:hint="eastAsia" w:ascii="仿宋_GB2312" w:eastAsia="仿宋_GB2312"/>
          <w:sz w:val="32"/>
          <w:szCs w:val="32"/>
        </w:rPr>
        <w:t>市内交通，到县区、学校检查指导工作等</w:t>
      </w:r>
      <w:r>
        <w:rPr>
          <w:rFonts w:hint="eastAsia" w:eastAsia="仿宋_GB2312" w:cs="仿宋_GB2312"/>
          <w:sz w:val="32"/>
          <w:szCs w:val="32"/>
        </w:rPr>
        <w:t>。单价100万元（含）以上设备（不含车辆）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04C72543">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1994E94B">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本单位</w:t>
      </w:r>
      <w:r>
        <w:rPr>
          <w:rFonts w:hint="eastAsia" w:eastAsia="仿宋_GB2312" w:cs="仿宋_GB2312"/>
          <w:sz w:val="32"/>
          <w:szCs w:val="32"/>
        </w:rPr>
        <w:t>在2025年度，组织对</w:t>
      </w:r>
      <w:r>
        <w:rPr>
          <w:rFonts w:hint="eastAsia" w:hAnsi="仿宋_GB2312" w:cs="仿宋_GB2312"/>
          <w:sz w:val="32"/>
          <w:szCs w:val="32"/>
        </w:rPr>
        <w:t>学前</w:t>
      </w:r>
      <w:r>
        <w:rPr>
          <w:rFonts w:hAnsi="仿宋_GB2312" w:cs="仿宋_GB2312"/>
          <w:sz w:val="32"/>
          <w:szCs w:val="32"/>
        </w:rPr>
        <w:t>减免保教费（一</w:t>
      </w:r>
      <w:r>
        <w:rPr>
          <w:rFonts w:hint="eastAsia" w:hAnsi="仿宋_GB2312" w:cs="仿宋_GB2312"/>
          <w:sz w:val="32"/>
          <w:szCs w:val="32"/>
        </w:rPr>
        <w:t>卡</w:t>
      </w:r>
      <w:r>
        <w:rPr>
          <w:rFonts w:hAnsi="仿宋_GB2312" w:cs="仿宋_GB2312"/>
          <w:sz w:val="32"/>
          <w:szCs w:val="32"/>
        </w:rPr>
        <w:t>通代发保教费）</w:t>
      </w:r>
      <w:r>
        <w:rPr>
          <w:rFonts w:hint="eastAsia" w:eastAsia="仿宋_GB2312" w:cs="仿宋_GB2312"/>
          <w:sz w:val="32"/>
          <w:szCs w:val="32"/>
        </w:rPr>
        <w:t>等</w:t>
      </w:r>
      <w:r>
        <w:rPr>
          <w:rFonts w:hint="eastAsia" w:eastAsia="仿宋_GB2312" w:cs="仿宋_GB2312"/>
          <w:sz w:val="32"/>
          <w:szCs w:val="32"/>
          <w:lang w:val="en-US" w:eastAsia="zh-CN"/>
        </w:rPr>
        <w:t>38</w:t>
      </w:r>
      <w:r>
        <w:rPr>
          <w:rFonts w:hint="eastAsia" w:eastAsia="仿宋_GB2312" w:cs="仿宋_GB2312"/>
          <w:sz w:val="32"/>
          <w:szCs w:val="32"/>
        </w:rPr>
        <w:t>个项目涉及金额</w:t>
      </w:r>
      <w:r>
        <w:rPr>
          <w:rFonts w:hint="eastAsia" w:eastAsia="仿宋_GB2312" w:cs="仿宋_GB2312"/>
          <w:sz w:val="32"/>
          <w:szCs w:val="32"/>
          <w:lang w:val="en-US" w:eastAsia="zh-CN"/>
        </w:rPr>
        <w:t>2095.85</w:t>
      </w:r>
      <w:r>
        <w:rPr>
          <w:rFonts w:hint="eastAsia" w:eastAsia="仿宋_GB2312" w:cs="仿宋_GB2312"/>
          <w:sz w:val="32"/>
          <w:szCs w:val="32"/>
        </w:rPr>
        <w:t>万元开展了事前绩效评估，对</w:t>
      </w:r>
      <w:r>
        <w:rPr>
          <w:rFonts w:hint="eastAsia" w:eastAsia="仿宋_GB2312" w:cs="仿宋_GB2312"/>
          <w:sz w:val="32"/>
          <w:szCs w:val="32"/>
          <w:lang w:val="en-US" w:eastAsia="zh-CN"/>
        </w:rPr>
        <w:t>38</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30</w:t>
      </w:r>
      <w:r>
        <w:rPr>
          <w:rFonts w:hint="eastAsia" w:eastAsia="仿宋_GB2312" w:cs="仿宋_GB2312"/>
          <w:sz w:val="32"/>
          <w:szCs w:val="32"/>
        </w:rPr>
        <w:t>个项目开展绩效监控。</w:t>
      </w:r>
    </w:p>
    <w:p w14:paraId="56F8422A">
      <w:pPr>
        <w:spacing w:line="600" w:lineRule="exact"/>
        <w:ind w:firstLine="640"/>
        <w:rPr>
          <w:rFonts w:eastAsia="仿宋_GB2312" w:cs="仿宋_GB2312"/>
          <w:sz w:val="32"/>
          <w:szCs w:val="32"/>
        </w:rPr>
      </w:pPr>
      <w:r>
        <w:rPr>
          <w:rFonts w:hint="eastAsia" w:eastAsia="仿宋_GB2312" w:cs="仿宋_GB2312"/>
          <w:sz w:val="32"/>
          <w:szCs w:val="32"/>
        </w:rPr>
        <w:t>组织对202</w:t>
      </w:r>
      <w:r>
        <w:rPr>
          <w:rFonts w:hint="eastAsia" w:eastAsia="仿宋_GB2312" w:cs="仿宋_GB2312"/>
          <w:sz w:val="32"/>
          <w:szCs w:val="32"/>
          <w:lang w:val="en-US" w:eastAsia="zh-CN"/>
        </w:rPr>
        <w:t>5</w:t>
      </w:r>
      <w:r>
        <w:rPr>
          <w:rFonts w:hint="eastAsia" w:eastAsia="仿宋_GB2312" w:cs="仿宋_GB2312"/>
          <w:sz w:val="32"/>
          <w:szCs w:val="32"/>
        </w:rPr>
        <w:t>年度一般公共预算、政府性基金预算、国有资本经营预算、社会保险基金预算以及资本资产、债券资金等全面开展绩效自评，形成本单位整体（含单位预算项目）绩效自评报告</w:t>
      </w:r>
    </w:p>
    <w:p w14:paraId="630B04DD">
      <w:pPr>
        <w:spacing w:line="600" w:lineRule="exact"/>
        <w:jc w:val="center"/>
        <w:outlineLvl w:val="0"/>
        <w:rPr>
          <w:rFonts w:hint="eastAsia" w:eastAsia="黑体"/>
          <w:sz w:val="44"/>
          <w:szCs w:val="44"/>
        </w:rPr>
      </w:pPr>
      <w:bookmarkStart w:id="49" w:name="_Toc15377225"/>
      <w:bookmarkStart w:id="50" w:name="_Toc15396613"/>
    </w:p>
    <w:p w14:paraId="28DC6374">
      <w:pPr>
        <w:spacing w:line="600" w:lineRule="exact"/>
        <w:jc w:val="center"/>
        <w:outlineLvl w:val="0"/>
        <w:rPr>
          <w:rFonts w:hint="eastAsia" w:eastAsia="黑体"/>
          <w:sz w:val="44"/>
          <w:szCs w:val="44"/>
        </w:rPr>
      </w:pPr>
    </w:p>
    <w:p w14:paraId="503DB15A">
      <w:pPr>
        <w:spacing w:line="600" w:lineRule="exact"/>
        <w:jc w:val="center"/>
        <w:outlineLvl w:val="0"/>
        <w:rPr>
          <w:rFonts w:hint="eastAsia" w:eastAsia="黑体"/>
          <w:sz w:val="44"/>
          <w:szCs w:val="44"/>
        </w:rPr>
      </w:pPr>
    </w:p>
    <w:p w14:paraId="6A02DD53">
      <w:pPr>
        <w:spacing w:line="600" w:lineRule="exact"/>
        <w:jc w:val="center"/>
        <w:outlineLvl w:val="0"/>
        <w:rPr>
          <w:rFonts w:hint="eastAsia" w:eastAsia="黑体"/>
          <w:sz w:val="44"/>
          <w:szCs w:val="44"/>
        </w:rPr>
      </w:pPr>
    </w:p>
    <w:p w14:paraId="45D140C3">
      <w:pPr>
        <w:spacing w:line="600" w:lineRule="exact"/>
        <w:jc w:val="center"/>
        <w:outlineLvl w:val="0"/>
        <w:rPr>
          <w:rFonts w:hint="eastAsia" w:eastAsia="黑体"/>
          <w:sz w:val="44"/>
          <w:szCs w:val="44"/>
        </w:rPr>
      </w:pPr>
    </w:p>
    <w:p w14:paraId="1A7DBD2D">
      <w:pPr>
        <w:spacing w:line="600" w:lineRule="exact"/>
        <w:jc w:val="center"/>
        <w:outlineLvl w:val="0"/>
        <w:rPr>
          <w:rFonts w:eastAsia="黑体"/>
          <w:sz w:val="44"/>
          <w:szCs w:val="44"/>
        </w:rPr>
      </w:pPr>
      <w:r>
        <w:rPr>
          <w:rFonts w:hint="eastAsia" w:eastAsia="黑体"/>
          <w:sz w:val="44"/>
          <w:szCs w:val="44"/>
        </w:rPr>
        <w:t>第三部分  名词解释</w:t>
      </w:r>
      <w:bookmarkEnd w:id="49"/>
      <w:bookmarkEnd w:id="50"/>
    </w:p>
    <w:p w14:paraId="1F513757">
      <w:pPr>
        <w:spacing w:line="600" w:lineRule="exact"/>
        <w:jc w:val="left"/>
        <w:rPr>
          <w:b/>
          <w:sz w:val="44"/>
          <w:szCs w:val="44"/>
        </w:rPr>
      </w:pPr>
    </w:p>
    <w:p w14:paraId="304797DF">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财政拨款收入：指单位从同级财政单位取得的财政预算资金。</w:t>
      </w:r>
    </w:p>
    <w:p w14:paraId="7A0ACFBB">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2D320AB8">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986E71E">
      <w:pPr>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 xml:space="preserve"> 教育（类）普通教育（款）学前教育（项）：指各单位举办的学前教育支出。教育（类）普通教育（款）初中教育（项）指: 教育类普通教育款初中教育支出项。教育（类）普通教育（款）高中教育（项）：反映各单位举办的高级中学教育支出。政府各单位对社会中介组织等举办的高级中学的资助，如捐赠、补贴等，也在本科目中反映。教育（类）教育附加安排的支出（款）其他教育附加安排的支出（项）:反映除农村中小学校舍建设、农村中小学教学设施、城市中小学校舍建设、城市中小学教学设施、中等职业学校教学设施以外的教育费附加支出。教育（类）其他教育支出（款）其他教育支出（项）：其他用于教育方面的支出。</w:t>
      </w:r>
    </w:p>
    <w:p w14:paraId="6857A9AE">
      <w:pPr>
        <w:ind w:firstLine="640" w:firstLineChars="200"/>
        <w:rPr>
          <w:rFonts w:ascii="仿宋_GB2312" w:eastAsia="仿宋_GB2312"/>
          <w:sz w:val="32"/>
          <w:szCs w:val="32"/>
        </w:rPr>
      </w:pPr>
      <w:r>
        <w:rPr>
          <w:rFonts w:ascii="仿宋_GB2312" w:eastAsia="仿宋_GB2312"/>
          <w:sz w:val="32"/>
          <w:szCs w:val="32"/>
        </w:rPr>
        <w:t>5.</w:t>
      </w:r>
      <w:r>
        <w:rPr>
          <w:rFonts w:hint="eastAsia" w:ascii="仿宋_GB2312" w:hAnsi="仿宋" w:eastAsia="仿宋_GB2312" w:cs="仿宋_GB2312"/>
          <w:sz w:val="32"/>
          <w:szCs w:val="32"/>
        </w:rPr>
        <w:t xml:space="preserve"> 文化体育与传媒（类）体育（款）其他体育支出（项）：指反映除上述项目以外的其他体育方面的支出</w:t>
      </w:r>
      <w:r>
        <w:rPr>
          <w:rFonts w:hint="eastAsia" w:ascii="仿宋_GB2312" w:eastAsia="仿宋_GB2312"/>
          <w:sz w:val="32"/>
          <w:szCs w:val="32"/>
        </w:rPr>
        <w:t>。</w:t>
      </w:r>
    </w:p>
    <w:p w14:paraId="3E46536D">
      <w:pPr>
        <w:ind w:firstLine="640" w:firstLineChars="200"/>
        <w:rPr>
          <w:rFonts w:ascii="仿宋_GB2312" w:eastAsia="仿宋_GB2312"/>
          <w:sz w:val="32"/>
          <w:szCs w:val="32"/>
        </w:rPr>
      </w:pPr>
      <w:r>
        <w:rPr>
          <w:rFonts w:ascii="仿宋_GB2312" w:eastAsia="仿宋_GB2312"/>
          <w:sz w:val="32"/>
          <w:szCs w:val="32"/>
        </w:rPr>
        <w:t>6.</w:t>
      </w:r>
      <w:r>
        <w:rPr>
          <w:rFonts w:hint="eastAsia" w:ascii="仿宋_GB2312" w:hAnsi="仿宋" w:eastAsia="仿宋_GB2312" w:cs="仿宋_GB2312"/>
          <w:sz w:val="32"/>
          <w:szCs w:val="32"/>
        </w:rPr>
        <w:t xml:space="preserve"> 社会保障和就业（类）行政事业单位离退休（款）机关事业单位基本养老保险缴费支出（项）：反映机关事业单位实施养老保险制度由单位缴纳的基本养老保险费支出</w:t>
      </w:r>
      <w:r>
        <w:rPr>
          <w:rFonts w:hint="eastAsia" w:ascii="仿宋_GB2312" w:eastAsia="仿宋_GB2312"/>
          <w:sz w:val="32"/>
          <w:szCs w:val="32"/>
        </w:rPr>
        <w:t>。</w:t>
      </w:r>
    </w:p>
    <w:p w14:paraId="689744E3">
      <w:pPr>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w:t>
      </w:r>
      <w:r>
        <w:rPr>
          <w:rFonts w:hint="eastAsia" w:ascii="仿宋_GB2312" w:hAnsi="仿宋" w:eastAsia="仿宋_GB2312" w:cs="仿宋_GB2312"/>
          <w:sz w:val="32"/>
          <w:szCs w:val="32"/>
        </w:rPr>
        <w:t>住房保障（类）住房改革支出（款）住房公积金（项）：指反映行政事业单位按人力资源和社会保障部、财政部规定的基本工资和津贴补贴以及规定比例为职工缴纳的住房公积金</w:t>
      </w:r>
      <w:r>
        <w:rPr>
          <w:rFonts w:hint="eastAsia" w:ascii="仿宋_GB2312" w:eastAsia="仿宋_GB2312"/>
          <w:sz w:val="32"/>
          <w:szCs w:val="32"/>
        </w:rPr>
        <w:t>。</w:t>
      </w:r>
    </w:p>
    <w:p w14:paraId="7E499798">
      <w:pPr>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基本支出：指为保障机构正常运转、完成日常工作任务而发生的人员支出和公用支出。</w:t>
      </w:r>
    </w:p>
    <w:p w14:paraId="60042668">
      <w:pPr>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24C99927">
      <w:pPr>
        <w:ind w:firstLine="640" w:firstLineChars="200"/>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经营支出：指事业单位在专业业务活动及其辅助活动之外开展非独立核算经营活动发生的支出。</w:t>
      </w:r>
    </w:p>
    <w:p w14:paraId="6391F543">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11.</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D9AF23C">
      <w:pPr>
        <w:spacing w:line="600" w:lineRule="exact"/>
        <w:jc w:val="center"/>
        <w:rPr>
          <w:rStyle w:val="28"/>
          <w:rFonts w:eastAsia="黑体"/>
          <w:b w:val="0"/>
        </w:rPr>
      </w:pPr>
      <w:bookmarkStart w:id="51" w:name="_Toc15377226"/>
      <w:bookmarkStart w:id="67" w:name="_GoBack"/>
      <w:bookmarkEnd w:id="67"/>
      <w:r>
        <w:rPr>
          <w:rFonts w:hint="eastAsia" w:eastAsia="仿宋_GB2312" w:cs="仿宋_GB2312"/>
          <w:sz w:val="32"/>
          <w:szCs w:val="32"/>
        </w:rPr>
        <w:br w:type="page"/>
      </w:r>
      <w:bookmarkStart w:id="52" w:name="_Toc15396614"/>
      <w:r>
        <w:rPr>
          <w:rFonts w:hint="eastAsia" w:eastAsia="黑体"/>
          <w:sz w:val="44"/>
          <w:szCs w:val="44"/>
        </w:rPr>
        <w:t>第四部分  附件</w:t>
      </w:r>
      <w:bookmarkEnd w:id="52"/>
    </w:p>
    <w:p w14:paraId="49A29E1B">
      <w:pPr>
        <w:spacing w:line="572" w:lineRule="exact"/>
        <w:jc w:val="left"/>
        <w:outlineLvl w:val="0"/>
        <w:rPr>
          <w:rFonts w:eastAsia="黑体" w:cs="黑体"/>
          <w:color w:val="FF0000"/>
          <w:sz w:val="32"/>
          <w:szCs w:val="32"/>
        </w:rPr>
      </w:pPr>
    </w:p>
    <w:p w14:paraId="3B17379E">
      <w:pPr>
        <w:pStyle w:val="8"/>
        <w:spacing w:line="560" w:lineRule="exact"/>
        <w:rPr>
          <w:rFonts w:ascii="Times New Roman" w:eastAsia="仿宋_GB2312"/>
          <w:sz w:val="32"/>
          <w:lang w:val="zh-CN" w:bidi="ar"/>
        </w:rPr>
      </w:pPr>
    </w:p>
    <w:p w14:paraId="375EBF1B">
      <w:pPr>
        <w:pStyle w:val="8"/>
        <w:spacing w:line="560" w:lineRule="exact"/>
        <w:ind w:left="0" w:leftChars="0" w:firstLine="640"/>
        <w:rPr>
          <w:rFonts w:ascii="Times New Roman" w:eastAsia="仿宋_GB2312"/>
          <w:sz w:val="32"/>
          <w:lang w:val="zh-CN" w:bidi="ar"/>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部门预算项目支出绩效自评表（2025年度）</w:t>
      </w:r>
    </w:p>
    <w:p w14:paraId="2E2F7F81">
      <w:pPr>
        <w:pStyle w:val="8"/>
        <w:spacing w:line="560" w:lineRule="exact"/>
        <w:ind w:left="0" w:leftChars="0" w:firstLine="0" w:firstLineChars="0"/>
        <w:rPr>
          <w:rFonts w:ascii="Times New Roman"/>
          <w:sz w:val="32"/>
          <w:highlight w:val="yellow"/>
          <w:lang w:val="zh-CN"/>
        </w:rPr>
      </w:pPr>
    </w:p>
    <w:p w14:paraId="1D287B94">
      <w:pPr>
        <w:pStyle w:val="6"/>
        <w:spacing w:before="93"/>
        <w:rPr>
          <w:rFonts w:ascii="Times New Roman" w:cs="宋体"/>
          <w:color w:val="FF0000"/>
          <w:sz w:val="32"/>
          <w:szCs w:val="32"/>
          <w:highlight w:val="yellow"/>
          <w:shd w:val="clear" w:color="auto" w:fill="FFFFFF"/>
          <w:lang w:val="zh-CN"/>
        </w:rPr>
      </w:pPr>
    </w:p>
    <w:p w14:paraId="005D9603">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13FCD215">
      <w:pPr>
        <w:spacing w:line="578" w:lineRule="exact"/>
        <w:rPr>
          <w:rFonts w:eastAsia="仿宋_GB2312" w:cs="仿宋_GB2312"/>
          <w:kern w:val="0"/>
          <w:sz w:val="32"/>
          <w:szCs w:val="32"/>
        </w:rPr>
      </w:pPr>
      <w:bookmarkStart w:id="53" w:name="_Toc15396618"/>
    </w:p>
    <w:p w14:paraId="73CC7847">
      <w:pPr>
        <w:widowControl/>
        <w:jc w:val="center"/>
        <w:rPr>
          <w:rFonts w:eastAsia="仿宋"/>
        </w:rPr>
      </w:pPr>
      <w:r>
        <w:rPr>
          <w:rFonts w:hint="eastAsia" w:eastAsia="黑体"/>
          <w:sz w:val="44"/>
          <w:szCs w:val="44"/>
        </w:rPr>
        <w:t>第</w:t>
      </w:r>
      <w:r>
        <w:rPr>
          <w:rStyle w:val="28"/>
          <w:rFonts w:hint="eastAsia" w:eastAsia="黑体"/>
          <w:b w:val="0"/>
        </w:rPr>
        <w:t>五部分 附表</w:t>
      </w:r>
      <w:bookmarkEnd w:id="51"/>
      <w:bookmarkEnd w:id="53"/>
      <w:bookmarkStart w:id="54" w:name="_Toc15396619"/>
    </w:p>
    <w:p w14:paraId="38B86F59">
      <w:pPr>
        <w:pStyle w:val="15"/>
        <w:adjustRightInd w:val="0"/>
        <w:snapToGrid w:val="0"/>
        <w:spacing w:line="560" w:lineRule="exact"/>
        <w:jc w:val="left"/>
        <w:rPr>
          <w:rFonts w:eastAsia="仿宋_GB2312" w:cs="仿宋_GB2312"/>
          <w:sz w:val="32"/>
          <w:szCs w:val="32"/>
        </w:rPr>
      </w:pPr>
    </w:p>
    <w:p w14:paraId="4CFC1CD8">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4"/>
    </w:p>
    <w:p w14:paraId="66B936F1">
      <w:pPr>
        <w:pStyle w:val="15"/>
        <w:adjustRightInd w:val="0"/>
        <w:snapToGrid w:val="0"/>
        <w:spacing w:line="560" w:lineRule="exact"/>
        <w:jc w:val="left"/>
        <w:rPr>
          <w:rFonts w:eastAsia="仿宋_GB2312" w:cs="仿宋_GB2312"/>
          <w:sz w:val="32"/>
          <w:szCs w:val="32"/>
        </w:rPr>
      </w:pPr>
      <w:bookmarkStart w:id="55" w:name="_Toc15396620"/>
      <w:r>
        <w:rPr>
          <w:rFonts w:hint="eastAsia" w:eastAsia="仿宋_GB2312" w:cs="仿宋_GB2312"/>
          <w:sz w:val="32"/>
          <w:szCs w:val="32"/>
        </w:rPr>
        <w:t>二、收入决算表</w:t>
      </w:r>
      <w:bookmarkEnd w:id="55"/>
    </w:p>
    <w:p w14:paraId="4DA98CDB">
      <w:pPr>
        <w:pStyle w:val="15"/>
        <w:adjustRightInd w:val="0"/>
        <w:snapToGrid w:val="0"/>
        <w:spacing w:line="560" w:lineRule="exact"/>
        <w:jc w:val="left"/>
        <w:rPr>
          <w:rFonts w:eastAsia="仿宋_GB2312" w:cs="仿宋_GB2312"/>
          <w:sz w:val="32"/>
          <w:szCs w:val="32"/>
        </w:rPr>
      </w:pPr>
      <w:bookmarkStart w:id="56" w:name="_Toc15396621"/>
      <w:r>
        <w:rPr>
          <w:rFonts w:hint="eastAsia" w:eastAsia="仿宋_GB2312" w:cs="仿宋_GB2312"/>
          <w:sz w:val="32"/>
          <w:szCs w:val="32"/>
        </w:rPr>
        <w:t>三、支出决算表</w:t>
      </w:r>
      <w:bookmarkEnd w:id="56"/>
    </w:p>
    <w:p w14:paraId="76C2EF90">
      <w:pPr>
        <w:pStyle w:val="15"/>
        <w:adjustRightInd w:val="0"/>
        <w:snapToGrid w:val="0"/>
        <w:spacing w:line="560" w:lineRule="exact"/>
        <w:jc w:val="left"/>
        <w:rPr>
          <w:rFonts w:eastAsia="仿宋_GB2312" w:cs="仿宋_GB2312"/>
          <w:sz w:val="32"/>
          <w:szCs w:val="32"/>
        </w:rPr>
      </w:pPr>
      <w:bookmarkStart w:id="57" w:name="_Toc15396622"/>
      <w:r>
        <w:rPr>
          <w:rFonts w:hint="eastAsia" w:eastAsia="仿宋_GB2312" w:cs="仿宋_GB2312"/>
          <w:sz w:val="32"/>
          <w:szCs w:val="32"/>
        </w:rPr>
        <w:t>四、财政拨款收入支出决算总表</w:t>
      </w:r>
      <w:bookmarkEnd w:id="57"/>
    </w:p>
    <w:p w14:paraId="3AB970EE">
      <w:pPr>
        <w:pStyle w:val="15"/>
        <w:adjustRightInd w:val="0"/>
        <w:snapToGrid w:val="0"/>
        <w:spacing w:line="560" w:lineRule="exact"/>
        <w:jc w:val="left"/>
        <w:rPr>
          <w:rFonts w:eastAsia="仿宋_GB2312" w:cs="仿宋_GB2312"/>
          <w:sz w:val="32"/>
          <w:szCs w:val="32"/>
        </w:rPr>
      </w:pPr>
      <w:bookmarkStart w:id="58" w:name="_Toc15396623"/>
      <w:r>
        <w:rPr>
          <w:rFonts w:hint="eastAsia" w:eastAsia="仿宋_GB2312" w:cs="仿宋_GB2312"/>
          <w:sz w:val="32"/>
          <w:szCs w:val="32"/>
        </w:rPr>
        <w:t>五、财政拨款支出决算明细表</w:t>
      </w:r>
      <w:bookmarkEnd w:id="58"/>
      <w:bookmarkStart w:id="59" w:name="_Toc15396624"/>
    </w:p>
    <w:p w14:paraId="02A38F2F">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9"/>
    </w:p>
    <w:p w14:paraId="49D827FA">
      <w:pPr>
        <w:pStyle w:val="15"/>
        <w:adjustRightInd w:val="0"/>
        <w:snapToGrid w:val="0"/>
        <w:spacing w:line="560" w:lineRule="exact"/>
        <w:jc w:val="left"/>
        <w:rPr>
          <w:rFonts w:eastAsia="仿宋_GB2312" w:cs="仿宋_GB2312"/>
          <w:sz w:val="32"/>
          <w:szCs w:val="32"/>
        </w:rPr>
      </w:pPr>
      <w:bookmarkStart w:id="60" w:name="_Toc15396625"/>
      <w:r>
        <w:rPr>
          <w:rFonts w:hint="eastAsia" w:eastAsia="仿宋_GB2312" w:cs="仿宋_GB2312"/>
          <w:sz w:val="32"/>
          <w:szCs w:val="32"/>
        </w:rPr>
        <w:t>七、一般公共预算财政拨款支出决算明细表</w:t>
      </w:r>
      <w:bookmarkEnd w:id="60"/>
    </w:p>
    <w:p w14:paraId="2308DDFF">
      <w:pPr>
        <w:pStyle w:val="15"/>
        <w:adjustRightInd w:val="0"/>
        <w:snapToGrid w:val="0"/>
        <w:spacing w:line="560" w:lineRule="exact"/>
        <w:jc w:val="left"/>
        <w:rPr>
          <w:rFonts w:eastAsia="仿宋_GB2312" w:cs="仿宋_GB2312"/>
          <w:sz w:val="32"/>
          <w:szCs w:val="32"/>
        </w:rPr>
      </w:pPr>
      <w:bookmarkStart w:id="61" w:name="_Toc15396626"/>
      <w:r>
        <w:rPr>
          <w:rFonts w:hint="eastAsia" w:eastAsia="仿宋_GB2312" w:cs="仿宋_GB2312"/>
          <w:sz w:val="32"/>
          <w:szCs w:val="32"/>
        </w:rPr>
        <w:t>八、一般公共预算财政拨款基本支出决算表</w:t>
      </w:r>
      <w:bookmarkEnd w:id="61"/>
    </w:p>
    <w:p w14:paraId="12332E65">
      <w:pPr>
        <w:pStyle w:val="15"/>
        <w:adjustRightInd w:val="0"/>
        <w:snapToGrid w:val="0"/>
        <w:spacing w:line="560" w:lineRule="exact"/>
        <w:jc w:val="left"/>
        <w:rPr>
          <w:rFonts w:eastAsia="仿宋_GB2312" w:cs="仿宋_GB2312"/>
          <w:sz w:val="32"/>
          <w:szCs w:val="32"/>
        </w:rPr>
      </w:pPr>
      <w:bookmarkStart w:id="62" w:name="_Toc15396627"/>
      <w:r>
        <w:rPr>
          <w:rFonts w:hint="eastAsia" w:eastAsia="仿宋_GB2312" w:cs="仿宋_GB2312"/>
          <w:sz w:val="32"/>
          <w:szCs w:val="32"/>
        </w:rPr>
        <w:t>九、一般公共预算财政拨款项目支出决算表</w:t>
      </w:r>
      <w:bookmarkEnd w:id="62"/>
    </w:p>
    <w:p w14:paraId="6F767A19">
      <w:pPr>
        <w:pStyle w:val="15"/>
        <w:adjustRightInd w:val="0"/>
        <w:snapToGrid w:val="0"/>
        <w:spacing w:line="560" w:lineRule="exact"/>
        <w:jc w:val="left"/>
        <w:rPr>
          <w:rFonts w:eastAsia="仿宋_GB2312" w:cs="仿宋_GB2312"/>
          <w:sz w:val="32"/>
          <w:szCs w:val="32"/>
        </w:rPr>
      </w:pPr>
      <w:bookmarkStart w:id="63" w:name="_Toc15396628"/>
      <w:r>
        <w:rPr>
          <w:rFonts w:hint="eastAsia" w:eastAsia="仿宋_GB2312" w:cs="仿宋_GB2312"/>
          <w:sz w:val="32"/>
          <w:szCs w:val="32"/>
        </w:rPr>
        <w:t>十、</w:t>
      </w:r>
      <w:bookmarkEnd w:id="63"/>
      <w:r>
        <w:rPr>
          <w:rFonts w:hint="eastAsia" w:eastAsia="仿宋_GB2312" w:cs="仿宋_GB2312"/>
          <w:sz w:val="32"/>
          <w:szCs w:val="32"/>
        </w:rPr>
        <w:t>政府性基金预算财政拨款收入支出决算表</w:t>
      </w:r>
    </w:p>
    <w:p w14:paraId="66B64222">
      <w:pPr>
        <w:pStyle w:val="15"/>
        <w:adjustRightInd w:val="0"/>
        <w:snapToGrid w:val="0"/>
        <w:spacing w:line="560" w:lineRule="exact"/>
        <w:jc w:val="left"/>
        <w:rPr>
          <w:rFonts w:eastAsia="仿宋_GB2312" w:cs="仿宋_GB2312"/>
          <w:sz w:val="32"/>
          <w:szCs w:val="32"/>
        </w:rPr>
      </w:pPr>
      <w:bookmarkStart w:id="64" w:name="_Toc15396629"/>
      <w:r>
        <w:rPr>
          <w:rFonts w:hint="eastAsia" w:eastAsia="仿宋_GB2312" w:cs="仿宋_GB2312"/>
          <w:sz w:val="32"/>
          <w:szCs w:val="32"/>
        </w:rPr>
        <w:t>十一、</w:t>
      </w:r>
      <w:bookmarkEnd w:id="64"/>
      <w:r>
        <w:rPr>
          <w:rFonts w:hint="eastAsia" w:eastAsia="仿宋_GB2312" w:cs="仿宋_GB2312"/>
          <w:sz w:val="32"/>
          <w:szCs w:val="32"/>
        </w:rPr>
        <w:t>国有资本经营预算财政拨款收入支出决算表</w:t>
      </w:r>
    </w:p>
    <w:p w14:paraId="0DB06D20">
      <w:pPr>
        <w:pStyle w:val="15"/>
        <w:adjustRightInd w:val="0"/>
        <w:snapToGrid w:val="0"/>
        <w:spacing w:line="560" w:lineRule="exact"/>
        <w:jc w:val="left"/>
        <w:rPr>
          <w:rFonts w:eastAsia="仿宋_GB2312" w:cs="仿宋_GB2312"/>
          <w:sz w:val="32"/>
          <w:szCs w:val="32"/>
        </w:rPr>
      </w:pPr>
      <w:bookmarkStart w:id="65" w:name="_Toc15396630"/>
      <w:r>
        <w:rPr>
          <w:rFonts w:hint="eastAsia" w:eastAsia="仿宋_GB2312" w:cs="仿宋_GB2312"/>
          <w:sz w:val="32"/>
          <w:szCs w:val="32"/>
        </w:rPr>
        <w:t>十二、</w:t>
      </w:r>
      <w:bookmarkEnd w:id="65"/>
      <w:r>
        <w:rPr>
          <w:rFonts w:hint="eastAsia" w:eastAsia="仿宋_GB2312" w:cs="仿宋_GB2312"/>
          <w:sz w:val="32"/>
          <w:szCs w:val="32"/>
        </w:rPr>
        <w:t>国有资本经营预算财政拨款支出决算表</w:t>
      </w:r>
    </w:p>
    <w:p w14:paraId="1642F886">
      <w:pPr>
        <w:pStyle w:val="15"/>
        <w:adjustRightInd w:val="0"/>
        <w:snapToGrid w:val="0"/>
        <w:spacing w:line="560" w:lineRule="exact"/>
        <w:jc w:val="left"/>
        <w:rPr>
          <w:rFonts w:eastAsia="仿宋_GB2312" w:cs="仿宋_GB2312"/>
          <w:sz w:val="32"/>
          <w:szCs w:val="32"/>
        </w:rPr>
      </w:pPr>
      <w:bookmarkStart w:id="66" w:name="_Toc15396631"/>
      <w:r>
        <w:rPr>
          <w:rFonts w:hint="eastAsia" w:eastAsia="仿宋_GB2312" w:cs="仿宋_GB2312"/>
          <w:sz w:val="32"/>
          <w:szCs w:val="32"/>
        </w:rPr>
        <w:t>十三、</w:t>
      </w:r>
      <w:bookmarkEnd w:id="66"/>
      <w:r>
        <w:rPr>
          <w:rFonts w:hint="eastAsia" w:eastAsia="仿宋_GB2312" w:cs="仿宋_GB2312"/>
          <w:sz w:val="32"/>
          <w:szCs w:val="32"/>
        </w:rPr>
        <w:t>财政拨款“三公”经费支出决算表</w:t>
      </w:r>
    </w:p>
    <w:p w14:paraId="09E809A8"/>
    <w:sectPr>
      <w:footerReference r:id="rId9"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3EA24">
    <w:pPr>
      <w:pStyle w:val="11"/>
      <w:jc w:val="center"/>
    </w:pPr>
  </w:p>
  <w:p w14:paraId="1B168BC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BBC8">
    <w:pPr>
      <w:pStyle w:val="11"/>
      <w:jc w:val="center"/>
    </w:pPr>
  </w:p>
  <w:p w14:paraId="2F5250B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949B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9C9BA">
    <w:pPr>
      <w:pStyle w:val="11"/>
      <w:jc w:val="both"/>
    </w:pPr>
  </w:p>
  <w:p w14:paraId="325A35B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9FE42">
    <w:pPr>
      <w:pStyle w:val="11"/>
      <w:jc w:val="both"/>
    </w:pPr>
  </w:p>
  <w:p w14:paraId="08B10739">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ADF16">
    <w:pPr>
      <w:pStyle w:val="11"/>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36BD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4936BDA">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2744BB3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D40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FCD57"/>
    <w:multiLevelType w:val="singleLevel"/>
    <w:tmpl w:val="7B3FCD5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675EA"/>
    <w:rsid w:val="0057481D"/>
    <w:rsid w:val="0058486E"/>
    <w:rsid w:val="00585B33"/>
    <w:rsid w:val="0059014D"/>
    <w:rsid w:val="00592302"/>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09E4"/>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AEE46EF"/>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6FF4C2D"/>
    <w:rsid w:val="376B6AA6"/>
    <w:rsid w:val="376D39B2"/>
    <w:rsid w:val="37BF2B39"/>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BFF9301"/>
    <w:rsid w:val="4D3C0CCC"/>
    <w:rsid w:val="4D577224"/>
    <w:rsid w:val="4DBF1CEB"/>
    <w:rsid w:val="4EAB630A"/>
    <w:rsid w:val="4ECE2238"/>
    <w:rsid w:val="4F833267"/>
    <w:rsid w:val="4FE9BD67"/>
    <w:rsid w:val="4FFB052F"/>
    <w:rsid w:val="53083A92"/>
    <w:rsid w:val="537E6D0A"/>
    <w:rsid w:val="53AF27A2"/>
    <w:rsid w:val="53F74C96"/>
    <w:rsid w:val="54FA4E23"/>
    <w:rsid w:val="55FFDE41"/>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ABF9269"/>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DA3DAF"/>
    <w:rsid w:val="76E3355F"/>
    <w:rsid w:val="76E9FDF8"/>
    <w:rsid w:val="76FF5125"/>
    <w:rsid w:val="776F6FFA"/>
    <w:rsid w:val="778769C8"/>
    <w:rsid w:val="77DC22F5"/>
    <w:rsid w:val="77FDD456"/>
    <w:rsid w:val="79086DAD"/>
    <w:rsid w:val="79974F09"/>
    <w:rsid w:val="79D7FD79"/>
    <w:rsid w:val="79EE5BA4"/>
    <w:rsid w:val="7A894339"/>
    <w:rsid w:val="7AFF7572"/>
    <w:rsid w:val="7B6C7DFB"/>
    <w:rsid w:val="7BBFBED0"/>
    <w:rsid w:val="7BC3E394"/>
    <w:rsid w:val="7BDE0586"/>
    <w:rsid w:val="7C1F3737"/>
    <w:rsid w:val="7C7FB79E"/>
    <w:rsid w:val="7CBFC87B"/>
    <w:rsid w:val="7CFE0F48"/>
    <w:rsid w:val="7D79760A"/>
    <w:rsid w:val="7D7EC23E"/>
    <w:rsid w:val="7D8D23A0"/>
    <w:rsid w:val="7D916348"/>
    <w:rsid w:val="7E8ADEBF"/>
    <w:rsid w:val="7EEF11D3"/>
    <w:rsid w:val="7EF72252"/>
    <w:rsid w:val="7EFDD1F9"/>
    <w:rsid w:val="7F0971A6"/>
    <w:rsid w:val="7F3F679B"/>
    <w:rsid w:val="7F4FC4EF"/>
    <w:rsid w:val="7F5E4D54"/>
    <w:rsid w:val="7F6E0135"/>
    <w:rsid w:val="7FA30C79"/>
    <w:rsid w:val="7FAF8ABF"/>
    <w:rsid w:val="7FB7269E"/>
    <w:rsid w:val="7FBB7104"/>
    <w:rsid w:val="7FC96657"/>
    <w:rsid w:val="7FDA9588"/>
    <w:rsid w:val="7FDF220F"/>
    <w:rsid w:val="7FDFB28A"/>
    <w:rsid w:val="7FEDC5F7"/>
    <w:rsid w:val="7FEDD9DE"/>
    <w:rsid w:val="7FF5890D"/>
    <w:rsid w:val="7FF69B7F"/>
    <w:rsid w:val="7FF93490"/>
    <w:rsid w:val="99FF2014"/>
    <w:rsid w:val="9EDE0EA9"/>
    <w:rsid w:val="9FEA9852"/>
    <w:rsid w:val="A6DD0D7F"/>
    <w:rsid w:val="A9DC4F91"/>
    <w:rsid w:val="ADC6F725"/>
    <w:rsid w:val="AF6C4802"/>
    <w:rsid w:val="B7BF232A"/>
    <w:rsid w:val="B7CF06AB"/>
    <w:rsid w:val="B7CFA926"/>
    <w:rsid w:val="B7F8786B"/>
    <w:rsid w:val="BABB6AA1"/>
    <w:rsid w:val="BB2F4199"/>
    <w:rsid w:val="BD079C78"/>
    <w:rsid w:val="BD733540"/>
    <w:rsid w:val="BF3735D5"/>
    <w:rsid w:val="BF7F09AC"/>
    <w:rsid w:val="BFD475C3"/>
    <w:rsid w:val="BFDBF9BE"/>
    <w:rsid w:val="BFDE5EA6"/>
    <w:rsid w:val="BFF406CC"/>
    <w:rsid w:val="CF6FC6F3"/>
    <w:rsid w:val="CFD3D3D7"/>
    <w:rsid w:val="CFDF1009"/>
    <w:rsid w:val="D7D7B16A"/>
    <w:rsid w:val="D8D6DB89"/>
    <w:rsid w:val="DB6F4CAB"/>
    <w:rsid w:val="DB777682"/>
    <w:rsid w:val="DD1FB521"/>
    <w:rsid w:val="DEFBFEAE"/>
    <w:rsid w:val="DF1F3B80"/>
    <w:rsid w:val="DF6F9789"/>
    <w:rsid w:val="DFFE7570"/>
    <w:rsid w:val="DFFFA9E8"/>
    <w:rsid w:val="E5F4E9DC"/>
    <w:rsid w:val="E70FE695"/>
    <w:rsid w:val="E7D3E3E4"/>
    <w:rsid w:val="E97E710E"/>
    <w:rsid w:val="EB7F1013"/>
    <w:rsid w:val="ECFED1BC"/>
    <w:rsid w:val="ED1D69BB"/>
    <w:rsid w:val="ED7FD312"/>
    <w:rsid w:val="EF53993F"/>
    <w:rsid w:val="EF6FD633"/>
    <w:rsid w:val="EFBFB2F4"/>
    <w:rsid w:val="EFBFFA21"/>
    <w:rsid w:val="F2BEBCB8"/>
    <w:rsid w:val="F36FB518"/>
    <w:rsid w:val="F3DE1A04"/>
    <w:rsid w:val="F3F722E5"/>
    <w:rsid w:val="F75694A4"/>
    <w:rsid w:val="F7FF822C"/>
    <w:rsid w:val="FA5F1E70"/>
    <w:rsid w:val="FA5FDB97"/>
    <w:rsid w:val="FB7F486A"/>
    <w:rsid w:val="FBFF5B2E"/>
    <w:rsid w:val="FD7FFE2B"/>
    <w:rsid w:val="FDA7A618"/>
    <w:rsid w:val="FDEE196B"/>
    <w:rsid w:val="FDFE6575"/>
    <w:rsid w:val="FEDFDDC2"/>
    <w:rsid w:val="FEED32F6"/>
    <w:rsid w:val="FEF781DD"/>
    <w:rsid w:val="FF3F7E3F"/>
    <w:rsid w:val="FF7F118E"/>
    <w:rsid w:val="FFB4FA26"/>
    <w:rsid w:val="FFBA12D7"/>
    <w:rsid w:val="FFDFFAEE"/>
    <w:rsid w:val="FFF92BD3"/>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23290649915439"/>
          <c:y val="0.0127496812579686"/>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Sheet1!$B$2</c:f>
              <c:strCache>
                <c:ptCount val="1"/>
                <c:pt idx="0">
                  <c:v>2024年</c:v>
                </c:pt>
              </c:strCache>
            </c:strRef>
          </c:tx>
          <c:spPr>
            <a:solidFill>
              <a:schemeClr val="accent1"/>
            </a:solidFill>
            <a:ln>
              <a:noFill/>
            </a:ln>
            <a:effectLst/>
          </c:spPr>
          <c:invertIfNegative val="0"/>
          <c:dLbls>
            <c:delete val="1"/>
          </c:dLbls>
          <c:cat>
            <c:strRef>
              <c:f>Sheet1!$A$3:$A$4</c:f>
              <c:strCache>
                <c:ptCount val="2"/>
                <c:pt idx="0">
                  <c:v>收入</c:v>
                </c:pt>
                <c:pt idx="1">
                  <c:v>支出</c:v>
                </c:pt>
              </c:strCache>
            </c:strRef>
          </c:cat>
          <c:val>
            <c:numRef>
              <c:f>Sheet1!$B$3:$B$4</c:f>
              <c:numCache>
                <c:formatCode>General</c:formatCode>
                <c:ptCount val="2"/>
                <c:pt idx="0">
                  <c:v>1640</c:v>
                </c:pt>
                <c:pt idx="1">
                  <c:v>2208.66</c:v>
                </c:pt>
              </c:numCache>
            </c:numRef>
          </c:val>
        </c:ser>
        <c:ser>
          <c:idx val="1"/>
          <c:order val="1"/>
          <c:tx>
            <c:strRef>
              <c:f>Sheet1!$C$2</c:f>
              <c:strCache>
                <c:ptCount val="1"/>
                <c:pt idx="0">
                  <c:v>2025年</c:v>
                </c:pt>
              </c:strCache>
            </c:strRef>
          </c:tx>
          <c:spPr>
            <a:solidFill>
              <a:schemeClr val="accent2"/>
            </a:solidFill>
            <a:ln>
              <a:noFill/>
            </a:ln>
            <a:effectLst/>
          </c:spPr>
          <c:invertIfNegative val="0"/>
          <c:dLbls>
            <c:delete val="1"/>
          </c:dLbls>
          <c:cat>
            <c:strRef>
              <c:f>Sheet1!$A$3:$A$4</c:f>
              <c:strCache>
                <c:ptCount val="2"/>
                <c:pt idx="0">
                  <c:v>收入</c:v>
                </c:pt>
                <c:pt idx="1">
                  <c:v>支出</c:v>
                </c:pt>
              </c:strCache>
            </c:strRef>
          </c:cat>
          <c:val>
            <c:numRef>
              <c:f>Sheet1!$C$3:$C$4</c:f>
              <c:numCache>
                <c:formatCode>General</c:formatCode>
                <c:ptCount val="2"/>
                <c:pt idx="0">
                  <c:v>1640</c:v>
                </c:pt>
                <c:pt idx="1">
                  <c:v>2208.66</c:v>
                </c:pt>
              </c:numCache>
            </c:numRef>
          </c:val>
        </c:ser>
        <c:dLbls>
          <c:showLegendKey val="0"/>
          <c:showVal val="0"/>
          <c:showCatName val="0"/>
          <c:showSerName val="0"/>
          <c:showPercent val="0"/>
          <c:showBubbleSize val="0"/>
        </c:dLbls>
        <c:gapWidth val="246"/>
        <c:overlap val="-28"/>
        <c:axId val="726054349"/>
        <c:axId val="789565430"/>
      </c:barChart>
      <c:catAx>
        <c:axId val="726054349"/>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9565430"/>
        <c:crosses val="autoZero"/>
        <c:auto val="1"/>
        <c:lblAlgn val="ctr"/>
        <c:lblOffset val="100"/>
        <c:noMultiLvlLbl val="0"/>
      </c:catAx>
      <c:valAx>
        <c:axId val="78956543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60543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b569646-25fc-4f90-bb29-834093d9fff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总收入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2163.58</c:v>
                </c:pt>
                <c:pt idx="1">
                  <c:v>45.08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9036c57-f450-4dc2-8bbd-d3dfb1a4d1e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 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246.07</c:v>
                </c:pt>
                <c:pt idx="1">
                  <c:v>1962.59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c38036-6bd0-47ad-a4fb-8de37bcdd8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4.3</c:v>
                </c:pt>
                <c:pt idx="1">
                  <c:v>2.5</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2.4</c:v>
                </c:pt>
                <c:pt idx="1">
                  <c:v>4.4</c:v>
                </c:pt>
              </c:numCache>
            </c:numRef>
          </c:val>
        </c:ser>
        <c:dLbls>
          <c:showLegendKey val="0"/>
          <c:showVal val="0"/>
          <c:showCatName val="0"/>
          <c:showSerName val="0"/>
          <c:showPercent val="0"/>
          <c:showBubbleSize val="0"/>
        </c:dLbls>
        <c:gapWidth val="246"/>
        <c:overlap val="-28"/>
        <c:axId val="11024576"/>
        <c:axId val="38458754"/>
      </c:barChart>
      <c:catAx>
        <c:axId val="110245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58754"/>
        <c:crosses val="autoZero"/>
        <c:auto val="1"/>
        <c:lblAlgn val="ctr"/>
        <c:lblOffset val="100"/>
        <c:noMultiLvlLbl val="0"/>
      </c:catAx>
      <c:valAx>
        <c:axId val="384587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0245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e189de-41c9-4f00-8477-253321d767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1640</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2163.58</c:v>
                </c:pt>
              </c:numCache>
            </c:numRef>
          </c:val>
        </c:ser>
        <c:dLbls>
          <c:showLegendKey val="0"/>
          <c:showVal val="0"/>
          <c:showCatName val="0"/>
          <c:showSerName val="0"/>
          <c:showPercent val="0"/>
          <c:showBubbleSize val="0"/>
        </c:dLbls>
        <c:gapWidth val="246"/>
        <c:overlap val="-28"/>
        <c:axId val="480580219"/>
        <c:axId val="113602415"/>
      </c:barChart>
      <c:catAx>
        <c:axId val="4805802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602415"/>
        <c:crosses val="autoZero"/>
        <c:auto val="1"/>
        <c:lblAlgn val="ctr"/>
        <c:lblOffset val="100"/>
        <c:noMultiLvlLbl val="0"/>
      </c:catAx>
      <c:valAx>
        <c:axId val="11360241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5802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9cc2b30-9dcc-4308-9b74-fbd7a9f0ca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2095.85</c:v>
                </c:pt>
                <c:pt idx="1">
                  <c:v>39.61</c:v>
                </c:pt>
                <c:pt idx="2">
                  <c:v>11.77</c:v>
                </c:pt>
                <c:pt idx="3">
                  <c:v>16.35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7eb4e34-507c-4662-bd63-d8614f0d09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因公出国（镜）</c:v>
                </c:pt>
                <c:pt idx="1">
                  <c:v>公务用车购置及运行维护</c:v>
                </c:pt>
                <c:pt idx="2">
                  <c:v>公务接待</c:v>
                </c:pt>
              </c:strCache>
            </c:strRef>
          </c:cat>
          <c:val>
            <c:numRef>
              <c:f>Sheet1!$B$2:$B$4</c:f>
              <c:numCache>
                <c:formatCode>General</c:formatCode>
                <c:ptCount val="3"/>
                <c:pt idx="0">
                  <c:v>0</c:v>
                </c:pt>
                <c:pt idx="1">
                  <c:v>1.1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d675783-b0ab-4ebe-8d20-2a153ea1649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1309</Words>
  <Characters>7463</Characters>
  <Lines>62</Lines>
  <Paragraphs>17</Paragraphs>
  <TotalTime>0</TotalTime>
  <ScaleCrop>false</ScaleCrop>
  <LinksUpToDate>false</LinksUpToDate>
  <CharactersWithSpaces>8755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user</cp:lastModifiedBy>
  <cp:lastPrinted>2026-08-06T01:27:00Z</cp:lastPrinted>
  <dcterms:modified xsi:type="dcterms:W3CDTF">2026-09-03T09:37:23Z</dcterms:modified>
  <dc:title>四川省***</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400D301575C74348A5277D00A7902E06</vt:lpwstr>
  </property>
</Properties>
</file>