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93"/>
        <w:rPr>
          <w:rFonts w:hint="eastAsia" w:ascii="Times New Roman" w:eastAsia="方正小标宋简体"/>
          <w:color w:val="auto"/>
          <w:kern w:val="2"/>
          <w:sz w:val="72"/>
          <w:szCs w:val="72"/>
        </w:rPr>
      </w:pPr>
      <w:bookmarkStart w:id="0" w:name="_Toc15377425"/>
      <w:bookmarkStart w:id="1" w:name="_Toc15378441"/>
      <w:bookmarkStart w:id="2" w:name="_Toc15377193"/>
      <w:bookmarkStart w:id="3" w:name="_Toc15306267"/>
      <w:bookmarkStart w:id="4" w:name="_Toc15396475"/>
      <w:bookmarkStart w:id="5" w:name="_Toc15396597"/>
    </w:p>
    <w:p>
      <w:pPr>
        <w:pStyle w:val="5"/>
        <w:spacing w:before="93"/>
        <w:rPr>
          <w:rFonts w:ascii="Times New Roman" w:eastAsia="方正小标宋简体"/>
          <w:color w:val="auto"/>
          <w:kern w:val="2"/>
          <w:sz w:val="72"/>
          <w:szCs w:val="72"/>
        </w:rPr>
      </w:pPr>
    </w:p>
    <w:p>
      <w:pPr>
        <w:pStyle w:val="5"/>
        <w:spacing w:before="93"/>
        <w:rPr>
          <w:rFonts w:hint="eastAsia" w:ascii="Times New Roman" w:eastAsia="方正小标宋简体"/>
          <w:color w:val="auto"/>
          <w:kern w:val="2"/>
          <w:sz w:val="72"/>
          <w:szCs w:val="72"/>
        </w:rPr>
      </w:pPr>
    </w:p>
    <w:p>
      <w:pPr>
        <w:pStyle w:val="5"/>
        <w:spacing w:before="93"/>
        <w:jc w:val="center"/>
        <w:rPr>
          <w:rFonts w:hint="eastAsia" w:ascii="方正小标宋简体" w:hAnsi="宋体" w:eastAsia="方正小标宋简体"/>
          <w:color w:val="auto"/>
          <w:sz w:val="44"/>
          <w:szCs w:val="44"/>
        </w:rPr>
      </w:pPr>
      <w:r>
        <w:rPr>
          <w:rFonts w:hint="eastAsia" w:ascii="Times New Roman" w:eastAsia="方正小标宋简体"/>
          <w:color w:val="auto"/>
          <w:kern w:val="2"/>
          <w:sz w:val="44"/>
          <w:szCs w:val="44"/>
        </w:rPr>
        <w:t>2025年度</w:t>
      </w:r>
      <w:r>
        <w:rPr>
          <w:rFonts w:hint="eastAsia" w:ascii="方正小标宋简体" w:hAnsi="宋体" w:eastAsia="方正小标宋简体"/>
          <w:color w:val="auto"/>
          <w:sz w:val="44"/>
          <w:szCs w:val="44"/>
        </w:rPr>
        <w:t>四川省攀枝花开放大学</w:t>
      </w:r>
    </w:p>
    <w:p>
      <w:pPr>
        <w:pStyle w:val="5"/>
        <w:spacing w:before="93"/>
        <w:jc w:val="center"/>
        <w:rPr>
          <w:rFonts w:ascii="Times New Roman" w:eastAsia="方正小标宋简体"/>
          <w:color w:val="auto"/>
          <w:kern w:val="2"/>
          <w:sz w:val="44"/>
          <w:szCs w:val="44"/>
        </w:rPr>
      </w:pPr>
      <w:r>
        <w:rPr>
          <w:rFonts w:hint="eastAsia" w:eastAsia="方正小标宋简体"/>
          <w:color w:val="auto"/>
          <w:kern w:val="2"/>
          <w:sz w:val="44"/>
          <w:szCs w:val="44"/>
        </w:rPr>
        <w:t>单位</w:t>
      </w:r>
      <w:r>
        <w:rPr>
          <w:rFonts w:hint="eastAsia" w:ascii="Times New Roman" w:eastAsia="方正小标宋简体"/>
          <w:color w:val="auto"/>
          <w:kern w:val="2"/>
          <w:sz w:val="44"/>
          <w:szCs w:val="44"/>
        </w:rPr>
        <w:t>决算公开编制说明</w:t>
      </w:r>
    </w:p>
    <w:p>
      <w:pPr>
        <w:spacing w:line="600" w:lineRule="exact"/>
        <w:jc w:val="center"/>
        <w:outlineLvl w:val="0"/>
        <w:rPr>
          <w:rFonts w:eastAsia="方正小标宋简体"/>
          <w:color w:val="auto"/>
          <w:sz w:val="72"/>
          <w:szCs w:val="72"/>
        </w:rPr>
      </w:pPr>
    </w:p>
    <w:p>
      <w:pPr>
        <w:pStyle w:val="19"/>
        <w:rPr>
          <w:rFonts w:ascii="Times New Roman" w:hAnsi="Times New Roman"/>
          <w:color w:val="auto"/>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pPr>
        <w:widowControl/>
        <w:jc w:val="center"/>
        <w:rPr>
          <w:rFonts w:eastAsia="黑体"/>
          <w:color w:val="auto"/>
          <w:sz w:val="48"/>
          <w:szCs w:val="48"/>
        </w:rPr>
      </w:pPr>
      <w:r>
        <w:rPr>
          <w:rFonts w:hint="eastAsia" w:eastAsia="黑体"/>
          <w:color w:val="auto"/>
          <w:sz w:val="48"/>
          <w:szCs w:val="48"/>
        </w:rPr>
        <w:t>目录</w:t>
      </w:r>
    </w:p>
    <w:p>
      <w:pPr>
        <w:widowControl/>
        <w:jc w:val="center"/>
        <w:rPr>
          <w:rFonts w:eastAsia="黑体" w:cstheme="minorBidi"/>
          <w:color w:val="auto"/>
          <w:sz w:val="28"/>
          <w:szCs w:val="28"/>
        </w:rPr>
      </w:pPr>
    </w:p>
    <w:p>
      <w:pPr>
        <w:pStyle w:val="12"/>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公开时间：2026年</w:t>
      </w:r>
      <w:r>
        <w:rPr>
          <w:rFonts w:hint="eastAsia" w:ascii="Times New Roman" w:hAnsi="Times New Roman" w:eastAsia="仿宋_GB2312" w:cs="仿宋_GB2312"/>
          <w:color w:val="auto"/>
          <w:sz w:val="32"/>
          <w:szCs w:val="32"/>
          <w:lang w:val="en-US" w:eastAsia="zh-CN"/>
        </w:rPr>
        <w:t>9</w:t>
      </w:r>
      <w:r>
        <w:rPr>
          <w:rFonts w:hint="eastAsia" w:ascii="Times New Roman" w:hAnsi="Times New Roman" w:eastAsia="仿宋_GB2312" w:cs="仿宋_GB2312"/>
          <w:color w:val="auto"/>
          <w:sz w:val="32"/>
          <w:szCs w:val="32"/>
        </w:rPr>
        <w:t>月</w:t>
      </w:r>
      <w:r>
        <w:rPr>
          <w:rFonts w:hint="eastAsia" w:ascii="Times New Roman" w:hAnsi="Times New Roman" w:eastAsia="仿宋_GB2312" w:cs="仿宋_GB2312"/>
          <w:color w:val="auto"/>
          <w:sz w:val="32"/>
          <w:szCs w:val="32"/>
          <w:lang w:val="en-US" w:eastAsia="zh-CN"/>
        </w:rPr>
        <w:t>11</w:t>
      </w:r>
      <w:bookmarkStart w:id="56" w:name="_GoBack"/>
      <w:bookmarkEnd w:id="56"/>
      <w:r>
        <w:rPr>
          <w:rFonts w:hint="eastAsia" w:ascii="Times New Roman" w:hAnsi="Times New Roman" w:eastAsia="仿宋_GB2312" w:cs="仿宋_GB2312"/>
          <w:color w:val="auto"/>
          <w:sz w:val="32"/>
          <w:szCs w:val="32"/>
        </w:rPr>
        <w:t>日</w:t>
      </w:r>
    </w:p>
    <w:p>
      <w:pPr>
        <w:rPr>
          <w:color w:val="auto"/>
        </w:rPr>
      </w:pPr>
    </w:p>
    <w:p>
      <w:pPr>
        <w:tabs>
          <w:tab w:val="right" w:leader="dot" w:pos="8296"/>
        </w:tabs>
        <w:suppressAutoHyphens/>
        <w:adjustRightInd w:val="0"/>
        <w:snapToGrid w:val="0"/>
        <w:spacing w:line="440" w:lineRule="exact"/>
        <w:jc w:val="left"/>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第一部分 部门概况</w:t>
      </w:r>
      <w:r>
        <w:rPr>
          <w:rFonts w:ascii="Calibri" w:hAnsi="Calibri"/>
          <w:color w:val="auto"/>
          <w:sz w:val="24"/>
        </w:rPr>
        <w:tab/>
      </w:r>
      <w:r>
        <w:rPr>
          <w:rFonts w:hint="eastAsia" w:ascii="Calibri" w:hAnsi="Calibri"/>
          <w:color w:val="auto"/>
          <w:sz w:val="24"/>
        </w:rPr>
        <w:t>4</w:t>
      </w:r>
    </w:p>
    <w:p>
      <w:pPr>
        <w:tabs>
          <w:tab w:val="right" w:leader="dot" w:pos="8296"/>
        </w:tabs>
        <w:suppressAutoHyphens/>
        <w:adjustRightInd w:val="0"/>
        <w:snapToGrid w:val="0"/>
        <w:spacing w:line="440" w:lineRule="exact"/>
        <w:ind w:left="420" w:leftChars="200" w:firstLine="320" w:firstLineChars="100"/>
        <w:jc w:val="left"/>
        <w:rPr>
          <w:rFonts w:hint="eastAsia" w:ascii="Calibri" w:hAnsi="Calibri"/>
          <w:color w:val="auto"/>
          <w:sz w:val="24"/>
        </w:rPr>
      </w:pPr>
      <w:r>
        <w:rPr>
          <w:rFonts w:hint="eastAsia" w:eastAsia="仿宋_GB2312" w:cs="仿宋_GB2312"/>
          <w:color w:val="auto"/>
          <w:sz w:val="32"/>
          <w:szCs w:val="32"/>
          <w:lang w:eastAsia="zh-CN"/>
        </w:rPr>
        <w:t>一</w:t>
      </w:r>
      <w:r>
        <w:rPr>
          <w:rFonts w:hint="eastAsia" w:eastAsia="仿宋_GB2312" w:cs="仿宋_GB2312"/>
          <w:color w:val="auto"/>
          <w:sz w:val="32"/>
          <w:szCs w:val="32"/>
        </w:rPr>
        <w:t>、部门职责</w:t>
      </w:r>
      <w:r>
        <w:rPr>
          <w:rFonts w:ascii="Calibri" w:hAnsi="Calibri"/>
          <w:color w:val="auto"/>
          <w:sz w:val="24"/>
        </w:rPr>
        <w:tab/>
      </w:r>
      <w:r>
        <w:rPr>
          <w:rFonts w:hint="eastAsia" w:ascii="Calibri" w:hAnsi="Calibri"/>
          <w:color w:val="auto"/>
          <w:sz w:val="24"/>
        </w:rPr>
        <w:t>4</w:t>
      </w:r>
    </w:p>
    <w:p>
      <w:pPr>
        <w:tabs>
          <w:tab w:val="right" w:leader="dot" w:pos="8296"/>
        </w:tabs>
        <w:suppressAutoHyphens/>
        <w:adjustRightInd w:val="0"/>
        <w:snapToGrid w:val="0"/>
        <w:spacing w:line="440" w:lineRule="exact"/>
        <w:ind w:left="420" w:leftChars="200" w:firstLine="320" w:firstLineChars="100"/>
        <w:jc w:val="left"/>
        <w:rPr>
          <w:rFonts w:eastAsia="仿宋_GB2312" w:cs="仿宋_GB2312"/>
          <w:color w:val="auto"/>
          <w:sz w:val="32"/>
          <w:szCs w:val="32"/>
        </w:rPr>
      </w:pPr>
      <w:r>
        <w:rPr>
          <w:rFonts w:hint="eastAsia" w:eastAsia="仿宋_GB2312" w:cs="仿宋_GB2312"/>
          <w:color w:val="auto"/>
          <w:sz w:val="32"/>
          <w:szCs w:val="32"/>
        </w:rPr>
        <w:t>二、机构设置</w:t>
      </w:r>
      <w:r>
        <w:rPr>
          <w:rFonts w:ascii="Calibri" w:hAnsi="Calibri"/>
          <w:color w:val="auto"/>
          <w:sz w:val="24"/>
        </w:rPr>
        <w:tab/>
      </w:r>
      <w:r>
        <w:rPr>
          <w:rFonts w:hint="eastAsia" w:ascii="Calibri" w:hAnsi="Calibri"/>
          <w:color w:val="auto"/>
          <w:sz w:val="24"/>
        </w:rPr>
        <w:t>4</w:t>
      </w:r>
    </w:p>
    <w:p>
      <w:pPr>
        <w:pStyle w:val="12"/>
        <w:adjustRightInd w:val="0"/>
        <w:snapToGrid w:val="0"/>
        <w:spacing w:before="0" w:line="560" w:lineRule="exact"/>
        <w:jc w:val="left"/>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第二部分 2025年度部门决算情况说明</w:t>
      </w:r>
      <w:r>
        <w:rPr>
          <w:rFonts w:ascii="Calibri" w:hAnsi="Calibri"/>
          <w:color w:val="auto"/>
          <w:sz w:val="24"/>
        </w:rPr>
        <w:tab/>
      </w:r>
      <w:r>
        <w:rPr>
          <w:rFonts w:hint="eastAsia" w:ascii="Calibri" w:hAnsi="Calibri"/>
          <w:color w:val="auto"/>
          <w:sz w:val="24"/>
        </w:rPr>
        <w:t>5</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一、收入支出决算总体情况说明</w:t>
      </w:r>
      <w:r>
        <w:rPr>
          <w:rFonts w:ascii="Calibri" w:hAnsi="Calibri"/>
          <w:color w:val="auto"/>
          <w:sz w:val="24"/>
        </w:rPr>
        <w:tab/>
      </w:r>
      <w:r>
        <w:rPr>
          <w:rFonts w:hint="eastAsia" w:ascii="Calibri" w:hAnsi="Calibri"/>
          <w:color w:val="auto"/>
          <w:sz w:val="24"/>
        </w:rPr>
        <w:t>5</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二、收入决算情况说明</w:t>
      </w:r>
      <w:r>
        <w:rPr>
          <w:rFonts w:ascii="Calibri" w:hAnsi="Calibri"/>
          <w:color w:val="auto"/>
          <w:sz w:val="24"/>
        </w:rPr>
        <w:tab/>
      </w:r>
      <w:r>
        <w:rPr>
          <w:rFonts w:hint="eastAsia" w:ascii="Calibri" w:hAnsi="Calibri"/>
          <w:color w:val="auto"/>
          <w:sz w:val="24"/>
        </w:rPr>
        <w:t>5</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三、支出决算情况说明</w:t>
      </w:r>
      <w:r>
        <w:rPr>
          <w:rFonts w:ascii="Calibri" w:hAnsi="Calibri"/>
          <w:color w:val="auto"/>
          <w:sz w:val="24"/>
        </w:rPr>
        <w:tab/>
      </w:r>
      <w:r>
        <w:rPr>
          <w:rFonts w:hint="eastAsia" w:ascii="Calibri" w:hAnsi="Calibri"/>
          <w:color w:val="auto"/>
          <w:sz w:val="24"/>
        </w:rPr>
        <w:t>5</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四、财政拨款收入支出决算总体情况说明</w:t>
      </w:r>
      <w:r>
        <w:rPr>
          <w:rFonts w:ascii="Calibri" w:hAnsi="Calibri"/>
          <w:color w:val="auto"/>
          <w:sz w:val="24"/>
        </w:rPr>
        <w:tab/>
      </w:r>
      <w:r>
        <w:rPr>
          <w:rFonts w:hint="eastAsia" w:ascii="Calibri" w:hAnsi="Calibri"/>
          <w:color w:val="auto"/>
          <w:sz w:val="24"/>
        </w:rPr>
        <w:t>6</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五、一般公共预算财政拨款支出决算情况说明</w:t>
      </w:r>
      <w:r>
        <w:rPr>
          <w:rFonts w:ascii="Calibri" w:hAnsi="Calibri"/>
          <w:color w:val="auto"/>
          <w:sz w:val="24"/>
        </w:rPr>
        <w:tab/>
      </w:r>
      <w:r>
        <w:rPr>
          <w:rFonts w:hint="eastAsia" w:ascii="Calibri" w:hAnsi="Calibri"/>
          <w:color w:val="auto"/>
          <w:sz w:val="24"/>
        </w:rPr>
        <w:t>7</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六、一般公共预算财政拨款基本支出决算情况说明.</w:t>
      </w:r>
      <w:r>
        <w:rPr>
          <w:rFonts w:hint="eastAsia" w:eastAsia="仿宋_GB2312" w:cs="仿宋_GB2312"/>
          <w:color w:val="auto"/>
          <w:sz w:val="32"/>
          <w:szCs w:val="32"/>
          <w:lang w:val="en-US" w:eastAsia="zh-CN"/>
        </w:rPr>
        <w:t>....</w:t>
      </w:r>
      <w:r>
        <w:rPr>
          <w:rFonts w:hint="eastAsia" w:eastAsia="仿宋_GB2312" w:cs="仿宋_GB2312"/>
          <w:color w:val="auto"/>
          <w:sz w:val="32"/>
          <w:szCs w:val="32"/>
        </w:rPr>
        <w:t>.</w:t>
      </w:r>
      <w:r>
        <w:rPr>
          <w:rFonts w:hint="eastAsia" w:ascii="Calibri" w:hAnsi="Calibri"/>
          <w:color w:val="auto"/>
          <w:sz w:val="24"/>
        </w:rPr>
        <w:t>9</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七、财政拨款“三公”经费支出决算情况说明</w:t>
      </w:r>
      <w:r>
        <w:rPr>
          <w:rFonts w:ascii="Calibri" w:hAnsi="Calibri"/>
          <w:color w:val="auto"/>
          <w:sz w:val="24"/>
        </w:rPr>
        <w:tab/>
      </w:r>
      <w:r>
        <w:rPr>
          <w:rFonts w:hint="eastAsia" w:ascii="Calibri" w:hAnsi="Calibri"/>
          <w:color w:val="auto"/>
          <w:sz w:val="24"/>
        </w:rPr>
        <w:t>10</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八、政府性基金预算支出决算情况说明</w:t>
      </w:r>
      <w:r>
        <w:rPr>
          <w:rFonts w:ascii="Calibri" w:hAnsi="Calibri"/>
          <w:color w:val="auto"/>
          <w:sz w:val="24"/>
        </w:rPr>
        <w:tab/>
      </w:r>
      <w:r>
        <w:rPr>
          <w:rFonts w:hint="eastAsia" w:ascii="Calibri" w:hAnsi="Calibri"/>
          <w:color w:val="auto"/>
          <w:sz w:val="24"/>
        </w:rPr>
        <w:t>11</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九、国有资本经营预算支出决算情况说明</w:t>
      </w:r>
      <w:r>
        <w:rPr>
          <w:rFonts w:ascii="Calibri" w:hAnsi="Calibri"/>
          <w:color w:val="auto"/>
          <w:sz w:val="24"/>
        </w:rPr>
        <w:tab/>
      </w:r>
      <w:r>
        <w:rPr>
          <w:rFonts w:hint="eastAsia" w:ascii="Calibri" w:hAnsi="Calibri"/>
          <w:color w:val="auto"/>
          <w:sz w:val="24"/>
        </w:rPr>
        <w:t>11</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十、其他重要事项的情况说明</w:t>
      </w:r>
      <w:r>
        <w:rPr>
          <w:rFonts w:ascii="Calibri" w:hAnsi="Calibri"/>
          <w:color w:val="auto"/>
          <w:sz w:val="24"/>
        </w:rPr>
        <w:tab/>
      </w:r>
      <w:r>
        <w:rPr>
          <w:rFonts w:hint="eastAsia" w:ascii="Calibri" w:hAnsi="Calibri"/>
          <w:color w:val="auto"/>
          <w:sz w:val="24"/>
        </w:rPr>
        <w:t>11</w:t>
      </w:r>
    </w:p>
    <w:p>
      <w:pPr>
        <w:pStyle w:val="12"/>
        <w:adjustRightInd w:val="0"/>
        <w:snapToGrid w:val="0"/>
        <w:spacing w:before="0" w:line="560" w:lineRule="exact"/>
        <w:jc w:val="left"/>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第三部分 名词解释</w:t>
      </w:r>
      <w:r>
        <w:rPr>
          <w:rFonts w:ascii="Calibri" w:hAnsi="Calibri"/>
          <w:color w:val="auto"/>
          <w:sz w:val="24"/>
        </w:rPr>
        <w:tab/>
      </w:r>
      <w:r>
        <w:rPr>
          <w:rFonts w:hint="eastAsia" w:ascii="Calibri" w:hAnsi="Calibri"/>
          <w:color w:val="auto"/>
          <w:sz w:val="24"/>
        </w:rPr>
        <w:t>14</w:t>
      </w:r>
    </w:p>
    <w:p>
      <w:pPr>
        <w:pStyle w:val="14"/>
        <w:adjustRightInd w:val="0"/>
        <w:snapToGrid w:val="0"/>
        <w:spacing w:line="560" w:lineRule="exact"/>
        <w:ind w:left="0" w:leftChars="0" w:firstLine="0" w:firstLineChars="0"/>
        <w:jc w:val="left"/>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第四部分 附件</w:t>
      </w:r>
      <w:r>
        <w:rPr>
          <w:rFonts w:ascii="Calibri" w:hAnsi="Calibri"/>
          <w:color w:val="auto"/>
          <w:sz w:val="24"/>
        </w:rPr>
        <w:tab/>
      </w:r>
      <w:r>
        <w:rPr>
          <w:rFonts w:hint="eastAsia" w:ascii="Calibri" w:hAnsi="Calibri"/>
          <w:color w:val="auto"/>
          <w:sz w:val="24"/>
        </w:rPr>
        <w:t>17</w:t>
      </w:r>
    </w:p>
    <w:p>
      <w:pPr>
        <w:pStyle w:val="12"/>
        <w:adjustRightInd w:val="0"/>
        <w:snapToGrid w:val="0"/>
        <w:spacing w:before="0" w:line="560" w:lineRule="exact"/>
        <w:jc w:val="left"/>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第五部分 附表</w:t>
      </w:r>
      <w:r>
        <w:rPr>
          <w:rFonts w:ascii="Calibri" w:hAnsi="Calibri"/>
          <w:color w:val="auto"/>
          <w:sz w:val="24"/>
        </w:rPr>
        <w:tab/>
      </w:r>
      <w:r>
        <w:rPr>
          <w:rFonts w:hint="eastAsia" w:ascii="Calibri" w:hAnsi="Calibri"/>
          <w:color w:val="auto"/>
          <w:sz w:val="24"/>
        </w:rPr>
        <w:t>18</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一、收入支出决算总表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二、收入决算表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三、支出决算表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四、财政拨款收入支出决算总表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五、财政拨款支出决算明细表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六、一般公共预算财政拨款支出决算表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七、一般公共预算财政拨款支出决算明细表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八、一般公共预算财政拨款基本支出决算明细表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九、一般公共预算财政拨款项目支出决算表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十、政府性基金预算财政拨款收入支出决算表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十一、国有资本经营预算财政拨款收入支出决算表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十二、国有资本经营预算财政拨款支出决算表</w:t>
      </w:r>
    </w:p>
    <w:p>
      <w:pPr>
        <w:pStyle w:val="14"/>
        <w:adjustRightInd w:val="0"/>
        <w:snapToGrid w:val="0"/>
        <w:spacing w:line="560" w:lineRule="exact"/>
        <w:ind w:left="0" w:leftChars="0" w:firstLine="640" w:firstLineChars="200"/>
        <w:jc w:val="left"/>
        <w:rPr>
          <w:rFonts w:eastAsia="仿宋_GB2312" w:cs="仿宋_GB2312"/>
          <w:color w:val="auto"/>
          <w:sz w:val="32"/>
          <w:szCs w:val="32"/>
        </w:rPr>
      </w:pPr>
      <w:r>
        <w:rPr>
          <w:rFonts w:hint="eastAsia" w:eastAsia="仿宋_GB2312" w:cs="仿宋_GB2312"/>
          <w:color w:val="auto"/>
          <w:sz w:val="32"/>
          <w:szCs w:val="32"/>
        </w:rPr>
        <w:t>十三、财政拨款“三公”经费支出决算表</w:t>
      </w:r>
    </w:p>
    <w:p>
      <w:pPr>
        <w:widowControl/>
        <w:spacing w:line="560" w:lineRule="exact"/>
        <w:jc w:val="left"/>
        <w:rPr>
          <w:rFonts w:eastAsia="仿宋_GB2312" w:cs="仿宋_GB2312"/>
          <w:bCs/>
          <w:color w:val="auto"/>
          <w:kern w:val="44"/>
          <w:sz w:val="32"/>
          <w:szCs w:val="32"/>
        </w:rPr>
      </w:pPr>
      <w:bookmarkStart w:id="6" w:name="_Toc15377196"/>
      <w:bookmarkStart w:id="7" w:name="_Toc15396599"/>
      <w:r>
        <w:rPr>
          <w:rFonts w:hint="eastAsia" w:eastAsia="仿宋_GB2312" w:cs="仿宋_GB2312"/>
          <w:b/>
          <w:color w:val="auto"/>
          <w:sz w:val="32"/>
          <w:szCs w:val="32"/>
        </w:rPr>
        <w:br w:type="page"/>
      </w:r>
    </w:p>
    <w:p>
      <w:pPr>
        <w:pStyle w:val="2"/>
        <w:jc w:val="center"/>
        <w:rPr>
          <w:rStyle w:val="28"/>
          <w:rFonts w:eastAsia="方正小标宋简体" w:cs="方正小标宋简体"/>
          <w:b/>
          <w:bCs w:val="0"/>
          <w:color w:val="auto"/>
        </w:rPr>
      </w:pPr>
      <w:r>
        <w:rPr>
          <w:rFonts w:hint="eastAsia" w:eastAsia="方正小标宋简体" w:cs="方正小标宋简体"/>
          <w:b w:val="0"/>
          <w:color w:val="auto"/>
        </w:rPr>
        <w:t xml:space="preserve">第一部分  </w:t>
      </w:r>
      <w:r>
        <w:rPr>
          <w:rStyle w:val="28"/>
          <w:rFonts w:hint="eastAsia" w:eastAsia="方正小标宋简体" w:cs="方正小标宋简体"/>
          <w:b w:val="0"/>
          <w:bCs w:val="0"/>
          <w:color w:val="auto"/>
        </w:rPr>
        <w:t>部门概况</w:t>
      </w:r>
      <w:bookmarkEnd w:id="6"/>
      <w:bookmarkEnd w:id="7"/>
    </w:p>
    <w:p>
      <w:pPr>
        <w:widowControl/>
        <w:jc w:val="left"/>
        <w:rPr>
          <w:rFonts w:eastAsia="黑体"/>
          <w:color w:val="auto"/>
          <w:sz w:val="32"/>
          <w:szCs w:val="32"/>
        </w:rPr>
      </w:pPr>
    </w:p>
    <w:p>
      <w:pPr>
        <w:pStyle w:val="3"/>
        <w:numPr>
          <w:ilvl w:val="0"/>
          <w:numId w:val="1"/>
        </w:numPr>
        <w:rPr>
          <w:color w:val="auto"/>
        </w:rPr>
      </w:pPr>
      <w:r>
        <w:rPr>
          <w:rFonts w:hint="eastAsia" w:ascii="Times New Roman" w:hAnsi="Times New Roman" w:eastAsia="黑体"/>
          <w:b w:val="0"/>
          <w:color w:val="auto"/>
        </w:rPr>
        <w:t>部门职责</w:t>
      </w:r>
    </w:p>
    <w:p>
      <w:pPr>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攀枝花开放大学是攀枝花市人民政府主办，直属市教育和体育局管理，以促进终身学习为使命、以现代信息技术为支撑、以“互联网+”为特征，面向社会成员开展终身教育的市属公办新型高等学校。学校主要职责为服务攀枝花市全民终身学习，推进攀枝花市开放教育体系建设，探索高等教育、职业教育与继续教育融合发展；承担全市普通话培训、测试工作；承担社区教育及社区教育指导工作。</w:t>
      </w:r>
    </w:p>
    <w:p>
      <w:pPr>
        <w:rPr>
          <w:color w:val="auto"/>
        </w:rPr>
      </w:pPr>
    </w:p>
    <w:p>
      <w:pPr>
        <w:pStyle w:val="3"/>
        <w:rPr>
          <w:rStyle w:val="29"/>
          <w:rFonts w:ascii="Times New Roman" w:hAnsi="Times New Roman"/>
          <w:b w:val="0"/>
          <w:bCs w:val="0"/>
          <w:color w:val="auto"/>
        </w:rPr>
      </w:pPr>
      <w:bookmarkStart w:id="8" w:name="_Toc15377200"/>
      <w:bookmarkStart w:id="9" w:name="_Toc15396601"/>
      <w:r>
        <w:rPr>
          <w:rFonts w:hint="eastAsia" w:ascii="Times New Roman" w:hAnsi="Times New Roman" w:eastAsia="黑体"/>
          <w:b w:val="0"/>
          <w:color w:val="auto"/>
        </w:rPr>
        <w:t>二、机</w:t>
      </w:r>
      <w:r>
        <w:rPr>
          <w:rStyle w:val="29"/>
          <w:rFonts w:hint="eastAsia" w:ascii="Times New Roman" w:hAnsi="Times New Roman" w:eastAsia="黑体"/>
          <w:b w:val="0"/>
          <w:bCs w:val="0"/>
          <w:color w:val="auto"/>
        </w:rPr>
        <w:t>构设置</w:t>
      </w:r>
      <w:bookmarkEnd w:id="8"/>
      <w:bookmarkEnd w:id="9"/>
    </w:p>
    <w:p>
      <w:pPr>
        <w:widowControl/>
        <w:ind w:firstLine="640" w:firstLineChars="200"/>
        <w:jc w:val="left"/>
        <w:rPr>
          <w:rFonts w:hint="eastAsia" w:eastAsia="仿宋"/>
          <w:color w:val="auto"/>
          <w:sz w:val="32"/>
          <w:szCs w:val="32"/>
        </w:rPr>
      </w:pPr>
      <w:r>
        <w:rPr>
          <w:rFonts w:hint="eastAsia" w:eastAsia="仿宋"/>
          <w:color w:val="auto"/>
          <w:sz w:val="32"/>
          <w:szCs w:val="32"/>
        </w:rPr>
        <w:t>四川省攀枝花开放大学下属二级预算单位0个，其中行政单位0个，参照公务员法管理的事业单位0个，其他事业单位0个。</w:t>
      </w:r>
    </w:p>
    <w:p>
      <w:pPr>
        <w:widowControl/>
        <w:ind w:firstLine="640" w:firstLineChars="200"/>
        <w:jc w:val="left"/>
        <w:rPr>
          <w:rFonts w:eastAsia="仿宋"/>
          <w:color w:val="auto"/>
          <w:kern w:val="0"/>
          <w:sz w:val="32"/>
          <w:szCs w:val="32"/>
        </w:rPr>
      </w:pPr>
      <w:r>
        <w:rPr>
          <w:rFonts w:hint="eastAsia" w:eastAsia="仿宋"/>
          <w:color w:val="auto"/>
          <w:sz w:val="32"/>
          <w:szCs w:val="32"/>
        </w:rPr>
        <w:t>四川省攀枝花开放大学现有办公室、教务科、教学科研科、培训和社区教育科、检测科、总务科、招生服务中心、信息资源中心、党委办公室九个内设机构。</w:t>
      </w:r>
      <w:r>
        <w:rPr>
          <w:rFonts w:eastAsia="仿宋"/>
          <w:color w:val="auto"/>
          <w:sz w:val="32"/>
          <w:szCs w:val="32"/>
        </w:rPr>
        <w:br w:type="page"/>
      </w:r>
    </w:p>
    <w:p>
      <w:pPr>
        <w:pStyle w:val="2"/>
        <w:jc w:val="center"/>
        <w:rPr>
          <w:rFonts w:eastAsia="方正小标宋简体" w:cs="方正小标宋简体"/>
          <w:b w:val="0"/>
          <w:color w:val="auto"/>
        </w:rPr>
      </w:pPr>
      <w:bookmarkStart w:id="10" w:name="_Toc15377204"/>
      <w:bookmarkStart w:id="11" w:name="_Toc15396602"/>
      <w:r>
        <w:rPr>
          <w:rFonts w:hint="eastAsia" w:eastAsia="方正小标宋简体" w:cs="方正小标宋简体"/>
          <w:b w:val="0"/>
          <w:color w:val="auto"/>
        </w:rPr>
        <w:t>第二部分  2025年度部门决算情况说明</w:t>
      </w:r>
      <w:bookmarkEnd w:id="10"/>
      <w:bookmarkEnd w:id="11"/>
    </w:p>
    <w:p>
      <w:pPr>
        <w:rPr>
          <w:color w:val="auto"/>
        </w:rPr>
      </w:pPr>
    </w:p>
    <w:p>
      <w:pPr>
        <w:pStyle w:val="27"/>
        <w:spacing w:line="600" w:lineRule="exact"/>
        <w:ind w:firstLine="640"/>
        <w:outlineLvl w:val="1"/>
        <w:rPr>
          <w:rStyle w:val="29"/>
          <w:rFonts w:ascii="Times New Roman" w:hAnsi="Times New Roman" w:eastAsia="黑体"/>
          <w:b w:val="0"/>
          <w:color w:val="auto"/>
        </w:rPr>
      </w:pPr>
      <w:bookmarkStart w:id="12" w:name="_Toc15396603"/>
      <w:bookmarkStart w:id="13" w:name="_Toc15377205"/>
      <w:r>
        <w:rPr>
          <w:rFonts w:hint="eastAsia" w:eastAsia="黑体"/>
          <w:color w:val="auto"/>
          <w:sz w:val="32"/>
          <w:szCs w:val="32"/>
        </w:rPr>
        <w:t>一、收</w:t>
      </w:r>
      <w:r>
        <w:rPr>
          <w:rStyle w:val="29"/>
          <w:rFonts w:hint="eastAsia" w:ascii="Times New Roman" w:hAnsi="Times New Roman" w:eastAsia="黑体"/>
          <w:b w:val="0"/>
          <w:color w:val="auto"/>
        </w:rPr>
        <w:t>入支出决算总体情况说明</w:t>
      </w:r>
      <w:bookmarkEnd w:id="12"/>
      <w:bookmarkEnd w:id="13"/>
    </w:p>
    <w:p>
      <w:pPr>
        <w:pStyle w:val="27"/>
        <w:spacing w:line="600" w:lineRule="exact"/>
        <w:ind w:firstLine="640"/>
        <w:outlineLvl w:val="1"/>
        <w:rPr>
          <w:rFonts w:hint="eastAsia" w:eastAsia="仿宋_GB2312" w:cs="仿宋_GB2312"/>
          <w:color w:val="auto"/>
          <w:sz w:val="32"/>
          <w:szCs w:val="32"/>
          <w:lang w:eastAsia="zh-CN"/>
        </w:rPr>
      </w:pPr>
      <w:r>
        <w:rPr>
          <w:rFonts w:hint="eastAsia" w:eastAsia="仿宋_GB2312" w:cs="仿宋_GB2312"/>
          <w:color w:val="auto"/>
          <w:sz w:val="32"/>
          <w:szCs w:val="32"/>
        </w:rPr>
        <w:t>202</w:t>
      </w:r>
      <w:r>
        <w:rPr>
          <w:rFonts w:hint="eastAsia" w:eastAsia="仿宋_GB2312" w:cs="仿宋_GB2312"/>
          <w:color w:val="auto"/>
          <w:sz w:val="32"/>
          <w:szCs w:val="32"/>
          <w:lang w:val="en-US" w:eastAsia="zh-CN"/>
        </w:rPr>
        <w:t>5</w:t>
      </w:r>
      <w:r>
        <w:rPr>
          <w:rFonts w:hint="eastAsia" w:eastAsia="仿宋_GB2312" w:cs="仿宋_GB2312"/>
          <w:color w:val="auto"/>
          <w:sz w:val="32"/>
          <w:szCs w:val="32"/>
        </w:rPr>
        <w:t>年度收入、支出总计均为</w:t>
      </w:r>
      <w:r>
        <w:rPr>
          <w:rFonts w:hint="eastAsia" w:eastAsia="仿宋_GB2312" w:cs="仿宋_GB2312"/>
          <w:color w:val="auto"/>
          <w:sz w:val="32"/>
          <w:szCs w:val="32"/>
          <w:lang w:val="en-US" w:eastAsia="zh-CN"/>
        </w:rPr>
        <w:t xml:space="preserve">1523.99 </w:t>
      </w:r>
      <w:r>
        <w:rPr>
          <w:rFonts w:hint="eastAsia" w:eastAsia="仿宋_GB2312" w:cs="仿宋_GB2312"/>
          <w:color w:val="auto"/>
          <w:sz w:val="32"/>
          <w:szCs w:val="32"/>
        </w:rPr>
        <w:t>万元。与202</w:t>
      </w:r>
      <w:r>
        <w:rPr>
          <w:rFonts w:hint="eastAsia" w:eastAsia="仿宋_GB2312" w:cs="仿宋_GB2312"/>
          <w:color w:val="auto"/>
          <w:sz w:val="32"/>
          <w:szCs w:val="32"/>
          <w:lang w:val="en-US" w:eastAsia="zh-CN"/>
        </w:rPr>
        <w:t>4</w:t>
      </w:r>
      <w:r>
        <w:rPr>
          <w:rFonts w:hint="eastAsia" w:eastAsia="仿宋_GB2312" w:cs="仿宋_GB2312"/>
          <w:color w:val="auto"/>
          <w:sz w:val="32"/>
          <w:szCs w:val="32"/>
        </w:rPr>
        <w:t>年度相比，收入、支出总计各减少</w:t>
      </w:r>
      <w:r>
        <w:rPr>
          <w:rFonts w:hint="eastAsia" w:eastAsia="仿宋_GB2312" w:cs="仿宋_GB2312"/>
          <w:color w:val="auto"/>
          <w:sz w:val="32"/>
          <w:szCs w:val="32"/>
          <w:lang w:val="en-US" w:eastAsia="zh-CN"/>
        </w:rPr>
        <w:t>111.8</w:t>
      </w:r>
      <w:r>
        <w:rPr>
          <w:rFonts w:hint="eastAsia" w:eastAsia="仿宋_GB2312" w:cs="仿宋_GB2312"/>
          <w:color w:val="auto"/>
          <w:sz w:val="32"/>
          <w:szCs w:val="32"/>
        </w:rPr>
        <w:t>万元，下降6.8%。主要变动原因是基本支出和项目支出均减少</w:t>
      </w:r>
      <w:r>
        <w:rPr>
          <w:rFonts w:hint="eastAsia" w:eastAsia="仿宋_GB2312" w:cs="仿宋_GB2312"/>
          <w:color w:val="auto"/>
          <w:sz w:val="32"/>
          <w:szCs w:val="32"/>
          <w:lang w:eastAsia="zh-CN"/>
        </w:rPr>
        <w:t>。</w:t>
      </w:r>
    </w:p>
    <w:p>
      <w:pPr>
        <w:pStyle w:val="27"/>
        <w:spacing w:line="600" w:lineRule="exact"/>
        <w:ind w:firstLine="64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r>
        <w:rPr>
          <w:color w:val="auto"/>
        </w:rPr>
        <w:drawing>
          <wp:anchor distT="0" distB="0" distL="114300" distR="114300" simplePos="0" relativeHeight="251659264" behindDoc="0" locked="0" layoutInCell="1" allowOverlap="1">
            <wp:simplePos x="0" y="0"/>
            <wp:positionH relativeFrom="column">
              <wp:posOffset>4445</wp:posOffset>
            </wp:positionH>
            <wp:positionV relativeFrom="paragraph">
              <wp:posOffset>-2708275</wp:posOffset>
            </wp:positionV>
            <wp:extent cx="5143500" cy="3000375"/>
            <wp:effectExtent l="4445" t="4445" r="18415" b="12700"/>
            <wp:wrapNone/>
            <wp:docPr id="4097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7"/>
        <w:spacing w:line="600" w:lineRule="exact"/>
        <w:ind w:firstLine="640"/>
        <w:outlineLvl w:val="1"/>
        <w:rPr>
          <w:rFonts w:eastAsia="仿宋_GB2312" w:cs="仿宋_GB2312"/>
          <w:color w:val="auto"/>
          <w:sz w:val="32"/>
          <w:szCs w:val="32"/>
        </w:rPr>
      </w:pPr>
      <w:r>
        <w:rPr>
          <w:rFonts w:hint="eastAsia" w:eastAsia="仿宋_GB2312" w:cs="仿宋_GB2312"/>
          <w:color w:val="auto"/>
          <w:sz w:val="32"/>
          <w:szCs w:val="32"/>
        </w:rPr>
        <w:t>（图1：收入、支出决算总计变动情况图）</w:t>
      </w:r>
    </w:p>
    <w:p>
      <w:pPr>
        <w:pStyle w:val="27"/>
        <w:spacing w:line="600" w:lineRule="exact"/>
        <w:ind w:firstLine="640"/>
        <w:outlineLvl w:val="1"/>
        <w:rPr>
          <w:rFonts w:eastAsia="黑体"/>
          <w:color w:val="auto"/>
          <w:sz w:val="32"/>
          <w:szCs w:val="32"/>
        </w:rPr>
      </w:pPr>
      <w:bookmarkStart w:id="14" w:name="_Toc15396604"/>
      <w:bookmarkStart w:id="15" w:name="_Toc15377206"/>
      <w:r>
        <w:rPr>
          <w:rFonts w:hint="eastAsia" w:eastAsia="黑体"/>
          <w:color w:val="auto"/>
          <w:sz w:val="32"/>
          <w:szCs w:val="32"/>
        </w:rPr>
        <w:t>二、收入决算情况说明</w:t>
      </w:r>
      <w:bookmarkEnd w:id="14"/>
      <w:bookmarkEnd w:id="15"/>
    </w:p>
    <w:p>
      <w:pPr>
        <w:pStyle w:val="27"/>
        <w:spacing w:line="600" w:lineRule="exact"/>
        <w:ind w:firstLine="640"/>
        <w:jc w:val="left"/>
        <w:outlineLvl w:val="1"/>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年度本年收入合计15</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.99万元，其中：一般公共预算财政拨款收入</w:t>
      </w:r>
      <w:r>
        <w:rPr>
          <w:rFonts w:hint="eastAsia" w:ascii="仿宋_GB2312" w:hAnsi="仿宋_GB2312" w:eastAsia="仿宋_GB2312" w:cs="仿宋_GB2312"/>
          <w:color w:val="auto"/>
          <w:sz w:val="32"/>
          <w:szCs w:val="32"/>
          <w:lang w:val="en-US" w:eastAsia="zh-CN"/>
        </w:rPr>
        <w:t>1086.92</w:t>
      </w:r>
      <w:r>
        <w:rPr>
          <w:rFonts w:hint="eastAsia" w:ascii="仿宋_GB2312" w:hAnsi="仿宋_GB2312" w:eastAsia="仿宋_GB2312" w:cs="仿宋_GB2312"/>
          <w:color w:val="auto"/>
          <w:sz w:val="32"/>
          <w:szCs w:val="32"/>
        </w:rPr>
        <w:t>万元，占71.</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%；政府性基金预算财政拨款收入0万元，占0%；国有资本经营预算财政拨款收入0万元，占0%；上级补助收入0万元，占0%；事业收入</w:t>
      </w:r>
      <w:r>
        <w:rPr>
          <w:rFonts w:hint="eastAsia" w:ascii="仿宋_GB2312" w:hAnsi="仿宋_GB2312" w:eastAsia="仿宋_GB2312" w:cs="仿宋_GB2312"/>
          <w:color w:val="auto"/>
          <w:sz w:val="32"/>
          <w:szCs w:val="32"/>
          <w:lang w:val="en-US" w:eastAsia="zh-CN"/>
        </w:rPr>
        <w:t>437.08</w:t>
      </w:r>
      <w:r>
        <w:rPr>
          <w:rFonts w:hint="eastAsia" w:ascii="仿宋_GB2312" w:hAnsi="仿宋_GB2312" w:eastAsia="仿宋_GB2312" w:cs="仿宋_GB2312"/>
          <w:color w:val="auto"/>
          <w:sz w:val="32"/>
          <w:szCs w:val="32"/>
        </w:rPr>
        <w:t>万元，占28.</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%；经营收入0万元，占0%；附属单位上缴收入0万元，占0%；其他收入0万元，占0%。</w:t>
      </w:r>
    </w:p>
    <w:p>
      <w:pPr>
        <w:pStyle w:val="27"/>
        <w:spacing w:line="600" w:lineRule="exact"/>
        <w:ind w:firstLine="640"/>
        <w:outlineLvl w:val="1"/>
        <w:rPr>
          <w:rFonts w:hint="eastAsia" w:eastAsia="仿宋_GB2312" w:cs="仿宋_GB2312"/>
          <w:b/>
          <w:bCs/>
          <w:color w:val="auto"/>
          <w:sz w:val="32"/>
          <w:szCs w:val="32"/>
        </w:rPr>
      </w:pPr>
      <w:r>
        <w:rPr>
          <w:color w:val="auto"/>
        </w:rPr>
        <w:drawing>
          <wp:anchor distT="0" distB="0" distL="114300" distR="114300" simplePos="0" relativeHeight="251660288" behindDoc="0" locked="0" layoutInCell="1" allowOverlap="1">
            <wp:simplePos x="0" y="0"/>
            <wp:positionH relativeFrom="column">
              <wp:posOffset>-34290</wp:posOffset>
            </wp:positionH>
            <wp:positionV relativeFrom="paragraph">
              <wp:posOffset>209550</wp:posOffset>
            </wp:positionV>
            <wp:extent cx="5219700" cy="2457450"/>
            <wp:effectExtent l="4445" t="4445" r="18415" b="6985"/>
            <wp:wrapNone/>
            <wp:docPr id="3997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left="0" w:leftChars="0" w:firstLine="0" w:firstLineChars="0"/>
        <w:outlineLvl w:val="1"/>
        <w:rPr>
          <w:rFonts w:hint="eastAsia" w:eastAsia="仿宋_GB2312" w:cs="仿宋_GB2312"/>
          <w:color w:val="auto"/>
          <w:sz w:val="32"/>
          <w:szCs w:val="32"/>
        </w:rPr>
      </w:pPr>
    </w:p>
    <w:p>
      <w:pPr>
        <w:pStyle w:val="27"/>
        <w:spacing w:line="600" w:lineRule="exact"/>
        <w:ind w:firstLine="640"/>
        <w:outlineLvl w:val="1"/>
        <w:rPr>
          <w:rFonts w:eastAsia="仿宋_GB2312" w:cs="仿宋_GB2312"/>
          <w:color w:val="auto"/>
          <w:sz w:val="32"/>
          <w:szCs w:val="32"/>
        </w:rPr>
      </w:pPr>
      <w:r>
        <w:rPr>
          <w:rFonts w:hint="eastAsia" w:eastAsia="仿宋_GB2312" w:cs="仿宋_GB2312"/>
          <w:color w:val="auto"/>
          <w:sz w:val="32"/>
          <w:szCs w:val="32"/>
        </w:rPr>
        <w:t>（图2：收入决算结构图）</w:t>
      </w:r>
    </w:p>
    <w:p>
      <w:pPr>
        <w:pStyle w:val="27"/>
        <w:spacing w:line="600" w:lineRule="exact"/>
        <w:ind w:firstLine="640"/>
        <w:outlineLvl w:val="1"/>
        <w:rPr>
          <w:rStyle w:val="29"/>
          <w:rFonts w:ascii="Times New Roman" w:hAnsi="Times New Roman" w:eastAsia="黑体"/>
          <w:b w:val="0"/>
          <w:color w:val="auto"/>
        </w:rPr>
      </w:pPr>
      <w:bookmarkStart w:id="16" w:name="_Toc15377207"/>
      <w:bookmarkStart w:id="17" w:name="_Toc15396605"/>
      <w:r>
        <w:rPr>
          <w:rFonts w:hint="eastAsia" w:eastAsia="黑体"/>
          <w:color w:val="auto"/>
          <w:sz w:val="32"/>
          <w:szCs w:val="32"/>
        </w:rPr>
        <w:t>三、支</w:t>
      </w:r>
      <w:r>
        <w:rPr>
          <w:rStyle w:val="29"/>
          <w:rFonts w:hint="eastAsia" w:ascii="Times New Roman" w:hAnsi="Times New Roman" w:eastAsia="黑体"/>
          <w:b w:val="0"/>
          <w:color w:val="auto"/>
        </w:rPr>
        <w:t>出决算情况说明</w:t>
      </w:r>
      <w:bookmarkEnd w:id="16"/>
      <w:bookmarkEnd w:id="17"/>
    </w:p>
    <w:p>
      <w:pPr>
        <w:pStyle w:val="27"/>
        <w:spacing w:line="600" w:lineRule="exact"/>
        <w:ind w:firstLine="640"/>
        <w:jc w:val="left"/>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年度本年支出合计15</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.99万元，其中：基本支出</w:t>
      </w:r>
      <w:r>
        <w:rPr>
          <w:rFonts w:hint="eastAsia" w:ascii="仿宋_GB2312" w:hAnsi="仿宋_GB2312" w:eastAsia="仿宋_GB2312" w:cs="仿宋_GB2312"/>
          <w:color w:val="auto"/>
          <w:sz w:val="32"/>
          <w:szCs w:val="32"/>
          <w:lang w:val="en-US" w:eastAsia="zh-CN"/>
        </w:rPr>
        <w:t>1484.15</w:t>
      </w:r>
      <w:r>
        <w:rPr>
          <w:rFonts w:hint="eastAsia" w:ascii="仿宋_GB2312" w:hAnsi="仿宋_GB2312" w:eastAsia="仿宋_GB2312" w:cs="仿宋_GB2312"/>
          <w:color w:val="auto"/>
          <w:sz w:val="32"/>
          <w:szCs w:val="32"/>
        </w:rPr>
        <w:t>万元，占9</w:t>
      </w:r>
      <w:r>
        <w:rPr>
          <w:rFonts w:hint="eastAsia" w:ascii="仿宋_GB2312" w:hAnsi="仿宋_GB2312" w:eastAsia="仿宋_GB2312" w:cs="仿宋_GB2312"/>
          <w:color w:val="auto"/>
          <w:sz w:val="32"/>
          <w:szCs w:val="32"/>
          <w:lang w:val="en-US" w:eastAsia="zh-CN"/>
        </w:rPr>
        <w:t>7.4</w:t>
      </w:r>
      <w:r>
        <w:rPr>
          <w:rFonts w:hint="eastAsia" w:ascii="仿宋_GB2312" w:hAnsi="仿宋_GB2312" w:eastAsia="仿宋_GB2312" w:cs="仿宋_GB2312"/>
          <w:color w:val="auto"/>
          <w:sz w:val="32"/>
          <w:szCs w:val="32"/>
        </w:rPr>
        <w:t>%；项目支出</w:t>
      </w:r>
      <w:r>
        <w:rPr>
          <w:rFonts w:hint="eastAsia" w:ascii="仿宋_GB2312" w:hAnsi="仿宋_GB2312" w:eastAsia="仿宋_GB2312" w:cs="仿宋_GB2312"/>
          <w:color w:val="auto"/>
          <w:sz w:val="32"/>
          <w:szCs w:val="32"/>
          <w:lang w:val="en-US" w:eastAsia="zh-CN"/>
        </w:rPr>
        <w:t>39.84</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%；上缴上级支出0万元，占0%；经营支出0万元，占0%；对附属单位补助支出0万元，占0%。</w:t>
      </w:r>
    </w:p>
    <w:p>
      <w:pPr>
        <w:pStyle w:val="27"/>
        <w:spacing w:line="600" w:lineRule="exact"/>
        <w:ind w:firstLine="640"/>
        <w:jc w:val="left"/>
        <w:outlineLvl w:val="1"/>
        <w:rPr>
          <w:rFonts w:hint="eastAsia" w:ascii="仿宋_GB2312" w:hAnsi="仿宋_GB2312" w:eastAsia="仿宋_GB2312" w:cs="仿宋_GB2312"/>
          <w:color w:val="auto"/>
          <w:sz w:val="32"/>
          <w:szCs w:val="32"/>
        </w:rPr>
      </w:pPr>
      <w:r>
        <w:rPr>
          <w:color w:val="auto"/>
        </w:rPr>
        <w:drawing>
          <wp:anchor distT="0" distB="0" distL="114300" distR="114300" simplePos="0" relativeHeight="251661312" behindDoc="0" locked="0" layoutInCell="1" allowOverlap="1">
            <wp:simplePos x="0" y="0"/>
            <wp:positionH relativeFrom="column">
              <wp:posOffset>-50800</wp:posOffset>
            </wp:positionH>
            <wp:positionV relativeFrom="paragraph">
              <wp:posOffset>251460</wp:posOffset>
            </wp:positionV>
            <wp:extent cx="5273675" cy="2738120"/>
            <wp:effectExtent l="4445" t="4445" r="10160" b="15875"/>
            <wp:wrapNone/>
            <wp:docPr id="3896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hint="eastAsia" w:eastAsia="仿宋_GB2312" w:cs="仿宋_GB2312"/>
          <w:b/>
          <w:bCs/>
          <w:color w:val="auto"/>
          <w:sz w:val="32"/>
          <w:szCs w:val="32"/>
        </w:rPr>
      </w:pPr>
    </w:p>
    <w:p>
      <w:pPr>
        <w:pStyle w:val="27"/>
        <w:spacing w:line="600" w:lineRule="exact"/>
        <w:ind w:firstLine="640"/>
        <w:outlineLvl w:val="1"/>
        <w:rPr>
          <w:rFonts w:eastAsia="仿宋_GB2312" w:cs="仿宋_GB2312"/>
          <w:color w:val="auto"/>
          <w:sz w:val="32"/>
          <w:szCs w:val="32"/>
        </w:rPr>
      </w:pPr>
      <w:r>
        <w:rPr>
          <w:rFonts w:hint="eastAsia" w:eastAsia="仿宋_GB2312" w:cs="仿宋_GB2312"/>
          <w:color w:val="auto"/>
          <w:sz w:val="32"/>
          <w:szCs w:val="32"/>
        </w:rPr>
        <w:t>（图3：支出决算结构图）（饼状图）</w:t>
      </w:r>
    </w:p>
    <w:p>
      <w:pPr>
        <w:spacing w:line="600" w:lineRule="exact"/>
        <w:ind w:firstLine="640" w:firstLineChars="200"/>
        <w:outlineLvl w:val="1"/>
        <w:rPr>
          <w:rStyle w:val="29"/>
          <w:rFonts w:ascii="Times New Roman" w:hAnsi="Times New Roman" w:eastAsia="黑体"/>
          <w:b w:val="0"/>
          <w:color w:val="auto"/>
        </w:rPr>
      </w:pPr>
      <w:bookmarkStart w:id="18" w:name="_Toc15396606"/>
      <w:bookmarkStart w:id="19" w:name="_Toc15377208"/>
      <w:r>
        <w:rPr>
          <w:rFonts w:hint="eastAsia" w:eastAsia="黑体"/>
          <w:color w:val="auto"/>
          <w:sz w:val="32"/>
          <w:szCs w:val="32"/>
        </w:rPr>
        <w:t>四、财</w:t>
      </w:r>
      <w:r>
        <w:rPr>
          <w:rStyle w:val="29"/>
          <w:rFonts w:hint="eastAsia" w:ascii="Times New Roman" w:hAnsi="Times New Roman" w:eastAsia="黑体"/>
          <w:b w:val="0"/>
          <w:color w:val="auto"/>
        </w:rPr>
        <w:t>政拨款收入支出决算总体情况说明</w:t>
      </w:r>
      <w:bookmarkEnd w:id="18"/>
      <w:bookmarkEnd w:id="19"/>
    </w:p>
    <w:p>
      <w:pPr>
        <w:spacing w:line="600" w:lineRule="exact"/>
        <w:ind w:firstLine="640"/>
        <w:rPr>
          <w:rFonts w:hint="eastAsia" w:ascii="仿宋" w:hAnsi="仿宋" w:eastAsia="仿宋"/>
          <w:color w:val="auto"/>
          <w:sz w:val="32"/>
          <w:szCs w:val="32"/>
        </w:rPr>
      </w:pPr>
      <w:r>
        <w:rPr>
          <w:rFonts w:hint="eastAsia" w:eastAsia="仿宋_GB2312" w:cs="仿宋_GB2312"/>
          <w:color w:val="auto"/>
          <w:sz w:val="32"/>
          <w:szCs w:val="32"/>
        </w:rPr>
        <w:t>202</w:t>
      </w:r>
      <w:r>
        <w:rPr>
          <w:rFonts w:hint="eastAsia" w:eastAsia="仿宋_GB2312" w:cs="仿宋_GB2312"/>
          <w:color w:val="auto"/>
          <w:sz w:val="32"/>
          <w:szCs w:val="32"/>
          <w:lang w:val="en-US" w:eastAsia="zh-CN"/>
        </w:rPr>
        <w:t>5</w:t>
      </w:r>
      <w:r>
        <w:rPr>
          <w:rFonts w:hint="eastAsia" w:eastAsia="仿宋_GB2312" w:cs="仿宋_GB2312"/>
          <w:color w:val="auto"/>
          <w:sz w:val="32"/>
          <w:szCs w:val="32"/>
        </w:rPr>
        <w:t>年度财政拨款收入、支出总计均为</w:t>
      </w:r>
      <w:r>
        <w:rPr>
          <w:rFonts w:hint="eastAsia" w:eastAsia="仿宋_GB2312" w:cs="仿宋_GB2312"/>
          <w:color w:val="auto"/>
          <w:sz w:val="32"/>
          <w:szCs w:val="32"/>
          <w:lang w:val="en-US" w:eastAsia="zh-CN"/>
        </w:rPr>
        <w:t xml:space="preserve">1086.92 </w:t>
      </w:r>
      <w:r>
        <w:rPr>
          <w:rFonts w:hint="eastAsia" w:eastAsia="仿宋_GB2312" w:cs="仿宋_GB2312"/>
          <w:color w:val="auto"/>
          <w:sz w:val="32"/>
          <w:szCs w:val="32"/>
        </w:rPr>
        <w:t>万元。与202</w:t>
      </w:r>
      <w:r>
        <w:rPr>
          <w:rFonts w:hint="eastAsia" w:eastAsia="仿宋_GB2312" w:cs="仿宋_GB2312"/>
          <w:color w:val="auto"/>
          <w:sz w:val="32"/>
          <w:szCs w:val="32"/>
          <w:lang w:val="en-US" w:eastAsia="zh-CN"/>
        </w:rPr>
        <w:t>4</w:t>
      </w:r>
      <w:r>
        <w:rPr>
          <w:rFonts w:hint="eastAsia" w:eastAsia="仿宋_GB2312" w:cs="仿宋_GB2312"/>
          <w:color w:val="auto"/>
          <w:sz w:val="32"/>
          <w:szCs w:val="32"/>
        </w:rPr>
        <w:t>年度相比，财政拨款收入总计、支出总计各减少</w:t>
      </w:r>
      <w:r>
        <w:rPr>
          <w:rFonts w:hint="eastAsia" w:eastAsia="仿宋_GB2312" w:cs="仿宋_GB2312"/>
          <w:color w:val="auto"/>
          <w:sz w:val="32"/>
          <w:szCs w:val="32"/>
          <w:lang w:val="en-US" w:eastAsia="zh-CN"/>
        </w:rPr>
        <w:t>1.74</w:t>
      </w:r>
      <w:r>
        <w:rPr>
          <w:rFonts w:hint="eastAsia" w:eastAsia="仿宋_GB2312" w:cs="仿宋_GB2312"/>
          <w:color w:val="auto"/>
          <w:sz w:val="32"/>
          <w:szCs w:val="32"/>
        </w:rPr>
        <w:t>万元，减少</w:t>
      </w:r>
      <w:r>
        <w:rPr>
          <w:rFonts w:hint="eastAsia" w:eastAsia="仿宋_GB2312" w:cs="仿宋_GB2312"/>
          <w:color w:val="auto"/>
          <w:sz w:val="32"/>
          <w:szCs w:val="32"/>
          <w:lang w:val="en-US" w:eastAsia="zh-CN"/>
        </w:rPr>
        <w:t>0.2</w:t>
      </w:r>
      <w:r>
        <w:rPr>
          <w:rFonts w:hint="eastAsia" w:eastAsia="仿宋_GB2312" w:cs="仿宋_GB2312"/>
          <w:color w:val="auto"/>
          <w:sz w:val="32"/>
          <w:szCs w:val="32"/>
        </w:rPr>
        <w:t>%。主要变动原因是日常公用经费支出减少</w:t>
      </w:r>
      <w:r>
        <w:rPr>
          <w:rFonts w:hint="eastAsia" w:ascii="仿宋" w:hAnsi="仿宋" w:eastAsia="仿宋"/>
          <w:color w:val="auto"/>
          <w:sz w:val="32"/>
          <w:szCs w:val="32"/>
        </w:rPr>
        <w:t>。</w:t>
      </w:r>
    </w:p>
    <w:p>
      <w:pPr>
        <w:spacing w:line="600" w:lineRule="exact"/>
        <w:ind w:firstLine="640"/>
        <w:rPr>
          <w:rFonts w:hint="eastAsia" w:ascii="仿宋" w:hAnsi="仿宋" w:eastAsia="仿宋"/>
          <w:color w:val="auto"/>
          <w:sz w:val="32"/>
          <w:szCs w:val="32"/>
        </w:rPr>
      </w:pPr>
      <w:r>
        <w:rPr>
          <w:color w:val="auto"/>
        </w:rPr>
        <w:drawing>
          <wp:anchor distT="0" distB="0" distL="114300" distR="114300" simplePos="0" relativeHeight="251662336" behindDoc="0" locked="0" layoutInCell="1" allowOverlap="1">
            <wp:simplePos x="0" y="0"/>
            <wp:positionH relativeFrom="column">
              <wp:posOffset>13335</wp:posOffset>
            </wp:positionH>
            <wp:positionV relativeFrom="paragraph">
              <wp:posOffset>12700</wp:posOffset>
            </wp:positionV>
            <wp:extent cx="5153025" cy="2063750"/>
            <wp:effectExtent l="5080" t="4445" r="8255" b="19685"/>
            <wp:wrapNone/>
            <wp:docPr id="3790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rPr>
          <w:rFonts w:hint="eastAsia" w:ascii="仿宋" w:hAnsi="仿宋" w:eastAsia="仿宋"/>
          <w:color w:val="auto"/>
          <w:sz w:val="32"/>
          <w:szCs w:val="32"/>
        </w:rPr>
      </w:pPr>
    </w:p>
    <w:p>
      <w:pPr>
        <w:spacing w:line="600" w:lineRule="exact"/>
        <w:ind w:firstLine="640"/>
        <w:rPr>
          <w:rFonts w:hint="eastAsia" w:ascii="仿宋" w:hAnsi="仿宋" w:eastAsia="仿宋"/>
          <w:color w:val="auto"/>
          <w:sz w:val="32"/>
          <w:szCs w:val="32"/>
        </w:rPr>
      </w:pPr>
    </w:p>
    <w:p>
      <w:pPr>
        <w:rPr>
          <w:rFonts w:hint="eastAsia" w:eastAsia="仿宋_GB2312" w:cs="仿宋_GB2312"/>
          <w:color w:val="auto"/>
          <w:sz w:val="32"/>
          <w:szCs w:val="32"/>
        </w:rPr>
      </w:pPr>
    </w:p>
    <w:p>
      <w:pPr>
        <w:pStyle w:val="7"/>
        <w:ind w:left="0" w:leftChars="0" w:firstLine="0" w:firstLineChars="0"/>
        <w:rPr>
          <w:rFonts w:hint="eastAsia" w:eastAsia="仿宋_GB2312" w:cs="仿宋_GB2312"/>
          <w:color w:val="auto"/>
          <w:sz w:val="32"/>
          <w:szCs w:val="32"/>
        </w:rPr>
      </w:pPr>
    </w:p>
    <w:p>
      <w:pPr>
        <w:spacing w:line="600" w:lineRule="exact"/>
        <w:ind w:firstLine="640" w:firstLineChars="200"/>
        <w:rPr>
          <w:rFonts w:eastAsia="仿宋_GB2312" w:cs="仿宋_GB2312"/>
          <w:color w:val="auto"/>
          <w:sz w:val="32"/>
          <w:szCs w:val="32"/>
        </w:rPr>
      </w:pPr>
      <w:r>
        <w:rPr>
          <w:rFonts w:hint="eastAsia" w:eastAsia="仿宋_GB2312" w:cs="仿宋_GB2312"/>
          <w:color w:val="auto"/>
          <w:sz w:val="32"/>
          <w:szCs w:val="32"/>
        </w:rPr>
        <w:t>（图4：财政拨款收、支决算总计变动情况）</w:t>
      </w:r>
    </w:p>
    <w:p>
      <w:pPr>
        <w:spacing w:line="600" w:lineRule="exact"/>
        <w:ind w:firstLine="640" w:firstLineChars="200"/>
        <w:outlineLvl w:val="1"/>
        <w:rPr>
          <w:rStyle w:val="29"/>
          <w:rFonts w:ascii="Times New Roman" w:hAnsi="Times New Roman" w:eastAsia="黑体"/>
          <w:b w:val="0"/>
          <w:color w:val="auto"/>
        </w:rPr>
      </w:pPr>
      <w:bookmarkStart w:id="20" w:name="_Toc15396607"/>
      <w:bookmarkStart w:id="21" w:name="_Toc15377209"/>
      <w:r>
        <w:rPr>
          <w:rFonts w:hint="eastAsia" w:eastAsia="黑体"/>
          <w:color w:val="auto"/>
          <w:sz w:val="32"/>
          <w:szCs w:val="32"/>
        </w:rPr>
        <w:t>五、</w:t>
      </w:r>
      <w:r>
        <w:rPr>
          <w:rFonts w:hint="eastAsia" w:eastAsia="黑体"/>
          <w:b/>
          <w:color w:val="auto"/>
          <w:sz w:val="32"/>
          <w:szCs w:val="32"/>
        </w:rPr>
        <w:t>一</w:t>
      </w:r>
      <w:r>
        <w:rPr>
          <w:rStyle w:val="29"/>
          <w:rFonts w:hint="eastAsia" w:ascii="Times New Roman" w:hAnsi="Times New Roman" w:eastAsia="黑体"/>
          <w:b w:val="0"/>
          <w:color w:val="auto"/>
        </w:rPr>
        <w:t>般公共预算财政拨款支出决算情况说明</w:t>
      </w:r>
      <w:bookmarkEnd w:id="20"/>
      <w:bookmarkEnd w:id="21"/>
    </w:p>
    <w:p>
      <w:pPr>
        <w:spacing w:line="600" w:lineRule="exact"/>
        <w:ind w:firstLine="643" w:firstLineChars="200"/>
        <w:outlineLvl w:val="2"/>
        <w:rPr>
          <w:rFonts w:eastAsia="楷体_GB2312" w:cs="楷体_GB2312"/>
          <w:b/>
          <w:color w:val="auto"/>
          <w:sz w:val="32"/>
          <w:szCs w:val="32"/>
        </w:rPr>
      </w:pPr>
      <w:bookmarkStart w:id="22" w:name="_Toc15377210"/>
      <w:r>
        <w:rPr>
          <w:rFonts w:hint="eastAsia" w:eastAsia="楷体_GB2312" w:cs="楷体_GB2312"/>
          <w:b/>
          <w:color w:val="auto"/>
          <w:sz w:val="32"/>
          <w:szCs w:val="32"/>
        </w:rPr>
        <w:t>（一）一般公共预算财政拨款支出决算总体情况</w:t>
      </w:r>
      <w:bookmarkEnd w:id="22"/>
    </w:p>
    <w:p>
      <w:pPr>
        <w:spacing w:line="600" w:lineRule="exact"/>
        <w:ind w:firstLine="640"/>
        <w:rPr>
          <w:rFonts w:ascii="仿宋" w:hAnsi="仿宋" w:eastAsia="仿宋"/>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年度一般公共预算财政拨款支出</w:t>
      </w:r>
      <w:r>
        <w:rPr>
          <w:rFonts w:hint="eastAsia" w:eastAsia="仿宋_GB2312" w:cs="仿宋_GB2312"/>
          <w:color w:val="auto"/>
          <w:sz w:val="32"/>
          <w:szCs w:val="32"/>
          <w:lang w:val="en-US" w:eastAsia="zh-CN"/>
        </w:rPr>
        <w:t xml:space="preserve">1086.92 </w:t>
      </w:r>
      <w:r>
        <w:rPr>
          <w:rFonts w:hint="eastAsia" w:ascii="仿宋_GB2312" w:hAnsi="仿宋_GB2312" w:eastAsia="仿宋_GB2312" w:cs="仿宋_GB2312"/>
          <w:color w:val="auto"/>
          <w:sz w:val="32"/>
          <w:szCs w:val="32"/>
        </w:rPr>
        <w:t>万元，占本年支出合计的</w:t>
      </w:r>
      <w:r>
        <w:rPr>
          <w:rFonts w:hint="eastAsia" w:ascii="仿宋_GB2312" w:hAnsi="仿宋_GB2312" w:eastAsia="仿宋_GB2312" w:cs="仿宋_GB2312"/>
          <w:color w:val="auto"/>
          <w:sz w:val="32"/>
          <w:szCs w:val="32"/>
          <w:lang w:val="en-US" w:eastAsia="zh-CN"/>
        </w:rPr>
        <w:t>71.32</w:t>
      </w:r>
      <w:r>
        <w:rPr>
          <w:rFonts w:hint="eastAsia" w:ascii="仿宋_GB2312" w:hAnsi="仿宋_GB2312" w:eastAsia="仿宋_GB2312" w:cs="仿宋_GB2312"/>
          <w:color w:val="auto"/>
          <w:sz w:val="32"/>
          <w:szCs w:val="32"/>
        </w:rPr>
        <w:t>%。与202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年度相比，一般公共预算财政拨款支出</w:t>
      </w:r>
      <w:r>
        <w:rPr>
          <w:rFonts w:hint="eastAsia" w:eastAsia="仿宋_GB2312" w:cs="仿宋_GB2312"/>
          <w:color w:val="auto"/>
          <w:sz w:val="32"/>
          <w:szCs w:val="32"/>
        </w:rPr>
        <w:t>减少</w:t>
      </w:r>
      <w:r>
        <w:rPr>
          <w:rFonts w:hint="eastAsia" w:eastAsia="仿宋_GB2312" w:cs="仿宋_GB2312"/>
          <w:color w:val="auto"/>
          <w:sz w:val="32"/>
          <w:szCs w:val="32"/>
          <w:lang w:val="en-US" w:eastAsia="zh-CN"/>
        </w:rPr>
        <w:t>1.74</w:t>
      </w:r>
      <w:r>
        <w:rPr>
          <w:rFonts w:hint="eastAsia" w:eastAsia="仿宋_GB2312" w:cs="仿宋_GB2312"/>
          <w:color w:val="auto"/>
          <w:sz w:val="32"/>
          <w:szCs w:val="32"/>
        </w:rPr>
        <w:t>万元，减少</w:t>
      </w:r>
      <w:r>
        <w:rPr>
          <w:rFonts w:hint="eastAsia" w:eastAsia="仿宋_GB2312" w:cs="仿宋_GB2312"/>
          <w:color w:val="auto"/>
          <w:sz w:val="32"/>
          <w:szCs w:val="32"/>
          <w:lang w:val="en-US" w:eastAsia="zh-CN"/>
        </w:rPr>
        <w:t>0.2</w:t>
      </w:r>
      <w:r>
        <w:rPr>
          <w:rFonts w:hint="eastAsia" w:eastAsia="仿宋_GB2312" w:cs="仿宋_GB2312"/>
          <w:color w:val="auto"/>
          <w:sz w:val="32"/>
          <w:szCs w:val="32"/>
        </w:rPr>
        <w:t>%</w:t>
      </w:r>
      <w:r>
        <w:rPr>
          <w:rFonts w:hint="eastAsia" w:eastAsia="仿宋_GB2312" w:cs="仿宋_GB2312"/>
          <w:color w:val="auto"/>
          <w:sz w:val="32"/>
          <w:szCs w:val="32"/>
          <w:lang w:eastAsia="zh-CN"/>
        </w:rPr>
        <w:t>。</w:t>
      </w:r>
      <w:r>
        <w:rPr>
          <w:rFonts w:hint="eastAsia" w:ascii="仿宋_GB2312" w:hAnsi="仿宋_GB2312" w:eastAsia="仿宋_GB2312" w:cs="仿宋_GB2312"/>
          <w:color w:val="auto"/>
          <w:sz w:val="32"/>
          <w:szCs w:val="32"/>
        </w:rPr>
        <w:t>主要变动原因是</w:t>
      </w:r>
      <w:r>
        <w:rPr>
          <w:rFonts w:hint="eastAsia" w:eastAsia="仿宋_GB2312" w:cs="仿宋_GB2312"/>
          <w:color w:val="auto"/>
          <w:sz w:val="32"/>
          <w:szCs w:val="32"/>
        </w:rPr>
        <w:t>日常公用经费支出减少</w:t>
      </w:r>
      <w:r>
        <w:rPr>
          <w:rFonts w:hint="eastAsia" w:ascii="仿宋" w:hAnsi="仿宋" w:eastAsia="仿宋"/>
          <w:color w:val="auto"/>
          <w:sz w:val="32"/>
          <w:szCs w:val="32"/>
        </w:rPr>
        <w:t>。</w:t>
      </w:r>
    </w:p>
    <w:p>
      <w:pPr>
        <w:pStyle w:val="13"/>
        <w:rPr>
          <w:rFonts w:hint="default" w:eastAsia="仿宋_GB2312" w:cs="仿宋_GB2312"/>
          <w:color w:val="auto"/>
          <w:sz w:val="32"/>
          <w:szCs w:val="32"/>
          <w:lang w:val="en-US" w:eastAsia="zh-CN"/>
        </w:rPr>
      </w:pPr>
      <w:r>
        <w:rPr>
          <w:color w:val="auto"/>
        </w:rPr>
        <w:drawing>
          <wp:anchor distT="0" distB="0" distL="114300" distR="114300" simplePos="0" relativeHeight="251663360" behindDoc="0" locked="0" layoutInCell="1" allowOverlap="1">
            <wp:simplePos x="0" y="0"/>
            <wp:positionH relativeFrom="column">
              <wp:posOffset>12700</wp:posOffset>
            </wp:positionH>
            <wp:positionV relativeFrom="paragraph">
              <wp:posOffset>48260</wp:posOffset>
            </wp:positionV>
            <wp:extent cx="5177155" cy="2074545"/>
            <wp:effectExtent l="4445" t="4445" r="15240" b="8890"/>
            <wp:wrapNone/>
            <wp:docPr id="42496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7"/>
        <w:rPr>
          <w:rFonts w:hint="default" w:eastAsia="仿宋_GB2312" w:cs="仿宋_GB2312"/>
          <w:color w:val="auto"/>
          <w:sz w:val="32"/>
          <w:szCs w:val="32"/>
          <w:lang w:val="en-US" w:eastAsia="zh-CN"/>
        </w:rPr>
      </w:pPr>
    </w:p>
    <w:p>
      <w:pPr>
        <w:pStyle w:val="7"/>
        <w:ind w:left="0" w:leftChars="0" w:firstLine="0" w:firstLineChars="0"/>
        <w:rPr>
          <w:rFonts w:hint="eastAsia" w:eastAsia="仿宋_GB2312" w:cs="仿宋_GB2312"/>
          <w:color w:val="auto"/>
          <w:sz w:val="32"/>
          <w:szCs w:val="32"/>
        </w:rPr>
      </w:pPr>
    </w:p>
    <w:p>
      <w:pPr>
        <w:pStyle w:val="13"/>
        <w:rPr>
          <w:rFonts w:hint="eastAsia" w:eastAsia="仿宋_GB2312" w:cs="仿宋_GB2312"/>
          <w:color w:val="auto"/>
          <w:sz w:val="32"/>
          <w:szCs w:val="32"/>
        </w:rPr>
      </w:pPr>
    </w:p>
    <w:p>
      <w:pPr>
        <w:rPr>
          <w:rFonts w:hint="eastAsia" w:eastAsia="仿宋_GB2312" w:cs="仿宋_GB2312"/>
          <w:color w:val="auto"/>
          <w:sz w:val="32"/>
          <w:szCs w:val="32"/>
        </w:rPr>
      </w:pPr>
    </w:p>
    <w:p>
      <w:pPr>
        <w:pStyle w:val="13"/>
        <w:rPr>
          <w:color w:val="auto"/>
        </w:rPr>
      </w:pPr>
    </w:p>
    <w:p>
      <w:pPr>
        <w:rPr>
          <w:color w:val="auto"/>
        </w:rPr>
      </w:pP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（图5：一般公共预算财政拨款支出决算变动情况）</w:t>
      </w:r>
    </w:p>
    <w:p>
      <w:pPr>
        <w:spacing w:line="600" w:lineRule="exact"/>
        <w:ind w:firstLine="643" w:firstLineChars="200"/>
        <w:outlineLvl w:val="2"/>
        <w:rPr>
          <w:rFonts w:eastAsia="楷体_GB2312" w:cs="楷体_GB2312"/>
          <w:b/>
          <w:color w:val="auto"/>
          <w:sz w:val="32"/>
          <w:szCs w:val="32"/>
        </w:rPr>
      </w:pPr>
      <w:bookmarkStart w:id="23" w:name="_Toc15377211"/>
      <w:r>
        <w:rPr>
          <w:rFonts w:hint="eastAsia" w:eastAsia="楷体_GB2312" w:cs="楷体_GB2312"/>
          <w:b/>
          <w:color w:val="auto"/>
          <w:sz w:val="32"/>
          <w:szCs w:val="32"/>
        </w:rPr>
        <w:t>（二）一般公共预算财政拨款支出决算结构情况</w:t>
      </w:r>
      <w:bookmarkEnd w:id="23"/>
    </w:p>
    <w:p>
      <w:pPr>
        <w:pStyle w:val="7"/>
        <w:ind w:left="0" w:leftChars="0" w:firstLine="640" w:firstLineChars="200"/>
        <w:rPr>
          <w:rFonts w:hint="eastAsia" w:eastAsia="仿宋_GB2312" w:cs="仿宋_GB2312"/>
          <w:color w:val="auto"/>
          <w:sz w:val="32"/>
          <w:szCs w:val="32"/>
        </w:rPr>
      </w:pPr>
      <w:r>
        <w:rPr>
          <w:rFonts w:hint="eastAsia" w:eastAsia="仿宋_GB2312" w:cs="仿宋_GB2312"/>
          <w:color w:val="auto"/>
          <w:sz w:val="32"/>
          <w:szCs w:val="32"/>
        </w:rPr>
        <w:t>202</w:t>
      </w:r>
      <w:r>
        <w:rPr>
          <w:rFonts w:hint="eastAsia" w:eastAsia="仿宋_GB2312" w:cs="仿宋_GB2312"/>
          <w:color w:val="auto"/>
          <w:sz w:val="32"/>
          <w:szCs w:val="32"/>
          <w:lang w:val="en-US" w:eastAsia="zh-CN"/>
        </w:rPr>
        <w:t>5</w:t>
      </w:r>
      <w:r>
        <w:rPr>
          <w:rFonts w:hint="eastAsia" w:eastAsia="仿宋_GB2312" w:cs="仿宋_GB2312"/>
          <w:color w:val="auto"/>
          <w:sz w:val="32"/>
          <w:szCs w:val="32"/>
        </w:rPr>
        <w:t>年度一般公共预算财政拨款支出</w:t>
      </w:r>
      <w:r>
        <w:rPr>
          <w:rFonts w:hint="eastAsia" w:ascii="仿宋_GB2312" w:hAnsi="仿宋_GB2312" w:eastAsia="仿宋_GB2312" w:cs="仿宋_GB2312"/>
          <w:color w:val="auto"/>
          <w:sz w:val="32"/>
          <w:szCs w:val="32"/>
        </w:rPr>
        <w:t>10</w:t>
      </w:r>
      <w:r>
        <w:rPr>
          <w:rFonts w:hint="eastAsia" w:hAnsi="仿宋_GB2312" w:eastAsia="仿宋_GB2312" w:cs="仿宋_GB2312"/>
          <w:color w:val="auto"/>
          <w:sz w:val="32"/>
          <w:szCs w:val="32"/>
          <w:lang w:val="en-US" w:eastAsia="zh-CN"/>
        </w:rPr>
        <w:t>86.92</w:t>
      </w:r>
      <w:r>
        <w:rPr>
          <w:rFonts w:hint="eastAsia" w:ascii="仿宋_GB2312" w:hAnsi="仿宋_GB2312" w:eastAsia="仿宋_GB2312" w:cs="仿宋_GB2312"/>
          <w:color w:val="auto"/>
          <w:sz w:val="32"/>
          <w:szCs w:val="32"/>
        </w:rPr>
        <w:t>万元</w:t>
      </w:r>
      <w:r>
        <w:rPr>
          <w:rFonts w:hint="eastAsia" w:eastAsia="仿宋_GB2312" w:cs="仿宋_GB2312"/>
          <w:color w:val="auto"/>
          <w:sz w:val="32"/>
          <w:szCs w:val="32"/>
        </w:rPr>
        <w:t>，主要用于以下方面：一般公共服务支出0万元，占0%；教育支出</w:t>
      </w:r>
      <w:r>
        <w:rPr>
          <w:rFonts w:hint="eastAsia" w:eastAsia="仿宋_GB2312" w:cs="仿宋_GB2312"/>
          <w:color w:val="auto"/>
          <w:sz w:val="32"/>
          <w:szCs w:val="32"/>
          <w:lang w:val="en-US" w:eastAsia="zh-CN"/>
        </w:rPr>
        <w:t>701.79</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64.6</w:t>
      </w:r>
      <w:r>
        <w:rPr>
          <w:rFonts w:hint="eastAsia" w:eastAsia="仿宋_GB2312" w:cs="仿宋_GB2312"/>
          <w:color w:val="auto"/>
          <w:sz w:val="32"/>
          <w:szCs w:val="32"/>
        </w:rPr>
        <w:t>%；科学技术支出0万元，占0%；文化旅游体育与传媒支出0万元，占0%；社会保障和就业支出</w:t>
      </w:r>
      <w:r>
        <w:rPr>
          <w:rFonts w:hint="eastAsia" w:eastAsia="仿宋_GB2312" w:cs="仿宋_GB2312"/>
          <w:color w:val="auto"/>
          <w:sz w:val="32"/>
          <w:szCs w:val="32"/>
          <w:lang w:val="en-US" w:eastAsia="zh-CN"/>
        </w:rPr>
        <w:t>258.06</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23.7</w:t>
      </w:r>
      <w:r>
        <w:rPr>
          <w:rFonts w:hint="eastAsia" w:eastAsia="仿宋_GB2312" w:cs="仿宋_GB2312"/>
          <w:color w:val="auto"/>
          <w:sz w:val="32"/>
          <w:szCs w:val="32"/>
        </w:rPr>
        <w:t>%；卫生健康支出5</w:t>
      </w:r>
      <w:r>
        <w:rPr>
          <w:rFonts w:hint="eastAsia" w:eastAsia="仿宋_GB2312" w:cs="仿宋_GB2312"/>
          <w:color w:val="auto"/>
          <w:sz w:val="32"/>
          <w:szCs w:val="32"/>
          <w:lang w:val="en-US" w:eastAsia="zh-CN"/>
        </w:rPr>
        <w:t>2.61</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4.8</w:t>
      </w:r>
      <w:r>
        <w:rPr>
          <w:rFonts w:hint="eastAsia" w:eastAsia="仿宋_GB2312" w:cs="仿宋_GB2312"/>
          <w:color w:val="auto"/>
          <w:sz w:val="32"/>
          <w:szCs w:val="32"/>
        </w:rPr>
        <w:t>%；住房保障支出</w:t>
      </w:r>
      <w:r>
        <w:rPr>
          <w:rFonts w:hint="eastAsia" w:eastAsia="仿宋_GB2312" w:cs="仿宋_GB2312"/>
          <w:color w:val="auto"/>
          <w:sz w:val="32"/>
          <w:szCs w:val="32"/>
          <w:lang w:val="en-US" w:eastAsia="zh-CN"/>
        </w:rPr>
        <w:t>74.45</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6.9</w:t>
      </w:r>
      <w:r>
        <w:rPr>
          <w:rFonts w:hint="eastAsia" w:eastAsia="仿宋_GB2312" w:cs="仿宋_GB2312"/>
          <w:color w:val="auto"/>
          <w:sz w:val="32"/>
          <w:szCs w:val="32"/>
        </w:rPr>
        <w:t>%。支出决算为696.79万元，完成预算100%。</w:t>
      </w:r>
    </w:p>
    <w:p>
      <w:pPr>
        <w:rPr>
          <w:rFonts w:hint="eastAsia"/>
          <w:color w:val="auto"/>
        </w:rPr>
      </w:pPr>
      <w:r>
        <w:rPr>
          <w:color w:val="auto"/>
        </w:rPr>
        <w:drawing>
          <wp:anchor distT="0" distB="0" distL="114300" distR="114300" simplePos="0" relativeHeight="251664384" behindDoc="0" locked="0" layoutInCell="1" allowOverlap="1">
            <wp:simplePos x="0" y="0"/>
            <wp:positionH relativeFrom="column">
              <wp:posOffset>-38100</wp:posOffset>
            </wp:positionH>
            <wp:positionV relativeFrom="paragraph">
              <wp:posOffset>33655</wp:posOffset>
            </wp:positionV>
            <wp:extent cx="5269230" cy="2874010"/>
            <wp:effectExtent l="4445" t="4445" r="14605" b="17145"/>
            <wp:wrapNone/>
            <wp:docPr id="42394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rPr>
          <w:rFonts w:hint="eastAsia" w:eastAsia="仿宋_GB2312" w:cs="仿宋_GB2312"/>
          <w:color w:val="auto"/>
          <w:sz w:val="32"/>
          <w:szCs w:val="32"/>
        </w:rPr>
      </w:pPr>
    </w:p>
    <w:p>
      <w:pPr>
        <w:pStyle w:val="13"/>
        <w:rPr>
          <w:rFonts w:hint="eastAsia" w:eastAsia="仿宋_GB2312" w:cs="仿宋_GB2312"/>
          <w:color w:val="auto"/>
          <w:sz w:val="32"/>
          <w:szCs w:val="32"/>
        </w:rPr>
      </w:pPr>
    </w:p>
    <w:p>
      <w:pPr>
        <w:pStyle w:val="7"/>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pStyle w:val="7"/>
        <w:rPr>
          <w:rFonts w:hint="eastAsia" w:eastAsia="仿宋_GB2312" w:cs="仿宋_GB2312"/>
          <w:color w:val="auto"/>
          <w:sz w:val="32"/>
          <w:szCs w:val="32"/>
        </w:rPr>
      </w:pPr>
    </w:p>
    <w:p>
      <w:pPr>
        <w:rPr>
          <w:rFonts w:hint="eastAsia"/>
          <w:color w:val="auto"/>
        </w:rPr>
      </w:pPr>
    </w:p>
    <w:p>
      <w:pPr>
        <w:rPr>
          <w:color w:val="auto"/>
        </w:rPr>
      </w:pP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（图6：一般公共预算财政拨款支出决算结构）</w:t>
      </w:r>
    </w:p>
    <w:p>
      <w:pPr>
        <w:spacing w:line="600" w:lineRule="exact"/>
        <w:ind w:firstLine="643" w:firstLineChars="200"/>
        <w:outlineLvl w:val="2"/>
        <w:rPr>
          <w:color w:val="auto"/>
        </w:rPr>
      </w:pPr>
      <w:bookmarkStart w:id="24" w:name="_Toc15377212"/>
      <w:r>
        <w:rPr>
          <w:rFonts w:hint="eastAsia" w:eastAsia="楷体_GB2312" w:cs="楷体_GB2312"/>
          <w:b/>
          <w:color w:val="auto"/>
          <w:sz w:val="32"/>
          <w:szCs w:val="32"/>
        </w:rPr>
        <w:t>（三）一般公共预算财政拨款支出决算具体情况</w:t>
      </w:r>
      <w:bookmarkEnd w:id="24"/>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202</w:t>
      </w:r>
      <w:r>
        <w:rPr>
          <w:rFonts w:hint="eastAsia" w:eastAsia="仿宋_GB2312" w:cs="仿宋_GB2312"/>
          <w:color w:val="auto"/>
          <w:sz w:val="32"/>
          <w:szCs w:val="32"/>
          <w:lang w:val="en-US" w:eastAsia="zh-CN"/>
        </w:rPr>
        <w:t>5</w:t>
      </w:r>
      <w:r>
        <w:rPr>
          <w:rFonts w:hint="eastAsia" w:eastAsia="仿宋_GB2312" w:cs="仿宋_GB2312"/>
          <w:color w:val="auto"/>
          <w:sz w:val="32"/>
          <w:szCs w:val="32"/>
        </w:rPr>
        <w:t>年度一般公共预算财政拨款支出决算数为</w:t>
      </w:r>
      <w:r>
        <w:rPr>
          <w:rFonts w:hint="eastAsia" w:ascii="仿宋_GB2312" w:hAnsi="仿宋_GB2312" w:eastAsia="仿宋_GB2312" w:cs="仿宋_GB2312"/>
          <w:color w:val="auto"/>
          <w:sz w:val="32"/>
          <w:szCs w:val="32"/>
        </w:rPr>
        <w:t>108</w:t>
      </w:r>
      <w:r>
        <w:rPr>
          <w:rFonts w:hint="eastAsia" w:ascii="仿宋_GB2312" w:hAnsi="仿宋_GB2312" w:eastAsia="仿宋_GB2312" w:cs="仿宋_GB2312"/>
          <w:color w:val="auto"/>
          <w:sz w:val="32"/>
          <w:szCs w:val="32"/>
          <w:lang w:val="en-US" w:eastAsia="zh-CN"/>
        </w:rPr>
        <w:t>6.92</w:t>
      </w:r>
      <w:r>
        <w:rPr>
          <w:rFonts w:hint="eastAsia" w:ascii="仿宋_GB2312" w:hAnsi="仿宋_GB2312" w:eastAsia="仿宋_GB2312" w:cs="仿宋_GB2312"/>
          <w:color w:val="auto"/>
          <w:sz w:val="32"/>
          <w:szCs w:val="32"/>
        </w:rPr>
        <w:t>，</w:t>
      </w:r>
      <w:r>
        <w:rPr>
          <w:rFonts w:hint="eastAsia" w:eastAsia="仿宋_GB2312" w:cs="仿宋_GB2312"/>
          <w:color w:val="auto"/>
          <w:sz w:val="32"/>
          <w:szCs w:val="32"/>
        </w:rPr>
        <w:t xml:space="preserve">完成预算100%。其中： </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1.</w:t>
      </w:r>
      <w:r>
        <w:rPr>
          <w:rFonts w:hint="eastAsia"/>
          <w:color w:val="auto"/>
        </w:rPr>
        <w:t xml:space="preserve"> </w:t>
      </w:r>
      <w:r>
        <w:rPr>
          <w:rFonts w:hint="eastAsia" w:eastAsia="仿宋_GB2312" w:cs="仿宋_GB2312"/>
          <w:color w:val="auto"/>
          <w:sz w:val="32"/>
          <w:szCs w:val="32"/>
        </w:rPr>
        <w:t>教育（类）广播电视教育（款）广播电视教育（项）:</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2.教育（类）教育费附加安排的支出（款）其他教育费附加安排的支出（项）:支出决算为</w:t>
      </w:r>
      <w:r>
        <w:rPr>
          <w:rFonts w:hint="eastAsia" w:eastAsia="仿宋_GB2312" w:cs="仿宋_GB2312"/>
          <w:color w:val="auto"/>
          <w:sz w:val="32"/>
          <w:szCs w:val="32"/>
          <w:lang w:val="en-US" w:eastAsia="zh-CN"/>
        </w:rPr>
        <w:t>5</w:t>
      </w:r>
      <w:r>
        <w:rPr>
          <w:rFonts w:hint="eastAsia" w:eastAsia="仿宋_GB2312" w:cs="仿宋_GB2312"/>
          <w:color w:val="auto"/>
          <w:sz w:val="32"/>
          <w:szCs w:val="32"/>
        </w:rPr>
        <w:t>万元，完成预算100%。</w:t>
      </w:r>
    </w:p>
    <w:p>
      <w:pPr>
        <w:pStyle w:val="13"/>
        <w:rPr>
          <w:color w:val="auto"/>
        </w:rPr>
      </w:pPr>
    </w:p>
    <w:p>
      <w:pPr>
        <w:pStyle w:val="7"/>
        <w:ind w:left="199" w:leftChars="95" w:firstLineChars="0"/>
        <w:rPr>
          <w:rFonts w:ascii="Times New Roman" w:eastAsia="仿宋_GB2312" w:cs="仿宋_GB2312"/>
          <w:color w:val="auto"/>
          <w:sz w:val="32"/>
        </w:rPr>
      </w:pPr>
      <w:r>
        <w:rPr>
          <w:rFonts w:hint="eastAsia" w:ascii="Times New Roman" w:eastAsia="仿宋_GB2312" w:cs="仿宋_GB2312"/>
          <w:color w:val="auto"/>
          <w:sz w:val="32"/>
        </w:rPr>
        <w:t>3.社会保障和就业（类）行政事业单位养老支出（款）事业单位离退休（项）:支出决算为</w:t>
      </w:r>
      <w:r>
        <w:rPr>
          <w:rFonts w:hint="eastAsia" w:ascii="Times New Roman" w:eastAsia="仿宋_GB2312" w:cs="仿宋_GB2312"/>
          <w:color w:val="auto"/>
          <w:sz w:val="32"/>
          <w:lang w:val="en-US" w:eastAsia="zh-CN"/>
        </w:rPr>
        <w:t>120.6</w:t>
      </w:r>
      <w:r>
        <w:rPr>
          <w:rFonts w:hint="eastAsia" w:ascii="Times New Roman" w:eastAsia="仿宋_GB2312" w:cs="仿宋_GB2312"/>
          <w:color w:val="auto"/>
          <w:sz w:val="32"/>
        </w:rPr>
        <w:t>万元，完成预算100%。</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4.社会保障和就业（类）行政事业单位养老支出（款）机关事业单位基本养老保险缴费支出（项）:支出决算为</w:t>
      </w:r>
      <w:r>
        <w:rPr>
          <w:rFonts w:hint="eastAsia" w:eastAsia="仿宋_GB2312" w:cs="仿宋_GB2312"/>
          <w:color w:val="auto"/>
          <w:sz w:val="32"/>
          <w:szCs w:val="32"/>
          <w:lang w:val="en-US" w:eastAsia="zh-CN"/>
        </w:rPr>
        <w:t>98.91</w:t>
      </w:r>
      <w:r>
        <w:rPr>
          <w:rFonts w:hint="eastAsia" w:eastAsia="仿宋_GB2312" w:cs="仿宋_GB2312"/>
          <w:color w:val="auto"/>
          <w:sz w:val="32"/>
          <w:szCs w:val="32"/>
        </w:rPr>
        <w:t>万元，完成预算100%。</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5.社会保障和就业（类）行政事业单位养老支出（款）机关事业单位职业年金缴费支出（项）:支出决算为</w:t>
      </w:r>
      <w:r>
        <w:rPr>
          <w:rFonts w:hint="eastAsia" w:eastAsia="仿宋_GB2312" w:cs="仿宋_GB2312"/>
          <w:color w:val="auto"/>
          <w:sz w:val="32"/>
          <w:szCs w:val="32"/>
          <w:lang w:val="en-US" w:eastAsia="zh-CN"/>
        </w:rPr>
        <w:t>38.55</w:t>
      </w:r>
      <w:r>
        <w:rPr>
          <w:rFonts w:hint="eastAsia" w:eastAsia="仿宋_GB2312" w:cs="仿宋_GB2312"/>
          <w:color w:val="auto"/>
          <w:sz w:val="32"/>
          <w:szCs w:val="32"/>
        </w:rPr>
        <w:t>万元，完成预算100%。</w:t>
      </w:r>
    </w:p>
    <w:p>
      <w:pPr>
        <w:pStyle w:val="7"/>
        <w:ind w:left="0" w:leftChars="0" w:firstLine="640" w:firstLineChars="200"/>
        <w:rPr>
          <w:rFonts w:ascii="Times New Roman" w:eastAsia="仿宋_GB2312" w:cs="仿宋_GB2312"/>
          <w:color w:val="auto"/>
          <w:sz w:val="32"/>
        </w:rPr>
      </w:pPr>
      <w:r>
        <w:rPr>
          <w:rFonts w:hint="eastAsia" w:ascii="Times New Roman" w:eastAsia="仿宋_GB2312" w:cs="仿宋_GB2312"/>
          <w:color w:val="auto"/>
          <w:sz w:val="32"/>
          <w:lang w:val="en-US" w:eastAsia="zh-CN"/>
        </w:rPr>
        <w:t>6.</w:t>
      </w:r>
      <w:r>
        <w:rPr>
          <w:rFonts w:hint="eastAsia"/>
          <w:color w:val="auto"/>
        </w:rPr>
        <w:t xml:space="preserve"> </w:t>
      </w:r>
      <w:r>
        <w:rPr>
          <w:rFonts w:hint="eastAsia" w:ascii="Times New Roman" w:eastAsia="仿宋_GB2312" w:cs="仿宋_GB2312"/>
          <w:color w:val="auto"/>
          <w:sz w:val="32"/>
        </w:rPr>
        <w:t>卫生健康支出（类）行政事业单位医疗（款）事业单位医疗（项）: 支出决算为</w:t>
      </w:r>
      <w:r>
        <w:rPr>
          <w:rFonts w:hint="eastAsia" w:ascii="Times New Roman" w:eastAsia="仿宋_GB2312" w:cs="仿宋_GB2312"/>
          <w:color w:val="auto"/>
          <w:sz w:val="32"/>
          <w:lang w:val="en-US" w:eastAsia="zh-CN"/>
        </w:rPr>
        <w:t>47.33</w:t>
      </w:r>
      <w:r>
        <w:rPr>
          <w:rFonts w:hint="eastAsia" w:ascii="Times New Roman" w:eastAsia="仿宋_GB2312" w:cs="仿宋_GB2312"/>
          <w:color w:val="auto"/>
          <w:sz w:val="32"/>
        </w:rPr>
        <w:t>万元，完成预算100%。</w:t>
      </w:r>
    </w:p>
    <w:p>
      <w:pPr>
        <w:pStyle w:val="7"/>
        <w:ind w:left="0" w:leftChars="0" w:firstLine="640" w:firstLineChars="200"/>
        <w:rPr>
          <w:rFonts w:ascii="Times New Roman" w:eastAsia="仿宋_GB2312" w:cs="仿宋_GB2312"/>
          <w:color w:val="auto"/>
          <w:sz w:val="32"/>
        </w:rPr>
      </w:pPr>
      <w:r>
        <w:rPr>
          <w:rFonts w:hint="eastAsia" w:ascii="Times New Roman" w:eastAsia="仿宋_GB2312" w:cs="仿宋_GB2312"/>
          <w:color w:val="auto"/>
          <w:sz w:val="32"/>
          <w:lang w:val="en-US" w:eastAsia="zh-CN"/>
        </w:rPr>
        <w:t>7.</w:t>
      </w:r>
      <w:r>
        <w:rPr>
          <w:rFonts w:hint="eastAsia"/>
          <w:color w:val="auto"/>
        </w:rPr>
        <w:t xml:space="preserve"> </w:t>
      </w:r>
      <w:r>
        <w:rPr>
          <w:rFonts w:hint="eastAsia" w:ascii="Times New Roman" w:eastAsia="仿宋_GB2312" w:cs="仿宋_GB2312"/>
          <w:color w:val="auto"/>
          <w:sz w:val="32"/>
        </w:rPr>
        <w:t>卫生健康支出（类）行政事业单位医疗（款）公务员医疗补助（项）: 支出决算为5.</w:t>
      </w:r>
      <w:r>
        <w:rPr>
          <w:rFonts w:hint="eastAsia" w:ascii="Times New Roman" w:eastAsia="仿宋_GB2312" w:cs="仿宋_GB2312"/>
          <w:color w:val="auto"/>
          <w:sz w:val="32"/>
          <w:lang w:val="en-US" w:eastAsia="zh-CN"/>
        </w:rPr>
        <w:t>28</w:t>
      </w:r>
      <w:r>
        <w:rPr>
          <w:rFonts w:hint="eastAsia" w:ascii="Times New Roman" w:eastAsia="仿宋_GB2312" w:cs="仿宋_GB2312"/>
          <w:color w:val="auto"/>
          <w:sz w:val="32"/>
        </w:rPr>
        <w:t>万元，完成预算100%。</w:t>
      </w:r>
    </w:p>
    <w:p>
      <w:pPr>
        <w:spacing w:line="600" w:lineRule="exact"/>
        <w:ind w:firstLine="640" w:firstLineChars="200"/>
        <w:rPr>
          <w:color w:val="auto"/>
        </w:rPr>
      </w:pPr>
      <w:r>
        <w:rPr>
          <w:rFonts w:hint="eastAsia" w:eastAsia="仿宋_GB2312" w:cs="仿宋_GB2312"/>
          <w:color w:val="auto"/>
          <w:sz w:val="32"/>
          <w:szCs w:val="32"/>
          <w:lang w:val="en-US" w:eastAsia="zh-CN"/>
        </w:rPr>
        <w:t>8.</w:t>
      </w:r>
      <w:r>
        <w:rPr>
          <w:rFonts w:hint="eastAsia" w:eastAsia="仿宋_GB2312" w:cs="仿宋_GB2312"/>
          <w:color w:val="auto"/>
          <w:sz w:val="32"/>
          <w:szCs w:val="32"/>
        </w:rPr>
        <w:t>住房保障支出（类）住房改革支出（款）住房公积金（项）:支出决算为7</w:t>
      </w:r>
      <w:r>
        <w:rPr>
          <w:rFonts w:hint="eastAsia" w:eastAsia="仿宋_GB2312" w:cs="仿宋_GB2312"/>
          <w:color w:val="auto"/>
          <w:sz w:val="32"/>
          <w:szCs w:val="32"/>
          <w:lang w:val="en-US" w:eastAsia="zh-CN"/>
        </w:rPr>
        <w:t>4.45</w:t>
      </w:r>
      <w:r>
        <w:rPr>
          <w:rFonts w:hint="eastAsia" w:eastAsia="仿宋_GB2312" w:cs="仿宋_GB2312"/>
          <w:color w:val="auto"/>
          <w:sz w:val="32"/>
          <w:szCs w:val="32"/>
        </w:rPr>
        <w:t>万元，完成预算100%。</w:t>
      </w:r>
    </w:p>
    <w:p>
      <w:pPr>
        <w:tabs>
          <w:tab w:val="right" w:pos="8306"/>
        </w:tabs>
        <w:spacing w:line="600" w:lineRule="exact"/>
        <w:ind w:firstLine="640"/>
        <w:outlineLvl w:val="1"/>
        <w:rPr>
          <w:rStyle w:val="29"/>
          <w:rFonts w:ascii="Times New Roman" w:hAnsi="Times New Roman"/>
          <w:color w:val="auto"/>
        </w:rPr>
      </w:pPr>
      <w:bookmarkStart w:id="25" w:name="_Toc15396608"/>
      <w:bookmarkStart w:id="26" w:name="_Toc15377214"/>
      <w:r>
        <w:rPr>
          <w:rFonts w:hint="eastAsia" w:eastAsia="黑体"/>
          <w:color w:val="auto"/>
          <w:sz w:val="32"/>
          <w:szCs w:val="32"/>
        </w:rPr>
        <w:t>六</w:t>
      </w:r>
      <w:r>
        <w:rPr>
          <w:rFonts w:hint="eastAsia" w:eastAsia="黑体"/>
          <w:b/>
          <w:color w:val="auto"/>
          <w:sz w:val="32"/>
          <w:szCs w:val="32"/>
        </w:rPr>
        <w:t>、一</w:t>
      </w:r>
      <w:r>
        <w:rPr>
          <w:rStyle w:val="29"/>
          <w:rFonts w:hint="eastAsia" w:ascii="Times New Roman" w:hAnsi="Times New Roman" w:eastAsia="黑体"/>
          <w:b w:val="0"/>
          <w:color w:val="auto"/>
        </w:rPr>
        <w:t>般公共预算财政拨款基本支出决算情况说明</w:t>
      </w:r>
      <w:bookmarkEnd w:id="25"/>
      <w:bookmarkEnd w:id="26"/>
      <w:r>
        <w:rPr>
          <w:rStyle w:val="29"/>
          <w:rFonts w:ascii="Times New Roman" w:hAnsi="Times New Roman" w:eastAsia="黑体"/>
          <w:b w:val="0"/>
          <w:color w:val="auto"/>
        </w:rPr>
        <w:tab/>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202</w:t>
      </w:r>
      <w:r>
        <w:rPr>
          <w:rFonts w:hint="eastAsia" w:eastAsia="仿宋_GB2312" w:cs="仿宋_GB2312"/>
          <w:color w:val="auto"/>
          <w:sz w:val="32"/>
          <w:szCs w:val="32"/>
          <w:lang w:val="en-US" w:eastAsia="zh-CN"/>
        </w:rPr>
        <w:t>6</w:t>
      </w:r>
      <w:r>
        <w:rPr>
          <w:rFonts w:hint="eastAsia" w:eastAsia="仿宋_GB2312" w:cs="仿宋_GB2312"/>
          <w:color w:val="auto"/>
          <w:sz w:val="32"/>
          <w:szCs w:val="32"/>
        </w:rPr>
        <w:t>年度一般公共预算财政拨款基本支</w:t>
      </w:r>
      <w:r>
        <w:rPr>
          <w:rFonts w:hint="eastAsia" w:eastAsia="仿宋_GB2312" w:cs="仿宋_GB2312"/>
          <w:color w:val="auto"/>
          <w:sz w:val="32"/>
          <w:szCs w:val="32"/>
          <w:highlight w:val="none"/>
        </w:rPr>
        <w:t>出</w:t>
      </w:r>
      <w:r>
        <w:rPr>
          <w:rFonts w:hint="eastAsia" w:ascii="仿宋_GB2312" w:hAnsi="仿宋_GB2312" w:eastAsia="仿宋_GB2312" w:cs="仿宋_GB2312"/>
          <w:color w:val="auto"/>
          <w:sz w:val="32"/>
          <w:szCs w:val="32"/>
          <w:highlight w:val="none"/>
        </w:rPr>
        <w:t>10</w:t>
      </w:r>
      <w:r>
        <w:rPr>
          <w:rFonts w:hint="eastAsia" w:ascii="仿宋_GB2312" w:hAnsi="仿宋_GB2312" w:eastAsia="仿宋_GB2312" w:cs="仿宋_GB2312"/>
          <w:color w:val="auto"/>
          <w:sz w:val="32"/>
          <w:szCs w:val="32"/>
          <w:highlight w:val="none"/>
          <w:lang w:val="en-US" w:eastAsia="zh-CN"/>
        </w:rPr>
        <w:t>47.08</w:t>
      </w:r>
      <w:r>
        <w:rPr>
          <w:rFonts w:hint="eastAsia" w:ascii="仿宋_GB2312" w:hAnsi="仿宋_GB2312" w:eastAsia="仿宋_GB2312" w:cs="仿宋_GB2312"/>
          <w:color w:val="auto"/>
          <w:sz w:val="32"/>
          <w:szCs w:val="32"/>
          <w:highlight w:val="none"/>
        </w:rPr>
        <w:t>万</w:t>
      </w:r>
      <w:r>
        <w:rPr>
          <w:rFonts w:hint="eastAsia" w:eastAsia="仿宋_GB2312" w:cs="仿宋_GB2312"/>
          <w:color w:val="auto"/>
          <w:sz w:val="32"/>
          <w:szCs w:val="32"/>
          <w:highlight w:val="none"/>
        </w:rPr>
        <w:t>元</w:t>
      </w:r>
      <w:r>
        <w:rPr>
          <w:rFonts w:hint="eastAsia" w:eastAsia="仿宋_GB2312" w:cs="仿宋_GB2312"/>
          <w:color w:val="auto"/>
          <w:sz w:val="32"/>
          <w:szCs w:val="32"/>
        </w:rPr>
        <w:t>，其中：</w:t>
      </w:r>
    </w:p>
    <w:p>
      <w:pPr>
        <w:spacing w:line="600" w:lineRule="exact"/>
        <w:ind w:firstLine="640"/>
        <w:rPr>
          <w:rFonts w:hint="eastAsia" w:eastAsia="仿宋_GB2312" w:cs="仿宋_GB2312"/>
          <w:color w:val="auto"/>
          <w:sz w:val="32"/>
          <w:szCs w:val="32"/>
          <w:lang w:eastAsia="zh-CN"/>
        </w:rPr>
      </w:pPr>
      <w:r>
        <w:rPr>
          <w:rFonts w:hint="eastAsia" w:eastAsia="仿宋_GB2312" w:cs="仿宋_GB2312"/>
          <w:color w:val="auto"/>
          <w:sz w:val="32"/>
          <w:szCs w:val="32"/>
        </w:rPr>
        <w:t>人员经费</w:t>
      </w:r>
      <w:r>
        <w:rPr>
          <w:rFonts w:hint="eastAsia" w:ascii="仿宋_GB2312" w:hAnsi="仿宋_GB2312" w:eastAsia="仿宋_GB2312" w:cs="仿宋_GB2312"/>
          <w:color w:val="auto"/>
          <w:sz w:val="32"/>
          <w:szCs w:val="32"/>
        </w:rPr>
        <w:t>10</w:t>
      </w:r>
      <w:r>
        <w:rPr>
          <w:rFonts w:hint="eastAsia" w:ascii="仿宋_GB2312" w:hAnsi="仿宋_GB2312" w:eastAsia="仿宋_GB2312" w:cs="仿宋_GB2312"/>
          <w:color w:val="auto"/>
          <w:sz w:val="32"/>
          <w:szCs w:val="32"/>
          <w:lang w:val="en-US" w:eastAsia="zh-CN"/>
        </w:rPr>
        <w:t>32.13</w:t>
      </w:r>
      <w:r>
        <w:rPr>
          <w:rFonts w:hint="eastAsia" w:ascii="仿宋_GB2312" w:hAnsi="仿宋_GB2312" w:eastAsia="仿宋_GB2312" w:cs="仿宋_GB2312"/>
          <w:color w:val="auto"/>
          <w:sz w:val="32"/>
          <w:szCs w:val="32"/>
        </w:rPr>
        <w:t>万</w:t>
      </w:r>
      <w:r>
        <w:rPr>
          <w:rFonts w:hint="eastAsia" w:eastAsia="仿宋_GB2312" w:cs="仿宋_GB2312"/>
          <w:color w:val="auto"/>
          <w:sz w:val="32"/>
          <w:szCs w:val="32"/>
        </w:rPr>
        <w:t>元，主要包括：基本工资</w:t>
      </w:r>
      <w:r>
        <w:rPr>
          <w:rFonts w:hint="eastAsia" w:eastAsia="仿宋_GB2312" w:cs="仿宋_GB2312"/>
          <w:color w:val="auto"/>
          <w:sz w:val="32"/>
          <w:szCs w:val="32"/>
          <w:lang w:val="en-US" w:eastAsia="zh-CN"/>
        </w:rPr>
        <w:t>284.32</w:t>
      </w:r>
      <w:r>
        <w:rPr>
          <w:rFonts w:hint="eastAsia" w:ascii="仿宋" w:hAnsi="仿宋" w:eastAsia="仿宋"/>
          <w:color w:val="auto"/>
          <w:sz w:val="32"/>
          <w:szCs w:val="32"/>
        </w:rPr>
        <w:t>万元</w:t>
      </w:r>
      <w:r>
        <w:rPr>
          <w:rFonts w:hint="eastAsia" w:eastAsia="仿宋_GB2312" w:cs="仿宋_GB2312"/>
          <w:color w:val="auto"/>
          <w:sz w:val="32"/>
          <w:szCs w:val="32"/>
        </w:rPr>
        <w:t>、津贴补贴</w:t>
      </w:r>
      <w:r>
        <w:rPr>
          <w:rFonts w:hint="eastAsia" w:eastAsia="仿宋_GB2312" w:cs="仿宋_GB2312"/>
          <w:color w:val="auto"/>
          <w:sz w:val="32"/>
          <w:szCs w:val="32"/>
          <w:lang w:val="en-US" w:eastAsia="zh-CN"/>
        </w:rPr>
        <w:t>24.1</w:t>
      </w:r>
      <w:r>
        <w:rPr>
          <w:rFonts w:hint="eastAsia" w:ascii="仿宋" w:hAnsi="仿宋" w:eastAsia="仿宋"/>
          <w:color w:val="auto"/>
          <w:sz w:val="32"/>
          <w:szCs w:val="32"/>
        </w:rPr>
        <w:t>万元</w:t>
      </w:r>
      <w:r>
        <w:rPr>
          <w:rFonts w:hint="eastAsia" w:eastAsia="仿宋_GB2312" w:cs="仿宋_GB2312"/>
          <w:color w:val="auto"/>
          <w:sz w:val="32"/>
          <w:szCs w:val="32"/>
        </w:rPr>
        <w:t>、绩效工资</w:t>
      </w:r>
      <w:r>
        <w:rPr>
          <w:rFonts w:hint="eastAsia" w:eastAsia="仿宋_GB2312" w:cs="仿宋_GB2312"/>
          <w:color w:val="auto"/>
          <w:sz w:val="32"/>
          <w:szCs w:val="32"/>
          <w:lang w:val="en-US" w:eastAsia="zh-CN"/>
        </w:rPr>
        <w:t>300.26</w:t>
      </w:r>
      <w:r>
        <w:rPr>
          <w:rFonts w:hint="eastAsia" w:ascii="仿宋" w:hAnsi="仿宋" w:eastAsia="仿宋"/>
          <w:color w:val="auto"/>
          <w:sz w:val="32"/>
          <w:szCs w:val="32"/>
        </w:rPr>
        <w:t>万元</w:t>
      </w:r>
      <w:r>
        <w:rPr>
          <w:rFonts w:hint="eastAsia" w:eastAsia="仿宋_GB2312" w:cs="仿宋_GB2312"/>
          <w:color w:val="auto"/>
          <w:sz w:val="32"/>
          <w:szCs w:val="32"/>
        </w:rPr>
        <w:t>、机关事业单位基本养老保险缴费</w:t>
      </w:r>
      <w:r>
        <w:rPr>
          <w:rFonts w:hint="eastAsia" w:eastAsia="仿宋_GB2312" w:cs="仿宋_GB2312"/>
          <w:color w:val="auto"/>
          <w:sz w:val="32"/>
          <w:szCs w:val="32"/>
          <w:lang w:val="en-US" w:eastAsia="zh-CN"/>
        </w:rPr>
        <w:t>98.91</w:t>
      </w:r>
      <w:r>
        <w:rPr>
          <w:rFonts w:hint="eastAsia" w:ascii="仿宋" w:hAnsi="仿宋" w:eastAsia="仿宋"/>
          <w:color w:val="auto"/>
          <w:sz w:val="32"/>
          <w:szCs w:val="32"/>
        </w:rPr>
        <w:t>万元</w:t>
      </w:r>
      <w:r>
        <w:rPr>
          <w:rFonts w:hint="eastAsia" w:eastAsia="仿宋_GB2312" w:cs="仿宋_GB2312"/>
          <w:color w:val="auto"/>
          <w:sz w:val="32"/>
          <w:szCs w:val="32"/>
        </w:rPr>
        <w:t>、职业年金缴费</w:t>
      </w:r>
      <w:r>
        <w:rPr>
          <w:rFonts w:hint="eastAsia" w:eastAsia="仿宋_GB2312" w:cs="仿宋_GB2312"/>
          <w:color w:val="auto"/>
          <w:sz w:val="32"/>
          <w:szCs w:val="32"/>
          <w:lang w:val="en-US" w:eastAsia="zh-CN"/>
        </w:rPr>
        <w:t>38.55</w:t>
      </w:r>
      <w:r>
        <w:rPr>
          <w:rFonts w:hint="eastAsia" w:ascii="仿宋" w:hAnsi="仿宋" w:eastAsia="仿宋"/>
          <w:color w:val="auto"/>
          <w:sz w:val="32"/>
          <w:szCs w:val="32"/>
        </w:rPr>
        <w:t>万元</w:t>
      </w:r>
      <w:r>
        <w:rPr>
          <w:rFonts w:hint="eastAsia" w:eastAsia="仿宋_GB2312" w:cs="仿宋_GB2312"/>
          <w:color w:val="auto"/>
          <w:sz w:val="32"/>
          <w:szCs w:val="32"/>
        </w:rPr>
        <w:t>、职工基本医疗保险缴费</w:t>
      </w:r>
      <w:r>
        <w:rPr>
          <w:rFonts w:hint="eastAsia" w:eastAsia="仿宋_GB2312" w:cs="仿宋_GB2312"/>
          <w:color w:val="auto"/>
          <w:sz w:val="32"/>
          <w:szCs w:val="32"/>
          <w:lang w:val="en-US" w:eastAsia="zh-CN"/>
        </w:rPr>
        <w:t>47.33</w:t>
      </w:r>
      <w:r>
        <w:rPr>
          <w:rFonts w:hint="eastAsia" w:ascii="仿宋" w:hAnsi="仿宋" w:eastAsia="仿宋"/>
          <w:color w:val="auto"/>
          <w:sz w:val="32"/>
          <w:szCs w:val="32"/>
        </w:rPr>
        <w:t>万元</w:t>
      </w:r>
      <w:r>
        <w:rPr>
          <w:rFonts w:hint="eastAsia" w:eastAsia="仿宋_GB2312" w:cs="仿宋_GB2312"/>
          <w:color w:val="auto"/>
          <w:sz w:val="32"/>
          <w:szCs w:val="32"/>
        </w:rPr>
        <w:t>、</w:t>
      </w:r>
      <w:r>
        <w:rPr>
          <w:rFonts w:hint="eastAsia" w:ascii="仿宋" w:hAnsi="仿宋" w:eastAsia="仿宋"/>
          <w:color w:val="auto"/>
          <w:sz w:val="32"/>
          <w:szCs w:val="32"/>
        </w:rPr>
        <w:t>公务员医疗补助缴费</w:t>
      </w:r>
      <w:r>
        <w:rPr>
          <w:rFonts w:ascii="仿宋" w:hAnsi="仿宋" w:eastAsia="仿宋"/>
          <w:color w:val="auto"/>
          <w:sz w:val="32"/>
          <w:szCs w:val="32"/>
        </w:rPr>
        <w:t>11.</w:t>
      </w:r>
      <w:r>
        <w:rPr>
          <w:rFonts w:hint="eastAsia" w:ascii="仿宋" w:hAnsi="仿宋" w:eastAsia="仿宋"/>
          <w:color w:val="auto"/>
          <w:sz w:val="32"/>
          <w:szCs w:val="32"/>
          <w:lang w:val="en-US" w:eastAsia="zh-CN"/>
        </w:rPr>
        <w:t>32</w:t>
      </w:r>
      <w:r>
        <w:rPr>
          <w:rFonts w:hint="eastAsia" w:ascii="仿宋" w:hAnsi="仿宋" w:eastAsia="仿宋"/>
          <w:color w:val="auto"/>
          <w:sz w:val="32"/>
          <w:szCs w:val="32"/>
        </w:rPr>
        <w:t>万元、其他社会保障缴费</w:t>
      </w:r>
      <w:r>
        <w:rPr>
          <w:rFonts w:hint="eastAsia" w:ascii="仿宋" w:hAnsi="仿宋" w:eastAsia="仿宋"/>
          <w:color w:val="auto"/>
          <w:sz w:val="32"/>
          <w:szCs w:val="32"/>
          <w:lang w:val="en-US" w:eastAsia="zh-CN"/>
        </w:rPr>
        <w:t>7.08</w:t>
      </w:r>
      <w:r>
        <w:rPr>
          <w:rFonts w:hint="eastAsia" w:ascii="仿宋" w:hAnsi="仿宋" w:eastAsia="仿宋"/>
          <w:color w:val="auto"/>
          <w:sz w:val="32"/>
          <w:szCs w:val="32"/>
        </w:rPr>
        <w:t>万元、住房公积金</w:t>
      </w:r>
      <w:r>
        <w:rPr>
          <w:rFonts w:hint="eastAsia" w:ascii="仿宋" w:hAnsi="仿宋" w:eastAsia="仿宋"/>
          <w:color w:val="auto"/>
          <w:sz w:val="32"/>
          <w:szCs w:val="32"/>
          <w:lang w:val="en-US" w:eastAsia="zh-CN"/>
        </w:rPr>
        <w:t>74.45</w:t>
      </w:r>
      <w:r>
        <w:rPr>
          <w:rFonts w:hint="eastAsia" w:ascii="仿宋" w:hAnsi="仿宋" w:eastAsia="仿宋"/>
          <w:color w:val="auto"/>
          <w:sz w:val="32"/>
          <w:szCs w:val="32"/>
        </w:rPr>
        <w:t>万元、</w:t>
      </w:r>
      <w:r>
        <w:rPr>
          <w:rFonts w:hint="eastAsia" w:eastAsia="仿宋_GB2312" w:cs="仿宋_GB2312"/>
          <w:color w:val="auto"/>
          <w:sz w:val="32"/>
          <w:szCs w:val="32"/>
        </w:rPr>
        <w:t>生活补助</w:t>
      </w:r>
      <w:r>
        <w:rPr>
          <w:rFonts w:hint="eastAsia" w:eastAsia="仿宋_GB2312" w:cs="仿宋_GB2312"/>
          <w:color w:val="auto"/>
          <w:sz w:val="32"/>
          <w:szCs w:val="32"/>
          <w:lang w:val="en-US" w:eastAsia="zh-CN"/>
        </w:rPr>
        <w:t>116.87</w:t>
      </w:r>
      <w:r>
        <w:rPr>
          <w:rFonts w:hint="eastAsia" w:ascii="仿宋" w:hAnsi="仿宋" w:eastAsia="仿宋"/>
          <w:color w:val="auto"/>
          <w:sz w:val="32"/>
          <w:szCs w:val="32"/>
        </w:rPr>
        <w:t>万元</w:t>
      </w:r>
      <w:r>
        <w:rPr>
          <w:rFonts w:hint="eastAsia" w:eastAsia="仿宋_GB2312" w:cs="仿宋_GB2312"/>
          <w:color w:val="auto"/>
          <w:sz w:val="32"/>
          <w:szCs w:val="32"/>
        </w:rPr>
        <w:t>、医疗费补助</w:t>
      </w:r>
      <w:r>
        <w:rPr>
          <w:rFonts w:hint="eastAsia" w:eastAsia="仿宋_GB2312" w:cs="仿宋_GB2312"/>
          <w:color w:val="auto"/>
          <w:sz w:val="32"/>
          <w:szCs w:val="32"/>
          <w:lang w:val="en-US" w:eastAsia="zh-CN"/>
        </w:rPr>
        <w:t>8.91</w:t>
      </w:r>
      <w:r>
        <w:rPr>
          <w:rFonts w:hint="eastAsia" w:eastAsia="仿宋_GB2312" w:cs="仿宋_GB2312"/>
          <w:color w:val="auto"/>
          <w:sz w:val="32"/>
          <w:szCs w:val="32"/>
        </w:rPr>
        <w:t>万元、奖励金0.0</w:t>
      </w:r>
      <w:r>
        <w:rPr>
          <w:rFonts w:hint="eastAsia" w:eastAsia="仿宋_GB2312" w:cs="仿宋_GB2312"/>
          <w:color w:val="auto"/>
          <w:sz w:val="32"/>
          <w:szCs w:val="32"/>
          <w:lang w:val="en-US" w:eastAsia="zh-CN"/>
        </w:rPr>
        <w:t>3</w:t>
      </w:r>
      <w:r>
        <w:rPr>
          <w:rFonts w:hint="eastAsia" w:eastAsia="仿宋_GB2312" w:cs="仿宋_GB2312"/>
          <w:color w:val="auto"/>
          <w:sz w:val="32"/>
          <w:szCs w:val="32"/>
        </w:rPr>
        <w:t>万元、其他对个人和家庭的补助支出</w:t>
      </w:r>
      <w:r>
        <w:rPr>
          <w:rFonts w:hint="eastAsia" w:eastAsia="仿宋_GB2312" w:cs="仿宋_GB2312"/>
          <w:color w:val="auto"/>
          <w:sz w:val="32"/>
          <w:szCs w:val="32"/>
          <w:lang w:val="en-US" w:eastAsia="zh-CN"/>
        </w:rPr>
        <w:t>20</w:t>
      </w:r>
      <w:r>
        <w:rPr>
          <w:rFonts w:hint="eastAsia" w:ascii="仿宋" w:hAnsi="仿宋" w:eastAsia="仿宋"/>
          <w:color w:val="auto"/>
          <w:sz w:val="32"/>
          <w:szCs w:val="32"/>
        </w:rPr>
        <w:t>万元</w:t>
      </w:r>
      <w:r>
        <w:rPr>
          <w:rFonts w:hint="eastAsia" w:eastAsia="仿宋_GB2312" w:cs="仿宋_GB2312"/>
          <w:color w:val="auto"/>
          <w:sz w:val="32"/>
          <w:szCs w:val="32"/>
        </w:rPr>
        <w:t>等。</w:t>
      </w:r>
    </w:p>
    <w:p>
      <w:pPr>
        <w:spacing w:line="600" w:lineRule="exact"/>
        <w:ind w:firstLine="640"/>
        <w:rPr>
          <w:color w:val="auto"/>
        </w:rPr>
      </w:pPr>
      <w:r>
        <w:rPr>
          <w:rFonts w:hint="eastAsia" w:eastAsia="仿宋_GB2312" w:cs="仿宋_GB2312"/>
          <w:color w:val="auto"/>
          <w:sz w:val="32"/>
          <w:szCs w:val="32"/>
        </w:rPr>
        <w:t>公用经费</w:t>
      </w:r>
      <w:r>
        <w:rPr>
          <w:rFonts w:hint="eastAsia" w:ascii="仿宋_GB2312" w:hAnsi="仿宋_GB2312" w:eastAsia="仿宋_GB2312" w:cs="仿宋_GB2312"/>
          <w:color w:val="auto"/>
          <w:sz w:val="32"/>
          <w:szCs w:val="32"/>
          <w:lang w:val="en-US" w:eastAsia="zh-CN"/>
        </w:rPr>
        <w:t>14.94</w:t>
      </w:r>
      <w:r>
        <w:rPr>
          <w:rFonts w:hint="eastAsia" w:ascii="仿宋_GB2312" w:hAnsi="仿宋_GB2312" w:eastAsia="仿宋_GB2312" w:cs="仿宋_GB2312"/>
          <w:color w:val="auto"/>
          <w:sz w:val="32"/>
          <w:szCs w:val="32"/>
        </w:rPr>
        <w:t>万</w:t>
      </w:r>
      <w:r>
        <w:rPr>
          <w:rFonts w:hint="eastAsia" w:eastAsia="仿宋_GB2312" w:cs="仿宋_GB2312"/>
          <w:color w:val="auto"/>
          <w:sz w:val="32"/>
          <w:szCs w:val="32"/>
        </w:rPr>
        <w:t>元，主要包括：工会经费</w:t>
      </w:r>
      <w:r>
        <w:rPr>
          <w:rFonts w:hint="eastAsia" w:eastAsia="仿宋_GB2312" w:cs="仿宋_GB2312"/>
          <w:color w:val="auto"/>
          <w:sz w:val="32"/>
          <w:szCs w:val="32"/>
          <w:lang w:val="en-US" w:eastAsia="zh-CN"/>
        </w:rPr>
        <w:t>13.51</w:t>
      </w:r>
      <w:r>
        <w:rPr>
          <w:rFonts w:hint="eastAsia" w:eastAsia="仿宋_GB2312" w:cs="仿宋_GB2312"/>
          <w:color w:val="auto"/>
          <w:sz w:val="32"/>
          <w:szCs w:val="32"/>
        </w:rPr>
        <w:t>万元、福利费0.</w:t>
      </w:r>
      <w:r>
        <w:rPr>
          <w:rFonts w:hint="eastAsia" w:eastAsia="仿宋_GB2312" w:cs="仿宋_GB2312"/>
          <w:color w:val="auto"/>
          <w:sz w:val="32"/>
          <w:szCs w:val="32"/>
          <w:lang w:val="en-US" w:eastAsia="zh-CN"/>
        </w:rPr>
        <w:t>89</w:t>
      </w:r>
      <w:r>
        <w:rPr>
          <w:rFonts w:hint="eastAsia" w:eastAsia="仿宋_GB2312" w:cs="仿宋_GB2312"/>
          <w:color w:val="auto"/>
          <w:sz w:val="32"/>
          <w:szCs w:val="32"/>
        </w:rPr>
        <w:t>万元、其他商品和服务支出</w:t>
      </w:r>
      <w:r>
        <w:rPr>
          <w:rFonts w:hint="eastAsia" w:eastAsia="仿宋_GB2312" w:cs="仿宋_GB2312"/>
          <w:color w:val="auto"/>
          <w:sz w:val="32"/>
          <w:szCs w:val="32"/>
          <w:lang w:val="en-US" w:eastAsia="zh-CN"/>
        </w:rPr>
        <w:t>0.54</w:t>
      </w:r>
      <w:r>
        <w:rPr>
          <w:rFonts w:hint="eastAsia" w:eastAsia="仿宋_GB2312" w:cs="仿宋_GB2312"/>
          <w:color w:val="auto"/>
          <w:sz w:val="32"/>
          <w:szCs w:val="32"/>
        </w:rPr>
        <w:t>万元。</w:t>
      </w:r>
    </w:p>
    <w:p>
      <w:pPr>
        <w:spacing w:line="600" w:lineRule="exact"/>
        <w:ind w:firstLine="640"/>
        <w:outlineLvl w:val="1"/>
        <w:rPr>
          <w:rFonts w:eastAsia="仿宋_GB2312" w:cs="仿宋_GB2312"/>
          <w:color w:val="auto"/>
          <w:sz w:val="32"/>
          <w:szCs w:val="32"/>
        </w:rPr>
      </w:pPr>
      <w:bookmarkStart w:id="27" w:name="_Toc15396609"/>
      <w:bookmarkStart w:id="28" w:name="_Toc15377215"/>
      <w:r>
        <w:rPr>
          <w:rFonts w:hint="eastAsia" w:eastAsia="黑体"/>
          <w:color w:val="auto"/>
          <w:sz w:val="32"/>
          <w:szCs w:val="32"/>
        </w:rPr>
        <w:t>七、</w:t>
      </w:r>
      <w:r>
        <w:rPr>
          <w:rStyle w:val="29"/>
          <w:rFonts w:hint="eastAsia" w:ascii="Times New Roman" w:hAnsi="Times New Roman" w:eastAsia="黑体"/>
          <w:b w:val="0"/>
          <w:color w:val="auto"/>
        </w:rPr>
        <w:t>财政拨款</w:t>
      </w:r>
      <w:r>
        <w:rPr>
          <w:rStyle w:val="29"/>
          <w:rFonts w:hint="eastAsia" w:ascii="Times New Roman" w:hAnsi="Times New Roman" w:eastAsia="黑体"/>
          <w:color w:val="auto"/>
        </w:rPr>
        <w:t>“</w:t>
      </w:r>
      <w:r>
        <w:rPr>
          <w:rStyle w:val="29"/>
          <w:rFonts w:hint="eastAsia" w:ascii="Times New Roman" w:hAnsi="Times New Roman" w:eastAsia="黑体"/>
          <w:b w:val="0"/>
          <w:color w:val="auto"/>
        </w:rPr>
        <w:t>三公”经费支出决算情况说明</w:t>
      </w:r>
      <w:bookmarkEnd w:id="27"/>
      <w:bookmarkEnd w:id="28"/>
      <w:bookmarkStart w:id="29" w:name="_Toc15377218"/>
      <w:bookmarkStart w:id="30" w:name="_Toc15396610"/>
    </w:p>
    <w:p>
      <w:pPr>
        <w:spacing w:line="600" w:lineRule="exact"/>
        <w:ind w:firstLine="643" w:firstLineChars="200"/>
        <w:outlineLvl w:val="2"/>
        <w:rPr>
          <w:rFonts w:eastAsia="楷体_GB2312" w:cs="楷体_GB2312"/>
          <w:b/>
          <w:color w:val="auto"/>
          <w:sz w:val="32"/>
          <w:szCs w:val="32"/>
        </w:rPr>
      </w:pPr>
      <w:r>
        <w:rPr>
          <w:rFonts w:hint="eastAsia" w:eastAsia="楷体_GB2312" w:cs="楷体_GB2312"/>
          <w:b/>
          <w:color w:val="auto"/>
          <w:sz w:val="32"/>
          <w:szCs w:val="32"/>
        </w:rPr>
        <w:t>（一）财政拨款“三公”经费支出决算总体情况说明</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202</w:t>
      </w:r>
      <w:r>
        <w:rPr>
          <w:rFonts w:hint="eastAsia" w:eastAsia="仿宋_GB2312" w:cs="仿宋_GB2312"/>
          <w:color w:val="auto"/>
          <w:sz w:val="32"/>
          <w:szCs w:val="32"/>
          <w:lang w:val="en-US" w:eastAsia="zh-CN"/>
        </w:rPr>
        <w:t>5</w:t>
      </w:r>
      <w:r>
        <w:rPr>
          <w:rFonts w:hint="eastAsia" w:eastAsia="仿宋_GB2312" w:cs="仿宋_GB2312"/>
          <w:color w:val="auto"/>
          <w:sz w:val="32"/>
          <w:szCs w:val="32"/>
        </w:rPr>
        <w:t>年度财政拨款“三公”经费支出决算为0万元，完成预算</w:t>
      </w:r>
      <w:r>
        <w:rPr>
          <w:rFonts w:hint="eastAsia" w:eastAsia="仿宋_GB2312" w:cs="仿宋_GB2312"/>
          <w:color w:val="auto"/>
          <w:sz w:val="32"/>
          <w:szCs w:val="32"/>
          <w:lang w:val="en-US" w:eastAsia="zh-CN"/>
        </w:rPr>
        <w:t>0</w:t>
      </w:r>
      <w:r>
        <w:rPr>
          <w:rFonts w:hint="eastAsia" w:eastAsia="仿宋_GB2312" w:cs="仿宋_GB2312"/>
          <w:color w:val="auto"/>
          <w:sz w:val="32"/>
          <w:szCs w:val="32"/>
        </w:rPr>
        <w:t>%，与上年度持平。决算数与预算数持平。</w:t>
      </w:r>
    </w:p>
    <w:p>
      <w:pPr>
        <w:spacing w:line="600" w:lineRule="exact"/>
        <w:ind w:firstLine="643" w:firstLineChars="200"/>
        <w:outlineLvl w:val="2"/>
        <w:rPr>
          <w:rFonts w:eastAsia="楷体_GB2312" w:cs="楷体_GB2312"/>
          <w:b/>
          <w:color w:val="auto"/>
          <w:sz w:val="32"/>
          <w:szCs w:val="32"/>
        </w:rPr>
      </w:pPr>
      <w:r>
        <w:rPr>
          <w:rFonts w:hint="eastAsia" w:eastAsia="楷体_GB2312" w:cs="楷体_GB2312"/>
          <w:b/>
          <w:color w:val="auto"/>
          <w:sz w:val="32"/>
          <w:szCs w:val="32"/>
        </w:rPr>
        <w:t>（二）财政拨款“三公”经费支出决算具体情况说明</w:t>
      </w:r>
    </w:p>
    <w:p>
      <w:pPr>
        <w:suppressAutoHyphens/>
        <w:spacing w:line="600" w:lineRule="exact"/>
        <w:ind w:firstLine="640" w:firstLineChars="200"/>
        <w:rPr>
          <w:rFonts w:ascii="仿宋" w:hAnsi="仿宋" w:eastAsia="仿宋"/>
          <w:color w:val="auto"/>
          <w:sz w:val="32"/>
          <w:szCs w:val="32"/>
        </w:rPr>
      </w:pP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年度财政拨款“三公”经费支出决算中，因公出国（境）费支出决算0万元，占0</w:t>
      </w:r>
      <w:r>
        <w:rPr>
          <w:rFonts w:ascii="仿宋" w:hAnsi="仿宋" w:eastAsia="仿宋"/>
          <w:color w:val="auto"/>
          <w:sz w:val="32"/>
          <w:szCs w:val="32"/>
        </w:rPr>
        <w:t>%</w:t>
      </w:r>
      <w:r>
        <w:rPr>
          <w:rFonts w:hint="eastAsia" w:ascii="仿宋" w:hAnsi="仿宋" w:eastAsia="仿宋"/>
          <w:color w:val="auto"/>
          <w:sz w:val="32"/>
          <w:szCs w:val="32"/>
        </w:rPr>
        <w:t>；公务用车购置及运行维护费支出决算0万元，占0</w:t>
      </w:r>
      <w:r>
        <w:rPr>
          <w:rFonts w:ascii="仿宋" w:hAnsi="仿宋" w:eastAsia="仿宋"/>
          <w:color w:val="auto"/>
          <w:sz w:val="32"/>
          <w:szCs w:val="32"/>
        </w:rPr>
        <w:t>%</w:t>
      </w:r>
      <w:r>
        <w:rPr>
          <w:rFonts w:hint="eastAsia" w:ascii="仿宋" w:hAnsi="仿宋" w:eastAsia="仿宋"/>
          <w:color w:val="auto"/>
          <w:sz w:val="32"/>
          <w:szCs w:val="32"/>
        </w:rPr>
        <w:t>；公务接待费支出决算0万元，占0</w:t>
      </w:r>
      <w:r>
        <w:rPr>
          <w:rFonts w:ascii="仿宋" w:hAnsi="仿宋" w:eastAsia="仿宋"/>
          <w:color w:val="auto"/>
          <w:sz w:val="32"/>
          <w:szCs w:val="32"/>
        </w:rPr>
        <w:t>%</w:t>
      </w:r>
      <w:r>
        <w:rPr>
          <w:rFonts w:hint="eastAsia" w:ascii="仿宋" w:hAnsi="仿宋" w:eastAsia="仿宋"/>
          <w:color w:val="auto"/>
          <w:sz w:val="32"/>
          <w:szCs w:val="32"/>
        </w:rPr>
        <w:t>。</w:t>
      </w:r>
    </w:p>
    <w:p>
      <w:pPr>
        <w:suppressAutoHyphens/>
        <w:spacing w:line="600" w:lineRule="exact"/>
        <w:ind w:firstLine="640"/>
        <w:rPr>
          <w:rFonts w:ascii="仿宋_GB2312" w:hAnsi="Calibri" w:eastAsia="仿宋_GB2312"/>
          <w:color w:val="auto"/>
          <w:sz w:val="32"/>
          <w:szCs w:val="32"/>
        </w:rPr>
      </w:pPr>
      <w:r>
        <w:rPr>
          <w:rFonts w:eastAsia="仿宋_GB2312" w:cs="仿宋_GB2312"/>
          <w:b/>
          <w:bCs/>
          <w:color w:val="auto"/>
          <w:sz w:val="32"/>
          <w:szCs w:val="32"/>
        </w:rPr>
        <w:t>1.</w:t>
      </w:r>
      <w:r>
        <w:rPr>
          <w:rFonts w:hint="eastAsia" w:eastAsia="仿宋_GB2312" w:cs="仿宋_GB2312"/>
          <w:b/>
          <w:bCs/>
          <w:color w:val="auto"/>
          <w:sz w:val="32"/>
          <w:szCs w:val="32"/>
        </w:rPr>
        <w:t>因公出国（境）经费支出0万元，完成预算0</w:t>
      </w:r>
      <w:r>
        <w:rPr>
          <w:rFonts w:eastAsia="仿宋_GB2312" w:cs="仿宋_GB2312"/>
          <w:b/>
          <w:bCs/>
          <w:color w:val="auto"/>
          <w:sz w:val="32"/>
          <w:szCs w:val="32"/>
        </w:rPr>
        <w:t>%</w:t>
      </w:r>
      <w:r>
        <w:rPr>
          <w:rFonts w:hint="eastAsia" w:eastAsia="仿宋_GB2312" w:cs="仿宋_GB2312"/>
          <w:b/>
          <w:bCs/>
          <w:color w:val="auto"/>
          <w:sz w:val="32"/>
          <w:szCs w:val="32"/>
        </w:rPr>
        <w:t>。</w:t>
      </w:r>
      <w:r>
        <w:rPr>
          <w:rFonts w:hint="eastAsia" w:ascii="仿宋_GB2312" w:hAnsi="Calibri" w:eastAsia="仿宋_GB2312"/>
          <w:color w:val="auto"/>
          <w:sz w:val="32"/>
          <w:szCs w:val="32"/>
        </w:rPr>
        <w:t>全年安排因公出国（境）团组0次，出国（境）0人。因公出国（境）支出决算与202</w:t>
      </w:r>
      <w:r>
        <w:rPr>
          <w:rFonts w:hint="eastAsia" w:ascii="仿宋_GB2312" w:hAnsi="Calibri" w:eastAsia="仿宋_GB2312"/>
          <w:color w:val="auto"/>
          <w:sz w:val="32"/>
          <w:szCs w:val="32"/>
          <w:lang w:val="en-US" w:eastAsia="zh-CN"/>
        </w:rPr>
        <w:t>4</w:t>
      </w:r>
      <w:r>
        <w:rPr>
          <w:rFonts w:hint="eastAsia" w:ascii="仿宋_GB2312" w:hAnsi="Calibri" w:eastAsia="仿宋_GB2312"/>
          <w:color w:val="auto"/>
          <w:sz w:val="32"/>
          <w:szCs w:val="32"/>
        </w:rPr>
        <w:t>年度持平。</w:t>
      </w:r>
    </w:p>
    <w:p>
      <w:pPr>
        <w:suppressAutoHyphens/>
        <w:spacing w:line="600" w:lineRule="exact"/>
        <w:ind w:firstLine="640"/>
        <w:rPr>
          <w:rFonts w:ascii="仿宋_GB2312" w:hAnsi="Calibri" w:eastAsia="仿宋_GB2312"/>
          <w:b/>
          <w:color w:val="auto"/>
          <w:sz w:val="32"/>
          <w:szCs w:val="32"/>
        </w:rPr>
      </w:pPr>
      <w:r>
        <w:rPr>
          <w:rFonts w:eastAsia="仿宋_GB2312" w:cs="仿宋_GB2312"/>
          <w:b/>
          <w:bCs/>
          <w:color w:val="auto"/>
          <w:sz w:val="32"/>
          <w:szCs w:val="32"/>
        </w:rPr>
        <w:t>2.</w:t>
      </w:r>
      <w:r>
        <w:rPr>
          <w:rFonts w:hint="eastAsia" w:eastAsia="仿宋_GB2312" w:cs="仿宋_GB2312"/>
          <w:b/>
          <w:bCs/>
          <w:color w:val="auto"/>
          <w:sz w:val="32"/>
          <w:szCs w:val="32"/>
        </w:rPr>
        <w:t>公务用车购置及运行维护费支出0万元,完成预算0</w:t>
      </w:r>
      <w:r>
        <w:rPr>
          <w:rFonts w:eastAsia="仿宋_GB2312" w:cs="仿宋_GB2312"/>
          <w:b/>
          <w:bCs/>
          <w:color w:val="auto"/>
          <w:sz w:val="32"/>
          <w:szCs w:val="32"/>
        </w:rPr>
        <w:t>%</w:t>
      </w:r>
      <w:r>
        <w:rPr>
          <w:rFonts w:hint="eastAsia" w:eastAsia="仿宋_GB2312" w:cs="仿宋_GB2312"/>
          <w:b/>
          <w:bCs/>
          <w:color w:val="auto"/>
          <w:sz w:val="32"/>
          <w:szCs w:val="32"/>
        </w:rPr>
        <w:t>。</w:t>
      </w:r>
      <w:r>
        <w:rPr>
          <w:rFonts w:hint="eastAsia" w:ascii="仿宋_GB2312" w:hAnsi="Calibri" w:eastAsia="仿宋_GB2312"/>
          <w:color w:val="auto"/>
          <w:sz w:val="32"/>
          <w:szCs w:val="32"/>
        </w:rPr>
        <w:t>公务用车购置及运行维护费支出决算与202</w:t>
      </w:r>
      <w:r>
        <w:rPr>
          <w:rFonts w:hint="eastAsia" w:ascii="仿宋_GB2312" w:hAnsi="Calibri" w:eastAsia="仿宋_GB2312"/>
          <w:color w:val="auto"/>
          <w:sz w:val="32"/>
          <w:szCs w:val="32"/>
          <w:lang w:val="en-US" w:eastAsia="zh-CN"/>
        </w:rPr>
        <w:t>4</w:t>
      </w:r>
      <w:r>
        <w:rPr>
          <w:rFonts w:hint="eastAsia" w:ascii="仿宋_GB2312" w:hAnsi="Calibri" w:eastAsia="仿宋_GB2312"/>
          <w:color w:val="auto"/>
          <w:sz w:val="32"/>
          <w:szCs w:val="32"/>
        </w:rPr>
        <w:t>年度持平。</w:t>
      </w:r>
    </w:p>
    <w:p>
      <w:pPr>
        <w:suppressAutoHyphens/>
        <w:spacing w:line="600" w:lineRule="exact"/>
        <w:ind w:firstLine="640" w:firstLineChars="200"/>
        <w:rPr>
          <w:rFonts w:ascii="仿宋_GB2312" w:hAnsi="Calibri" w:eastAsia="仿宋_GB2312"/>
          <w:b/>
          <w:color w:val="auto"/>
          <w:sz w:val="32"/>
          <w:szCs w:val="32"/>
        </w:rPr>
      </w:pPr>
      <w:r>
        <w:rPr>
          <w:rFonts w:hint="eastAsia" w:ascii="仿宋_GB2312" w:hAnsi="Calibri" w:eastAsia="仿宋_GB2312"/>
          <w:color w:val="auto"/>
          <w:sz w:val="32"/>
          <w:szCs w:val="32"/>
        </w:rPr>
        <w:t>其中：公务用车购置支出0万元。全年按规定更新购置公务用车0辆，其中：轿车0辆、金额0万元，越野车0辆、金额0万元，载客汽车0辆、金额0万元。截至202</w:t>
      </w:r>
      <w:r>
        <w:rPr>
          <w:rFonts w:hint="eastAsia" w:ascii="仿宋_GB2312" w:hAnsi="Calibri" w:eastAsia="仿宋_GB2312"/>
          <w:color w:val="auto"/>
          <w:sz w:val="32"/>
          <w:szCs w:val="32"/>
          <w:lang w:val="en-US" w:eastAsia="zh-CN"/>
        </w:rPr>
        <w:t>5</w:t>
      </w:r>
      <w:r>
        <w:rPr>
          <w:rFonts w:hint="eastAsia" w:ascii="仿宋_GB2312" w:hAnsi="Calibri" w:eastAsia="仿宋_GB2312"/>
          <w:color w:val="auto"/>
          <w:sz w:val="32"/>
          <w:szCs w:val="32"/>
        </w:rPr>
        <w:t>年</w:t>
      </w:r>
      <w:r>
        <w:rPr>
          <w:rFonts w:ascii="仿宋_GB2312" w:hAnsi="Calibri" w:eastAsia="仿宋_GB2312"/>
          <w:color w:val="auto"/>
          <w:sz w:val="32"/>
          <w:szCs w:val="32"/>
        </w:rPr>
        <w:t>12</w:t>
      </w:r>
      <w:r>
        <w:rPr>
          <w:rFonts w:hint="eastAsia" w:ascii="仿宋_GB2312" w:hAnsi="Calibri" w:eastAsia="仿宋_GB2312"/>
          <w:color w:val="auto"/>
          <w:sz w:val="32"/>
          <w:szCs w:val="32"/>
        </w:rPr>
        <w:t>月31日，单位共有公务用车1辆，其中：轿车1辆、越野车0辆、载客汽车0辆。</w:t>
      </w:r>
    </w:p>
    <w:p>
      <w:pPr>
        <w:suppressAutoHyphens/>
        <w:spacing w:line="600" w:lineRule="exact"/>
        <w:ind w:firstLine="640"/>
        <w:rPr>
          <w:rFonts w:ascii="仿宋_GB2312" w:hAnsi="Calibri" w:eastAsia="仿宋_GB2312"/>
          <w:color w:val="auto"/>
          <w:sz w:val="32"/>
          <w:szCs w:val="32"/>
        </w:rPr>
      </w:pPr>
      <w:r>
        <w:rPr>
          <w:rFonts w:hint="eastAsia" w:ascii="仿宋_GB2312" w:hAnsi="Calibri" w:eastAsia="仿宋_GB2312"/>
          <w:color w:val="auto"/>
          <w:sz w:val="32"/>
          <w:szCs w:val="32"/>
        </w:rPr>
        <w:t>公务用车运行维护费支出0万元。</w:t>
      </w:r>
    </w:p>
    <w:p>
      <w:pPr>
        <w:spacing w:line="600" w:lineRule="exact"/>
        <w:ind w:firstLine="640"/>
        <w:rPr>
          <w:rFonts w:eastAsia="仿宋_GB2312" w:cs="仿宋_GB2312"/>
          <w:color w:val="auto"/>
          <w:sz w:val="32"/>
          <w:szCs w:val="32"/>
        </w:rPr>
      </w:pPr>
      <w:r>
        <w:rPr>
          <w:rFonts w:ascii="仿宋_GB2312" w:hAnsi="Calibri" w:eastAsia="仿宋_GB2312"/>
          <w:b/>
          <w:color w:val="auto"/>
          <w:sz w:val="32"/>
          <w:szCs w:val="32"/>
        </w:rPr>
        <w:t>3.</w:t>
      </w:r>
      <w:r>
        <w:rPr>
          <w:rFonts w:hint="eastAsia" w:ascii="仿宋_GB2312" w:hAnsi="Calibri" w:eastAsia="仿宋_GB2312"/>
          <w:b/>
          <w:color w:val="auto"/>
          <w:sz w:val="32"/>
          <w:szCs w:val="32"/>
        </w:rPr>
        <w:t>公务接待费支出0万元，完成预算0</w:t>
      </w:r>
      <w:r>
        <w:rPr>
          <w:rFonts w:ascii="仿宋_GB2312" w:hAnsi="Calibri" w:eastAsia="仿宋_GB2312"/>
          <w:b/>
          <w:color w:val="auto"/>
          <w:sz w:val="32"/>
          <w:szCs w:val="32"/>
        </w:rPr>
        <w:t>%</w:t>
      </w:r>
      <w:r>
        <w:rPr>
          <w:rFonts w:hint="eastAsia" w:ascii="仿宋_GB2312" w:hAnsi="Calibri" w:eastAsia="仿宋_GB2312"/>
          <w:b/>
          <w:color w:val="auto"/>
          <w:sz w:val="32"/>
          <w:szCs w:val="32"/>
        </w:rPr>
        <w:t>。</w:t>
      </w:r>
      <w:r>
        <w:rPr>
          <w:rFonts w:hint="eastAsia" w:ascii="仿宋_GB2312" w:hAnsi="Calibri" w:eastAsia="仿宋_GB2312"/>
          <w:color w:val="auto"/>
          <w:sz w:val="32"/>
          <w:szCs w:val="32"/>
        </w:rPr>
        <w:t>公务接待费支出决算与202</w:t>
      </w:r>
      <w:r>
        <w:rPr>
          <w:rFonts w:hint="eastAsia" w:ascii="仿宋_GB2312" w:hAnsi="Calibri" w:eastAsia="仿宋_GB2312"/>
          <w:color w:val="auto"/>
          <w:sz w:val="32"/>
          <w:szCs w:val="32"/>
          <w:lang w:val="en-US" w:eastAsia="zh-CN"/>
        </w:rPr>
        <w:t>4</w:t>
      </w:r>
      <w:r>
        <w:rPr>
          <w:rFonts w:hint="eastAsia" w:ascii="仿宋_GB2312" w:hAnsi="Calibri" w:eastAsia="仿宋_GB2312"/>
          <w:color w:val="auto"/>
          <w:sz w:val="32"/>
          <w:szCs w:val="32"/>
        </w:rPr>
        <w:t>年度持平。其中：</w:t>
      </w:r>
      <w:r>
        <w:rPr>
          <w:rFonts w:hint="eastAsia" w:eastAsia="仿宋_GB2312" w:cs="仿宋_GB2312"/>
          <w:color w:val="auto"/>
          <w:sz w:val="32"/>
          <w:szCs w:val="32"/>
        </w:rPr>
        <w:t>其中：</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国内公务接待支</w:t>
      </w:r>
      <w:r>
        <w:rPr>
          <w:rFonts w:hint="eastAsia" w:ascii="仿宋_GB2312" w:hAnsi="仿宋_GB2312" w:eastAsia="仿宋_GB2312" w:cs="仿宋_GB2312"/>
          <w:color w:val="auto"/>
          <w:sz w:val="32"/>
          <w:szCs w:val="32"/>
        </w:rPr>
        <w:t>出0万</w:t>
      </w:r>
      <w:r>
        <w:rPr>
          <w:rFonts w:hint="eastAsia" w:eastAsia="仿宋_GB2312" w:cs="仿宋_GB2312"/>
          <w:color w:val="auto"/>
          <w:sz w:val="32"/>
          <w:szCs w:val="32"/>
        </w:rPr>
        <w:t>元。国内公务接</w:t>
      </w:r>
      <w:r>
        <w:rPr>
          <w:rFonts w:hint="eastAsia" w:ascii="仿宋_GB2312" w:hAnsi="仿宋_GB2312" w:eastAsia="仿宋_GB2312" w:cs="仿宋_GB2312"/>
          <w:color w:val="auto"/>
          <w:sz w:val="32"/>
          <w:szCs w:val="32"/>
        </w:rPr>
        <w:t>待0批次，0</w:t>
      </w:r>
      <w:r>
        <w:rPr>
          <w:rFonts w:hint="eastAsia" w:eastAsia="仿宋_GB2312" w:cs="仿宋_GB2312"/>
          <w:color w:val="auto"/>
          <w:sz w:val="32"/>
          <w:szCs w:val="32"/>
        </w:rPr>
        <w:t>人次（不包括陪同人员），共计支出0万元。</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外事接待支</w:t>
      </w:r>
      <w:r>
        <w:rPr>
          <w:rFonts w:hint="eastAsia" w:ascii="仿宋_GB2312" w:hAnsi="仿宋_GB2312" w:eastAsia="仿宋_GB2312" w:cs="仿宋_GB2312"/>
          <w:color w:val="auto"/>
          <w:sz w:val="32"/>
          <w:szCs w:val="32"/>
        </w:rPr>
        <w:t>出0万元。外事接待0批次，0人次（不包括陪同人员），共计支出0万</w:t>
      </w:r>
      <w:r>
        <w:rPr>
          <w:rFonts w:hint="eastAsia" w:eastAsia="仿宋_GB2312" w:cs="仿宋_GB2312"/>
          <w:color w:val="auto"/>
          <w:sz w:val="32"/>
          <w:szCs w:val="32"/>
        </w:rPr>
        <w:t>元。</w:t>
      </w:r>
    </w:p>
    <w:p>
      <w:pPr>
        <w:spacing w:line="600" w:lineRule="exact"/>
        <w:ind w:firstLine="640"/>
        <w:outlineLvl w:val="1"/>
        <w:rPr>
          <w:rStyle w:val="29"/>
          <w:rFonts w:ascii="Times New Roman" w:hAnsi="Times New Roman" w:eastAsia="黑体"/>
          <w:color w:val="auto"/>
        </w:rPr>
      </w:pPr>
      <w:r>
        <w:rPr>
          <w:rFonts w:hint="eastAsia" w:eastAsia="黑体"/>
          <w:color w:val="auto"/>
          <w:sz w:val="32"/>
          <w:szCs w:val="32"/>
        </w:rPr>
        <w:t>八、</w:t>
      </w:r>
      <w:r>
        <w:rPr>
          <w:rStyle w:val="29"/>
          <w:rFonts w:hint="eastAsia" w:ascii="Times New Roman" w:hAnsi="Times New Roman" w:eastAsia="黑体"/>
          <w:b w:val="0"/>
          <w:color w:val="auto"/>
        </w:rPr>
        <w:t>政府性基金预算支出决算情况说明</w:t>
      </w:r>
      <w:bookmarkEnd w:id="29"/>
      <w:bookmarkEnd w:id="30"/>
    </w:p>
    <w:p>
      <w:pPr>
        <w:suppressAutoHyphens/>
        <w:spacing w:line="600" w:lineRule="exact"/>
        <w:ind w:firstLine="640"/>
        <w:rPr>
          <w:color w:val="auto"/>
        </w:rPr>
      </w:pPr>
      <w:r>
        <w:rPr>
          <w:rFonts w:hint="eastAsia" w:ascii="仿宋_GB2312" w:hAnsi="Calibri" w:eastAsia="仿宋_GB2312"/>
          <w:color w:val="auto"/>
          <w:sz w:val="32"/>
          <w:szCs w:val="32"/>
        </w:rPr>
        <w:t>202</w:t>
      </w:r>
      <w:r>
        <w:rPr>
          <w:rFonts w:hint="eastAsia" w:ascii="仿宋_GB2312" w:hAnsi="Calibri" w:eastAsia="仿宋_GB2312"/>
          <w:color w:val="auto"/>
          <w:sz w:val="32"/>
          <w:szCs w:val="32"/>
          <w:lang w:val="en-US" w:eastAsia="zh-CN"/>
        </w:rPr>
        <w:t>5</w:t>
      </w:r>
      <w:r>
        <w:rPr>
          <w:rFonts w:hint="eastAsia" w:ascii="仿宋_GB2312" w:hAnsi="Calibri" w:eastAsia="仿宋_GB2312"/>
          <w:color w:val="auto"/>
          <w:sz w:val="32"/>
          <w:szCs w:val="32"/>
        </w:rPr>
        <w:t>年度政府性基金预算财政拨款支出0万元，</w:t>
      </w:r>
      <w:r>
        <w:rPr>
          <w:rFonts w:hint="eastAsia" w:ascii="仿宋_GB2312" w:hAnsi="仿宋_GB2312" w:eastAsia="仿宋_GB2312" w:cs="仿宋_GB2312"/>
          <w:color w:val="auto"/>
          <w:sz w:val="32"/>
          <w:szCs w:val="32"/>
        </w:rPr>
        <w:t>占本年支出合计的0%，</w:t>
      </w:r>
      <w:r>
        <w:rPr>
          <w:rFonts w:hint="eastAsia" w:ascii="仿宋_GB2312" w:hAnsi="Calibri" w:eastAsia="仿宋_GB2312"/>
          <w:color w:val="auto"/>
          <w:sz w:val="32"/>
          <w:szCs w:val="32"/>
        </w:rPr>
        <w:t>与202</w:t>
      </w:r>
      <w:r>
        <w:rPr>
          <w:rFonts w:hint="eastAsia" w:ascii="仿宋_GB2312" w:hAnsi="Calibri" w:eastAsia="仿宋_GB2312"/>
          <w:color w:val="auto"/>
          <w:sz w:val="32"/>
          <w:szCs w:val="32"/>
          <w:lang w:val="en-US" w:eastAsia="zh-CN"/>
        </w:rPr>
        <w:t>4</w:t>
      </w:r>
      <w:r>
        <w:rPr>
          <w:rFonts w:hint="eastAsia" w:ascii="仿宋_GB2312" w:hAnsi="Calibri" w:eastAsia="仿宋_GB2312"/>
          <w:color w:val="auto"/>
          <w:sz w:val="32"/>
          <w:szCs w:val="32"/>
        </w:rPr>
        <w:t>年度持平。</w:t>
      </w:r>
    </w:p>
    <w:p>
      <w:pPr>
        <w:spacing w:line="600" w:lineRule="exact"/>
        <w:ind w:left="630"/>
        <w:outlineLvl w:val="1"/>
        <w:rPr>
          <w:rStyle w:val="29"/>
          <w:rFonts w:ascii="Times New Roman" w:hAnsi="Times New Roman" w:eastAsia="黑体"/>
          <w:b w:val="0"/>
          <w:color w:val="auto"/>
        </w:rPr>
      </w:pPr>
      <w:bookmarkStart w:id="31" w:name="_Toc15377219"/>
      <w:bookmarkStart w:id="32" w:name="_Toc15396611"/>
      <w:r>
        <w:rPr>
          <w:rStyle w:val="29"/>
          <w:rFonts w:hint="eastAsia" w:ascii="Times New Roman" w:hAnsi="Times New Roman" w:eastAsia="黑体"/>
          <w:b w:val="0"/>
          <w:color w:val="auto"/>
        </w:rPr>
        <w:t>九、国有资本经营预算支出决算情况说明</w:t>
      </w:r>
      <w:bookmarkEnd w:id="31"/>
      <w:bookmarkEnd w:id="32"/>
    </w:p>
    <w:p>
      <w:pPr>
        <w:suppressAutoHyphens/>
        <w:spacing w:line="600" w:lineRule="exact"/>
        <w:ind w:firstLine="640"/>
        <w:rPr>
          <w:color w:val="auto"/>
        </w:rPr>
      </w:pPr>
      <w:r>
        <w:rPr>
          <w:rFonts w:hint="eastAsia" w:ascii="仿宋_GB2312" w:hAnsi="Calibri" w:eastAsia="仿宋_GB2312"/>
          <w:color w:val="auto"/>
          <w:sz w:val="32"/>
          <w:szCs w:val="32"/>
        </w:rPr>
        <w:t>202</w:t>
      </w:r>
      <w:r>
        <w:rPr>
          <w:rFonts w:hint="eastAsia" w:ascii="仿宋_GB2312" w:hAnsi="Calibri" w:eastAsia="仿宋_GB2312"/>
          <w:color w:val="auto"/>
          <w:sz w:val="32"/>
          <w:szCs w:val="32"/>
          <w:lang w:val="en-US" w:eastAsia="zh-CN"/>
        </w:rPr>
        <w:t>5</w:t>
      </w:r>
      <w:r>
        <w:rPr>
          <w:rFonts w:hint="eastAsia" w:ascii="仿宋_GB2312" w:hAnsi="Calibri" w:eastAsia="仿宋_GB2312"/>
          <w:color w:val="auto"/>
          <w:sz w:val="32"/>
          <w:szCs w:val="32"/>
        </w:rPr>
        <w:t>年度国有资本经营预算财政拨款支出0万元，</w:t>
      </w:r>
      <w:r>
        <w:rPr>
          <w:rFonts w:hint="eastAsia" w:ascii="仿宋_GB2312" w:hAnsi="仿宋_GB2312" w:eastAsia="仿宋_GB2312" w:cs="仿宋_GB2312"/>
          <w:color w:val="auto"/>
          <w:sz w:val="32"/>
          <w:szCs w:val="32"/>
        </w:rPr>
        <w:t>占本年支出合计的0%，</w:t>
      </w:r>
      <w:r>
        <w:rPr>
          <w:rFonts w:hint="eastAsia" w:ascii="仿宋_GB2312" w:hAnsi="Calibri" w:eastAsia="仿宋_GB2312"/>
          <w:color w:val="auto"/>
          <w:sz w:val="32"/>
          <w:szCs w:val="32"/>
        </w:rPr>
        <w:t>与202</w:t>
      </w:r>
      <w:r>
        <w:rPr>
          <w:rFonts w:hint="eastAsia" w:ascii="仿宋_GB2312" w:hAnsi="Calibri" w:eastAsia="仿宋_GB2312"/>
          <w:color w:val="auto"/>
          <w:sz w:val="32"/>
          <w:szCs w:val="32"/>
          <w:lang w:val="en-US" w:eastAsia="zh-CN"/>
        </w:rPr>
        <w:t>4</w:t>
      </w:r>
      <w:r>
        <w:rPr>
          <w:rFonts w:hint="eastAsia" w:ascii="仿宋_GB2312" w:hAnsi="Calibri" w:eastAsia="仿宋_GB2312"/>
          <w:color w:val="auto"/>
          <w:sz w:val="32"/>
          <w:szCs w:val="32"/>
        </w:rPr>
        <w:t>年度持平。</w:t>
      </w:r>
    </w:p>
    <w:p>
      <w:pPr>
        <w:spacing w:line="600" w:lineRule="exact"/>
        <w:ind w:left="630"/>
        <w:outlineLvl w:val="1"/>
        <w:rPr>
          <w:rStyle w:val="29"/>
          <w:rFonts w:ascii="Times New Roman" w:hAnsi="Times New Roman" w:eastAsia="黑体"/>
          <w:b w:val="0"/>
          <w:color w:val="auto"/>
        </w:rPr>
      </w:pPr>
      <w:bookmarkStart w:id="33" w:name="_Toc15396612"/>
      <w:bookmarkStart w:id="34" w:name="_Toc15377221"/>
      <w:r>
        <w:rPr>
          <w:rStyle w:val="29"/>
          <w:rFonts w:hint="eastAsia" w:ascii="Times New Roman" w:hAnsi="Times New Roman" w:eastAsia="黑体"/>
          <w:b w:val="0"/>
          <w:color w:val="auto"/>
        </w:rPr>
        <w:t>十、其他重要事项的情况说明</w:t>
      </w:r>
      <w:bookmarkEnd w:id="33"/>
      <w:bookmarkEnd w:id="34"/>
    </w:p>
    <w:p>
      <w:pPr>
        <w:spacing w:line="600" w:lineRule="exact"/>
        <w:ind w:firstLine="643" w:firstLineChars="200"/>
        <w:outlineLvl w:val="2"/>
        <w:rPr>
          <w:rFonts w:eastAsia="楷体_GB2312" w:cs="楷体_GB2312"/>
          <w:b/>
          <w:color w:val="auto"/>
          <w:sz w:val="32"/>
          <w:szCs w:val="32"/>
        </w:rPr>
      </w:pPr>
      <w:bookmarkStart w:id="35" w:name="_Toc15377222"/>
      <w:r>
        <w:rPr>
          <w:rFonts w:hint="eastAsia" w:eastAsia="楷体_GB2312" w:cs="楷体_GB2312"/>
          <w:b/>
          <w:color w:val="auto"/>
          <w:sz w:val="32"/>
          <w:szCs w:val="32"/>
        </w:rPr>
        <w:t>（一）机关运行经费支出情况</w:t>
      </w:r>
      <w:bookmarkEnd w:id="35"/>
    </w:p>
    <w:p>
      <w:pPr>
        <w:spacing w:line="600" w:lineRule="exact"/>
        <w:ind w:firstLine="640"/>
        <w:rPr>
          <w:color w:val="auto"/>
        </w:rPr>
      </w:pPr>
      <w:r>
        <w:rPr>
          <w:rFonts w:hint="eastAsia" w:ascii="仿宋_GB2312" w:hAnsi="Calibri" w:eastAsia="仿宋_GB2312"/>
          <w:color w:val="auto"/>
          <w:sz w:val="32"/>
          <w:szCs w:val="32"/>
        </w:rPr>
        <w:t>202</w:t>
      </w:r>
      <w:r>
        <w:rPr>
          <w:rFonts w:hint="eastAsia" w:ascii="仿宋_GB2312" w:hAnsi="Calibri" w:eastAsia="仿宋_GB2312"/>
          <w:color w:val="auto"/>
          <w:sz w:val="32"/>
          <w:szCs w:val="32"/>
          <w:lang w:val="en-US" w:eastAsia="zh-CN"/>
        </w:rPr>
        <w:t>5</w:t>
      </w:r>
      <w:r>
        <w:rPr>
          <w:rFonts w:hint="eastAsia" w:ascii="仿宋_GB2312" w:hAnsi="Calibri" w:eastAsia="仿宋_GB2312"/>
          <w:color w:val="auto"/>
          <w:sz w:val="32"/>
          <w:szCs w:val="32"/>
        </w:rPr>
        <w:t>年度，</w:t>
      </w:r>
      <w:r>
        <w:rPr>
          <w:rFonts w:hint="eastAsia" w:ascii="仿宋_GB2312" w:hAnsi="仿宋_GB2312" w:eastAsia="仿宋_GB2312" w:cs="仿宋_GB2312"/>
          <w:color w:val="auto"/>
          <w:sz w:val="32"/>
          <w:szCs w:val="32"/>
        </w:rPr>
        <w:t>四川省</w:t>
      </w:r>
      <w:r>
        <w:rPr>
          <w:rFonts w:hint="eastAsia" w:ascii="仿宋_GB2312" w:hAnsi="Calibri" w:eastAsia="仿宋_GB2312"/>
          <w:color w:val="auto"/>
          <w:sz w:val="32"/>
          <w:szCs w:val="32"/>
        </w:rPr>
        <w:t>攀枝花开放大学机关运行经费支出0万元，与202</w:t>
      </w:r>
      <w:r>
        <w:rPr>
          <w:rFonts w:hint="eastAsia" w:ascii="仿宋_GB2312" w:hAnsi="Calibri" w:eastAsia="仿宋_GB2312"/>
          <w:color w:val="auto"/>
          <w:sz w:val="32"/>
          <w:szCs w:val="32"/>
          <w:lang w:val="en-US" w:eastAsia="zh-CN"/>
        </w:rPr>
        <w:t>4</w:t>
      </w:r>
      <w:r>
        <w:rPr>
          <w:rFonts w:hint="eastAsia" w:ascii="仿宋_GB2312" w:hAnsi="Calibri" w:eastAsia="仿宋_GB2312"/>
          <w:color w:val="auto"/>
          <w:sz w:val="32"/>
          <w:szCs w:val="32"/>
        </w:rPr>
        <w:t>年度持平。</w:t>
      </w:r>
    </w:p>
    <w:p>
      <w:pPr>
        <w:spacing w:line="600" w:lineRule="exact"/>
        <w:ind w:firstLine="643" w:firstLineChars="200"/>
        <w:outlineLvl w:val="2"/>
        <w:rPr>
          <w:rFonts w:eastAsia="楷体_GB2312" w:cs="楷体_GB2312"/>
          <w:b/>
          <w:color w:val="auto"/>
          <w:sz w:val="32"/>
          <w:szCs w:val="32"/>
        </w:rPr>
      </w:pPr>
      <w:bookmarkStart w:id="36" w:name="_Toc15377223"/>
      <w:r>
        <w:rPr>
          <w:rFonts w:hint="eastAsia" w:eastAsia="楷体_GB2312" w:cs="楷体_GB2312"/>
          <w:b/>
          <w:color w:val="auto"/>
          <w:sz w:val="32"/>
          <w:szCs w:val="32"/>
        </w:rPr>
        <w:t>（二）政府采购支出情况</w:t>
      </w:r>
      <w:bookmarkEnd w:id="36"/>
    </w:p>
    <w:p>
      <w:pPr>
        <w:spacing w:line="600" w:lineRule="exact"/>
        <w:ind w:firstLine="640" w:firstLineChars="200"/>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年度，四川省攀枝花开放大学政府采购支出总额</w:t>
      </w:r>
      <w:r>
        <w:rPr>
          <w:rFonts w:hint="eastAsia" w:ascii="仿宋_GB2312" w:hAnsi="仿宋_GB2312" w:eastAsia="仿宋_GB2312" w:cs="仿宋_GB2312"/>
          <w:color w:val="auto"/>
          <w:sz w:val="32"/>
          <w:szCs w:val="32"/>
          <w:highlight w:val="none"/>
          <w:lang w:val="en-US" w:eastAsia="zh-CN"/>
        </w:rPr>
        <w:t>28.56</w:t>
      </w:r>
      <w:r>
        <w:rPr>
          <w:rFonts w:hint="eastAsia" w:ascii="仿宋_GB2312" w:hAnsi="仿宋_GB2312" w:eastAsia="仿宋_GB2312" w:cs="仿宋_GB2312"/>
          <w:color w:val="auto"/>
          <w:sz w:val="32"/>
          <w:szCs w:val="32"/>
        </w:rPr>
        <w:t>万元，其中：政府采购货物支出</w:t>
      </w:r>
      <w:r>
        <w:rPr>
          <w:rFonts w:hint="eastAsia" w:ascii="仿宋_GB2312" w:hAnsi="仿宋_GB2312" w:eastAsia="仿宋_GB2312" w:cs="仿宋_GB2312"/>
          <w:color w:val="auto"/>
          <w:sz w:val="32"/>
          <w:szCs w:val="32"/>
          <w:lang w:val="en-US" w:eastAsia="zh-CN"/>
        </w:rPr>
        <w:t>26.52</w:t>
      </w:r>
      <w:r>
        <w:rPr>
          <w:rFonts w:hint="eastAsia" w:ascii="仿宋_GB2312" w:hAnsi="仿宋_GB2312" w:eastAsia="仿宋_GB2312" w:cs="仿宋_GB2312"/>
          <w:color w:val="auto"/>
          <w:sz w:val="32"/>
          <w:szCs w:val="32"/>
        </w:rPr>
        <w:t>万元、政府采购工程支出0万元、政府采购服务支出</w:t>
      </w:r>
      <w:r>
        <w:rPr>
          <w:rFonts w:hint="eastAsia" w:ascii="仿宋_GB2312" w:hAnsi="仿宋_GB2312" w:eastAsia="仿宋_GB2312" w:cs="仿宋_GB2312"/>
          <w:color w:val="auto"/>
          <w:sz w:val="32"/>
          <w:szCs w:val="32"/>
          <w:lang w:val="en-US" w:eastAsia="zh-CN"/>
        </w:rPr>
        <w:t>2.04</w:t>
      </w:r>
      <w:r>
        <w:rPr>
          <w:rFonts w:hint="eastAsia" w:ascii="仿宋_GB2312" w:hAnsi="仿宋_GB2312" w:eastAsia="仿宋_GB2312" w:cs="仿宋_GB2312"/>
          <w:color w:val="auto"/>
          <w:sz w:val="32"/>
          <w:szCs w:val="32"/>
        </w:rPr>
        <w:t>万元。主要用于政府集中采购公务车财产保险服务</w:t>
      </w:r>
      <w:r>
        <w:rPr>
          <w:rFonts w:hint="eastAsia" w:ascii="仿宋_GB2312" w:hAnsi="仿宋_GB2312" w:eastAsia="仿宋_GB2312" w:cs="仿宋_GB2312"/>
          <w:color w:val="auto"/>
          <w:sz w:val="32"/>
          <w:szCs w:val="32"/>
          <w:lang w:val="en-US" w:eastAsia="zh-CN"/>
        </w:rPr>
        <w:t>0.16万元、车辆加油和添加燃料服务1.2万元、车辆维修和保养服务0.68万元，</w:t>
      </w:r>
      <w:r>
        <w:rPr>
          <w:rFonts w:hint="eastAsia" w:ascii="仿宋_GB2312" w:hAnsi="仿宋_GB2312" w:eastAsia="仿宋_GB2312" w:cs="仿宋_GB2312"/>
          <w:color w:val="auto"/>
          <w:sz w:val="32"/>
          <w:szCs w:val="32"/>
        </w:rPr>
        <w:t>升级</w:t>
      </w:r>
      <w:r>
        <w:rPr>
          <w:rFonts w:hint="eastAsia" w:ascii="仿宋_GB2312" w:hAnsi="仿宋_GB2312" w:eastAsia="仿宋_GB2312" w:cs="仿宋_GB2312"/>
          <w:color w:val="auto"/>
          <w:sz w:val="32"/>
          <w:szCs w:val="32"/>
          <w:highlight w:val="none"/>
        </w:rPr>
        <w:t>考试系统服务器</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rPr>
        <w:t>存储用光纤交换机设备采购</w:t>
      </w:r>
      <w:r>
        <w:rPr>
          <w:rFonts w:hint="eastAsia" w:ascii="仿宋_GB2312" w:hAnsi="仿宋_GB2312" w:eastAsia="仿宋_GB2312" w:cs="仿宋_GB2312"/>
          <w:color w:val="auto"/>
          <w:sz w:val="32"/>
          <w:szCs w:val="32"/>
          <w:highlight w:val="none"/>
          <w:lang w:val="en-US" w:eastAsia="zh-CN"/>
        </w:rPr>
        <w:t>26.52</w:t>
      </w:r>
      <w:r>
        <w:rPr>
          <w:rFonts w:hint="eastAsia" w:ascii="仿宋_GB2312" w:hAnsi="仿宋_GB2312" w:eastAsia="仿宋_GB2312" w:cs="仿宋_GB2312"/>
          <w:color w:val="auto"/>
          <w:sz w:val="32"/>
          <w:szCs w:val="32"/>
          <w:highlight w:val="none"/>
        </w:rPr>
        <w:t>万元。授予中小企业合同金额</w:t>
      </w:r>
      <w:r>
        <w:rPr>
          <w:rFonts w:hint="eastAsia" w:ascii="仿宋_GB2312" w:hAnsi="仿宋_GB2312" w:eastAsia="仿宋_GB2312" w:cs="仿宋_GB2312"/>
          <w:color w:val="auto"/>
          <w:sz w:val="32"/>
          <w:szCs w:val="32"/>
          <w:highlight w:val="none"/>
          <w:lang w:val="en-US" w:eastAsia="zh-CN"/>
        </w:rPr>
        <w:t>28.4</w:t>
      </w:r>
      <w:r>
        <w:rPr>
          <w:rFonts w:hint="eastAsia" w:ascii="仿宋_GB2312" w:hAnsi="仿宋_GB2312" w:eastAsia="仿宋_GB2312" w:cs="仿宋_GB2312"/>
          <w:color w:val="auto"/>
          <w:sz w:val="32"/>
          <w:szCs w:val="32"/>
          <w:highlight w:val="none"/>
        </w:rPr>
        <w:t>万元，占政府采购支出总额的9</w:t>
      </w:r>
      <w:r>
        <w:rPr>
          <w:rFonts w:hint="eastAsia" w:ascii="仿宋_GB2312" w:hAnsi="仿宋_GB2312" w:eastAsia="仿宋_GB2312" w:cs="仿宋_GB2312"/>
          <w:color w:val="auto"/>
          <w:sz w:val="32"/>
          <w:szCs w:val="32"/>
          <w:highlight w:val="none"/>
          <w:lang w:val="en-US" w:eastAsia="zh-CN"/>
        </w:rPr>
        <w:t>9.4</w:t>
      </w:r>
      <w:r>
        <w:rPr>
          <w:rFonts w:hint="eastAsia" w:ascii="仿宋_GB2312" w:hAnsi="仿宋_GB2312" w:eastAsia="仿宋_GB2312" w:cs="仿宋_GB2312"/>
          <w:color w:val="auto"/>
          <w:sz w:val="32"/>
          <w:szCs w:val="32"/>
          <w:highlight w:val="none"/>
        </w:rPr>
        <w:t>%，其中：授予小微企业合同金额</w:t>
      </w:r>
      <w:r>
        <w:rPr>
          <w:rFonts w:hint="eastAsia" w:ascii="仿宋_GB2312" w:hAnsi="仿宋_GB2312" w:eastAsia="仿宋_GB2312" w:cs="仿宋_GB2312"/>
          <w:color w:val="auto"/>
          <w:sz w:val="32"/>
          <w:szCs w:val="32"/>
          <w:highlight w:val="none"/>
          <w:lang w:val="en-US" w:eastAsia="zh-CN"/>
        </w:rPr>
        <w:t>1.88</w:t>
      </w:r>
      <w:r>
        <w:rPr>
          <w:rFonts w:hint="eastAsia" w:ascii="仿宋_GB2312" w:hAnsi="仿宋_GB2312" w:eastAsia="仿宋_GB2312" w:cs="仿宋_GB2312"/>
          <w:color w:val="auto"/>
          <w:sz w:val="32"/>
          <w:szCs w:val="32"/>
          <w:highlight w:val="none"/>
        </w:rPr>
        <w:t>万元，占政府采购支出总额的</w:t>
      </w:r>
      <w:r>
        <w:rPr>
          <w:rFonts w:hint="eastAsia" w:ascii="仿宋_GB2312" w:hAnsi="仿宋_GB2312" w:eastAsia="仿宋_GB2312" w:cs="仿宋_GB2312"/>
          <w:color w:val="auto"/>
          <w:sz w:val="32"/>
          <w:szCs w:val="32"/>
          <w:highlight w:val="none"/>
          <w:lang w:val="en-US" w:eastAsia="zh-CN"/>
        </w:rPr>
        <w:t>6.6</w:t>
      </w:r>
      <w:r>
        <w:rPr>
          <w:rFonts w:hint="eastAsia" w:ascii="仿宋_GB2312" w:hAnsi="仿宋_GB2312" w:eastAsia="仿宋_GB2312" w:cs="仿宋_GB2312"/>
          <w:color w:val="auto"/>
          <w:sz w:val="32"/>
          <w:szCs w:val="32"/>
          <w:highlight w:val="none"/>
        </w:rPr>
        <w:t>%。</w:t>
      </w:r>
      <w:bookmarkStart w:id="37" w:name="_Toc15377224"/>
    </w:p>
    <w:p>
      <w:pPr>
        <w:spacing w:line="600" w:lineRule="exact"/>
        <w:ind w:firstLine="643" w:firstLineChars="200"/>
        <w:outlineLvl w:val="2"/>
        <w:rPr>
          <w:rFonts w:eastAsia="楷体_GB2312" w:cs="楷体_GB2312"/>
          <w:b/>
          <w:color w:val="auto"/>
          <w:sz w:val="32"/>
          <w:szCs w:val="32"/>
        </w:rPr>
      </w:pPr>
      <w:r>
        <w:rPr>
          <w:rFonts w:hint="eastAsia" w:eastAsia="楷体_GB2312" w:cs="楷体_GB2312"/>
          <w:b/>
          <w:color w:val="auto"/>
          <w:sz w:val="32"/>
          <w:szCs w:val="32"/>
        </w:rPr>
        <w:t>（三）国有资产占有使用情况</w:t>
      </w:r>
      <w:bookmarkEnd w:id="37"/>
    </w:p>
    <w:p>
      <w:pPr>
        <w:spacing w:line="600" w:lineRule="exact"/>
        <w:ind w:firstLine="640" w:firstLineChars="200"/>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截至202</w:t>
      </w:r>
      <w:r>
        <w:rPr>
          <w:rFonts w:hint="eastAsia"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年12月31日，四川省攀枝花开放大学共有车辆1辆，其中：副部（省）级及以上领导用车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辆、主要负责人用车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辆、其他用车1辆，其他用车主要是用于运输试卷、巡考、巡教、外出办公。单价100万元（含）以上设备（不含车辆）0台（套）。</w:t>
      </w:r>
    </w:p>
    <w:p>
      <w:pPr>
        <w:spacing w:line="600" w:lineRule="exact"/>
        <w:ind w:firstLine="643" w:firstLineChars="200"/>
        <w:outlineLvl w:val="2"/>
        <w:rPr>
          <w:rFonts w:eastAsia="楷体_GB2312" w:cs="楷体_GB2312"/>
          <w:b/>
          <w:color w:val="auto"/>
          <w:sz w:val="32"/>
          <w:szCs w:val="32"/>
        </w:rPr>
      </w:pPr>
      <w:r>
        <w:rPr>
          <w:rFonts w:hint="eastAsia" w:eastAsia="楷体_GB2312" w:cs="楷体_GB2312"/>
          <w:b/>
          <w:color w:val="auto"/>
          <w:sz w:val="32"/>
          <w:szCs w:val="32"/>
        </w:rPr>
        <w:t>（四）预算绩效管理情况</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根据预算绩效管理要求，</w:t>
      </w:r>
      <w:r>
        <w:rPr>
          <w:rFonts w:hint="eastAsia" w:ascii="仿宋_GB2312" w:eastAsia="仿宋_GB2312"/>
          <w:color w:val="auto"/>
          <w:sz w:val="32"/>
          <w:szCs w:val="32"/>
        </w:rPr>
        <w:t>攀枝花开放大学</w:t>
      </w:r>
      <w:r>
        <w:rPr>
          <w:rFonts w:hint="eastAsia" w:eastAsia="仿宋_GB2312" w:cs="仿宋_GB2312"/>
          <w:color w:val="auto"/>
          <w:sz w:val="32"/>
          <w:szCs w:val="32"/>
        </w:rPr>
        <w:t>在</w:t>
      </w:r>
      <w:r>
        <w:rPr>
          <w:rFonts w:eastAsia="仿宋_GB2312" w:cs="仿宋_GB2312"/>
          <w:color w:val="auto"/>
          <w:sz w:val="32"/>
          <w:szCs w:val="32"/>
        </w:rPr>
        <w:t>202</w:t>
      </w:r>
      <w:r>
        <w:rPr>
          <w:rFonts w:hint="eastAsia" w:eastAsia="仿宋_GB2312" w:cs="仿宋_GB2312"/>
          <w:color w:val="auto"/>
          <w:sz w:val="32"/>
          <w:szCs w:val="32"/>
          <w:lang w:val="en-US" w:eastAsia="zh-CN"/>
        </w:rPr>
        <w:t>5</w:t>
      </w:r>
      <w:r>
        <w:rPr>
          <w:rFonts w:hint="eastAsia" w:eastAsia="仿宋_GB2312" w:cs="仿宋_GB2312"/>
          <w:color w:val="auto"/>
          <w:sz w:val="32"/>
          <w:szCs w:val="32"/>
        </w:rPr>
        <w:t>年度，组织对</w:t>
      </w:r>
      <w:r>
        <w:rPr>
          <w:rFonts w:hint="eastAsia" w:ascii="仿宋_GB2312" w:eastAsia="仿宋_GB2312"/>
          <w:color w:val="auto"/>
          <w:sz w:val="32"/>
          <w:szCs w:val="32"/>
        </w:rPr>
        <w:t>攀枝花开放大学教学保障经费</w:t>
      </w:r>
      <w:r>
        <w:rPr>
          <w:rFonts w:hint="eastAsia" w:ascii="仿宋_GB2312" w:eastAsia="仿宋_GB2312"/>
          <w:color w:val="auto"/>
          <w:sz w:val="32"/>
          <w:szCs w:val="32"/>
          <w:lang w:eastAsia="zh-CN"/>
        </w:rPr>
        <w:t>、</w:t>
      </w:r>
      <w:r>
        <w:rPr>
          <w:rFonts w:hint="eastAsia" w:ascii="仿宋_GB2312" w:eastAsia="仿宋_GB2312"/>
          <w:color w:val="auto"/>
          <w:sz w:val="32"/>
          <w:szCs w:val="32"/>
        </w:rPr>
        <w:t>攀枝花开放大学市直属学校聘请保安人员经费等</w:t>
      </w:r>
      <w:r>
        <w:rPr>
          <w:rFonts w:hint="eastAsia" w:ascii="仿宋_GB2312" w:eastAsia="仿宋_GB2312"/>
          <w:color w:val="auto"/>
          <w:sz w:val="32"/>
          <w:szCs w:val="32"/>
          <w:lang w:val="en-US" w:eastAsia="zh-CN"/>
        </w:rPr>
        <w:t>2</w:t>
      </w:r>
      <w:r>
        <w:rPr>
          <w:rFonts w:hint="eastAsia" w:eastAsia="仿宋_GB2312" w:cs="仿宋_GB2312"/>
          <w:color w:val="auto"/>
          <w:sz w:val="32"/>
          <w:szCs w:val="32"/>
        </w:rPr>
        <w:t>个项目涉及金额</w:t>
      </w:r>
      <w:r>
        <w:rPr>
          <w:rFonts w:hint="eastAsia" w:eastAsia="仿宋_GB2312" w:cs="仿宋_GB2312"/>
          <w:color w:val="auto"/>
          <w:sz w:val="32"/>
          <w:szCs w:val="32"/>
          <w:lang w:val="en-US" w:eastAsia="zh-CN"/>
        </w:rPr>
        <w:t>39.84</w:t>
      </w:r>
      <w:r>
        <w:rPr>
          <w:rFonts w:hint="eastAsia" w:eastAsia="仿宋_GB2312" w:cs="仿宋_GB2312"/>
          <w:color w:val="auto"/>
          <w:sz w:val="32"/>
          <w:szCs w:val="32"/>
        </w:rPr>
        <w:t>万元开展了事前绩效评估，对</w:t>
      </w:r>
      <w:r>
        <w:rPr>
          <w:rFonts w:hint="eastAsia" w:eastAsia="仿宋_GB2312" w:cs="仿宋_GB2312"/>
          <w:color w:val="auto"/>
          <w:sz w:val="32"/>
          <w:szCs w:val="32"/>
          <w:lang w:val="en-US" w:eastAsia="zh-CN"/>
        </w:rPr>
        <w:t>2</w:t>
      </w:r>
      <w:r>
        <w:rPr>
          <w:rFonts w:hint="eastAsia" w:eastAsia="仿宋_GB2312" w:cs="仿宋_GB2312"/>
          <w:color w:val="auto"/>
          <w:sz w:val="32"/>
          <w:szCs w:val="32"/>
        </w:rPr>
        <w:t>个项目编制了绩效目标，预算执行过程中，选取</w:t>
      </w:r>
      <w:r>
        <w:rPr>
          <w:rFonts w:hint="eastAsia" w:eastAsia="仿宋_GB2312" w:cs="仿宋_GB2312"/>
          <w:color w:val="auto"/>
          <w:sz w:val="32"/>
          <w:szCs w:val="32"/>
          <w:lang w:val="en-US" w:eastAsia="zh-CN"/>
        </w:rPr>
        <w:t>2</w:t>
      </w:r>
      <w:r>
        <w:rPr>
          <w:rFonts w:hint="eastAsia" w:eastAsia="仿宋_GB2312" w:cs="仿宋_GB2312"/>
          <w:color w:val="auto"/>
          <w:sz w:val="32"/>
          <w:szCs w:val="32"/>
        </w:rPr>
        <w:t>个项目开展绩效监控。</w:t>
      </w:r>
    </w:p>
    <w:p>
      <w:pPr>
        <w:spacing w:line="600" w:lineRule="exact"/>
        <w:ind w:firstLine="640"/>
        <w:rPr>
          <w:rFonts w:eastAsia="仿宋_GB2312" w:cs="仿宋_GB2312"/>
          <w:color w:val="auto"/>
          <w:sz w:val="32"/>
          <w:szCs w:val="32"/>
        </w:rPr>
      </w:pPr>
      <w:r>
        <w:rPr>
          <w:rFonts w:hint="eastAsia" w:eastAsia="仿宋_GB2312" w:cs="仿宋_GB2312"/>
          <w:color w:val="auto"/>
          <w:sz w:val="32"/>
          <w:szCs w:val="32"/>
        </w:rPr>
        <w:t>组织对202</w:t>
      </w:r>
      <w:r>
        <w:rPr>
          <w:rFonts w:hint="eastAsia" w:eastAsia="仿宋_GB2312" w:cs="仿宋_GB2312"/>
          <w:color w:val="auto"/>
          <w:sz w:val="32"/>
          <w:szCs w:val="32"/>
          <w:lang w:val="en-US" w:eastAsia="zh-CN"/>
        </w:rPr>
        <w:t>5</w:t>
      </w:r>
      <w:r>
        <w:rPr>
          <w:rFonts w:hint="eastAsia" w:eastAsia="仿宋_GB2312" w:cs="仿宋_GB2312"/>
          <w:color w:val="auto"/>
          <w:sz w:val="32"/>
          <w:szCs w:val="32"/>
        </w:rPr>
        <w:t>年度一般公共预算、政府性基金预算、国有资本经营预算、社会保险基金预算以及资本资产、债券资金等全面开展绩效自评，形成攀枝花开放大学部门预算绩效自评报告，整体绩效自评得分为</w:t>
      </w:r>
      <w:r>
        <w:rPr>
          <w:rFonts w:hint="eastAsia" w:eastAsia="仿宋_GB2312" w:cs="仿宋_GB2312"/>
          <w:color w:val="auto"/>
          <w:sz w:val="32"/>
          <w:szCs w:val="32"/>
          <w:lang w:val="en-US" w:eastAsia="zh-CN"/>
        </w:rPr>
        <w:t>91</w:t>
      </w:r>
      <w:r>
        <w:rPr>
          <w:rFonts w:hint="eastAsia" w:eastAsia="仿宋_GB2312" w:cs="仿宋_GB2312"/>
          <w:color w:val="auto"/>
          <w:sz w:val="32"/>
          <w:szCs w:val="32"/>
        </w:rPr>
        <w:t>分。学校围绕年度绩效目标任务，团结拼搏，锐意进取，扎实工作，基本完成了各项工作任务。预算编制准确，整体绩效目标编制完整、合理；严格执行预算制度和各项财经纪律，整体绩效目标基本实现；绩效评价公开、合理，与学校绩效工资挂钩，绩效管理工作做到了事前申报、事中监控、事后评价和应用。</w:t>
      </w:r>
    </w:p>
    <w:p>
      <w:pPr>
        <w:pStyle w:val="7"/>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rFonts w:hint="eastAsia" w:eastAsia="仿宋_GB2312" w:cs="仿宋_GB2312"/>
          <w:color w:val="auto"/>
          <w:sz w:val="32"/>
          <w:szCs w:val="32"/>
        </w:rPr>
      </w:pPr>
    </w:p>
    <w:p>
      <w:pPr>
        <w:rPr>
          <w:color w:val="auto"/>
        </w:rPr>
      </w:pPr>
    </w:p>
    <w:p>
      <w:pPr>
        <w:spacing w:line="600" w:lineRule="exact"/>
        <w:ind w:firstLine="640"/>
        <w:rPr>
          <w:rFonts w:eastAsia="仿宋_GB2312" w:cs="仿宋_GB2312"/>
          <w:color w:val="auto"/>
          <w:sz w:val="32"/>
          <w:szCs w:val="32"/>
        </w:rPr>
      </w:pPr>
    </w:p>
    <w:p>
      <w:pPr>
        <w:spacing w:line="600" w:lineRule="exact"/>
        <w:jc w:val="center"/>
        <w:outlineLvl w:val="0"/>
        <w:rPr>
          <w:rFonts w:eastAsia="黑体"/>
          <w:color w:val="auto"/>
          <w:sz w:val="44"/>
          <w:szCs w:val="44"/>
        </w:rPr>
      </w:pPr>
      <w:bookmarkStart w:id="38" w:name="_Toc15396613"/>
      <w:bookmarkStart w:id="39" w:name="_Toc15377225"/>
      <w:r>
        <w:rPr>
          <w:rFonts w:hint="eastAsia" w:eastAsia="黑体"/>
          <w:color w:val="auto"/>
          <w:sz w:val="44"/>
          <w:szCs w:val="44"/>
        </w:rPr>
        <w:t>第三部分  名词解释</w:t>
      </w:r>
      <w:bookmarkEnd w:id="38"/>
      <w:bookmarkEnd w:id="39"/>
    </w:p>
    <w:p>
      <w:pPr>
        <w:pStyle w:val="13"/>
        <w:rPr>
          <w:rFonts w:hint="eastAsia" w:eastAsia="仿宋_GB2312" w:cs="仿宋_GB2312"/>
          <w:b/>
          <w:bCs/>
          <w:color w:val="auto"/>
          <w:sz w:val="32"/>
          <w:szCs w:val="32"/>
        </w:rPr>
      </w:pPr>
    </w:p>
    <w:p>
      <w:pPr>
        <w:suppressAutoHyphens/>
        <w:ind w:firstLine="640" w:firstLineChars="200"/>
        <w:rPr>
          <w:rFonts w:ascii="仿宋_GB2312" w:hAnsi="Calibri" w:eastAsia="仿宋_GB2312" w:cs="仿宋"/>
          <w:color w:val="auto"/>
          <w:kern w:val="0"/>
          <w:sz w:val="32"/>
          <w:szCs w:val="32"/>
          <w:highlight w:val="none"/>
        </w:rPr>
      </w:pPr>
      <w:r>
        <w:rPr>
          <w:rFonts w:hint="eastAsia" w:ascii="仿宋_GB2312" w:hAnsi="Calibri" w:eastAsia="仿宋_GB2312" w:cs="仿宋"/>
          <w:color w:val="auto"/>
          <w:kern w:val="0"/>
          <w:sz w:val="32"/>
          <w:szCs w:val="32"/>
          <w:highlight w:val="none"/>
        </w:rPr>
        <w:t>1.财政拨款收入：指单位从同级财政部门取得的财政预算资金。</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highlight w:val="none"/>
        </w:rPr>
        <w:t>2.事业收</w:t>
      </w:r>
      <w:r>
        <w:rPr>
          <w:rFonts w:hint="eastAsia" w:ascii="仿宋_GB2312" w:hAnsi="Calibri" w:eastAsia="仿宋_GB2312" w:cs="仿宋"/>
          <w:color w:val="auto"/>
          <w:kern w:val="0"/>
          <w:sz w:val="32"/>
          <w:szCs w:val="32"/>
        </w:rPr>
        <w:t>入：指事业单位开展专业业务活动及辅助活动取得的收入。</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3.年初结转和结余：指以前年度尚未完成、结转到本年按有关规定继续使用的资金。</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4.教育支出（类）广播电视教育（款）广播电视学校（项）：指各类普通教育支出中，反映广播电视教育支出的，由各部门举办广播电视学校的支出。</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5.社会保障和就业支出（类）人力资源和社会保障管理事务（款）其他人力资源和社会保障管理事务支出（项）：指反映其他用于人力资源和社会保障管理事务方面的支出。</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6. 社会保障和就业支出（类）行政事业单位基本养老保险支出（款）行政事业单位基本养老保险缴费支出（项）:指反映机关事业单位实施养老保险制度由单位缴纳的基本养老保险费支出。</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7.社会保障和就业支出（类）抚恤（款）死亡抚恤（项）：指反映按规定用于烈士和牺牲、病故人员家属的一次性和定期抚恤金以及丧葬补助费。</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8.住房保障支出（类）住房改革支出（款）住房公积金（项）：指反映行政事业单位按人力资源和社会保障部、财政部规定的基本工资和津贴补贴以及规定比例为职工缴纳的住房公积金。</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9.教育支出（类）教育费附加安排的支出（款）其他教育费附加安排的支出（项）：指反映用教育费附加安排的支出中其他类教育费附加支出。</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10.基本支出：指为保障机构正常运转、完成日常工作任务而发生的人员支出和公用支出。</w:t>
      </w:r>
    </w:p>
    <w:p>
      <w:pPr>
        <w:suppressAutoHyphens/>
        <w:ind w:firstLine="640" w:firstLineChars="200"/>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11.项目支出：指在基本支出之外为完成特定行政任务和事业发展目标所发生的支出。</w:t>
      </w:r>
    </w:p>
    <w:p>
      <w:pPr>
        <w:autoSpaceDE w:val="0"/>
        <w:autoSpaceDN w:val="0"/>
        <w:adjustRightInd w:val="0"/>
        <w:spacing w:line="560" w:lineRule="exact"/>
        <w:ind w:firstLine="640" w:firstLineChars="200"/>
        <w:jc w:val="left"/>
        <w:rPr>
          <w:rFonts w:ascii="仿宋_GB2312" w:hAnsi="Calibri" w:eastAsia="仿宋_GB2312" w:cs="仿宋"/>
          <w:color w:val="auto"/>
          <w:kern w:val="0"/>
          <w:sz w:val="32"/>
          <w:szCs w:val="32"/>
        </w:rPr>
      </w:pPr>
      <w:r>
        <w:rPr>
          <w:rFonts w:hint="eastAsia" w:ascii="仿宋_GB2312" w:hAnsi="Calibri" w:eastAsia="仿宋_GB2312" w:cs="仿宋"/>
          <w:color w:val="auto"/>
          <w:kern w:val="0"/>
          <w:sz w:val="32"/>
          <w:szCs w:val="32"/>
        </w:rPr>
        <w:t>12. “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13</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7"/>
        <w:rPr>
          <w:rFonts w:hint="eastAsia" w:eastAsia="仿宋_GB2312" w:cs="仿宋_GB2312"/>
          <w:b/>
          <w:bCs/>
          <w:color w:val="auto"/>
          <w:sz w:val="32"/>
          <w:szCs w:val="32"/>
        </w:rPr>
      </w:pPr>
    </w:p>
    <w:p>
      <w:pPr>
        <w:rPr>
          <w:color w:val="auto"/>
        </w:rPr>
      </w:pPr>
    </w:p>
    <w:p>
      <w:pPr>
        <w:spacing w:line="600" w:lineRule="exact"/>
        <w:jc w:val="center"/>
        <w:rPr>
          <w:rFonts w:hint="eastAsia" w:eastAsia="黑体"/>
          <w:color w:val="auto"/>
          <w:sz w:val="44"/>
          <w:szCs w:val="44"/>
        </w:rPr>
      </w:pPr>
      <w:bookmarkStart w:id="40" w:name="_Toc15377226"/>
      <w:r>
        <w:rPr>
          <w:rFonts w:hint="eastAsia" w:eastAsia="仿宋_GB2312" w:cs="仿宋_GB2312"/>
          <w:color w:val="auto"/>
          <w:sz w:val="32"/>
          <w:szCs w:val="32"/>
        </w:rPr>
        <w:br w:type="page"/>
      </w:r>
      <w:bookmarkStart w:id="41" w:name="_Toc15396614"/>
      <w:r>
        <w:rPr>
          <w:rFonts w:hint="eastAsia" w:eastAsia="黑体"/>
          <w:color w:val="auto"/>
          <w:sz w:val="44"/>
          <w:szCs w:val="44"/>
        </w:rPr>
        <w:t>第四部分  附件</w:t>
      </w:r>
      <w:bookmarkEnd w:id="41"/>
    </w:p>
    <w:p>
      <w:pPr>
        <w:spacing w:line="600" w:lineRule="exact"/>
        <w:jc w:val="center"/>
        <w:rPr>
          <w:rFonts w:hint="eastAsia" w:eastAsia="黑体"/>
          <w:color w:val="auto"/>
          <w:sz w:val="44"/>
          <w:szCs w:val="44"/>
        </w:rPr>
      </w:pPr>
    </w:p>
    <w:p>
      <w:pPr>
        <w:spacing w:line="572" w:lineRule="exact"/>
        <w:ind w:firstLine="640" w:firstLineChars="200"/>
        <w:jc w:val="left"/>
        <w:outlineLvl w:val="0"/>
        <w:rPr>
          <w:rFonts w:eastAsia="黑体" w:cs="黑体"/>
          <w:color w:val="auto"/>
          <w:sz w:val="32"/>
          <w:szCs w:val="32"/>
        </w:rPr>
      </w:pPr>
      <w:r>
        <w:rPr>
          <w:rFonts w:hint="eastAsia" w:eastAsia="仿宋_GB2312" w:cs="仿宋_GB2312"/>
          <w:color w:val="auto"/>
          <w:sz w:val="32"/>
          <w:szCs w:val="32"/>
        </w:rPr>
        <w:t>2025年度部门预算项目支出绩效自评表见附件</w:t>
      </w:r>
    </w:p>
    <w:p>
      <w:pPr>
        <w:pStyle w:val="13"/>
        <w:rPr>
          <w:color w:val="auto"/>
        </w:rPr>
      </w:pPr>
    </w:p>
    <w:p>
      <w:pPr>
        <w:spacing w:line="578" w:lineRule="exact"/>
        <w:ind w:firstLine="640"/>
        <w:rPr>
          <w:rFonts w:eastAsia="仿宋_GB2312" w:cs="仿宋_GB2312"/>
          <w:color w:val="auto"/>
          <w:kern w:val="0"/>
          <w:sz w:val="32"/>
          <w:szCs w:val="32"/>
        </w:rPr>
      </w:pPr>
    </w:p>
    <w:p>
      <w:pPr>
        <w:spacing w:line="578" w:lineRule="exact"/>
        <w:ind w:firstLine="640"/>
        <w:rPr>
          <w:rFonts w:eastAsia="仿宋_GB2312" w:cs="仿宋_GB2312"/>
          <w:color w:val="auto"/>
          <w:kern w:val="0"/>
          <w:sz w:val="32"/>
          <w:szCs w:val="32"/>
        </w:rPr>
      </w:pPr>
    </w:p>
    <w:p>
      <w:pPr>
        <w:spacing w:line="578" w:lineRule="exact"/>
        <w:ind w:firstLine="640"/>
        <w:rPr>
          <w:rFonts w:eastAsia="仿宋_GB2312" w:cs="仿宋_GB2312"/>
          <w:color w:val="auto"/>
          <w:kern w:val="0"/>
          <w:sz w:val="32"/>
          <w:szCs w:val="32"/>
        </w:rPr>
      </w:pPr>
      <w:bookmarkStart w:id="42" w:name="_Toc15396618"/>
      <w:r>
        <w:rPr>
          <w:rFonts w:hint="eastAsia" w:eastAsia="仿宋_GB2312" w:cs="仿宋_GB2312"/>
          <w:color w:val="auto"/>
          <w:kern w:val="0"/>
          <w:sz w:val="32"/>
          <w:szCs w:val="32"/>
        </w:rPr>
        <w:br w:type="page"/>
      </w:r>
    </w:p>
    <w:p>
      <w:pPr>
        <w:widowControl/>
        <w:jc w:val="center"/>
        <w:rPr>
          <w:rFonts w:eastAsia="仿宋"/>
          <w:color w:val="auto"/>
        </w:rPr>
      </w:pPr>
      <w:r>
        <w:rPr>
          <w:rFonts w:hint="eastAsia" w:eastAsia="黑体"/>
          <w:color w:val="auto"/>
          <w:sz w:val="44"/>
          <w:szCs w:val="44"/>
        </w:rPr>
        <w:t>第</w:t>
      </w:r>
      <w:r>
        <w:rPr>
          <w:rStyle w:val="28"/>
          <w:rFonts w:hint="eastAsia" w:eastAsia="黑体"/>
          <w:b w:val="0"/>
          <w:color w:val="auto"/>
        </w:rPr>
        <w:t>五部分 附表</w:t>
      </w:r>
      <w:bookmarkEnd w:id="40"/>
      <w:bookmarkEnd w:id="42"/>
      <w:bookmarkStart w:id="43" w:name="_Toc15396619"/>
    </w:p>
    <w:p>
      <w:pPr>
        <w:pStyle w:val="14"/>
        <w:adjustRightInd w:val="0"/>
        <w:snapToGrid w:val="0"/>
        <w:spacing w:line="560" w:lineRule="exact"/>
        <w:jc w:val="left"/>
        <w:rPr>
          <w:rFonts w:eastAsia="仿宋_GB2312" w:cs="仿宋_GB2312"/>
          <w:color w:val="auto"/>
          <w:sz w:val="32"/>
          <w:szCs w:val="32"/>
        </w:rPr>
      </w:pPr>
    </w:p>
    <w:p>
      <w:pPr>
        <w:pStyle w:val="14"/>
        <w:adjustRightInd w:val="0"/>
        <w:snapToGrid w:val="0"/>
        <w:spacing w:line="560" w:lineRule="exact"/>
        <w:jc w:val="left"/>
        <w:rPr>
          <w:rFonts w:eastAsia="仿宋_GB2312" w:cs="仿宋_GB2312"/>
          <w:color w:val="auto"/>
          <w:sz w:val="32"/>
          <w:szCs w:val="32"/>
        </w:rPr>
      </w:pPr>
      <w:r>
        <w:rPr>
          <w:rFonts w:hint="eastAsia" w:eastAsia="仿宋_GB2312" w:cs="仿宋_GB2312"/>
          <w:color w:val="auto"/>
          <w:sz w:val="32"/>
          <w:szCs w:val="32"/>
        </w:rPr>
        <w:t>一、收入支出决算总表</w:t>
      </w:r>
      <w:bookmarkEnd w:id="43"/>
    </w:p>
    <w:p>
      <w:pPr>
        <w:pStyle w:val="14"/>
        <w:adjustRightInd w:val="0"/>
        <w:snapToGrid w:val="0"/>
        <w:spacing w:line="560" w:lineRule="exact"/>
        <w:jc w:val="left"/>
        <w:rPr>
          <w:rFonts w:eastAsia="仿宋_GB2312" w:cs="仿宋_GB2312"/>
          <w:color w:val="auto"/>
          <w:sz w:val="32"/>
          <w:szCs w:val="32"/>
        </w:rPr>
      </w:pPr>
      <w:bookmarkStart w:id="44" w:name="_Toc15396620"/>
      <w:r>
        <w:rPr>
          <w:rFonts w:hint="eastAsia" w:eastAsia="仿宋_GB2312" w:cs="仿宋_GB2312"/>
          <w:color w:val="auto"/>
          <w:sz w:val="32"/>
          <w:szCs w:val="32"/>
        </w:rPr>
        <w:t>二、收入决算表</w:t>
      </w:r>
      <w:bookmarkEnd w:id="44"/>
    </w:p>
    <w:p>
      <w:pPr>
        <w:pStyle w:val="14"/>
        <w:adjustRightInd w:val="0"/>
        <w:snapToGrid w:val="0"/>
        <w:spacing w:line="560" w:lineRule="exact"/>
        <w:jc w:val="left"/>
        <w:rPr>
          <w:rFonts w:eastAsia="仿宋_GB2312" w:cs="仿宋_GB2312"/>
          <w:color w:val="auto"/>
          <w:sz w:val="32"/>
          <w:szCs w:val="32"/>
        </w:rPr>
      </w:pPr>
      <w:bookmarkStart w:id="45" w:name="_Toc15396621"/>
      <w:r>
        <w:rPr>
          <w:rFonts w:hint="eastAsia" w:eastAsia="仿宋_GB2312" w:cs="仿宋_GB2312"/>
          <w:color w:val="auto"/>
          <w:sz w:val="32"/>
          <w:szCs w:val="32"/>
        </w:rPr>
        <w:t>三、支出决算表</w:t>
      </w:r>
      <w:bookmarkEnd w:id="45"/>
    </w:p>
    <w:p>
      <w:pPr>
        <w:pStyle w:val="14"/>
        <w:adjustRightInd w:val="0"/>
        <w:snapToGrid w:val="0"/>
        <w:spacing w:line="560" w:lineRule="exact"/>
        <w:jc w:val="left"/>
        <w:rPr>
          <w:rFonts w:eastAsia="仿宋_GB2312" w:cs="仿宋_GB2312"/>
          <w:color w:val="auto"/>
          <w:sz w:val="32"/>
          <w:szCs w:val="32"/>
        </w:rPr>
      </w:pPr>
      <w:bookmarkStart w:id="46" w:name="_Toc15396622"/>
      <w:r>
        <w:rPr>
          <w:rFonts w:hint="eastAsia" w:eastAsia="仿宋_GB2312" w:cs="仿宋_GB2312"/>
          <w:color w:val="auto"/>
          <w:sz w:val="32"/>
          <w:szCs w:val="32"/>
        </w:rPr>
        <w:t>四、财政拨款收入支出决算总表</w:t>
      </w:r>
      <w:bookmarkEnd w:id="46"/>
    </w:p>
    <w:p>
      <w:pPr>
        <w:pStyle w:val="14"/>
        <w:adjustRightInd w:val="0"/>
        <w:snapToGrid w:val="0"/>
        <w:spacing w:line="560" w:lineRule="exact"/>
        <w:jc w:val="left"/>
        <w:rPr>
          <w:rFonts w:eastAsia="仿宋_GB2312" w:cs="仿宋_GB2312"/>
          <w:color w:val="auto"/>
          <w:sz w:val="32"/>
          <w:szCs w:val="32"/>
        </w:rPr>
      </w:pPr>
      <w:bookmarkStart w:id="47" w:name="_Toc15396623"/>
      <w:r>
        <w:rPr>
          <w:rFonts w:hint="eastAsia" w:eastAsia="仿宋_GB2312" w:cs="仿宋_GB2312"/>
          <w:color w:val="auto"/>
          <w:sz w:val="32"/>
          <w:szCs w:val="32"/>
        </w:rPr>
        <w:t>五、财政拨款支出决算明细表</w:t>
      </w:r>
      <w:bookmarkEnd w:id="47"/>
      <w:bookmarkStart w:id="48" w:name="_Toc15396624"/>
    </w:p>
    <w:p>
      <w:pPr>
        <w:pStyle w:val="14"/>
        <w:adjustRightInd w:val="0"/>
        <w:snapToGrid w:val="0"/>
        <w:spacing w:line="560" w:lineRule="exact"/>
        <w:jc w:val="left"/>
        <w:rPr>
          <w:rFonts w:eastAsia="仿宋_GB2312" w:cs="仿宋_GB2312"/>
          <w:color w:val="auto"/>
          <w:sz w:val="32"/>
          <w:szCs w:val="32"/>
        </w:rPr>
      </w:pPr>
      <w:r>
        <w:rPr>
          <w:rFonts w:hint="eastAsia" w:eastAsia="仿宋_GB2312" w:cs="仿宋_GB2312"/>
          <w:color w:val="auto"/>
          <w:sz w:val="32"/>
          <w:szCs w:val="32"/>
        </w:rPr>
        <w:t>六、一般公共预算财政拨款支出决算表</w:t>
      </w:r>
      <w:bookmarkEnd w:id="48"/>
    </w:p>
    <w:p>
      <w:pPr>
        <w:pStyle w:val="14"/>
        <w:adjustRightInd w:val="0"/>
        <w:snapToGrid w:val="0"/>
        <w:spacing w:line="560" w:lineRule="exact"/>
        <w:jc w:val="left"/>
        <w:rPr>
          <w:rFonts w:eastAsia="仿宋_GB2312" w:cs="仿宋_GB2312"/>
          <w:color w:val="auto"/>
          <w:sz w:val="32"/>
          <w:szCs w:val="32"/>
        </w:rPr>
      </w:pPr>
      <w:bookmarkStart w:id="49" w:name="_Toc15396625"/>
      <w:r>
        <w:rPr>
          <w:rFonts w:hint="eastAsia" w:eastAsia="仿宋_GB2312" w:cs="仿宋_GB2312"/>
          <w:color w:val="auto"/>
          <w:sz w:val="32"/>
          <w:szCs w:val="32"/>
        </w:rPr>
        <w:t>七、一般公共预算财政拨款支出决算明细表</w:t>
      </w:r>
      <w:bookmarkEnd w:id="49"/>
    </w:p>
    <w:p>
      <w:pPr>
        <w:pStyle w:val="14"/>
        <w:adjustRightInd w:val="0"/>
        <w:snapToGrid w:val="0"/>
        <w:spacing w:line="560" w:lineRule="exact"/>
        <w:jc w:val="left"/>
        <w:rPr>
          <w:rFonts w:eastAsia="仿宋_GB2312" w:cs="仿宋_GB2312"/>
          <w:color w:val="auto"/>
          <w:sz w:val="32"/>
          <w:szCs w:val="32"/>
        </w:rPr>
      </w:pPr>
      <w:bookmarkStart w:id="50" w:name="_Toc15396626"/>
      <w:r>
        <w:rPr>
          <w:rFonts w:hint="eastAsia" w:eastAsia="仿宋_GB2312" w:cs="仿宋_GB2312"/>
          <w:color w:val="auto"/>
          <w:sz w:val="32"/>
          <w:szCs w:val="32"/>
        </w:rPr>
        <w:t>八、一般公共预算财政拨款基本支出决算表</w:t>
      </w:r>
      <w:bookmarkEnd w:id="50"/>
    </w:p>
    <w:p>
      <w:pPr>
        <w:pStyle w:val="14"/>
        <w:adjustRightInd w:val="0"/>
        <w:snapToGrid w:val="0"/>
        <w:spacing w:line="560" w:lineRule="exact"/>
        <w:jc w:val="left"/>
        <w:rPr>
          <w:rFonts w:eastAsia="仿宋_GB2312" w:cs="仿宋_GB2312"/>
          <w:color w:val="auto"/>
          <w:sz w:val="32"/>
          <w:szCs w:val="32"/>
        </w:rPr>
      </w:pPr>
      <w:bookmarkStart w:id="51" w:name="_Toc15396627"/>
      <w:r>
        <w:rPr>
          <w:rFonts w:hint="eastAsia" w:eastAsia="仿宋_GB2312" w:cs="仿宋_GB2312"/>
          <w:color w:val="auto"/>
          <w:sz w:val="32"/>
          <w:szCs w:val="32"/>
        </w:rPr>
        <w:t>九、一般公共预算财政拨款项目支出决算表</w:t>
      </w:r>
      <w:bookmarkEnd w:id="51"/>
    </w:p>
    <w:p>
      <w:pPr>
        <w:pStyle w:val="14"/>
        <w:adjustRightInd w:val="0"/>
        <w:snapToGrid w:val="0"/>
        <w:spacing w:line="560" w:lineRule="exact"/>
        <w:jc w:val="left"/>
        <w:rPr>
          <w:rFonts w:eastAsia="仿宋_GB2312" w:cs="仿宋_GB2312"/>
          <w:color w:val="auto"/>
          <w:sz w:val="32"/>
          <w:szCs w:val="32"/>
        </w:rPr>
      </w:pPr>
      <w:bookmarkStart w:id="52" w:name="_Toc15396628"/>
      <w:r>
        <w:rPr>
          <w:rFonts w:hint="eastAsia" w:eastAsia="仿宋_GB2312" w:cs="仿宋_GB2312"/>
          <w:color w:val="auto"/>
          <w:sz w:val="32"/>
          <w:szCs w:val="32"/>
        </w:rPr>
        <w:t>十、</w:t>
      </w:r>
      <w:bookmarkEnd w:id="52"/>
      <w:r>
        <w:rPr>
          <w:rFonts w:hint="eastAsia" w:eastAsia="仿宋_GB2312" w:cs="仿宋_GB2312"/>
          <w:color w:val="auto"/>
          <w:sz w:val="32"/>
          <w:szCs w:val="32"/>
        </w:rPr>
        <w:t>政府性基金预算财政拨款收入支出决算表</w:t>
      </w:r>
    </w:p>
    <w:p>
      <w:pPr>
        <w:pStyle w:val="14"/>
        <w:adjustRightInd w:val="0"/>
        <w:snapToGrid w:val="0"/>
        <w:spacing w:line="560" w:lineRule="exact"/>
        <w:jc w:val="left"/>
        <w:rPr>
          <w:rFonts w:eastAsia="仿宋_GB2312" w:cs="仿宋_GB2312"/>
          <w:color w:val="auto"/>
          <w:sz w:val="32"/>
          <w:szCs w:val="32"/>
        </w:rPr>
      </w:pPr>
      <w:bookmarkStart w:id="53" w:name="_Toc15396629"/>
      <w:r>
        <w:rPr>
          <w:rFonts w:hint="eastAsia" w:eastAsia="仿宋_GB2312" w:cs="仿宋_GB2312"/>
          <w:color w:val="auto"/>
          <w:sz w:val="32"/>
          <w:szCs w:val="32"/>
        </w:rPr>
        <w:t>十一、</w:t>
      </w:r>
      <w:bookmarkEnd w:id="53"/>
      <w:r>
        <w:rPr>
          <w:rFonts w:hint="eastAsia" w:eastAsia="仿宋_GB2312" w:cs="仿宋_GB2312"/>
          <w:color w:val="auto"/>
          <w:sz w:val="32"/>
          <w:szCs w:val="32"/>
        </w:rPr>
        <w:t>国有资本经营预算财政拨款收入支出决算表</w:t>
      </w:r>
    </w:p>
    <w:p>
      <w:pPr>
        <w:pStyle w:val="14"/>
        <w:adjustRightInd w:val="0"/>
        <w:snapToGrid w:val="0"/>
        <w:spacing w:line="560" w:lineRule="exact"/>
        <w:jc w:val="left"/>
        <w:rPr>
          <w:rFonts w:eastAsia="仿宋_GB2312" w:cs="仿宋_GB2312"/>
          <w:color w:val="auto"/>
          <w:sz w:val="32"/>
          <w:szCs w:val="32"/>
        </w:rPr>
      </w:pPr>
      <w:bookmarkStart w:id="54" w:name="_Toc15396630"/>
      <w:r>
        <w:rPr>
          <w:rFonts w:hint="eastAsia" w:eastAsia="仿宋_GB2312" w:cs="仿宋_GB2312"/>
          <w:color w:val="auto"/>
          <w:sz w:val="32"/>
          <w:szCs w:val="32"/>
        </w:rPr>
        <w:t>十二、</w:t>
      </w:r>
      <w:bookmarkEnd w:id="54"/>
      <w:r>
        <w:rPr>
          <w:rFonts w:hint="eastAsia" w:eastAsia="仿宋_GB2312" w:cs="仿宋_GB2312"/>
          <w:color w:val="auto"/>
          <w:sz w:val="32"/>
          <w:szCs w:val="32"/>
        </w:rPr>
        <w:t>国有资本经营预算财政拨款支出决算表</w:t>
      </w:r>
    </w:p>
    <w:p>
      <w:pPr>
        <w:pStyle w:val="14"/>
        <w:adjustRightInd w:val="0"/>
        <w:snapToGrid w:val="0"/>
        <w:spacing w:line="560" w:lineRule="exact"/>
        <w:jc w:val="left"/>
        <w:rPr>
          <w:rFonts w:eastAsia="仿宋_GB2312" w:cs="仿宋_GB2312"/>
          <w:color w:val="auto"/>
          <w:sz w:val="32"/>
          <w:szCs w:val="32"/>
        </w:rPr>
      </w:pPr>
      <w:bookmarkStart w:id="55" w:name="_Toc15396631"/>
      <w:r>
        <w:rPr>
          <w:rFonts w:hint="eastAsia" w:eastAsia="仿宋_GB2312" w:cs="仿宋_GB2312"/>
          <w:color w:val="auto"/>
          <w:sz w:val="32"/>
          <w:szCs w:val="32"/>
        </w:rPr>
        <w:t>十三、</w:t>
      </w:r>
      <w:bookmarkEnd w:id="55"/>
      <w:r>
        <w:rPr>
          <w:rFonts w:hint="eastAsia" w:eastAsia="仿宋_GB2312" w:cs="仿宋_GB2312"/>
          <w:color w:val="auto"/>
          <w:sz w:val="32"/>
          <w:szCs w:val="32"/>
        </w:rPr>
        <w:t>财政拨款“三公”经费支出决算表</w:t>
      </w:r>
    </w:p>
    <w:p>
      <w:pPr>
        <w:rPr>
          <w:color w:val="auto"/>
        </w:rPr>
      </w:pPr>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Cambria">
    <w:altName w:val="Palatino Linotype"/>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ourier New"/>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2F6CF"/>
    <w:multiLevelType w:val="singleLevel"/>
    <w:tmpl w:val="59B2F6C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jNGY5MjNjOTlkYmY0MWFiNjZjMzg4OWViODgyYj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D4AEB"/>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3721D"/>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915514"/>
    <w:rsid w:val="01944054"/>
    <w:rsid w:val="01DA16D0"/>
    <w:rsid w:val="02217FDE"/>
    <w:rsid w:val="02317B1B"/>
    <w:rsid w:val="023870D5"/>
    <w:rsid w:val="028B36A9"/>
    <w:rsid w:val="02FEBE30"/>
    <w:rsid w:val="0385459C"/>
    <w:rsid w:val="05FB6936"/>
    <w:rsid w:val="06127C3D"/>
    <w:rsid w:val="061E35DE"/>
    <w:rsid w:val="06260EA1"/>
    <w:rsid w:val="062B47DA"/>
    <w:rsid w:val="066E0107"/>
    <w:rsid w:val="07416A2C"/>
    <w:rsid w:val="07644C8A"/>
    <w:rsid w:val="07996F6E"/>
    <w:rsid w:val="07DFD8BA"/>
    <w:rsid w:val="08DB07E4"/>
    <w:rsid w:val="09867E8F"/>
    <w:rsid w:val="09CD45A7"/>
    <w:rsid w:val="0A2032A3"/>
    <w:rsid w:val="0A206DCD"/>
    <w:rsid w:val="0AC57974"/>
    <w:rsid w:val="0B095AB3"/>
    <w:rsid w:val="0B4A2B94"/>
    <w:rsid w:val="0C230DF6"/>
    <w:rsid w:val="0C6C4794"/>
    <w:rsid w:val="0CA43CE5"/>
    <w:rsid w:val="0CA8290A"/>
    <w:rsid w:val="0D35B1ED"/>
    <w:rsid w:val="0D3A7798"/>
    <w:rsid w:val="0DE07E2B"/>
    <w:rsid w:val="0EB000FC"/>
    <w:rsid w:val="0F98263C"/>
    <w:rsid w:val="101860EC"/>
    <w:rsid w:val="10C055FF"/>
    <w:rsid w:val="11772AA4"/>
    <w:rsid w:val="118107EC"/>
    <w:rsid w:val="11910454"/>
    <w:rsid w:val="11D84431"/>
    <w:rsid w:val="11E21069"/>
    <w:rsid w:val="11F8062F"/>
    <w:rsid w:val="130C25E4"/>
    <w:rsid w:val="131B113E"/>
    <w:rsid w:val="13D50BC4"/>
    <w:rsid w:val="14022904"/>
    <w:rsid w:val="14147A2B"/>
    <w:rsid w:val="145E0C1D"/>
    <w:rsid w:val="152F2A07"/>
    <w:rsid w:val="165E0673"/>
    <w:rsid w:val="16BB723D"/>
    <w:rsid w:val="17A74689"/>
    <w:rsid w:val="181C2C32"/>
    <w:rsid w:val="186504BB"/>
    <w:rsid w:val="18E51E11"/>
    <w:rsid w:val="1938089F"/>
    <w:rsid w:val="19A445FC"/>
    <w:rsid w:val="1A141177"/>
    <w:rsid w:val="1A147FD0"/>
    <w:rsid w:val="1A98475D"/>
    <w:rsid w:val="1AF63A1E"/>
    <w:rsid w:val="1B0E67CD"/>
    <w:rsid w:val="1B7D550C"/>
    <w:rsid w:val="1BE8440E"/>
    <w:rsid w:val="1CE27F12"/>
    <w:rsid w:val="1D155CEE"/>
    <w:rsid w:val="1E740ACF"/>
    <w:rsid w:val="1EC0751F"/>
    <w:rsid w:val="1EC27FFB"/>
    <w:rsid w:val="1FF35744"/>
    <w:rsid w:val="1FF6BC77"/>
    <w:rsid w:val="209812E5"/>
    <w:rsid w:val="20C50883"/>
    <w:rsid w:val="21962A9E"/>
    <w:rsid w:val="2198186C"/>
    <w:rsid w:val="21AE7C77"/>
    <w:rsid w:val="22BC3C41"/>
    <w:rsid w:val="22BD2FB3"/>
    <w:rsid w:val="231F5A1C"/>
    <w:rsid w:val="23824C4D"/>
    <w:rsid w:val="23860B96"/>
    <w:rsid w:val="23920F62"/>
    <w:rsid w:val="23992DAB"/>
    <w:rsid w:val="240371BF"/>
    <w:rsid w:val="25106FD6"/>
    <w:rsid w:val="260F557C"/>
    <w:rsid w:val="26864004"/>
    <w:rsid w:val="269F7958"/>
    <w:rsid w:val="26C16DEA"/>
    <w:rsid w:val="26F471BF"/>
    <w:rsid w:val="281408E2"/>
    <w:rsid w:val="28473289"/>
    <w:rsid w:val="28E05C4D"/>
    <w:rsid w:val="29B77948"/>
    <w:rsid w:val="29FD04D3"/>
    <w:rsid w:val="2A365BCA"/>
    <w:rsid w:val="2AD85573"/>
    <w:rsid w:val="2B2F07C6"/>
    <w:rsid w:val="2B5966C2"/>
    <w:rsid w:val="2B6E1F3F"/>
    <w:rsid w:val="2B7476AC"/>
    <w:rsid w:val="2BFF7BC6"/>
    <w:rsid w:val="2C46226B"/>
    <w:rsid w:val="2C8A61B5"/>
    <w:rsid w:val="2C9C00DD"/>
    <w:rsid w:val="2D2E01CF"/>
    <w:rsid w:val="2DE03FF9"/>
    <w:rsid w:val="2DF04E50"/>
    <w:rsid w:val="2E9545B0"/>
    <w:rsid w:val="2F040D46"/>
    <w:rsid w:val="2F1031FD"/>
    <w:rsid w:val="2FAE5751"/>
    <w:rsid w:val="2FB1A395"/>
    <w:rsid w:val="2FD9A7D8"/>
    <w:rsid w:val="2FFE1F39"/>
    <w:rsid w:val="31850497"/>
    <w:rsid w:val="319F7F4E"/>
    <w:rsid w:val="32025B10"/>
    <w:rsid w:val="321B2544"/>
    <w:rsid w:val="32434C15"/>
    <w:rsid w:val="32936626"/>
    <w:rsid w:val="329D3A82"/>
    <w:rsid w:val="32A44120"/>
    <w:rsid w:val="3304709D"/>
    <w:rsid w:val="337E053C"/>
    <w:rsid w:val="33B70245"/>
    <w:rsid w:val="33D22867"/>
    <w:rsid w:val="33E81E5A"/>
    <w:rsid w:val="34281836"/>
    <w:rsid w:val="349D6851"/>
    <w:rsid w:val="351C000D"/>
    <w:rsid w:val="358B5193"/>
    <w:rsid w:val="35BA6CAF"/>
    <w:rsid w:val="364D14C1"/>
    <w:rsid w:val="36892D04"/>
    <w:rsid w:val="36AA5135"/>
    <w:rsid w:val="36BE0DA7"/>
    <w:rsid w:val="36D34190"/>
    <w:rsid w:val="37035A19"/>
    <w:rsid w:val="376B6AA6"/>
    <w:rsid w:val="376D39B2"/>
    <w:rsid w:val="37734130"/>
    <w:rsid w:val="377E4436"/>
    <w:rsid w:val="3785754C"/>
    <w:rsid w:val="37E16F03"/>
    <w:rsid w:val="37F53A3B"/>
    <w:rsid w:val="389B6C89"/>
    <w:rsid w:val="38D469F0"/>
    <w:rsid w:val="39447B32"/>
    <w:rsid w:val="39627CCD"/>
    <w:rsid w:val="397BAF1F"/>
    <w:rsid w:val="3A00032A"/>
    <w:rsid w:val="3A12378C"/>
    <w:rsid w:val="3A6F0BDF"/>
    <w:rsid w:val="3A706705"/>
    <w:rsid w:val="3A8C0F3C"/>
    <w:rsid w:val="3AB71B3F"/>
    <w:rsid w:val="3AB79AF3"/>
    <w:rsid w:val="3B7EF35A"/>
    <w:rsid w:val="3B9FDB6C"/>
    <w:rsid w:val="3BF5BC2F"/>
    <w:rsid w:val="3CEBA265"/>
    <w:rsid w:val="3D5D5666"/>
    <w:rsid w:val="3D98207C"/>
    <w:rsid w:val="3D9B0D99"/>
    <w:rsid w:val="3DEE7CF3"/>
    <w:rsid w:val="3DF02244"/>
    <w:rsid w:val="3E5725BB"/>
    <w:rsid w:val="3E78745D"/>
    <w:rsid w:val="3ED951C1"/>
    <w:rsid w:val="3FC512A1"/>
    <w:rsid w:val="3FE23C01"/>
    <w:rsid w:val="3FF4CAE0"/>
    <w:rsid w:val="3FF7B227"/>
    <w:rsid w:val="408B1C5F"/>
    <w:rsid w:val="40D1045B"/>
    <w:rsid w:val="40E54C45"/>
    <w:rsid w:val="41B15F81"/>
    <w:rsid w:val="4204295B"/>
    <w:rsid w:val="425E3AFC"/>
    <w:rsid w:val="43A407DF"/>
    <w:rsid w:val="44515BEA"/>
    <w:rsid w:val="448259B3"/>
    <w:rsid w:val="44900C3A"/>
    <w:rsid w:val="44E268DA"/>
    <w:rsid w:val="452516FF"/>
    <w:rsid w:val="453F7E5B"/>
    <w:rsid w:val="455E1F7C"/>
    <w:rsid w:val="45E91945"/>
    <w:rsid w:val="46276812"/>
    <w:rsid w:val="46786006"/>
    <w:rsid w:val="469D0882"/>
    <w:rsid w:val="46DB13AA"/>
    <w:rsid w:val="48010041"/>
    <w:rsid w:val="48517B76"/>
    <w:rsid w:val="486A6C7A"/>
    <w:rsid w:val="48B5721A"/>
    <w:rsid w:val="490B241B"/>
    <w:rsid w:val="49176D9B"/>
    <w:rsid w:val="492E435B"/>
    <w:rsid w:val="49A3061B"/>
    <w:rsid w:val="4A503792"/>
    <w:rsid w:val="4A58343D"/>
    <w:rsid w:val="4A5D4EF8"/>
    <w:rsid w:val="4A627F82"/>
    <w:rsid w:val="4A767D68"/>
    <w:rsid w:val="4AB56AE2"/>
    <w:rsid w:val="4B0E749A"/>
    <w:rsid w:val="4B4F25DA"/>
    <w:rsid w:val="4BDA0CFB"/>
    <w:rsid w:val="4BE068DB"/>
    <w:rsid w:val="4D3C0CCC"/>
    <w:rsid w:val="4D577224"/>
    <w:rsid w:val="4DBF1CEB"/>
    <w:rsid w:val="4E50224A"/>
    <w:rsid w:val="4E7E64D3"/>
    <w:rsid w:val="4EAB630A"/>
    <w:rsid w:val="4ECE2238"/>
    <w:rsid w:val="4EDF336A"/>
    <w:rsid w:val="4F362FE5"/>
    <w:rsid w:val="4F7C0EF0"/>
    <w:rsid w:val="4F833267"/>
    <w:rsid w:val="4FE9BD67"/>
    <w:rsid w:val="4FFB052F"/>
    <w:rsid w:val="500F11A0"/>
    <w:rsid w:val="501F2253"/>
    <w:rsid w:val="50264D4A"/>
    <w:rsid w:val="506F0461"/>
    <w:rsid w:val="50700DB5"/>
    <w:rsid w:val="50E7376D"/>
    <w:rsid w:val="51360251"/>
    <w:rsid w:val="52224331"/>
    <w:rsid w:val="52536456"/>
    <w:rsid w:val="527032EE"/>
    <w:rsid w:val="52C0045A"/>
    <w:rsid w:val="53083A92"/>
    <w:rsid w:val="53560736"/>
    <w:rsid w:val="537D3250"/>
    <w:rsid w:val="537E6D0A"/>
    <w:rsid w:val="53AF27A2"/>
    <w:rsid w:val="53E4418D"/>
    <w:rsid w:val="53F74C96"/>
    <w:rsid w:val="560E7049"/>
    <w:rsid w:val="56662BD6"/>
    <w:rsid w:val="56AB528F"/>
    <w:rsid w:val="56E47B74"/>
    <w:rsid w:val="57B11E20"/>
    <w:rsid w:val="57BD3DD4"/>
    <w:rsid w:val="57D165DD"/>
    <w:rsid w:val="58293BFB"/>
    <w:rsid w:val="58910B08"/>
    <w:rsid w:val="591930C3"/>
    <w:rsid w:val="5AB32912"/>
    <w:rsid w:val="5AF92295"/>
    <w:rsid w:val="5BDD79E6"/>
    <w:rsid w:val="5BF561CA"/>
    <w:rsid w:val="5BFF5DFC"/>
    <w:rsid w:val="5CD71FC4"/>
    <w:rsid w:val="5CDA5F34"/>
    <w:rsid w:val="5D1F11B5"/>
    <w:rsid w:val="5D3437C4"/>
    <w:rsid w:val="5D7E0FB5"/>
    <w:rsid w:val="5DA16A52"/>
    <w:rsid w:val="5DAE1B18"/>
    <w:rsid w:val="5DC015CE"/>
    <w:rsid w:val="5DE7D9E5"/>
    <w:rsid w:val="5E021DB5"/>
    <w:rsid w:val="5ECEC941"/>
    <w:rsid w:val="5F230066"/>
    <w:rsid w:val="5F493CB7"/>
    <w:rsid w:val="5FB76A00"/>
    <w:rsid w:val="5FBF9FF3"/>
    <w:rsid w:val="5FCD4E2C"/>
    <w:rsid w:val="5FD15F49"/>
    <w:rsid w:val="5FEF394A"/>
    <w:rsid w:val="5FF179F7"/>
    <w:rsid w:val="5FF67715"/>
    <w:rsid w:val="602776E2"/>
    <w:rsid w:val="60CE4C92"/>
    <w:rsid w:val="610D0751"/>
    <w:rsid w:val="614F2E14"/>
    <w:rsid w:val="61F22829"/>
    <w:rsid w:val="624E656E"/>
    <w:rsid w:val="62BF3928"/>
    <w:rsid w:val="63820453"/>
    <w:rsid w:val="63FD075A"/>
    <w:rsid w:val="647F5392"/>
    <w:rsid w:val="64D4595F"/>
    <w:rsid w:val="65DA6FA5"/>
    <w:rsid w:val="664B1D71"/>
    <w:rsid w:val="66EA1469"/>
    <w:rsid w:val="6716501F"/>
    <w:rsid w:val="67486F92"/>
    <w:rsid w:val="676F0F89"/>
    <w:rsid w:val="67874F0A"/>
    <w:rsid w:val="67AA3209"/>
    <w:rsid w:val="681C4F0D"/>
    <w:rsid w:val="68F20AA9"/>
    <w:rsid w:val="69046D0F"/>
    <w:rsid w:val="691F66E4"/>
    <w:rsid w:val="693D4674"/>
    <w:rsid w:val="698D0931"/>
    <w:rsid w:val="6A3E60BA"/>
    <w:rsid w:val="6A931FAB"/>
    <w:rsid w:val="6A993CED"/>
    <w:rsid w:val="6AB204F0"/>
    <w:rsid w:val="6B053271"/>
    <w:rsid w:val="6BBF1117"/>
    <w:rsid w:val="6BCE6674"/>
    <w:rsid w:val="6BEA0D83"/>
    <w:rsid w:val="6BF30DC0"/>
    <w:rsid w:val="6C4A05C8"/>
    <w:rsid w:val="6C8742B8"/>
    <w:rsid w:val="6C8A170F"/>
    <w:rsid w:val="6CB54609"/>
    <w:rsid w:val="6D367E53"/>
    <w:rsid w:val="6DBF5E93"/>
    <w:rsid w:val="6DFF077E"/>
    <w:rsid w:val="6E36276D"/>
    <w:rsid w:val="6E7E3605"/>
    <w:rsid w:val="6E7FDCC7"/>
    <w:rsid w:val="6EB8009F"/>
    <w:rsid w:val="6ED6A62E"/>
    <w:rsid w:val="6EE00B15"/>
    <w:rsid w:val="6F1541FD"/>
    <w:rsid w:val="6F544B20"/>
    <w:rsid w:val="6F6FB3EB"/>
    <w:rsid w:val="6F784160"/>
    <w:rsid w:val="6F8731EA"/>
    <w:rsid w:val="6FCE6052"/>
    <w:rsid w:val="6FD57C00"/>
    <w:rsid w:val="6FDB58A0"/>
    <w:rsid w:val="6FEFFFD8"/>
    <w:rsid w:val="6FF5CC65"/>
    <w:rsid w:val="6FFB47EC"/>
    <w:rsid w:val="6FFF034A"/>
    <w:rsid w:val="70496804"/>
    <w:rsid w:val="71182E6B"/>
    <w:rsid w:val="712A28F1"/>
    <w:rsid w:val="715C0E4B"/>
    <w:rsid w:val="7218332F"/>
    <w:rsid w:val="72233669"/>
    <w:rsid w:val="72734D90"/>
    <w:rsid w:val="7332FE48"/>
    <w:rsid w:val="73AB61DA"/>
    <w:rsid w:val="73AD73D5"/>
    <w:rsid w:val="73B6EB34"/>
    <w:rsid w:val="73C01EAB"/>
    <w:rsid w:val="73FA497D"/>
    <w:rsid w:val="744731E5"/>
    <w:rsid w:val="74527205"/>
    <w:rsid w:val="74BBD01D"/>
    <w:rsid w:val="74ED5379"/>
    <w:rsid w:val="74FC2395"/>
    <w:rsid w:val="75DEEEC2"/>
    <w:rsid w:val="766F3739"/>
    <w:rsid w:val="76742AFE"/>
    <w:rsid w:val="76E3355F"/>
    <w:rsid w:val="76FF5125"/>
    <w:rsid w:val="770943CA"/>
    <w:rsid w:val="773A00AF"/>
    <w:rsid w:val="776F6FFA"/>
    <w:rsid w:val="778769C8"/>
    <w:rsid w:val="77DC22F5"/>
    <w:rsid w:val="788334CC"/>
    <w:rsid w:val="79086DAD"/>
    <w:rsid w:val="793F0033"/>
    <w:rsid w:val="79974F09"/>
    <w:rsid w:val="79D7FD79"/>
    <w:rsid w:val="79EE5BA4"/>
    <w:rsid w:val="7A2F0AA5"/>
    <w:rsid w:val="7A894339"/>
    <w:rsid w:val="7A902A2E"/>
    <w:rsid w:val="7AAA2F92"/>
    <w:rsid w:val="7AFF7572"/>
    <w:rsid w:val="7B0510E0"/>
    <w:rsid w:val="7B4D5E42"/>
    <w:rsid w:val="7B6C7DFB"/>
    <w:rsid w:val="7BAB4C32"/>
    <w:rsid w:val="7BBFBED0"/>
    <w:rsid w:val="7BC3E394"/>
    <w:rsid w:val="7C1A10AD"/>
    <w:rsid w:val="7C1F3737"/>
    <w:rsid w:val="7C345209"/>
    <w:rsid w:val="7CB7251E"/>
    <w:rsid w:val="7CBFC87B"/>
    <w:rsid w:val="7CFE0F48"/>
    <w:rsid w:val="7D7EC23E"/>
    <w:rsid w:val="7D893333"/>
    <w:rsid w:val="7D916348"/>
    <w:rsid w:val="7E8ADEBF"/>
    <w:rsid w:val="7EEF11D3"/>
    <w:rsid w:val="7F0971A6"/>
    <w:rsid w:val="7F3B240A"/>
    <w:rsid w:val="7F3F679B"/>
    <w:rsid w:val="7F4FC4EF"/>
    <w:rsid w:val="7F523401"/>
    <w:rsid w:val="7F5E4D54"/>
    <w:rsid w:val="7F6E0135"/>
    <w:rsid w:val="7F8C710A"/>
    <w:rsid w:val="7FA30C79"/>
    <w:rsid w:val="7FAD3A84"/>
    <w:rsid w:val="7FAF8ABF"/>
    <w:rsid w:val="7FB7269E"/>
    <w:rsid w:val="7FC96657"/>
    <w:rsid w:val="7FDA9588"/>
    <w:rsid w:val="7FDF220F"/>
    <w:rsid w:val="7FE645D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36130;&#25919;\&#20915;&#31639;\2025&#20915;&#31639;&#20844;&#24320;\20260827%20&#20851;&#20110;&#20570;&#22909;2025&#24180;&#24230;&#37096;&#38376;&#20915;&#31639;&#20844;&#24320;&#26377;&#20851;&#24037;&#20316;&#30340;&#36890;&#30693;\&#2227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36130;&#25919;\&#20915;&#31639;\2025&#20915;&#31639;&#20844;&#24320;\20260827%20&#20851;&#20110;&#20570;&#22909;2025&#24180;&#24230;&#37096;&#38376;&#20915;&#31639;&#20844;&#24320;&#26377;&#20851;&#24037;&#20316;&#30340;&#36890;&#30693;\&#22270;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36130;&#25919;\&#20915;&#31639;\2025&#20915;&#31639;&#20844;&#24320;\20260827%20&#20851;&#20110;&#20570;&#22909;2025&#24180;&#24230;&#37096;&#38376;&#20915;&#31639;&#20844;&#24320;&#26377;&#20851;&#24037;&#20316;&#30340;&#36890;&#30693;\&#22270;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36130;&#25919;\&#20915;&#31639;\2025&#20915;&#31639;&#20844;&#24320;\20260827%20&#20851;&#20110;&#20570;&#22909;2025&#24180;&#24230;&#37096;&#38376;&#20915;&#31639;&#20844;&#24320;&#26377;&#20851;&#24037;&#20316;&#30340;&#36890;&#30693;\&#22270;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36130;&#25919;\&#20915;&#31639;\2025&#20915;&#31639;&#20844;&#24320;\20260827%20&#20851;&#20110;&#20570;&#22909;2025&#24180;&#24230;&#37096;&#38376;&#20915;&#31639;&#20844;&#24320;&#26377;&#20851;&#24037;&#20316;&#30340;&#36890;&#30693;\&#22270;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36130;&#25919;\&#20915;&#31639;\2025&#20915;&#31639;&#20844;&#24320;\20260827%20&#20851;&#20110;&#20570;&#22909;2025&#24180;&#24230;&#37096;&#38376;&#20915;&#31639;&#20844;&#24320;&#26377;&#20851;&#24037;&#20316;&#30340;&#36890;&#30693;\&#2227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t>收入支出决算总体情况</a:t>
            </a:r>
            <a:endParaRPr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barChart>
        <c:barDir val="col"/>
        <c:grouping val="clustered"/>
        <c:varyColors val="0"/>
        <c:ser>
          <c:idx val="0"/>
          <c:order val="0"/>
          <c:tx>
            <c:strRef>
              <c:f>'[图1.xls]1'!$B$3</c:f>
              <c:strCache>
                <c:ptCount val="1"/>
                <c:pt idx="0">
                  <c:v>收入决算</c:v>
                </c:pt>
              </c:strCache>
            </c:strRef>
          </c:tx>
          <c:spPr>
            <a:solidFill>
              <a:srgbClr val="5B9BD5">
                <a:alpha val="100000"/>
              </a:srgbClr>
            </a:solidFill>
            <a:ln w="3175">
              <a:noFill/>
            </a:ln>
          </c:spPr>
          <c:invertIfNegative val="0"/>
          <c:dLbls>
            <c:delete val="1"/>
          </c:dLbls>
          <c:cat>
            <c:strRef>
              <c:f>'[图1.xls]1'!$C$2:$F$2</c:f>
              <c:strCache>
                <c:ptCount val="4"/>
                <c:pt idx="0">
                  <c:v>2024年</c:v>
                </c:pt>
                <c:pt idx="1">
                  <c:v>2025年</c:v>
                </c:pt>
              </c:strCache>
            </c:strRef>
          </c:cat>
          <c:val>
            <c:numRef>
              <c:f>'[图1.xls]1'!$C$3:$F$3</c:f>
              <c:numCache>
                <c:formatCode>General</c:formatCode>
                <c:ptCount val="4"/>
                <c:pt idx="0">
                  <c:v>1635.89</c:v>
                </c:pt>
                <c:pt idx="1">
                  <c:v>1523.99</c:v>
                </c:pt>
              </c:numCache>
            </c:numRef>
          </c:val>
        </c:ser>
        <c:ser>
          <c:idx val="1"/>
          <c:order val="1"/>
          <c:tx>
            <c:strRef>
              <c:f>'[图1.xls]1'!$B$4</c:f>
              <c:strCache>
                <c:ptCount val="1"/>
                <c:pt idx="0">
                  <c:v>支出决算</c:v>
                </c:pt>
              </c:strCache>
            </c:strRef>
          </c:tx>
          <c:spPr>
            <a:solidFill>
              <a:srgbClr val="ED7D31">
                <a:alpha val="100000"/>
              </a:srgbClr>
            </a:solidFill>
            <a:ln w="3175">
              <a:noFill/>
            </a:ln>
          </c:spPr>
          <c:invertIfNegative val="0"/>
          <c:dLbls>
            <c:delete val="1"/>
          </c:dLbls>
          <c:cat>
            <c:strRef>
              <c:f>'[图1.xls]1'!$C$2:$F$2</c:f>
              <c:strCache>
                <c:ptCount val="4"/>
                <c:pt idx="0">
                  <c:v>2024年</c:v>
                </c:pt>
                <c:pt idx="1">
                  <c:v>2025年</c:v>
                </c:pt>
              </c:strCache>
            </c:strRef>
          </c:cat>
          <c:val>
            <c:numRef>
              <c:f>'[图1.xls]1'!$C$4:$F$4</c:f>
              <c:numCache>
                <c:formatCode>General</c:formatCode>
                <c:ptCount val="4"/>
                <c:pt idx="0">
                  <c:v>1635.89</c:v>
                </c:pt>
                <c:pt idx="1">
                  <c:v>1523.99</c:v>
                </c:pt>
              </c:numCache>
            </c:numRef>
          </c:val>
        </c:ser>
        <c:ser>
          <c:idx val="2"/>
          <c:order val="2"/>
          <c:tx>
            <c:strRef>
              <c:f>'[图1.xls]1'!$B$5</c:f>
              <c:strCache>
                <c:ptCount val="1"/>
                <c:pt idx="0">
                  <c:v/>
                </c:pt>
              </c:strCache>
            </c:strRef>
          </c:tx>
          <c:spPr>
            <a:solidFill>
              <a:srgbClr val="A5A5A5">
                <a:alpha val="100000"/>
              </a:srgbClr>
            </a:solidFill>
            <a:ln w="3175">
              <a:noFill/>
            </a:ln>
          </c:spPr>
          <c:invertIfNegative val="0"/>
          <c:dLbls>
            <c:delete val="1"/>
          </c:dLbls>
          <c:cat>
            <c:strRef>
              <c:f>'[图1.xls]1'!$C$2:$F$2</c:f>
              <c:strCache>
                <c:ptCount val="4"/>
                <c:pt idx="0">
                  <c:v>2024年</c:v>
                </c:pt>
                <c:pt idx="1">
                  <c:v>2025年</c:v>
                </c:pt>
              </c:strCache>
            </c:strRef>
          </c:cat>
          <c:val>
            <c:numRef>
              <c:f>'[图1.xls]1'!$C$5:$F$5</c:f>
              <c:numCache>
                <c:formatCode>General</c:formatCode>
                <c:ptCount val="4"/>
              </c:numCache>
            </c:numRef>
          </c:val>
        </c:ser>
        <c:dLbls>
          <c:showLegendKey val="0"/>
          <c:showVal val="0"/>
          <c:showCatName val="0"/>
          <c:showSerName val="0"/>
          <c:showPercent val="0"/>
          <c:showBubbleSize val="0"/>
        </c:dLbls>
        <c:gapWidth val="219"/>
        <c:overlap val="-27"/>
        <c:axId val="312269203"/>
        <c:axId val="984981894"/>
      </c:barChart>
      <c:catAx>
        <c:axId val="31226920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984981894"/>
        <c:crosses val="autoZero"/>
        <c:auto val="1"/>
        <c:lblAlgn val="ctr"/>
        <c:lblOffset val="100"/>
        <c:noMultiLvlLbl val="0"/>
      </c:catAx>
      <c:valAx>
        <c:axId val="98498189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solid"/>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312269203"/>
        <c:crosses val="autoZero"/>
        <c:crossBetween val="between"/>
      </c:valAx>
      <c:spPr>
        <a:noFill/>
        <a:ln w="3175">
          <a:noFill/>
        </a:ln>
      </c:spPr>
    </c:plotArea>
    <c:legend>
      <c:legendPos val="r"/>
      <c:legendEntry>
        <c:idx val="2"/>
        <c:delete val="1"/>
      </c:legendEntry>
      <c:layout>
        <c:manualLayout>
          <c:xMode val="edge"/>
          <c:yMode val="edge"/>
          <c:x val="0.3605"/>
          <c:y val="0.9045"/>
          <c:w val="0.340740740740741"/>
          <c:h val="0.0601851851851852"/>
        </c:manualLayout>
      </c:layout>
      <c:overlay val="0"/>
      <c:spPr>
        <a:noFill/>
        <a:ln w="3175">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pieChart>
        <c:varyColors val="1"/>
        <c:ser>
          <c:idx val="0"/>
          <c:order val="0"/>
          <c:explosion val="0"/>
          <c:dPt>
            <c:idx val="0"/>
            <c:bubble3D val="0"/>
            <c:explosion val="0"/>
          </c:dPt>
          <c:dPt>
            <c:idx val="1"/>
            <c:bubble3D val="0"/>
            <c:explosion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solidFill>
                        <a:latin typeface="+mn-lt"/>
                        <a:ea typeface="+mn-ea"/>
                        <a:cs typeface="+mn-cs"/>
                      </a:defRPr>
                    </a:pPr>
                    <a:r>
                      <a:t>一般公共预算财政拨款收入7</a:t>
                    </a:r>
                    <a:r>
                      <a:rPr lang="en-US" altLang="zh-CN"/>
                      <a:t>1.3%</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solidFill>
                        <a:latin typeface="+mn-lt"/>
                        <a:ea typeface="+mn-ea"/>
                        <a:cs typeface="+mn-cs"/>
                      </a:defRPr>
                    </a:pPr>
                    <a:r>
                      <a:t>事业收入2</a:t>
                    </a:r>
                    <a:r>
                      <a:rPr lang="en-US" altLang="zh-CN"/>
                      <a:t>8.7</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bestFit"/>
            <c:showLegendKey val="0"/>
            <c:showVal val="0"/>
            <c:showCatName val="1"/>
            <c:showSerName val="0"/>
            <c:showPercent val="1"/>
            <c:showBubbleSize val="0"/>
            <c:separator>
</c:separator>
            <c:showLeaderLines val="0"/>
            <c:extLst>
              <c:ext xmlns:c15="http://schemas.microsoft.com/office/drawing/2012/chart" uri="{CE6537A1-D6FC-4f65-9D91-7224C49458BB}">
                <c15:layout/>
                <c15:showLeaderLines val="0"/>
                <c15:leaderLines/>
              </c:ext>
            </c:extLst>
          </c:dLbls>
          <c:cat>
            <c:strRef>
              <c:f>'[图1.xls]2'!$A$15:$A$16</c:f>
              <c:strCache>
                <c:ptCount val="2"/>
                <c:pt idx="0">
                  <c:v>一般公共预算财政拨款收入</c:v>
                </c:pt>
                <c:pt idx="1">
                  <c:v>事业收入</c:v>
                </c:pt>
              </c:strCache>
            </c:strRef>
          </c:cat>
          <c:val>
            <c:numRef>
              <c:f>'[图1.xls]2'!$B$15:$B$16</c:f>
              <c:numCache>
                <c:formatCode>#,##0.00</c:formatCode>
                <c:ptCount val="2"/>
                <c:pt idx="0">
                  <c:v>1086.92</c:v>
                </c:pt>
                <c:pt idx="1">
                  <c:v>437.08</c:v>
                </c:pt>
              </c:numCache>
            </c:numRef>
          </c:val>
        </c:ser>
        <c:dLbls>
          <c:showLegendKey val="0"/>
          <c:showVal val="0"/>
          <c:showCatName val="0"/>
          <c:showSerName val="0"/>
          <c:showPercent val="0"/>
          <c:showBubbleSize val="0"/>
          <c:showLeaderLines val="0"/>
        </c:dLbls>
        <c:firstSliceAng val="0"/>
      </c:pieChart>
      <c:spPr>
        <a:noFill/>
        <a:ln w="3175">
          <a:noFill/>
        </a:ln>
      </c:spPr>
    </c:plotArea>
    <c:plotVisOnly val="1"/>
    <c:dispBlanksAs val="zero"/>
    <c:showDLblsOverMax val="0"/>
  </c:chart>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306173099188612"/>
          <c:y val="0.0883724191515772"/>
          <c:w val="0.392340386274211"/>
          <c:h val="0.80592664184125"/>
        </c:manualLayout>
      </c:layout>
      <c:pieChart>
        <c:varyColors val="1"/>
        <c:ser>
          <c:idx val="0"/>
          <c:order val="0"/>
          <c:explosion val="0"/>
          <c:dPt>
            <c:idx val="0"/>
            <c:bubble3D val="0"/>
            <c:explosion val="0"/>
          </c:dPt>
          <c:dPt>
            <c:idx val="1"/>
            <c:bubble3D val="0"/>
            <c:explosion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基本支出97</a:t>
                    </a:r>
                    <a:r>
                      <a:rPr lang="en-US" altLang="zh-CN"/>
                      <a:t>.4</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项目支出</a:t>
                    </a:r>
                  </a:p>
                  <a:p>
                    <a:pPr defTabSz="914400">
                      <a:defRPr lang="zh-CN" sz="1000" b="0" i="0" u="none" strike="noStrike" kern="1200" baseline="0">
                        <a:solidFill>
                          <a:schemeClr val="tx1"/>
                        </a:solidFill>
                        <a:latin typeface="+mn-lt"/>
                        <a:ea typeface="+mn-ea"/>
                        <a:cs typeface="+mn-cs"/>
                      </a:defRPr>
                    </a:pPr>
                    <a:r>
                      <a:rPr lang="en-US" altLang="zh-CN"/>
                      <a:t>2.6</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showLeaderLines val="0"/>
            <c:extLst>
              <c:ext xmlns:c15="http://schemas.microsoft.com/office/drawing/2012/chart" uri="{CE6537A1-D6FC-4f65-9D91-7224C49458BB}">
                <c15:layout/>
                <c15:showLeaderLines val="0"/>
                <c15:leaderLines/>
              </c:ext>
            </c:extLst>
          </c:dLbls>
          <c:cat>
            <c:strRef>
              <c:f>'[图1.xls]3'!$A$15:$A$16</c:f>
              <c:strCache>
                <c:ptCount val="2"/>
                <c:pt idx="0">
                  <c:v>基本支出</c:v>
                </c:pt>
                <c:pt idx="1">
                  <c:v>项目支出</c:v>
                </c:pt>
              </c:strCache>
            </c:strRef>
          </c:cat>
          <c:val>
            <c:numRef>
              <c:f>'[图1.xls]3'!$B$15:$B$16</c:f>
              <c:numCache>
                <c:formatCode>General</c:formatCode>
                <c:ptCount val="2"/>
                <c:pt idx="0">
                  <c:v>1484.15</c:v>
                </c:pt>
                <c:pt idx="1" c:formatCode="#,##0.00">
                  <c:v>39.84</c:v>
                </c:pt>
              </c:numCache>
            </c:numRef>
          </c:val>
        </c:ser>
        <c:dLbls>
          <c:showLegendKey val="0"/>
          <c:showVal val="0"/>
          <c:showCatName val="0"/>
          <c:showSerName val="0"/>
          <c:showPercent val="0"/>
          <c:showBubbleSize val="0"/>
          <c:showLeaderLines val="0"/>
        </c:dLbls>
        <c:firstSliceAng val="0"/>
      </c:pieChart>
      <c:spPr>
        <a:noFill/>
        <a:ln w="3175">
          <a:noFill/>
        </a:ln>
      </c:spPr>
    </c:plotArea>
    <c:plotVisOnly val="1"/>
    <c:dispBlanksAs val="zero"/>
    <c:showDLblsOverMax val="0"/>
  </c:chart>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t>财政拨款收、支决算总计变动情况</a:t>
            </a:r>
            <a:endParaRPr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barChart>
        <c:barDir val="col"/>
        <c:grouping val="clustered"/>
        <c:varyColors val="0"/>
        <c:ser>
          <c:idx val="0"/>
          <c:order val="0"/>
          <c:tx>
            <c:strRef>
              <c:f>'[图1.xls]4'!$B$3</c:f>
              <c:strCache>
                <c:ptCount val="1"/>
                <c:pt idx="0">
                  <c:v>财政拨款收入决算</c:v>
                </c:pt>
              </c:strCache>
            </c:strRef>
          </c:tx>
          <c:spPr>
            <a:solidFill>
              <a:srgbClr val="5B9BD5">
                <a:alpha val="100000"/>
              </a:srgbClr>
            </a:solidFill>
            <a:ln w="3175">
              <a:noFill/>
            </a:ln>
          </c:spPr>
          <c:invertIfNegative val="0"/>
          <c:dLbls>
            <c:delete val="1"/>
          </c:dLbls>
          <c:cat>
            <c:strRef>
              <c:f>'[图1.xls]4'!$C$2:$F$2</c:f>
              <c:strCache>
                <c:ptCount val="4"/>
                <c:pt idx="0">
                  <c:v>2024年</c:v>
                </c:pt>
                <c:pt idx="1">
                  <c:v>2025年</c:v>
                </c:pt>
              </c:strCache>
            </c:strRef>
          </c:cat>
          <c:val>
            <c:numRef>
              <c:f>'[图1.xls]4'!$C$3:$F$3</c:f>
              <c:numCache>
                <c:formatCode>General</c:formatCode>
                <c:ptCount val="4"/>
                <c:pt idx="0">
                  <c:v>1088.65</c:v>
                </c:pt>
                <c:pt idx="1">
                  <c:v>1086.92</c:v>
                </c:pt>
              </c:numCache>
            </c:numRef>
          </c:val>
        </c:ser>
        <c:ser>
          <c:idx val="1"/>
          <c:order val="1"/>
          <c:tx>
            <c:strRef>
              <c:f>'[图1.xls]4'!$B$4</c:f>
              <c:strCache>
                <c:ptCount val="1"/>
                <c:pt idx="0">
                  <c:v>财政拨款支出决算</c:v>
                </c:pt>
              </c:strCache>
            </c:strRef>
          </c:tx>
          <c:spPr>
            <a:solidFill>
              <a:srgbClr val="ED7D31">
                <a:alpha val="100000"/>
              </a:srgbClr>
            </a:solidFill>
            <a:ln w="3175">
              <a:noFill/>
            </a:ln>
          </c:spPr>
          <c:invertIfNegative val="0"/>
          <c:dLbls>
            <c:delete val="1"/>
          </c:dLbls>
          <c:cat>
            <c:strRef>
              <c:f>'[图1.xls]4'!$C$2:$F$2</c:f>
              <c:strCache>
                <c:ptCount val="4"/>
                <c:pt idx="0">
                  <c:v>2024年</c:v>
                </c:pt>
                <c:pt idx="1">
                  <c:v>2025年</c:v>
                </c:pt>
              </c:strCache>
            </c:strRef>
          </c:cat>
          <c:val>
            <c:numRef>
              <c:f>'[图1.xls]4'!$C$4:$F$4</c:f>
              <c:numCache>
                <c:formatCode>General</c:formatCode>
                <c:ptCount val="4"/>
                <c:pt idx="0">
                  <c:v>1088.65</c:v>
                </c:pt>
                <c:pt idx="1">
                  <c:v>1086.92</c:v>
                </c:pt>
              </c:numCache>
            </c:numRef>
          </c:val>
        </c:ser>
        <c:ser>
          <c:idx val="2"/>
          <c:order val="2"/>
          <c:tx>
            <c:strRef>
              <c:f>'[图1.xls]4'!$B$5</c:f>
              <c:strCache>
                <c:ptCount val="1"/>
                <c:pt idx="0">
                  <c:v/>
                </c:pt>
              </c:strCache>
            </c:strRef>
          </c:tx>
          <c:spPr>
            <a:solidFill>
              <a:srgbClr val="A5A5A5">
                <a:alpha val="100000"/>
              </a:srgbClr>
            </a:solidFill>
            <a:ln w="3175">
              <a:noFill/>
            </a:ln>
          </c:spPr>
          <c:invertIfNegative val="0"/>
          <c:dLbls>
            <c:delete val="1"/>
          </c:dLbls>
          <c:cat>
            <c:strRef>
              <c:f>'[图1.xls]4'!$C$2:$F$2</c:f>
              <c:strCache>
                <c:ptCount val="4"/>
                <c:pt idx="0">
                  <c:v>2024年</c:v>
                </c:pt>
                <c:pt idx="1">
                  <c:v>2025年</c:v>
                </c:pt>
              </c:strCache>
            </c:strRef>
          </c:cat>
          <c:val>
            <c:numRef>
              <c:f>'[图1.xls]4'!$C$5:$F$5</c:f>
              <c:numCache>
                <c:formatCode>General</c:formatCode>
                <c:ptCount val="4"/>
              </c:numCache>
            </c:numRef>
          </c:val>
        </c:ser>
        <c:dLbls>
          <c:showLegendKey val="0"/>
          <c:showVal val="0"/>
          <c:showCatName val="0"/>
          <c:showSerName val="0"/>
          <c:showPercent val="0"/>
          <c:showBubbleSize val="0"/>
        </c:dLbls>
        <c:gapWidth val="219"/>
        <c:overlap val="-27"/>
        <c:axId val="95825923"/>
        <c:axId val="661254550"/>
      </c:barChart>
      <c:catAx>
        <c:axId val="9582592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661254550"/>
        <c:crosses val="autoZero"/>
        <c:auto val="1"/>
        <c:lblAlgn val="ctr"/>
        <c:lblOffset val="100"/>
        <c:noMultiLvlLbl val="0"/>
      </c:catAx>
      <c:valAx>
        <c:axId val="66125455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solid"/>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95825923"/>
        <c:crosses val="autoZero"/>
        <c:crossBetween val="between"/>
      </c:valAx>
      <c:spPr>
        <a:noFill/>
        <a:ln w="3175">
          <a:noFill/>
        </a:ln>
      </c:spPr>
    </c:plotArea>
    <c:legend>
      <c:legendPos val="r"/>
      <c:legendEntry>
        <c:idx val="2"/>
        <c:delete val="1"/>
      </c:legendEntry>
      <c:layout>
        <c:manualLayout>
          <c:xMode val="edge"/>
          <c:yMode val="edge"/>
          <c:x val="0.38625"/>
          <c:y val="0.89925"/>
          <c:w val="0.487985212569316"/>
          <c:h val="0.0518256772673734"/>
        </c:manualLayout>
      </c:layout>
      <c:overlay val="0"/>
      <c:spPr>
        <a:noFill/>
        <a:ln w="3175">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t>一般公共预算财政拨款支出决算变动情况</a:t>
            </a:r>
            <a:endParaRPr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barChart>
        <c:barDir val="col"/>
        <c:grouping val="clustered"/>
        <c:varyColors val="0"/>
        <c:ser>
          <c:idx val="0"/>
          <c:order val="0"/>
          <c:tx>
            <c:strRef>
              <c:f>'[图1.xls]5'!$B$3</c:f>
              <c:strCache>
                <c:ptCount val="1"/>
                <c:pt idx="0">
                  <c:v/>
                </c:pt>
              </c:strCache>
            </c:strRef>
          </c:tx>
          <c:spPr>
            <a:solidFill>
              <a:srgbClr val="5B9BD5">
                <a:alpha val="100000"/>
              </a:srgbClr>
            </a:solidFill>
            <a:ln w="3175">
              <a:noFill/>
            </a:ln>
          </c:spPr>
          <c:invertIfNegative val="0"/>
          <c:dLbls>
            <c:delete val="1"/>
          </c:dLbls>
          <c:cat>
            <c:strRef>
              <c:f>'[图1.xls]5'!$C$2:$F$2</c:f>
              <c:strCache>
                <c:ptCount val="4"/>
                <c:pt idx="0">
                  <c:v>2024年</c:v>
                </c:pt>
                <c:pt idx="1">
                  <c:v>2025年</c:v>
                </c:pt>
              </c:strCache>
            </c:strRef>
          </c:cat>
          <c:val>
            <c:numRef>
              <c:f>'[图1.xls]5'!$C$3:$F$3</c:f>
              <c:numCache>
                <c:formatCode>General</c:formatCode>
                <c:ptCount val="4"/>
              </c:numCache>
            </c:numRef>
          </c:val>
        </c:ser>
        <c:ser>
          <c:idx val="1"/>
          <c:order val="1"/>
          <c:tx>
            <c:strRef>
              <c:f>'[图1.xls]5'!$B$4</c:f>
              <c:strCache>
                <c:ptCount val="1"/>
                <c:pt idx="0">
                  <c:v>一般公共预算财政拨款支出决算数</c:v>
                </c:pt>
              </c:strCache>
            </c:strRef>
          </c:tx>
          <c:spPr>
            <a:solidFill>
              <a:srgbClr val="ED7D31">
                <a:alpha val="100000"/>
              </a:srgbClr>
            </a:solidFill>
            <a:ln w="3175">
              <a:noFill/>
            </a:ln>
          </c:spPr>
          <c:invertIfNegative val="0"/>
          <c:dLbls>
            <c:delete val="1"/>
          </c:dLbls>
          <c:cat>
            <c:strRef>
              <c:f>'[图1.xls]5'!$C$2:$F$2</c:f>
              <c:strCache>
                <c:ptCount val="4"/>
                <c:pt idx="0">
                  <c:v>2024年</c:v>
                </c:pt>
                <c:pt idx="1">
                  <c:v>2025年</c:v>
                </c:pt>
              </c:strCache>
            </c:strRef>
          </c:cat>
          <c:val>
            <c:numRef>
              <c:f>'[图1.xls]5'!$C$4:$F$4</c:f>
              <c:numCache>
                <c:formatCode>General</c:formatCode>
                <c:ptCount val="4"/>
                <c:pt idx="0">
                  <c:v>1088.65</c:v>
                </c:pt>
                <c:pt idx="1">
                  <c:v>1086.92</c:v>
                </c:pt>
              </c:numCache>
            </c:numRef>
          </c:val>
        </c:ser>
        <c:ser>
          <c:idx val="2"/>
          <c:order val="2"/>
          <c:tx>
            <c:strRef>
              <c:f>'[图1.xls]5'!$B$5</c:f>
              <c:strCache>
                <c:ptCount val="1"/>
                <c:pt idx="0">
                  <c:v/>
                </c:pt>
              </c:strCache>
            </c:strRef>
          </c:tx>
          <c:spPr>
            <a:solidFill>
              <a:srgbClr val="A5A5A5">
                <a:alpha val="100000"/>
              </a:srgbClr>
            </a:solidFill>
            <a:ln w="3175">
              <a:noFill/>
            </a:ln>
          </c:spPr>
          <c:invertIfNegative val="0"/>
          <c:dLbls>
            <c:delete val="1"/>
          </c:dLbls>
          <c:cat>
            <c:strRef>
              <c:f>'[图1.xls]5'!$C$2:$F$2</c:f>
              <c:strCache>
                <c:ptCount val="4"/>
                <c:pt idx="0">
                  <c:v>2024年</c:v>
                </c:pt>
                <c:pt idx="1">
                  <c:v>2025年</c:v>
                </c:pt>
              </c:strCache>
            </c:strRef>
          </c:cat>
          <c:val>
            <c:numRef>
              <c:f>'[图1.xls]5'!$C$5:$F$5</c:f>
              <c:numCache>
                <c:formatCode>General</c:formatCode>
                <c:ptCount val="4"/>
              </c:numCache>
            </c:numRef>
          </c:val>
        </c:ser>
        <c:dLbls>
          <c:showLegendKey val="0"/>
          <c:showVal val="0"/>
          <c:showCatName val="0"/>
          <c:showSerName val="0"/>
          <c:showPercent val="0"/>
          <c:showBubbleSize val="0"/>
        </c:dLbls>
        <c:gapWidth val="219"/>
        <c:overlap val="-27"/>
        <c:axId val="378631743"/>
        <c:axId val="536028815"/>
      </c:barChart>
      <c:catAx>
        <c:axId val="37863174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536028815"/>
        <c:crosses val="autoZero"/>
        <c:auto val="1"/>
        <c:lblAlgn val="ctr"/>
        <c:lblOffset val="100"/>
        <c:noMultiLvlLbl val="0"/>
      </c:catAx>
      <c:valAx>
        <c:axId val="536028815"/>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solid"/>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378631743"/>
        <c:crosses val="autoZero"/>
        <c:crossBetween val="between"/>
      </c:valAx>
      <c:spPr>
        <a:noFill/>
        <a:ln w="3175">
          <a:noFill/>
        </a:ln>
      </c:spPr>
    </c:plotArea>
    <c:legend>
      <c:legendPos val="r"/>
      <c:legendEntry>
        <c:idx val="0"/>
        <c:delete val="1"/>
      </c:legendEntry>
      <c:legendEntry>
        <c:idx val="2"/>
        <c:delete val="1"/>
      </c:legendEntry>
      <c:layout>
        <c:manualLayout>
          <c:xMode val="edge"/>
          <c:yMode val="edge"/>
          <c:x val="0.38625"/>
          <c:y val="0.89925"/>
          <c:w val="0.48775"/>
          <c:h val="0.05175"/>
        </c:manualLayout>
      </c:layout>
      <c:overlay val="0"/>
      <c:spPr>
        <a:noFill/>
        <a:ln w="3175">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教育支出64</a:t>
                    </a:r>
                    <a:r>
                      <a:rPr lang="en-US" altLang="zh-CN"/>
                      <a:t>.6</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社会保障和就业支出2</a:t>
                    </a:r>
                    <a:r>
                      <a:rPr lang="en-US" altLang="zh-CN"/>
                      <a:t>3.7</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卫生健康支出</a:t>
                    </a:r>
                  </a:p>
                  <a:p>
                    <a:pPr defTabSz="914400">
                      <a:defRPr lang="zh-CN" sz="1000" b="0" i="0" u="none" strike="noStrike" kern="1200" baseline="0">
                        <a:solidFill>
                          <a:schemeClr val="tx1"/>
                        </a:solidFill>
                        <a:latin typeface="+mn-lt"/>
                        <a:ea typeface="+mn-ea"/>
                        <a:cs typeface="+mn-cs"/>
                      </a:defRPr>
                    </a:pPr>
                    <a:r>
                      <a:rPr lang="en-US" altLang="zh-CN"/>
                      <a:t>4.8</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住房保障支出</a:t>
                    </a:r>
                  </a:p>
                  <a:p>
                    <a:pPr defTabSz="914400">
                      <a:defRPr lang="zh-CN" sz="1000" b="0" i="0" u="none" strike="noStrike" kern="1200" baseline="0">
                        <a:solidFill>
                          <a:schemeClr val="tx1"/>
                        </a:solidFill>
                        <a:latin typeface="+mn-lt"/>
                        <a:ea typeface="+mn-ea"/>
                        <a:cs typeface="+mn-cs"/>
                      </a:defRPr>
                    </a:pPr>
                    <a:r>
                      <a:rPr lang="en-US" altLang="zh-CN"/>
                      <a:t>6.9</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'[图1.xls]6'!$A$46:$A$49</c:f>
              <c:strCache>
                <c:ptCount val="4"/>
                <c:pt idx="0">
                  <c:v>教育支出</c:v>
                </c:pt>
                <c:pt idx="1">
                  <c:v>社会保障和就业支出</c:v>
                </c:pt>
                <c:pt idx="2">
                  <c:v>卫生健康支出</c:v>
                </c:pt>
                <c:pt idx="3">
                  <c:v>住房保障支出</c:v>
                </c:pt>
              </c:strCache>
            </c:strRef>
          </c:cat>
          <c:val>
            <c:numRef>
              <c:f>'[图1.xls]6'!$B$46:$B$49</c:f>
              <c:numCache>
                <c:formatCode>#,##0.00</c:formatCode>
                <c:ptCount val="4"/>
                <c:pt idx="0">
                  <c:v>701.79</c:v>
                </c:pt>
                <c:pt idx="1">
                  <c:v>258.06</c:v>
                </c:pt>
                <c:pt idx="2">
                  <c:v>52.61</c:v>
                </c:pt>
                <c:pt idx="3">
                  <c:v>74.45</c:v>
                </c:pt>
              </c:numCache>
            </c:numRef>
          </c:val>
        </c:ser>
        <c:dLbls>
          <c:showLegendKey val="0"/>
          <c:showVal val="0"/>
          <c:showCatName val="0"/>
          <c:showSerName val="0"/>
          <c:showPercent val="0"/>
          <c:showBubbleSize val="0"/>
          <c:showLeaderLines val="1"/>
        </c:dLbls>
        <c:firstSliceAng val="0"/>
      </c:pieChart>
      <c:spPr>
        <a:noFill/>
        <a:ln w="3175">
          <a:noFill/>
        </a:ln>
      </c:spPr>
    </c:plotArea>
    <c:plotVisOnly val="1"/>
    <c:dispBlanksAs val="zero"/>
    <c:showDLblsOverMax val="0"/>
  </c:chart>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11880</Words>
  <Characters>12834</Characters>
  <Lines>63</Lines>
  <Paragraphs>17</Paragraphs>
  <TotalTime>53</TotalTime>
  <ScaleCrop>false</ScaleCrop>
  <LinksUpToDate>false</LinksUpToDate>
  <CharactersWithSpaces>12879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2026-09-01T08:47:00Z</cp:lastPrinted>
  <dcterms:modified xsi:type="dcterms:W3CDTF">2026-09-11T02:45:26Z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3BF536824C220DA3E40E8B68BA118B1C_42</vt:lpwstr>
  </property>
</Properties>
</file>