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45EF0">
      <w:pPr>
        <w:pStyle w:val="9"/>
        <w:spacing w:before="93"/>
        <w:rPr>
          <w:rFonts w:ascii="黑体" w:hAnsi="黑体" w:eastAsia="黑体" w:cs="黑体"/>
          <w:kern w:val="2"/>
          <w:sz w:val="32"/>
          <w:szCs w:val="32"/>
        </w:rPr>
      </w:pPr>
      <w:bookmarkStart w:id="0" w:name="_Toc15396475"/>
      <w:bookmarkStart w:id="1" w:name="_Toc15377425"/>
      <w:bookmarkStart w:id="2" w:name="_Toc15378441"/>
      <w:bookmarkStart w:id="3" w:name="_Toc15396597"/>
      <w:bookmarkStart w:id="4" w:name="_Toc15377193"/>
      <w:bookmarkStart w:id="5" w:name="_Toc15306267"/>
    </w:p>
    <w:p w14:paraId="1CE5FE27">
      <w:pPr>
        <w:pStyle w:val="9"/>
        <w:spacing w:before="93"/>
        <w:rPr>
          <w:rFonts w:ascii="Times New Roman" w:eastAsia="方正小标宋简体"/>
          <w:kern w:val="2"/>
          <w:sz w:val="72"/>
          <w:szCs w:val="72"/>
        </w:rPr>
      </w:pPr>
    </w:p>
    <w:p w14:paraId="38AFFFAB">
      <w:pPr>
        <w:pStyle w:val="9"/>
        <w:spacing w:before="93"/>
        <w:rPr>
          <w:rFonts w:ascii="Times New Roman" w:eastAsia="方正小标宋简体"/>
          <w:kern w:val="2"/>
          <w:sz w:val="72"/>
          <w:szCs w:val="72"/>
        </w:rPr>
      </w:pPr>
    </w:p>
    <w:p w14:paraId="500B7DE1">
      <w:pPr>
        <w:pStyle w:val="9"/>
        <w:spacing w:before="93"/>
        <w:rPr>
          <w:rFonts w:ascii="Times New Roman" w:eastAsia="方正小标宋简体"/>
          <w:kern w:val="2"/>
          <w:sz w:val="72"/>
          <w:szCs w:val="72"/>
        </w:rPr>
      </w:pPr>
    </w:p>
    <w:p w14:paraId="204393CF">
      <w:pPr>
        <w:pStyle w:val="9"/>
        <w:spacing w:before="93"/>
        <w:rPr>
          <w:rFonts w:ascii="Times New Roman" w:eastAsia="方正小标宋简体"/>
          <w:kern w:val="2"/>
          <w:sz w:val="72"/>
          <w:szCs w:val="72"/>
        </w:rPr>
      </w:pPr>
    </w:p>
    <w:p w14:paraId="4999A60F">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2025年度攀枝花市教育科学研究所(攀枝花市基础教育监测评估中心、攀枝花市教育培训中心）决算公开编制说明</w:t>
      </w:r>
    </w:p>
    <w:p w14:paraId="5E2E33E7">
      <w:pPr>
        <w:spacing w:line="600" w:lineRule="exact"/>
        <w:jc w:val="center"/>
        <w:outlineLvl w:val="0"/>
        <w:rPr>
          <w:rFonts w:eastAsia="方正小标宋简体"/>
          <w:sz w:val="72"/>
          <w:szCs w:val="72"/>
        </w:rPr>
      </w:pPr>
    </w:p>
    <w:p w14:paraId="34E7C61A">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13314AE7"/>
    <w:p w14:paraId="0B76226A">
      <w:pPr>
        <w:pStyle w:val="9"/>
        <w:spacing w:before="93"/>
        <w:jc w:val="center"/>
        <w:rPr>
          <w:rFonts w:ascii="Times New Roman" w:eastAsia="方正小标宋简体"/>
          <w:kern w:val="2"/>
          <w:sz w:val="44"/>
          <w:szCs w:val="44"/>
        </w:rPr>
      </w:pPr>
    </w:p>
    <w:p w14:paraId="45635544">
      <w:pPr>
        <w:pStyle w:val="9"/>
        <w:spacing w:before="93"/>
        <w:jc w:val="center"/>
        <w:rPr>
          <w:rFonts w:ascii="Times New Roman" w:eastAsia="方正小标宋简体"/>
          <w:kern w:val="2"/>
          <w:sz w:val="44"/>
          <w:szCs w:val="44"/>
        </w:rPr>
      </w:pPr>
    </w:p>
    <w:p w14:paraId="00D79760">
      <w:pPr>
        <w:pStyle w:val="9"/>
        <w:spacing w:before="93"/>
        <w:jc w:val="center"/>
        <w:rPr>
          <w:rFonts w:ascii="Times New Roman" w:eastAsia="方正小标宋简体"/>
          <w:kern w:val="2"/>
          <w:sz w:val="44"/>
          <w:szCs w:val="44"/>
        </w:rPr>
      </w:pPr>
    </w:p>
    <w:p w14:paraId="0DE92283">
      <w:pPr>
        <w:pStyle w:val="9"/>
        <w:spacing w:before="93"/>
        <w:jc w:val="center"/>
        <w:rPr>
          <w:rFonts w:ascii="Times New Roman" w:eastAsia="方正小标宋简体"/>
          <w:kern w:val="2"/>
          <w:sz w:val="44"/>
          <w:szCs w:val="44"/>
        </w:rPr>
      </w:pPr>
    </w:p>
    <w:bookmarkEnd w:id="0"/>
    <w:bookmarkEnd w:id="1"/>
    <w:bookmarkEnd w:id="2"/>
    <w:bookmarkEnd w:id="3"/>
    <w:bookmarkEnd w:id="4"/>
    <w:p w14:paraId="5FBEFF6D">
      <w:pPr>
        <w:pStyle w:val="9"/>
        <w:spacing w:before="93"/>
        <w:jc w:val="center"/>
        <w:rPr>
          <w:rFonts w:ascii="Times New Roman" w:eastAsia="方正小标宋简体"/>
          <w:kern w:val="2"/>
          <w:sz w:val="44"/>
          <w:szCs w:val="44"/>
        </w:rPr>
      </w:pPr>
      <w:bookmarkStart w:id="6" w:name="_Toc15377194"/>
      <w:bookmarkStart w:id="7" w:name="_Toc15396476"/>
      <w:bookmarkStart w:id="8" w:name="_Toc15396598"/>
      <w:bookmarkStart w:id="9" w:name="_Toc15378442"/>
      <w:bookmarkStart w:id="10" w:name="_Toc15377426"/>
      <w:r>
        <w:rPr>
          <w:rFonts w:hint="eastAsia" w:ascii="Times New Roman" w:eastAsia="方正小标宋简体"/>
          <w:kern w:val="2"/>
          <w:sz w:val="44"/>
          <w:szCs w:val="44"/>
        </w:rPr>
        <w:t>2025年度</w:t>
      </w:r>
      <w:bookmarkEnd w:id="5"/>
      <w:bookmarkStart w:id="11" w:name="_Toc15306268"/>
      <w:r>
        <w:rPr>
          <w:rFonts w:hint="eastAsia" w:ascii="Times New Roman" w:eastAsia="方正小标宋简体"/>
          <w:kern w:val="2"/>
          <w:sz w:val="44"/>
          <w:szCs w:val="44"/>
        </w:rPr>
        <w:t>攀枝花市教育科学研究所(攀枝花市基础教育监测评估中心、攀枝花市教育培</w:t>
      </w:r>
      <w:bookmarkStart w:id="111" w:name="_GoBack"/>
      <w:bookmarkEnd w:id="111"/>
      <w:r>
        <w:rPr>
          <w:rFonts w:hint="eastAsia" w:ascii="Times New Roman" w:eastAsia="方正小标宋简体"/>
          <w:kern w:val="2"/>
          <w:sz w:val="44"/>
          <w:szCs w:val="44"/>
        </w:rPr>
        <w:t>训中心）部门决算</w:t>
      </w:r>
      <w:bookmarkEnd w:id="6"/>
      <w:bookmarkEnd w:id="7"/>
      <w:bookmarkEnd w:id="8"/>
      <w:bookmarkEnd w:id="9"/>
      <w:bookmarkEnd w:id="10"/>
      <w:bookmarkEnd w:id="11"/>
    </w:p>
    <w:p w14:paraId="4A5033C0">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5BC983AA">
      <w:pPr>
        <w:widowControl/>
        <w:jc w:val="center"/>
        <w:rPr>
          <w:rFonts w:eastAsia="黑体"/>
          <w:sz w:val="48"/>
          <w:szCs w:val="48"/>
        </w:rPr>
      </w:pPr>
      <w:r>
        <w:rPr>
          <w:rFonts w:hint="eastAsia" w:eastAsia="黑体"/>
          <w:sz w:val="48"/>
          <w:szCs w:val="48"/>
        </w:rPr>
        <w:t>目录</w:t>
      </w:r>
    </w:p>
    <w:p w14:paraId="0434BC2D">
      <w:pPr>
        <w:widowControl/>
        <w:jc w:val="center"/>
        <w:rPr>
          <w:rFonts w:eastAsia="黑体" w:cstheme="minorBidi"/>
          <w:sz w:val="28"/>
          <w:szCs w:val="28"/>
        </w:rPr>
      </w:pPr>
    </w:p>
    <w:p w14:paraId="261324E5">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 xml:space="preserve"> 日</w:t>
      </w:r>
    </w:p>
    <w:p w14:paraId="73FAF590"/>
    <w:sdt>
      <w:sdtPr>
        <w:rPr>
          <w:rFonts w:ascii="宋体" w:hAnsi="宋体" w:eastAsia="宋体" w:cs="Times New Roman"/>
          <w:kern w:val="2"/>
          <w:sz w:val="21"/>
          <w:szCs w:val="24"/>
          <w:lang w:val="en-US" w:eastAsia="zh-CN" w:bidi="ar-SA"/>
        </w:rPr>
        <w:id w:val="147467951"/>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14:paraId="200767A3">
          <w:pPr>
            <w:spacing w:before="0" w:beforeLines="0" w:after="0" w:afterLines="0" w:line="240" w:lineRule="auto"/>
            <w:ind w:left="0" w:leftChars="0" w:right="0" w:rightChars="0" w:firstLine="0" w:firstLineChars="0"/>
            <w:jc w:val="center"/>
          </w:pPr>
        </w:p>
        <w:p w14:paraId="1B1162E7">
          <w:pPr>
            <w:pStyle w:val="14"/>
            <w:tabs>
              <w:tab w:val="right" w:leader="dot" w:pos="8306"/>
              <w:tab w:val="clear" w:pos="8296"/>
            </w:tabs>
          </w:pPr>
          <w:r>
            <w:fldChar w:fldCharType="begin"/>
          </w:r>
          <w:r>
            <w:instrText xml:space="preserve">TOC \o "1-2"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_Toc25229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bCs w:val="0"/>
              <w:sz w:val="32"/>
              <w:szCs w:val="32"/>
            </w:rPr>
            <w:t>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_Toc25229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ACAB376">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_Toc11327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一、部门职责</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_Toc11327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826A7B0">
          <w:pPr>
            <w:pStyle w:val="7"/>
            <w:tabs>
              <w:tab w:val="right" w:leader="dot" w:pos="8306"/>
              <w:tab w:val="clear" w:pos="8296"/>
            </w:tabs>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_Toc24582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二、机构设置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_Toc24582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3D60D9A9">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_Toc13959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第二部分2025年度部门决算情况说明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_Toc13959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131A7FE">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_Toc12342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一、收入支出决算总体情况说明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_Toc12342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8BA8F16">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_Toc11989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二、收入决算情况说明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_Toc11989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3A654BEF">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_Toc32749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三、支出决算情况说明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_Toc32749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E4D5757">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_Toc23193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四、财政拨款收入支出决算总体情况说明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_Toc23193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06D6790C">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_Toc8381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五、一般公共预算财政拨款支出决算情况说明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_Toc8381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29EA4A3">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_Toc31866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六、一般公共预算财政拨款基本支出决算情况说明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_Toc31866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EA549ED">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_Toc1019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七、财政拨款“三公”经费支出决算情况说明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_Toc1019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B18B2BA">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_Toc28091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八、政府性基金预算支出决算情况说明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_Toc28091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6E31477">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_Toc32353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九、国有资本经营预算支出决算情况说明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_Toc32353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596CB84F">
          <w:pPr>
            <w:pStyle w:val="7"/>
            <w:tabs>
              <w:tab w:val="right" w:leader="dot" w:pos="8306"/>
              <w:tab w:val="clear" w:pos="8296"/>
            </w:tabs>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_Toc14001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十、其他重要事项的情况说明</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_Toc14001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10</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67A2AAAC">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_Toc4902 </w:instrText>
          </w:r>
          <w:r>
            <w:rPr>
              <w:rFonts w:hint="eastAsia" w:ascii="黑体" w:hAnsi="黑体" w:eastAsia="黑体" w:cs="黑体"/>
              <w:sz w:val="32"/>
              <w:szCs w:val="32"/>
            </w:rPr>
            <w:fldChar w:fldCharType="separate"/>
          </w:r>
          <w:r>
            <w:rPr>
              <w:rFonts w:hint="eastAsia" w:ascii="黑体" w:hAnsi="黑体" w:eastAsia="黑体" w:cs="黑体"/>
              <w:sz w:val="32"/>
              <w:szCs w:val="32"/>
              <w:lang w:val="en-US" w:eastAsia="zh-CN"/>
            </w:rPr>
            <w:t>第三部分名词解释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_Toc4902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CD1EB9A">
          <w:pPr>
            <w:pStyle w:val="14"/>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_Toc24838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_Toc24838 \h </w:instrText>
          </w:r>
          <w:r>
            <w:rPr>
              <w:rFonts w:hint="eastAsia" w:ascii="黑体" w:hAnsi="黑体" w:eastAsia="黑体" w:cs="黑体"/>
              <w:sz w:val="32"/>
              <w:szCs w:val="32"/>
            </w:rPr>
            <w:fldChar w:fldCharType="separate"/>
          </w:r>
          <w:r>
            <w:rPr>
              <w:rFonts w:hint="eastAsia" w:ascii="黑体" w:hAnsi="黑体" w:eastAsia="黑体" w:cs="黑体"/>
              <w:sz w:val="32"/>
              <w:szCs w:val="32"/>
            </w:rPr>
            <w:t>15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B21B98D">
          <w:pPr>
            <w:pStyle w:val="14"/>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_Toc13148 </w:instrText>
          </w:r>
          <w:r>
            <w:rPr>
              <w:rFonts w:hint="eastAsia" w:ascii="黑体" w:hAnsi="黑体" w:eastAsia="黑体" w:cs="黑体"/>
              <w:sz w:val="32"/>
              <w:szCs w:val="32"/>
            </w:rPr>
            <w:fldChar w:fldCharType="separate"/>
          </w:r>
          <w:r>
            <w:rPr>
              <w:rFonts w:hint="eastAsia" w:ascii="黑体" w:hAnsi="黑体" w:eastAsia="黑体" w:cs="黑体"/>
              <w:sz w:val="32"/>
              <w:szCs w:val="32"/>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_Toc13148 \h </w:instrText>
          </w:r>
          <w:r>
            <w:rPr>
              <w:rFonts w:hint="eastAsia" w:ascii="黑体" w:hAnsi="黑体" w:eastAsia="黑体" w:cs="黑体"/>
              <w:sz w:val="32"/>
              <w:szCs w:val="32"/>
            </w:rPr>
            <w:fldChar w:fldCharType="separate"/>
          </w:r>
          <w:r>
            <w:rPr>
              <w:rFonts w:hint="eastAsia" w:ascii="黑体" w:hAnsi="黑体" w:eastAsia="黑体" w:cs="黑体"/>
              <w:sz w:val="32"/>
              <w:szCs w:val="32"/>
            </w:rPr>
            <w:t>16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0BA0F9F">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_Toc5989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一、收入支出决算总表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_Toc5989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8D8E8E6">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_Toc27995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二、收入决算表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_Toc27995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42853D42">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_Toc27579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三、支出决算表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_Toc27579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7496A2F3">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_Toc7297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四、财政拨款收入支出决算总表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_Toc7297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26F10B20">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_Toc16494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五、财政拨款支出决算明细表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_Toc16494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691E17DA">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_Toc17435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六、一般公共预算财政拨款支出决算表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_Toc17435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1BCDBCC">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_Toc29736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七、一般公共预算财政拨款支出决算明细表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_Toc29736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C587602">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_Toc22131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八、一般公共预算财政拨款基本支出决算表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_Toc22131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02D2F6AC">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_Toc11569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九、一般公共预算财政拨款项目支出决算表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_Toc11569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2C27B189">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_Toc29003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十、政府性基金预算财政拨款收入支出决算表（此表无数据）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_Toc29003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13A4C0AA">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_Toc18543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十一、国有资本经营预算财政拨款收入支出决算表（此表无数据）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_Toc18543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610B3CCE">
          <w:pPr>
            <w:pStyle w:val="7"/>
            <w:tabs>
              <w:tab w:val="right" w:leader="dot" w:pos="8306"/>
              <w:tab w:val="clear" w:pos="8296"/>
            </w:tabs>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_Toc9052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十二、国有资本经营预算财政拨款支出决算表（此表无数据）</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_Toc9052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6F5EA742">
          <w:pPr>
            <w:pStyle w:val="7"/>
            <w:tabs>
              <w:tab w:val="right" w:leader="dot" w:pos="8306"/>
              <w:tab w:val="clear" w:pos="8296"/>
            </w:tabs>
          </w:pP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\l _Toc20862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十三、财政拨款“三公”经费支出决算表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_Toc20862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14:paraId="338401B6">
          <w:r>
            <w:fldChar w:fldCharType="end"/>
          </w:r>
        </w:p>
      </w:sdtContent>
    </w:sdt>
    <w:p w14:paraId="51FA8814">
      <w:pPr>
        <w:pStyle w:val="14"/>
        <w:adjustRightInd w:val="0"/>
        <w:snapToGrid w:val="0"/>
        <w:spacing w:before="0" w:line="560" w:lineRule="exact"/>
        <w:jc w:val="left"/>
        <w:rPr>
          <w:rFonts w:ascii="Times New Roman" w:hAnsi="Times New Roman" w:eastAsia="黑体" w:cs="黑体"/>
          <w:sz w:val="32"/>
          <w:szCs w:val="32"/>
        </w:rPr>
      </w:pPr>
    </w:p>
    <w:p w14:paraId="7F6CBE49">
      <w:pPr>
        <w:pStyle w:val="5"/>
        <w:jc w:val="center"/>
        <w:rPr>
          <w:rFonts w:hint="eastAsia" w:ascii="黑体" w:hAnsi="黑体" w:eastAsia="黑体" w:cs="黑体"/>
          <w:b w:val="0"/>
        </w:rPr>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pPr>
      <w:bookmarkStart w:id="12" w:name="_Toc15396599"/>
      <w:bookmarkStart w:id="13" w:name="_Toc15377196"/>
      <w:bookmarkStart w:id="14" w:name="_Toc25229"/>
    </w:p>
    <w:p w14:paraId="3A9DBB8F">
      <w:pPr>
        <w:pStyle w:val="5"/>
        <w:jc w:val="center"/>
        <w:rPr>
          <w:rStyle w:val="28"/>
          <w:rFonts w:hint="eastAsia" w:ascii="黑体" w:hAnsi="黑体" w:eastAsia="黑体" w:cs="黑体"/>
          <w:b/>
          <w:bCs w:val="0"/>
        </w:rPr>
      </w:pPr>
      <w:r>
        <w:rPr>
          <w:rFonts w:hint="eastAsia" w:ascii="黑体" w:hAnsi="黑体" w:eastAsia="黑体" w:cs="黑体"/>
          <w:b w:val="0"/>
        </w:rPr>
        <w:t>第一部分</w:t>
      </w:r>
      <w:r>
        <w:rPr>
          <w:rStyle w:val="28"/>
          <w:rFonts w:hint="eastAsia" w:ascii="黑体" w:hAnsi="黑体" w:eastAsia="黑体" w:cs="黑体"/>
          <w:b w:val="0"/>
          <w:bCs w:val="0"/>
        </w:rPr>
        <w:t>部门概况</w:t>
      </w:r>
      <w:bookmarkEnd w:id="12"/>
      <w:bookmarkEnd w:id="13"/>
      <w:bookmarkEnd w:id="14"/>
    </w:p>
    <w:p w14:paraId="139BA6AB">
      <w:pPr>
        <w:widowControl/>
        <w:jc w:val="left"/>
        <w:rPr>
          <w:rFonts w:eastAsia="黑体"/>
          <w:sz w:val="32"/>
          <w:szCs w:val="32"/>
        </w:rPr>
      </w:pPr>
    </w:p>
    <w:p w14:paraId="58BEF9D5">
      <w:pPr>
        <w:pStyle w:val="6"/>
        <w:rPr>
          <w:rFonts w:hint="eastAsia" w:ascii="Times New Roman" w:hAnsi="Times New Roman" w:eastAsia="黑体"/>
          <w:b w:val="0"/>
        </w:rPr>
      </w:pPr>
      <w:bookmarkStart w:id="15" w:name="_Toc15377197"/>
      <w:bookmarkStart w:id="16" w:name="_Toc15396600"/>
      <w:bookmarkStart w:id="17" w:name="_Toc11327"/>
      <w:r>
        <w:rPr>
          <w:rFonts w:hint="eastAsia" w:ascii="Times New Roman" w:hAnsi="Times New Roman" w:eastAsia="黑体"/>
          <w:b w:val="0"/>
        </w:rPr>
        <w:t>一、</w:t>
      </w:r>
      <w:bookmarkEnd w:id="15"/>
      <w:bookmarkEnd w:id="16"/>
      <w:r>
        <w:rPr>
          <w:rFonts w:hint="eastAsia" w:ascii="Times New Roman" w:hAnsi="Times New Roman" w:eastAsia="黑体"/>
          <w:b w:val="0"/>
        </w:rPr>
        <w:t>部门职责</w:t>
      </w:r>
      <w:bookmarkEnd w:id="17"/>
    </w:p>
    <w:p w14:paraId="6CFCB8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攀枝花市教育科学研究所(攀枝花市基础教育监测评估中心、攀枝花市教育培训中心）的主要职责是：坚持为全市教育科研和中小学教学工作服务的宗旨，承担教育科学研究与管理、教育培训、教育教学研究与指导、中小学教育教学质量的监测与评估、为教育行政单位提供教育决策与咨询等。</w:t>
      </w:r>
    </w:p>
    <w:p w14:paraId="24A6818F">
      <w:pPr>
        <w:pStyle w:val="6"/>
        <w:rPr>
          <w:rStyle w:val="29"/>
          <w:rFonts w:ascii="Times New Roman" w:hAnsi="Times New Roman"/>
          <w:b w:val="0"/>
          <w:bCs w:val="0"/>
        </w:rPr>
      </w:pPr>
      <w:bookmarkStart w:id="18" w:name="_Toc15377200"/>
      <w:bookmarkStart w:id="19" w:name="_Toc15396601"/>
      <w:bookmarkStart w:id="20" w:name="_Toc24582"/>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8"/>
      <w:bookmarkEnd w:id="19"/>
      <w:bookmarkEnd w:id="20"/>
    </w:p>
    <w:p w14:paraId="4F847E87">
      <w:pPr>
        <w:ind w:firstLine="800" w:firstLineChars="250"/>
        <w:rPr>
          <w:rFonts w:eastAsia="仿宋_GB2312" w:cs="仿宋_GB2312"/>
          <w:sz w:val="32"/>
          <w:szCs w:val="32"/>
        </w:rPr>
      </w:pP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eastAsia="仿宋_GB2312" w:cs="仿宋_GB2312"/>
          <w:sz w:val="32"/>
          <w:szCs w:val="32"/>
        </w:rPr>
        <w:t>下属二级预算单位0个，其中行政单位0个，参照公务员法管理的事业单位</w:t>
      </w:r>
      <w:r>
        <w:rPr>
          <w:rFonts w:hint="eastAsia" w:eastAsia="仿宋_GB2312" w:cs="仿宋_GB2312"/>
          <w:bCs/>
          <w:sz w:val="32"/>
          <w:szCs w:val="32"/>
        </w:rPr>
        <w:t>0</w:t>
      </w:r>
      <w:r>
        <w:rPr>
          <w:rFonts w:hint="eastAsia" w:eastAsia="仿宋_GB2312" w:cs="仿宋_GB2312"/>
          <w:sz w:val="32"/>
          <w:szCs w:val="32"/>
        </w:rPr>
        <w:t>个，其他事业单位0个。</w:t>
      </w:r>
    </w:p>
    <w:p w14:paraId="1CF2A2F5">
      <w:pPr>
        <w:pStyle w:val="9"/>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hAnsi="仿宋_GB2312" w:cs="仿宋_GB2312"/>
          <w:sz w:val="32"/>
          <w:szCs w:val="32"/>
        </w:rPr>
        <w:t>攀枝花市教育科学研究所(攀枝花市基础教育监测评估中心、攀枝花市教育培训中心）</w:t>
      </w:r>
      <w:r>
        <w:rPr>
          <w:rFonts w:hint="eastAsia" w:ascii="Times New Roman" w:cs="仿宋_GB2312"/>
          <w:sz w:val="32"/>
          <w:szCs w:val="32"/>
        </w:rPr>
        <w:t>2025年度部门决算编制范围的二级预算单位包括：</w:t>
      </w:r>
    </w:p>
    <w:p w14:paraId="77FA75F1">
      <w:pPr>
        <w:pStyle w:val="9"/>
        <w:numPr>
          <w:ilvl w:val="0"/>
          <w:numId w:val="1"/>
        </w:numPr>
        <w:adjustRightInd w:val="0"/>
        <w:snapToGrid w:val="0"/>
        <w:spacing w:before="93" w:line="600" w:lineRule="exact"/>
        <w:outlineLvl w:val="2"/>
        <w:rPr>
          <w:rFonts w:ascii="Times New Roman" w:cs="仿宋_GB2312"/>
          <w:sz w:val="32"/>
          <w:szCs w:val="32"/>
        </w:rPr>
      </w:pPr>
      <w:r>
        <w:rPr>
          <w:rFonts w:hint="eastAsia" w:hAnsi="仿宋_GB2312" w:cs="仿宋_GB2312"/>
          <w:sz w:val="32"/>
          <w:szCs w:val="32"/>
        </w:rPr>
        <w:t>攀枝花市教育科学研究所(攀枝花市基础教育监测评估中心、攀枝花市教育培训中心）</w:t>
      </w:r>
    </w:p>
    <w:p w14:paraId="78A7CF98">
      <w:pPr>
        <w:widowControl/>
        <w:jc w:val="left"/>
        <w:rPr>
          <w:rFonts w:eastAsia="仿宋"/>
          <w:kern w:val="0"/>
          <w:sz w:val="32"/>
          <w:szCs w:val="32"/>
        </w:rPr>
      </w:pPr>
      <w:r>
        <w:rPr>
          <w:rFonts w:eastAsia="仿宋"/>
          <w:sz w:val="32"/>
          <w:szCs w:val="32"/>
        </w:rPr>
        <w:br w:type="page"/>
      </w:r>
    </w:p>
    <w:p w14:paraId="08127224">
      <w:pPr>
        <w:pStyle w:val="5"/>
        <w:jc w:val="center"/>
        <w:rPr>
          <w:rFonts w:hint="eastAsia" w:ascii="黑体" w:hAnsi="黑体" w:eastAsia="黑体" w:cs="黑体"/>
          <w:b w:val="0"/>
        </w:rPr>
      </w:pPr>
      <w:bookmarkStart w:id="21" w:name="_Toc15396602"/>
      <w:bookmarkStart w:id="22" w:name="_Toc15377204"/>
      <w:bookmarkStart w:id="23" w:name="_Toc13959"/>
      <w:r>
        <w:rPr>
          <w:rFonts w:hint="eastAsia" w:ascii="黑体" w:hAnsi="黑体" w:eastAsia="黑体" w:cs="黑体"/>
          <w:b w:val="0"/>
        </w:rPr>
        <w:t>第二部分2025年度部门决算情况说明</w:t>
      </w:r>
      <w:bookmarkEnd w:id="21"/>
      <w:bookmarkEnd w:id="22"/>
      <w:bookmarkEnd w:id="23"/>
    </w:p>
    <w:p w14:paraId="6FE9B681"/>
    <w:p w14:paraId="710A11EB">
      <w:pPr>
        <w:pStyle w:val="27"/>
        <w:spacing w:line="600" w:lineRule="exact"/>
        <w:ind w:firstLine="640"/>
        <w:outlineLvl w:val="1"/>
        <w:rPr>
          <w:rStyle w:val="29"/>
          <w:rFonts w:ascii="Times New Roman" w:hAnsi="Times New Roman" w:eastAsia="黑体"/>
          <w:b w:val="0"/>
        </w:rPr>
      </w:pPr>
      <w:bookmarkStart w:id="24" w:name="_Toc15377205"/>
      <w:bookmarkStart w:id="25" w:name="_Toc15396603"/>
      <w:bookmarkStart w:id="26" w:name="_Toc12342"/>
      <w:r>
        <w:rPr>
          <w:rFonts w:hint="eastAsia" w:eastAsia="黑体"/>
          <w:sz w:val="32"/>
          <w:szCs w:val="32"/>
        </w:rPr>
        <w:t>一、收</w:t>
      </w:r>
      <w:r>
        <w:rPr>
          <w:rStyle w:val="29"/>
          <w:rFonts w:hint="eastAsia" w:ascii="Times New Roman" w:hAnsi="Times New Roman" w:eastAsia="黑体"/>
          <w:b w:val="0"/>
        </w:rPr>
        <w:t>入支出决算总体情况说明</w:t>
      </w:r>
      <w:bookmarkEnd w:id="24"/>
      <w:bookmarkEnd w:id="25"/>
      <w:bookmarkEnd w:id="26"/>
    </w:p>
    <w:p w14:paraId="295B3843">
      <w:pPr>
        <w:pStyle w:val="27"/>
        <w:spacing w:line="600" w:lineRule="exact"/>
        <w:ind w:firstLine="640"/>
        <w:outlineLvl w:val="1"/>
        <w:rPr>
          <w:rFonts w:hint="eastAsia" w:eastAsia="仿宋_GB2312" w:cs="仿宋_GB2312"/>
          <w:sz w:val="32"/>
          <w:szCs w:val="32"/>
        </w:rPr>
      </w:pPr>
      <w:bookmarkStart w:id="27" w:name="_Toc11927"/>
      <w:bookmarkStart w:id="28" w:name="_Toc4997"/>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1028.24</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42.62</w:t>
      </w:r>
      <w:r>
        <w:rPr>
          <w:rFonts w:hint="eastAsia" w:eastAsia="仿宋_GB2312" w:cs="仿宋_GB2312"/>
          <w:sz w:val="32"/>
          <w:szCs w:val="32"/>
        </w:rPr>
        <w:t>万元，下降</w:t>
      </w:r>
      <w:r>
        <w:rPr>
          <w:rFonts w:hint="eastAsia" w:eastAsia="仿宋_GB2312" w:cs="仿宋_GB2312"/>
          <w:sz w:val="32"/>
          <w:szCs w:val="32"/>
          <w:lang w:val="en-US" w:eastAsia="zh-CN"/>
        </w:rPr>
        <w:t>3.9</w:t>
      </w:r>
      <w:r>
        <w:rPr>
          <w:rFonts w:hint="eastAsia" w:eastAsia="仿宋_GB2312" w:cs="仿宋_GB2312"/>
          <w:sz w:val="32"/>
          <w:szCs w:val="32"/>
        </w:rPr>
        <w:t>%。主要变动原因是</w:t>
      </w:r>
      <w:r>
        <w:rPr>
          <w:rFonts w:hint="eastAsia" w:eastAsia="仿宋_GB2312" w:cs="仿宋_GB2312"/>
          <w:sz w:val="32"/>
          <w:szCs w:val="32"/>
          <w:lang w:val="en-US" w:eastAsia="zh-CN"/>
        </w:rPr>
        <w:t>本年度取消部分项目，导致拨款减少；有职工退休，人员经费</w:t>
      </w:r>
      <w:bookmarkEnd w:id="27"/>
      <w:bookmarkEnd w:id="28"/>
      <w:r>
        <w:rPr>
          <w:rFonts w:hint="eastAsia" w:eastAsia="仿宋_GB2312" w:cs="仿宋_GB2312"/>
          <w:sz w:val="32"/>
          <w:szCs w:val="32"/>
          <w:lang w:val="en-US" w:eastAsia="zh-CN"/>
        </w:rPr>
        <w:t>减少。</w:t>
      </w:r>
    </w:p>
    <w:p w14:paraId="16F17330">
      <w:pPr>
        <w:pStyle w:val="27"/>
        <w:spacing w:line="600" w:lineRule="exact"/>
        <w:ind w:firstLine="640"/>
        <w:outlineLvl w:val="1"/>
        <w:rPr>
          <w:rFonts w:eastAsia="仿宋_GB2312" w:cs="仿宋_GB2312"/>
          <w:sz w:val="32"/>
          <w:szCs w:val="32"/>
        </w:rPr>
      </w:pPr>
      <w:bookmarkStart w:id="29" w:name="_Toc8103"/>
      <w:bookmarkStart w:id="30" w:name="_Toc6987"/>
      <w:r>
        <w:drawing>
          <wp:anchor distT="0" distB="0" distL="114300" distR="114300" simplePos="0" relativeHeight="251661312" behindDoc="0" locked="0" layoutInCell="1" allowOverlap="1">
            <wp:simplePos x="0" y="0"/>
            <wp:positionH relativeFrom="column">
              <wp:posOffset>126365</wp:posOffset>
            </wp:positionH>
            <wp:positionV relativeFrom="paragraph">
              <wp:posOffset>346075</wp:posOffset>
            </wp:positionV>
            <wp:extent cx="4813935" cy="2743200"/>
            <wp:effectExtent l="4445" t="4445" r="10795" b="5080"/>
            <wp:wrapSquare wrapText="bothSides"/>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sz w:val="32"/>
          <w:szCs w:val="32"/>
        </w:rPr>
        <w:t>（图1：收入、支出决算总计变动情况图）（柱状图）</w:t>
      </w:r>
      <w:bookmarkEnd w:id="29"/>
      <w:bookmarkEnd w:id="30"/>
    </w:p>
    <w:p w14:paraId="35233485">
      <w:pPr>
        <w:ind w:firstLine="640" w:firstLineChars="200"/>
        <w:rPr>
          <w:rFonts w:eastAsia="仿宋_GB2312" w:cs="仿宋_GB2312"/>
          <w:sz w:val="32"/>
          <w:szCs w:val="32"/>
        </w:rPr>
      </w:pPr>
    </w:p>
    <w:p w14:paraId="229FE722">
      <w:pPr>
        <w:pStyle w:val="27"/>
        <w:spacing w:line="600" w:lineRule="exact"/>
        <w:ind w:firstLine="640"/>
        <w:outlineLvl w:val="1"/>
        <w:rPr>
          <w:rFonts w:eastAsia="黑体"/>
          <w:sz w:val="32"/>
          <w:szCs w:val="32"/>
        </w:rPr>
      </w:pPr>
      <w:bookmarkStart w:id="31" w:name="_Toc15396604"/>
      <w:bookmarkStart w:id="32" w:name="_Toc15377206"/>
      <w:bookmarkStart w:id="33" w:name="_Toc11989"/>
      <w:r>
        <w:rPr>
          <w:rFonts w:hint="eastAsia" w:eastAsia="黑体"/>
          <w:sz w:val="32"/>
          <w:szCs w:val="32"/>
        </w:rPr>
        <w:t>二、收入决算情况说明</w:t>
      </w:r>
      <w:bookmarkEnd w:id="31"/>
      <w:bookmarkEnd w:id="32"/>
      <w:bookmarkEnd w:id="33"/>
    </w:p>
    <w:p w14:paraId="4489AEB7">
      <w:pPr>
        <w:pStyle w:val="27"/>
        <w:spacing w:line="600" w:lineRule="exact"/>
        <w:ind w:firstLine="640"/>
        <w:outlineLvl w:val="1"/>
        <w:rPr>
          <w:rFonts w:hint="eastAsia" w:eastAsia="仿宋_GB2312" w:cs="仿宋_GB2312"/>
          <w:sz w:val="32"/>
          <w:szCs w:val="32"/>
        </w:rPr>
      </w:pPr>
      <w:bookmarkStart w:id="34" w:name="_Toc32078"/>
      <w:bookmarkStart w:id="35" w:name="_Toc27945"/>
      <w:r>
        <w:drawing>
          <wp:anchor distT="0" distB="0" distL="114300" distR="114300" simplePos="0" relativeHeight="251659264" behindDoc="0" locked="0" layoutInCell="1" allowOverlap="1">
            <wp:simplePos x="0" y="0"/>
            <wp:positionH relativeFrom="column">
              <wp:posOffset>422910</wp:posOffset>
            </wp:positionH>
            <wp:positionV relativeFrom="paragraph">
              <wp:posOffset>1327150</wp:posOffset>
            </wp:positionV>
            <wp:extent cx="4810760" cy="2743200"/>
            <wp:effectExtent l="4445" t="4445" r="13970" b="5080"/>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sz w:val="32"/>
          <w:szCs w:val="32"/>
        </w:rPr>
        <w:t>2025年度本年收入合计</w:t>
      </w:r>
      <w:r>
        <w:rPr>
          <w:rFonts w:hint="eastAsia" w:ascii="仿宋_GB2312" w:hAnsi="仿宋_GB2312" w:eastAsia="仿宋_GB2312" w:cs="仿宋_GB2312"/>
          <w:sz w:val="32"/>
          <w:szCs w:val="32"/>
        </w:rPr>
        <w:t>1028.24</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1028.24</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w:t>
      </w:r>
      <w:bookmarkEnd w:id="34"/>
      <w:bookmarkEnd w:id="35"/>
    </w:p>
    <w:p w14:paraId="000A2E2D">
      <w:pPr>
        <w:pStyle w:val="27"/>
        <w:spacing w:line="600" w:lineRule="exact"/>
        <w:ind w:firstLine="640"/>
        <w:outlineLvl w:val="1"/>
        <w:rPr>
          <w:rFonts w:hint="eastAsia" w:eastAsia="仿宋_GB2312" w:cs="仿宋_GB2312"/>
          <w:sz w:val="32"/>
          <w:szCs w:val="32"/>
        </w:rPr>
      </w:pPr>
    </w:p>
    <w:p w14:paraId="24FADE88">
      <w:pPr>
        <w:pStyle w:val="27"/>
        <w:spacing w:line="600" w:lineRule="exact"/>
        <w:ind w:firstLine="640"/>
        <w:outlineLvl w:val="1"/>
        <w:rPr>
          <w:rFonts w:hint="eastAsia" w:eastAsia="仿宋_GB2312" w:cs="仿宋_GB2312"/>
          <w:sz w:val="32"/>
          <w:szCs w:val="32"/>
        </w:rPr>
      </w:pPr>
    </w:p>
    <w:p w14:paraId="2ECCB946">
      <w:pPr>
        <w:pStyle w:val="27"/>
        <w:spacing w:line="600" w:lineRule="exact"/>
        <w:ind w:firstLine="640"/>
        <w:outlineLvl w:val="1"/>
        <w:rPr>
          <w:rFonts w:hint="eastAsia" w:eastAsia="仿宋_GB2312" w:cs="仿宋_GB2312"/>
          <w:sz w:val="32"/>
          <w:szCs w:val="32"/>
        </w:rPr>
      </w:pPr>
    </w:p>
    <w:p w14:paraId="6CEF71AD">
      <w:pPr>
        <w:pStyle w:val="27"/>
        <w:spacing w:line="600" w:lineRule="exact"/>
        <w:ind w:firstLine="640"/>
        <w:outlineLvl w:val="1"/>
        <w:rPr>
          <w:rFonts w:hint="eastAsia" w:eastAsia="仿宋_GB2312" w:cs="仿宋_GB2312"/>
          <w:sz w:val="32"/>
          <w:szCs w:val="32"/>
        </w:rPr>
      </w:pPr>
    </w:p>
    <w:p w14:paraId="438E894D">
      <w:pPr>
        <w:pStyle w:val="27"/>
        <w:spacing w:line="600" w:lineRule="exact"/>
        <w:ind w:firstLine="640"/>
        <w:outlineLvl w:val="1"/>
        <w:rPr>
          <w:rFonts w:hint="eastAsia" w:eastAsia="仿宋_GB2312" w:cs="仿宋_GB2312"/>
          <w:sz w:val="32"/>
          <w:szCs w:val="32"/>
        </w:rPr>
      </w:pPr>
    </w:p>
    <w:p w14:paraId="26BFC990">
      <w:pPr>
        <w:pStyle w:val="27"/>
        <w:spacing w:line="600" w:lineRule="exact"/>
        <w:ind w:firstLine="640"/>
        <w:outlineLvl w:val="1"/>
        <w:rPr>
          <w:rFonts w:hint="eastAsia" w:eastAsia="仿宋_GB2312" w:cs="仿宋_GB2312"/>
          <w:sz w:val="32"/>
          <w:szCs w:val="32"/>
        </w:rPr>
      </w:pPr>
    </w:p>
    <w:p w14:paraId="0EF89373">
      <w:pPr>
        <w:pStyle w:val="27"/>
        <w:spacing w:line="600" w:lineRule="exact"/>
        <w:ind w:firstLine="640"/>
        <w:outlineLvl w:val="1"/>
        <w:rPr>
          <w:rFonts w:hint="eastAsia" w:eastAsia="仿宋_GB2312" w:cs="仿宋_GB2312"/>
          <w:sz w:val="32"/>
          <w:szCs w:val="32"/>
        </w:rPr>
      </w:pPr>
    </w:p>
    <w:p w14:paraId="605101D8">
      <w:pPr>
        <w:pStyle w:val="27"/>
        <w:spacing w:line="600" w:lineRule="exact"/>
        <w:ind w:firstLine="640"/>
        <w:outlineLvl w:val="1"/>
        <w:rPr>
          <w:rFonts w:hint="eastAsia" w:eastAsia="仿宋_GB2312" w:cs="仿宋_GB2312"/>
          <w:sz w:val="32"/>
          <w:szCs w:val="32"/>
        </w:rPr>
      </w:pPr>
    </w:p>
    <w:p w14:paraId="2FE200BA">
      <w:pPr>
        <w:pStyle w:val="27"/>
        <w:spacing w:line="600" w:lineRule="exact"/>
        <w:ind w:firstLine="640"/>
        <w:outlineLvl w:val="1"/>
        <w:rPr>
          <w:rFonts w:hint="eastAsia" w:eastAsia="仿宋_GB2312" w:cs="仿宋_GB2312"/>
          <w:sz w:val="32"/>
          <w:szCs w:val="32"/>
        </w:rPr>
      </w:pPr>
    </w:p>
    <w:p w14:paraId="5C48075D">
      <w:pPr>
        <w:pStyle w:val="27"/>
        <w:spacing w:line="600" w:lineRule="exact"/>
        <w:ind w:left="0" w:leftChars="0" w:firstLine="0" w:firstLineChars="0"/>
        <w:jc w:val="center"/>
        <w:outlineLvl w:val="1"/>
        <w:rPr>
          <w:rFonts w:eastAsia="仿宋_GB2312" w:cs="仿宋_GB2312"/>
          <w:sz w:val="32"/>
          <w:szCs w:val="32"/>
        </w:rPr>
      </w:pPr>
      <w:bookmarkStart w:id="36" w:name="_Toc21549"/>
      <w:bookmarkStart w:id="37" w:name="_Toc16001"/>
      <w:r>
        <w:rPr>
          <w:rFonts w:hint="eastAsia" w:eastAsia="仿宋_GB2312" w:cs="仿宋_GB2312"/>
          <w:sz w:val="32"/>
          <w:szCs w:val="32"/>
        </w:rPr>
        <w:t>（图2：收入决算结构图）（饼状图）</w:t>
      </w:r>
      <w:bookmarkEnd w:id="36"/>
      <w:bookmarkEnd w:id="37"/>
    </w:p>
    <w:p w14:paraId="2EB65703">
      <w:pPr>
        <w:ind w:firstLine="800" w:firstLineChars="250"/>
        <w:rPr>
          <w:rFonts w:eastAsia="仿宋_GB2312" w:cs="仿宋_GB2312"/>
          <w:sz w:val="32"/>
          <w:szCs w:val="32"/>
        </w:rPr>
      </w:pPr>
    </w:p>
    <w:p w14:paraId="34F0C737">
      <w:pPr>
        <w:pStyle w:val="27"/>
        <w:spacing w:line="600" w:lineRule="exact"/>
        <w:ind w:firstLine="640"/>
        <w:outlineLvl w:val="1"/>
        <w:rPr>
          <w:rStyle w:val="29"/>
          <w:rFonts w:ascii="Times New Roman" w:hAnsi="Times New Roman" w:eastAsia="黑体"/>
          <w:b w:val="0"/>
        </w:rPr>
      </w:pPr>
      <w:bookmarkStart w:id="38" w:name="_Toc15377207"/>
      <w:bookmarkStart w:id="39" w:name="_Toc15396605"/>
      <w:bookmarkStart w:id="40" w:name="_Toc32749"/>
      <w:r>
        <w:rPr>
          <w:rFonts w:hint="eastAsia" w:eastAsia="黑体"/>
          <w:sz w:val="32"/>
          <w:szCs w:val="32"/>
        </w:rPr>
        <w:t>三、支</w:t>
      </w:r>
      <w:r>
        <w:rPr>
          <w:rStyle w:val="29"/>
          <w:rFonts w:hint="eastAsia" w:ascii="Times New Roman" w:hAnsi="Times New Roman" w:eastAsia="黑体"/>
          <w:b w:val="0"/>
        </w:rPr>
        <w:t>出决算情况说明</w:t>
      </w:r>
      <w:bookmarkEnd w:id="38"/>
      <w:bookmarkEnd w:id="39"/>
      <w:bookmarkEnd w:id="40"/>
    </w:p>
    <w:p w14:paraId="5D1FC52D">
      <w:pPr>
        <w:pStyle w:val="27"/>
        <w:spacing w:line="600" w:lineRule="exact"/>
        <w:ind w:firstLine="640"/>
        <w:outlineLvl w:val="1"/>
        <w:rPr>
          <w:rFonts w:eastAsia="仿宋_GB2312" w:cs="仿宋_GB2312"/>
          <w:b/>
          <w:bCs/>
          <w:sz w:val="32"/>
          <w:szCs w:val="32"/>
        </w:rPr>
      </w:pPr>
      <w:bookmarkStart w:id="41" w:name="_Toc15194"/>
      <w:bookmarkStart w:id="42" w:name="_Toc19452"/>
      <w:r>
        <w:rPr>
          <w:rFonts w:hint="eastAsia" w:eastAsia="仿宋_GB2312" w:cs="仿宋_GB2312"/>
          <w:sz w:val="32"/>
          <w:szCs w:val="32"/>
        </w:rPr>
        <w:t>2025年度本年支出合计</w:t>
      </w:r>
      <w:r>
        <w:rPr>
          <w:rFonts w:hint="eastAsia" w:ascii="仿宋_GB2312" w:hAnsi="仿宋_GB2312" w:eastAsia="仿宋_GB2312" w:cs="仿宋_GB2312"/>
          <w:sz w:val="32"/>
          <w:szCs w:val="32"/>
        </w:rPr>
        <w:t>1028.24</w:t>
      </w:r>
      <w:r>
        <w:rPr>
          <w:rFonts w:hint="eastAsia" w:eastAsia="仿宋_GB2312" w:cs="仿宋_GB2312"/>
          <w:sz w:val="32"/>
          <w:szCs w:val="32"/>
        </w:rPr>
        <w:t>万元，其中：基本支出</w:t>
      </w:r>
      <w:r>
        <w:rPr>
          <w:rFonts w:hint="eastAsia" w:ascii="仿宋_GB2312" w:hAnsi="仿宋_GB2312" w:eastAsia="仿宋_GB2312" w:cs="仿宋_GB2312"/>
          <w:sz w:val="32"/>
          <w:szCs w:val="32"/>
        </w:rPr>
        <w:t>929.31</w:t>
      </w:r>
      <w:r>
        <w:rPr>
          <w:rFonts w:hint="eastAsia" w:eastAsia="仿宋_GB2312" w:cs="仿宋_GB2312"/>
          <w:sz w:val="32"/>
          <w:szCs w:val="32"/>
        </w:rPr>
        <w:t>万元，占</w:t>
      </w:r>
      <w:r>
        <w:rPr>
          <w:rFonts w:hint="eastAsia" w:ascii="仿宋_GB2312" w:hAnsi="仿宋_GB2312" w:eastAsia="仿宋_GB2312" w:cs="仿宋_GB2312"/>
          <w:sz w:val="32"/>
          <w:szCs w:val="32"/>
        </w:rPr>
        <w:t>90.</w:t>
      </w:r>
      <w:r>
        <w:rPr>
          <w:rFonts w:hint="eastAsia" w:ascii="仿宋_GB2312" w:hAnsi="仿宋_GB2312" w:eastAsia="仿宋_GB2312" w:cs="仿宋_GB2312"/>
          <w:sz w:val="32"/>
          <w:szCs w:val="32"/>
          <w:lang w:val="en-US" w:eastAsia="zh-CN"/>
        </w:rPr>
        <w:t>4</w:t>
      </w:r>
      <w:r>
        <w:rPr>
          <w:rFonts w:hint="eastAsia" w:eastAsia="仿宋_GB2312" w:cs="仿宋_GB2312"/>
          <w:sz w:val="32"/>
          <w:szCs w:val="32"/>
        </w:rPr>
        <w:t>%；项目支出</w:t>
      </w:r>
      <w:r>
        <w:rPr>
          <w:rFonts w:hint="eastAsia" w:ascii="仿宋_GB2312" w:hAnsi="仿宋_GB2312" w:eastAsia="仿宋_GB2312" w:cs="仿宋_GB2312"/>
          <w:sz w:val="32"/>
          <w:szCs w:val="32"/>
        </w:rPr>
        <w:t>98.94</w:t>
      </w:r>
      <w:r>
        <w:rPr>
          <w:rFonts w:hint="eastAsia" w:eastAsia="仿宋_GB2312" w:cs="仿宋_GB2312"/>
          <w:sz w:val="32"/>
          <w:szCs w:val="32"/>
        </w:rPr>
        <w:t>万元，占</w:t>
      </w:r>
      <w:r>
        <w:rPr>
          <w:rFonts w:hint="eastAsia" w:ascii="仿宋_GB2312" w:hAnsi="仿宋_GB2312" w:eastAsia="仿宋_GB2312" w:cs="仿宋_GB2312"/>
          <w:sz w:val="32"/>
          <w:szCs w:val="32"/>
        </w:rPr>
        <w:t>9.6</w:t>
      </w:r>
      <w:r>
        <w:rPr>
          <w:rFonts w:hint="eastAsia" w:eastAsia="仿宋_GB2312" w:cs="仿宋_GB2312"/>
          <w:sz w:val="32"/>
          <w:szCs w:val="32"/>
        </w:rPr>
        <w:t>%。</w:t>
      </w:r>
      <w:bookmarkEnd w:id="41"/>
      <w:bookmarkEnd w:id="42"/>
    </w:p>
    <w:p w14:paraId="2AAE11A9">
      <w:pPr>
        <w:pStyle w:val="27"/>
        <w:spacing w:line="600" w:lineRule="exact"/>
        <w:ind w:firstLine="640"/>
        <w:outlineLvl w:val="1"/>
        <w:rPr>
          <w:rFonts w:hint="eastAsia" w:eastAsia="仿宋_GB2312" w:cs="仿宋_GB2312"/>
          <w:sz w:val="32"/>
          <w:szCs w:val="32"/>
        </w:rPr>
      </w:pPr>
      <w:r>
        <w:drawing>
          <wp:anchor distT="0" distB="0" distL="114300" distR="114300" simplePos="0" relativeHeight="251660288" behindDoc="0" locked="0" layoutInCell="1" allowOverlap="1">
            <wp:simplePos x="0" y="0"/>
            <wp:positionH relativeFrom="column">
              <wp:posOffset>366395</wp:posOffset>
            </wp:positionH>
            <wp:positionV relativeFrom="paragraph">
              <wp:posOffset>106680</wp:posOffset>
            </wp:positionV>
            <wp:extent cx="4810760" cy="2743200"/>
            <wp:effectExtent l="4445" t="4445" r="13970" b="5080"/>
            <wp:wrapSquare wrapText="bothSides"/>
            <wp:docPr id="4" name="图表 3"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15A29573">
      <w:pPr>
        <w:pStyle w:val="27"/>
        <w:spacing w:line="600" w:lineRule="exact"/>
        <w:ind w:firstLine="640"/>
        <w:outlineLvl w:val="1"/>
        <w:rPr>
          <w:rFonts w:hint="eastAsia" w:eastAsia="仿宋_GB2312" w:cs="仿宋_GB2312"/>
          <w:sz w:val="32"/>
          <w:szCs w:val="32"/>
        </w:rPr>
      </w:pPr>
    </w:p>
    <w:p w14:paraId="07364E30">
      <w:pPr>
        <w:pStyle w:val="27"/>
        <w:spacing w:line="600" w:lineRule="exact"/>
        <w:ind w:firstLine="640"/>
        <w:outlineLvl w:val="1"/>
        <w:rPr>
          <w:rFonts w:hint="eastAsia" w:eastAsia="仿宋_GB2312" w:cs="仿宋_GB2312"/>
          <w:sz w:val="32"/>
          <w:szCs w:val="32"/>
        </w:rPr>
      </w:pPr>
    </w:p>
    <w:p w14:paraId="105E59AE">
      <w:pPr>
        <w:pStyle w:val="27"/>
        <w:spacing w:line="600" w:lineRule="exact"/>
        <w:ind w:firstLine="640"/>
        <w:outlineLvl w:val="1"/>
        <w:rPr>
          <w:rFonts w:hint="eastAsia" w:eastAsia="仿宋_GB2312" w:cs="仿宋_GB2312"/>
          <w:sz w:val="32"/>
          <w:szCs w:val="32"/>
        </w:rPr>
      </w:pPr>
    </w:p>
    <w:p w14:paraId="26A9B05A">
      <w:pPr>
        <w:pStyle w:val="27"/>
        <w:spacing w:line="600" w:lineRule="exact"/>
        <w:ind w:firstLine="640"/>
        <w:outlineLvl w:val="1"/>
        <w:rPr>
          <w:rFonts w:hint="eastAsia" w:eastAsia="仿宋_GB2312" w:cs="仿宋_GB2312"/>
          <w:sz w:val="32"/>
          <w:szCs w:val="32"/>
        </w:rPr>
      </w:pPr>
    </w:p>
    <w:p w14:paraId="2891FF97">
      <w:pPr>
        <w:pStyle w:val="27"/>
        <w:spacing w:line="600" w:lineRule="exact"/>
        <w:ind w:firstLine="640"/>
        <w:outlineLvl w:val="1"/>
        <w:rPr>
          <w:rFonts w:hint="eastAsia" w:eastAsia="仿宋_GB2312" w:cs="仿宋_GB2312"/>
          <w:sz w:val="32"/>
          <w:szCs w:val="32"/>
        </w:rPr>
      </w:pPr>
    </w:p>
    <w:p w14:paraId="33E56435">
      <w:pPr>
        <w:pStyle w:val="27"/>
        <w:spacing w:line="600" w:lineRule="exact"/>
        <w:ind w:firstLine="640"/>
        <w:outlineLvl w:val="1"/>
        <w:rPr>
          <w:rFonts w:hint="eastAsia" w:eastAsia="仿宋_GB2312" w:cs="仿宋_GB2312"/>
          <w:sz w:val="32"/>
          <w:szCs w:val="32"/>
        </w:rPr>
      </w:pPr>
    </w:p>
    <w:p w14:paraId="3E8EDE8E">
      <w:pPr>
        <w:pStyle w:val="27"/>
        <w:spacing w:line="600" w:lineRule="exact"/>
        <w:ind w:firstLine="640"/>
        <w:outlineLvl w:val="1"/>
        <w:rPr>
          <w:rFonts w:hint="eastAsia" w:eastAsia="仿宋_GB2312" w:cs="仿宋_GB2312"/>
          <w:sz w:val="32"/>
          <w:szCs w:val="32"/>
        </w:rPr>
      </w:pPr>
    </w:p>
    <w:p w14:paraId="10A689C1">
      <w:pPr>
        <w:pStyle w:val="27"/>
        <w:spacing w:line="600" w:lineRule="exact"/>
        <w:ind w:firstLine="640"/>
        <w:jc w:val="center"/>
        <w:outlineLvl w:val="1"/>
        <w:rPr>
          <w:rFonts w:eastAsia="仿宋_GB2312" w:cs="仿宋_GB2312"/>
          <w:sz w:val="32"/>
          <w:szCs w:val="32"/>
        </w:rPr>
      </w:pPr>
      <w:bookmarkStart w:id="43" w:name="_Toc16456"/>
      <w:bookmarkStart w:id="44" w:name="_Toc22955"/>
      <w:r>
        <w:rPr>
          <w:rFonts w:hint="eastAsia" w:eastAsia="仿宋_GB2312" w:cs="仿宋_GB2312"/>
          <w:sz w:val="32"/>
          <w:szCs w:val="32"/>
        </w:rPr>
        <w:t>（图3：支出决算结构图）（饼状图）</w:t>
      </w:r>
      <w:bookmarkEnd w:id="43"/>
      <w:bookmarkEnd w:id="44"/>
    </w:p>
    <w:p w14:paraId="06FD9965">
      <w:pPr>
        <w:spacing w:line="600" w:lineRule="exact"/>
        <w:ind w:firstLine="640" w:firstLineChars="200"/>
        <w:outlineLvl w:val="1"/>
        <w:rPr>
          <w:rStyle w:val="29"/>
          <w:rFonts w:ascii="Times New Roman" w:hAnsi="Times New Roman" w:eastAsia="黑体"/>
          <w:b w:val="0"/>
        </w:rPr>
      </w:pPr>
      <w:bookmarkStart w:id="45" w:name="_Toc15396606"/>
      <w:bookmarkStart w:id="46" w:name="_Toc15377208"/>
      <w:bookmarkStart w:id="47" w:name="_Toc23193"/>
      <w:r>
        <w:rPr>
          <w:rFonts w:hint="eastAsia" w:eastAsia="黑体"/>
          <w:sz w:val="32"/>
          <w:szCs w:val="32"/>
        </w:rPr>
        <w:t>四、财</w:t>
      </w:r>
      <w:r>
        <w:rPr>
          <w:rStyle w:val="29"/>
          <w:rFonts w:hint="eastAsia" w:ascii="Times New Roman" w:hAnsi="Times New Roman" w:eastAsia="黑体"/>
          <w:b w:val="0"/>
        </w:rPr>
        <w:t>政拨款收入支出决算总体情况说明</w:t>
      </w:r>
      <w:bookmarkEnd w:id="45"/>
      <w:bookmarkEnd w:id="46"/>
      <w:bookmarkEnd w:id="47"/>
    </w:p>
    <w:p w14:paraId="29A795C9">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1028.24</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41.43</w:t>
      </w:r>
      <w:r>
        <w:rPr>
          <w:rFonts w:hint="eastAsia" w:eastAsia="仿宋_GB2312" w:cs="仿宋_GB2312"/>
          <w:sz w:val="32"/>
          <w:szCs w:val="32"/>
        </w:rPr>
        <w:t>万元，</w:t>
      </w:r>
      <w:r>
        <w:rPr>
          <w:rFonts w:hint="eastAsia" w:eastAsia="仿宋_GB2312" w:cs="仿宋_GB2312"/>
          <w:sz w:val="32"/>
          <w:szCs w:val="32"/>
          <w:highlight w:val="none"/>
        </w:rPr>
        <w:t>下降</w:t>
      </w:r>
      <w:r>
        <w:rPr>
          <w:rFonts w:hint="eastAsia" w:eastAsia="仿宋_GB2312" w:cs="仿宋_GB2312"/>
          <w:sz w:val="32"/>
          <w:szCs w:val="32"/>
          <w:highlight w:val="none"/>
          <w:lang w:val="en-US" w:eastAsia="zh-CN"/>
        </w:rPr>
        <w:t>3.9</w:t>
      </w:r>
      <w:r>
        <w:rPr>
          <w:rFonts w:hint="eastAsia" w:eastAsia="仿宋_GB2312" w:cs="仿宋_GB2312"/>
          <w:sz w:val="32"/>
          <w:szCs w:val="32"/>
          <w:highlight w:val="none"/>
        </w:rPr>
        <w:t>%。主要变动原因是</w:t>
      </w:r>
      <w:r>
        <w:rPr>
          <w:rFonts w:hint="eastAsia" w:eastAsia="仿宋_GB2312" w:cs="仿宋_GB2312"/>
          <w:sz w:val="32"/>
          <w:szCs w:val="32"/>
          <w:lang w:val="en-US" w:eastAsia="zh-CN"/>
        </w:rPr>
        <w:t>本年度取消部分项目，导致拨款减少；有职工退休，人员经费减少。</w:t>
      </w:r>
    </w:p>
    <w:p w14:paraId="6D63B5D2">
      <w:pPr>
        <w:pStyle w:val="2"/>
        <w:rPr>
          <w:rFonts w:hint="eastAsia" w:eastAsia="仿宋_GB2312" w:cs="仿宋_GB2312"/>
          <w:sz w:val="32"/>
          <w:szCs w:val="32"/>
        </w:rPr>
      </w:pPr>
    </w:p>
    <w:p w14:paraId="2EC9571B">
      <w:pPr>
        <w:pStyle w:val="3"/>
      </w:pPr>
      <w:r>
        <w:drawing>
          <wp:inline distT="0" distB="0" distL="114300" distR="114300">
            <wp:extent cx="4813935" cy="2743200"/>
            <wp:effectExtent l="4445" t="4445" r="10795" b="508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2EA92B">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09287F67">
      <w:pPr>
        <w:spacing w:line="600" w:lineRule="exact"/>
        <w:ind w:firstLine="640"/>
        <w:rPr>
          <w:rFonts w:eastAsia="仿宋_GB2312" w:cs="仿宋_GB2312"/>
          <w:sz w:val="32"/>
          <w:szCs w:val="32"/>
        </w:rPr>
      </w:pPr>
    </w:p>
    <w:p w14:paraId="562757E2">
      <w:pPr>
        <w:spacing w:line="600" w:lineRule="exact"/>
        <w:ind w:firstLine="640" w:firstLineChars="200"/>
        <w:outlineLvl w:val="1"/>
        <w:rPr>
          <w:rStyle w:val="29"/>
          <w:rFonts w:ascii="Times New Roman" w:hAnsi="Times New Roman" w:eastAsia="黑体"/>
          <w:b w:val="0"/>
        </w:rPr>
      </w:pPr>
      <w:bookmarkStart w:id="48" w:name="_Toc15396607"/>
      <w:bookmarkStart w:id="49" w:name="_Toc15377209"/>
      <w:bookmarkStart w:id="50" w:name="_Toc8381"/>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48"/>
      <w:bookmarkEnd w:id="49"/>
      <w:bookmarkEnd w:id="50"/>
    </w:p>
    <w:p w14:paraId="3EC191D5">
      <w:pPr>
        <w:spacing w:line="600" w:lineRule="exact"/>
        <w:ind w:firstLine="643" w:firstLineChars="200"/>
        <w:outlineLvl w:val="2"/>
        <w:rPr>
          <w:rFonts w:eastAsia="楷体_GB2312" w:cs="楷体_GB2312"/>
          <w:b/>
          <w:sz w:val="32"/>
          <w:szCs w:val="32"/>
        </w:rPr>
      </w:pPr>
      <w:bookmarkStart w:id="51" w:name="_Toc15377210"/>
      <w:r>
        <w:rPr>
          <w:rFonts w:hint="eastAsia" w:eastAsia="楷体_GB2312" w:cs="楷体_GB2312"/>
          <w:b/>
          <w:sz w:val="32"/>
          <w:szCs w:val="32"/>
        </w:rPr>
        <w:t>（一）一般公共预算财政拨款支出决算总体情况</w:t>
      </w:r>
      <w:bookmarkEnd w:id="51"/>
    </w:p>
    <w:p w14:paraId="695DB153">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1028.24</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41.43</w:t>
      </w:r>
      <w:r>
        <w:rPr>
          <w:rFonts w:hint="eastAsia" w:eastAsia="仿宋_GB2312" w:cs="仿宋_GB2312"/>
          <w:sz w:val="32"/>
          <w:szCs w:val="32"/>
        </w:rPr>
        <w:t>万元，下降</w:t>
      </w:r>
      <w:r>
        <w:rPr>
          <w:rFonts w:hint="eastAsia" w:eastAsia="仿宋_GB2312" w:cs="仿宋_GB2312"/>
          <w:sz w:val="32"/>
          <w:szCs w:val="32"/>
          <w:lang w:val="en-US" w:eastAsia="zh-CN"/>
        </w:rPr>
        <w:t>3.9</w:t>
      </w:r>
      <w:r>
        <w:rPr>
          <w:rFonts w:hint="eastAsia" w:eastAsia="仿宋_GB2312" w:cs="仿宋_GB2312"/>
          <w:sz w:val="32"/>
          <w:szCs w:val="32"/>
        </w:rPr>
        <w:t>%。主要变动原因是</w:t>
      </w:r>
      <w:r>
        <w:rPr>
          <w:rFonts w:hint="eastAsia" w:eastAsia="仿宋_GB2312" w:cs="仿宋_GB2312"/>
          <w:sz w:val="32"/>
          <w:szCs w:val="32"/>
          <w:lang w:val="en-US" w:eastAsia="zh-CN"/>
        </w:rPr>
        <w:t>项目支出减少83.98万元，基本支出增加42.56万元。</w:t>
      </w:r>
    </w:p>
    <w:p w14:paraId="5D1CBC38">
      <w:pPr>
        <w:rPr>
          <w:rFonts w:hint="eastAsia" w:eastAsia="仿宋_GB2312" w:cs="仿宋_GB2312"/>
          <w:sz w:val="32"/>
          <w:szCs w:val="32"/>
          <w:lang w:val="en-US" w:eastAsia="zh-CN"/>
        </w:rPr>
      </w:pPr>
      <w:r>
        <w:drawing>
          <wp:inline distT="0" distB="0" distL="114300" distR="114300">
            <wp:extent cx="4812665" cy="2743200"/>
            <wp:effectExtent l="4445" t="5080" r="12065" b="444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CE3F6A">
      <w:pPr>
        <w:pStyle w:val="3"/>
        <w:ind w:left="0" w:leftChars="0" w:firstLine="0" w:firstLineChars="0"/>
        <w:rPr>
          <w:rFonts w:hint="default"/>
          <w:lang w:val="en-US" w:eastAsia="zh-CN"/>
        </w:rPr>
      </w:pPr>
    </w:p>
    <w:p w14:paraId="6D91F13C">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12DE5706">
      <w:pPr>
        <w:spacing w:line="600" w:lineRule="exact"/>
        <w:ind w:firstLine="640"/>
        <w:rPr>
          <w:rFonts w:eastAsia="仿宋_GB2312" w:cs="仿宋_GB2312"/>
          <w:sz w:val="32"/>
          <w:szCs w:val="32"/>
        </w:rPr>
      </w:pPr>
    </w:p>
    <w:p w14:paraId="210A6522">
      <w:pPr>
        <w:spacing w:line="600" w:lineRule="exact"/>
        <w:ind w:firstLine="643" w:firstLineChars="200"/>
        <w:outlineLvl w:val="2"/>
        <w:rPr>
          <w:rFonts w:eastAsia="楷体_GB2312" w:cs="楷体_GB2312"/>
          <w:b/>
          <w:sz w:val="32"/>
          <w:szCs w:val="32"/>
        </w:rPr>
      </w:pPr>
      <w:bookmarkStart w:id="52" w:name="_Toc15377211"/>
      <w:r>
        <w:rPr>
          <w:rFonts w:hint="eastAsia" w:eastAsia="楷体_GB2312" w:cs="楷体_GB2312"/>
          <w:b/>
          <w:sz w:val="32"/>
          <w:szCs w:val="32"/>
        </w:rPr>
        <w:t>（二）一般公共预算财政拨款支出决算结构情况</w:t>
      </w:r>
      <w:bookmarkEnd w:id="52"/>
    </w:p>
    <w:p w14:paraId="25DC9237">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1028.24</w:t>
      </w:r>
      <w:r>
        <w:rPr>
          <w:rFonts w:hint="eastAsia" w:eastAsia="仿宋_GB2312" w:cs="仿宋_GB2312"/>
          <w:sz w:val="32"/>
          <w:szCs w:val="32"/>
        </w:rPr>
        <w:t>万元，主要用于以下方面：教育支出711.5万元，占</w:t>
      </w:r>
      <w:r>
        <w:rPr>
          <w:rFonts w:hint="eastAsia" w:eastAsia="仿宋_GB2312" w:cs="仿宋_GB2312"/>
          <w:sz w:val="32"/>
          <w:szCs w:val="32"/>
          <w:lang w:val="en-US" w:eastAsia="zh-CN"/>
        </w:rPr>
        <w:t>69.2</w:t>
      </w:r>
      <w:r>
        <w:rPr>
          <w:rFonts w:hint="eastAsia" w:eastAsia="仿宋_GB2312" w:cs="仿宋_GB2312"/>
          <w:sz w:val="32"/>
          <w:szCs w:val="32"/>
        </w:rPr>
        <w:t>%；社会保障和就业支出215.71万元，占</w:t>
      </w:r>
      <w:r>
        <w:rPr>
          <w:rFonts w:hint="eastAsia" w:eastAsia="仿宋_GB2312" w:cs="仿宋_GB2312"/>
          <w:sz w:val="32"/>
          <w:szCs w:val="32"/>
          <w:lang w:val="en-US" w:eastAsia="zh-CN"/>
        </w:rPr>
        <w:t>21</w:t>
      </w:r>
      <w:r>
        <w:rPr>
          <w:rFonts w:hint="eastAsia" w:eastAsia="仿宋_GB2312" w:cs="仿宋_GB2312"/>
          <w:sz w:val="32"/>
          <w:szCs w:val="32"/>
        </w:rPr>
        <w:t>%；卫生健康支出41.09万元，占</w:t>
      </w:r>
      <w:r>
        <w:rPr>
          <w:rFonts w:hint="eastAsia" w:eastAsia="仿宋_GB2312" w:cs="仿宋_GB2312"/>
          <w:sz w:val="32"/>
          <w:szCs w:val="32"/>
          <w:lang w:val="en-US" w:eastAsia="zh-CN"/>
        </w:rPr>
        <w:t>4</w:t>
      </w:r>
      <w:r>
        <w:rPr>
          <w:rFonts w:hint="eastAsia" w:eastAsia="仿宋_GB2312" w:cs="仿宋_GB2312"/>
          <w:sz w:val="32"/>
          <w:szCs w:val="32"/>
        </w:rPr>
        <w:t>%；住房保障支出59.94万元，占</w:t>
      </w:r>
      <w:r>
        <w:rPr>
          <w:rFonts w:hint="eastAsia" w:eastAsia="仿宋_GB2312" w:cs="仿宋_GB2312"/>
          <w:sz w:val="32"/>
          <w:szCs w:val="32"/>
          <w:lang w:val="en-US" w:eastAsia="zh-CN"/>
        </w:rPr>
        <w:t>5.8</w:t>
      </w:r>
      <w:r>
        <w:rPr>
          <w:rFonts w:hint="eastAsia" w:eastAsia="仿宋_GB2312" w:cs="仿宋_GB2312"/>
          <w:sz w:val="32"/>
          <w:szCs w:val="32"/>
        </w:rPr>
        <w:t>%</w:t>
      </w:r>
      <w:r>
        <w:rPr>
          <w:rFonts w:hint="eastAsia" w:eastAsia="仿宋_GB2312" w:cs="仿宋_GB2312"/>
          <w:sz w:val="32"/>
          <w:szCs w:val="32"/>
          <w:lang w:eastAsia="zh-CN"/>
        </w:rPr>
        <w:t>。</w:t>
      </w:r>
    </w:p>
    <w:p w14:paraId="2280B123">
      <w:pPr>
        <w:pStyle w:val="2"/>
        <w:rPr>
          <w:rFonts w:hint="eastAsia" w:eastAsia="仿宋_GB2312" w:cs="仿宋_GB2312"/>
          <w:sz w:val="32"/>
          <w:szCs w:val="32"/>
          <w:lang w:eastAsia="zh-CN"/>
        </w:rPr>
      </w:pPr>
    </w:p>
    <w:p w14:paraId="01953846">
      <w:pPr>
        <w:pStyle w:val="3"/>
        <w:rPr>
          <w:rFonts w:hint="eastAsia"/>
          <w:lang w:eastAsia="zh-CN"/>
        </w:rPr>
      </w:pPr>
      <w:r>
        <w:drawing>
          <wp:inline distT="0" distB="0" distL="114300" distR="114300">
            <wp:extent cx="4812665" cy="2743200"/>
            <wp:effectExtent l="4445" t="5080" r="12065" b="444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33DEF96">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4A7C8BBB">
      <w:pPr>
        <w:spacing w:line="600" w:lineRule="exact"/>
        <w:ind w:firstLine="640"/>
        <w:rPr>
          <w:rFonts w:eastAsia="仿宋_GB2312" w:cs="仿宋_GB2312"/>
          <w:sz w:val="32"/>
          <w:szCs w:val="32"/>
        </w:rPr>
      </w:pPr>
    </w:p>
    <w:p w14:paraId="1483B00F">
      <w:pPr>
        <w:spacing w:line="600" w:lineRule="exact"/>
        <w:ind w:firstLine="643" w:firstLineChars="200"/>
        <w:outlineLvl w:val="2"/>
        <w:rPr>
          <w:rFonts w:eastAsia="楷体_GB2312" w:cs="楷体_GB2312"/>
          <w:b/>
          <w:sz w:val="32"/>
          <w:szCs w:val="32"/>
        </w:rPr>
      </w:pPr>
      <w:bookmarkStart w:id="53" w:name="_Toc15377212"/>
      <w:r>
        <w:rPr>
          <w:rFonts w:hint="eastAsia" w:eastAsia="楷体_GB2312" w:cs="楷体_GB2312"/>
          <w:b/>
          <w:sz w:val="32"/>
          <w:szCs w:val="32"/>
        </w:rPr>
        <w:t>（三）一般公共预算财政拨款支出决算具体情况</w:t>
      </w:r>
      <w:bookmarkEnd w:id="53"/>
    </w:p>
    <w:p w14:paraId="7D81D0EC">
      <w:pPr>
        <w:spacing w:line="600" w:lineRule="exact"/>
        <w:ind w:firstLine="640"/>
        <w:rPr>
          <w:rFonts w:eastAsia="仿宋_GB2312" w:cs="仿宋_GB2312"/>
          <w:sz w:val="32"/>
          <w:szCs w:val="32"/>
        </w:rPr>
      </w:pPr>
      <w:bookmarkStart w:id="54" w:name="_Toc15377213"/>
      <w:bookmarkStart w:id="55" w:name="_Toc15377444"/>
      <w:bookmarkStart w:id="56" w:name="_Toc15378460"/>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1028.24</w:t>
      </w:r>
      <w:r>
        <w:rPr>
          <w:rFonts w:hint="eastAsia" w:ascii="仿宋_GB2312" w:hAnsi="仿宋_GB2312" w:eastAsia="仿宋_GB2312" w:cs="仿宋_GB2312"/>
          <w:sz w:val="32"/>
          <w:szCs w:val="32"/>
          <w:lang w:val="en-US"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54"/>
      <w:bookmarkEnd w:id="55"/>
      <w:bookmarkEnd w:id="56"/>
    </w:p>
    <w:p w14:paraId="2DD576FF">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1.教育（类）教育费附加安排的支出</w:t>
      </w:r>
      <w:r>
        <w:rPr>
          <w:rFonts w:hint="eastAsia" w:eastAsia="仿宋_GB2312" w:cs="仿宋_GB2312"/>
          <w:sz w:val="32"/>
          <w:szCs w:val="32"/>
          <w:lang w:eastAsia="zh-CN"/>
        </w:rPr>
        <w:t>（</w:t>
      </w:r>
      <w:r>
        <w:rPr>
          <w:rFonts w:hint="eastAsia" w:eastAsia="仿宋_GB2312" w:cs="仿宋_GB2312"/>
          <w:sz w:val="32"/>
          <w:szCs w:val="32"/>
        </w:rPr>
        <w:t>款）其他教育费附加安排的支出（项）: 支出决算为</w:t>
      </w:r>
      <w:r>
        <w:rPr>
          <w:rFonts w:hint="eastAsia" w:eastAsia="仿宋_GB2312" w:cs="仿宋_GB2312"/>
          <w:sz w:val="32"/>
          <w:szCs w:val="32"/>
          <w:lang w:val="en-US" w:eastAsia="zh-CN"/>
        </w:rPr>
        <w:t>69.14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24503BBE">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2.教育（类）其他教育支出（款）其他教育支出（项）: 支出决算为642.36万元，完成预算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D46EF4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3.社会保障和就业（类）人力资源和社会保障管理事务（款）其他人力资源和社会保障管理事务支出（项）：支出决算为</w:t>
      </w:r>
      <w:r>
        <w:rPr>
          <w:rFonts w:hint="eastAsia" w:eastAsia="仿宋_GB2312" w:cs="仿宋_GB2312"/>
          <w:sz w:val="32"/>
          <w:szCs w:val="32"/>
          <w:lang w:val="en-US" w:eastAsia="zh-CN"/>
        </w:rPr>
        <w:t>14.6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348C245">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4.社会保障和就业（类）行政事业单位养老支出（款）事业单位离退休（项）：支出决算为105.37万元，完成预算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9B29341">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5.社会保障和就业（类）行政事业单位养老支出（款）机关事业单位基本养老保险缴费支出（项）：支出决算为</w:t>
      </w:r>
      <w:r>
        <w:rPr>
          <w:rFonts w:hint="eastAsia" w:eastAsia="仿宋_GB2312" w:cs="仿宋_GB2312"/>
          <w:sz w:val="32"/>
          <w:szCs w:val="32"/>
          <w:lang w:val="en-US" w:eastAsia="zh-CN"/>
        </w:rPr>
        <w:t>77.85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3F03D7F5">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6</w:t>
      </w:r>
      <w:r>
        <w:rPr>
          <w:rFonts w:hint="eastAsia" w:eastAsia="仿宋_GB2312" w:cs="仿宋_GB2312"/>
          <w:sz w:val="32"/>
          <w:szCs w:val="32"/>
        </w:rPr>
        <w:t>.社会保障和就业（类）行政事业单位养老支出（款）机关事业单位职业年金缴费支出（项）：支出决算为</w:t>
      </w:r>
      <w:r>
        <w:rPr>
          <w:rFonts w:hint="eastAsia" w:eastAsia="仿宋_GB2312" w:cs="仿宋_GB2312"/>
          <w:sz w:val="32"/>
          <w:szCs w:val="32"/>
          <w:lang w:val="en-US" w:eastAsia="zh-CN"/>
        </w:rPr>
        <w:t>17.89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675DDC50">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.卫生健康（类）行政事业单位医疗（款）事业单位医疗（项）：支出决算为</w:t>
      </w:r>
      <w:r>
        <w:rPr>
          <w:rFonts w:hint="eastAsia" w:eastAsia="仿宋_GB2312" w:cs="仿宋_GB2312"/>
          <w:sz w:val="32"/>
          <w:szCs w:val="32"/>
          <w:lang w:val="en-US" w:eastAsia="zh-CN"/>
        </w:rPr>
        <w:t>37.46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23F392F">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8</w:t>
      </w:r>
      <w:r>
        <w:rPr>
          <w:rFonts w:hint="eastAsia" w:eastAsia="仿宋_GB2312" w:cs="仿宋_GB2312"/>
          <w:sz w:val="32"/>
          <w:szCs w:val="32"/>
        </w:rPr>
        <w:t>.卫生健康（类）行政事业单位医疗（款）公务员医疗补助（项）：支出决算为</w:t>
      </w:r>
      <w:r>
        <w:rPr>
          <w:rFonts w:hint="eastAsia" w:eastAsia="仿宋_GB2312" w:cs="仿宋_GB2312"/>
          <w:sz w:val="32"/>
          <w:szCs w:val="32"/>
          <w:lang w:val="en-US" w:eastAsia="zh-CN"/>
        </w:rPr>
        <w:t>3.63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3CC65EE">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9</w:t>
      </w:r>
      <w:r>
        <w:rPr>
          <w:rFonts w:hint="eastAsia" w:eastAsia="仿宋_GB2312" w:cs="仿宋_GB2312"/>
          <w:sz w:val="32"/>
          <w:szCs w:val="32"/>
        </w:rPr>
        <w:t>.住房保障支出（类）住房改革支出（款）住房公积金（项）：支出决算为</w:t>
      </w:r>
      <w:r>
        <w:rPr>
          <w:rFonts w:hint="eastAsia" w:eastAsia="仿宋_GB2312" w:cs="仿宋_GB2312"/>
          <w:sz w:val="32"/>
          <w:szCs w:val="32"/>
          <w:lang w:val="en-US" w:eastAsia="zh-CN"/>
        </w:rPr>
        <w:t>59.94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48DED9B">
      <w:pPr>
        <w:pStyle w:val="2"/>
      </w:pPr>
    </w:p>
    <w:p w14:paraId="3054CC35">
      <w:pPr>
        <w:tabs>
          <w:tab w:val="right" w:pos="8306"/>
        </w:tabs>
        <w:spacing w:line="600" w:lineRule="exact"/>
        <w:ind w:firstLine="640"/>
        <w:outlineLvl w:val="1"/>
        <w:rPr>
          <w:rStyle w:val="29"/>
          <w:rFonts w:ascii="Times New Roman" w:hAnsi="Times New Roman"/>
        </w:rPr>
      </w:pPr>
      <w:bookmarkStart w:id="57" w:name="_Toc15377214"/>
      <w:bookmarkStart w:id="58" w:name="_Toc15396608"/>
      <w:bookmarkStart w:id="59" w:name="_Toc31866"/>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57"/>
      <w:bookmarkEnd w:id="58"/>
      <w:bookmarkEnd w:id="59"/>
      <w:r>
        <w:rPr>
          <w:rStyle w:val="29"/>
          <w:rFonts w:ascii="Times New Roman" w:hAnsi="Times New Roman" w:eastAsia="黑体"/>
          <w:b w:val="0"/>
        </w:rPr>
        <w:tab/>
      </w:r>
    </w:p>
    <w:p w14:paraId="3E3F2579">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929.31</w:t>
      </w:r>
      <w:r>
        <w:rPr>
          <w:rFonts w:hint="eastAsia" w:eastAsia="仿宋_GB2312" w:cs="仿宋_GB2312"/>
          <w:sz w:val="32"/>
          <w:szCs w:val="32"/>
        </w:rPr>
        <w:t>万元，其中：</w:t>
      </w:r>
    </w:p>
    <w:p w14:paraId="732CD69F">
      <w:pPr>
        <w:spacing w:line="600" w:lineRule="exact"/>
        <w:ind w:firstLine="640"/>
        <w:rPr>
          <w:rFonts w:hint="eastAsia"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880.84</w:t>
      </w:r>
      <w:r>
        <w:rPr>
          <w:rFonts w:hint="eastAsia" w:eastAsia="仿宋_GB2312" w:cs="仿宋_GB2312"/>
          <w:sz w:val="32"/>
          <w:szCs w:val="32"/>
        </w:rPr>
        <w:t>万元，主要包括：基本工资、津贴补贴、绩效工资、机关事业单位基本养老保险缴费、职业年金缴费、其他社会保障缴费、生活补助、医疗费补助、住房公积金、其他对个人和家庭的补助支出等。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48.46</w:t>
      </w:r>
      <w:r>
        <w:rPr>
          <w:rFonts w:hint="eastAsia" w:eastAsia="仿宋_GB2312" w:cs="仿宋_GB2312"/>
          <w:sz w:val="32"/>
          <w:szCs w:val="32"/>
        </w:rPr>
        <w:t>万元，主要包括：办公费、水费、电费、邮电费、物业管理费、差旅费、维修（护）费、培训费、公务接待费、劳务费、工会经费、福利费、公务用车运行维护费、其他交通费、其他商品和服务支出、办公设备购置等。</w:t>
      </w:r>
    </w:p>
    <w:p w14:paraId="5114DFAB">
      <w:pPr>
        <w:pStyle w:val="2"/>
      </w:pPr>
    </w:p>
    <w:p w14:paraId="4A2DA416">
      <w:pPr>
        <w:spacing w:line="600" w:lineRule="exact"/>
        <w:ind w:firstLine="640"/>
        <w:outlineLvl w:val="1"/>
        <w:rPr>
          <w:rStyle w:val="29"/>
          <w:rFonts w:ascii="Times New Roman" w:hAnsi="Times New Roman" w:eastAsia="黑体"/>
          <w:b w:val="0"/>
        </w:rPr>
      </w:pPr>
      <w:bookmarkStart w:id="60" w:name="_Toc15377215"/>
      <w:bookmarkStart w:id="61" w:name="_Toc15396609"/>
      <w:bookmarkStart w:id="62" w:name="_Toc101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60"/>
      <w:bookmarkEnd w:id="61"/>
      <w:bookmarkEnd w:id="62"/>
    </w:p>
    <w:p w14:paraId="738EF4E5">
      <w:pPr>
        <w:spacing w:line="600" w:lineRule="exact"/>
        <w:ind w:firstLine="643" w:firstLineChars="200"/>
        <w:outlineLvl w:val="2"/>
        <w:rPr>
          <w:rFonts w:eastAsia="楷体_GB2312" w:cs="楷体_GB2312"/>
          <w:b/>
          <w:sz w:val="32"/>
          <w:szCs w:val="32"/>
        </w:rPr>
      </w:pPr>
      <w:bookmarkStart w:id="63" w:name="_Toc15377216"/>
      <w:r>
        <w:rPr>
          <w:rFonts w:hint="eastAsia" w:eastAsia="楷体_GB2312" w:cs="楷体_GB2312"/>
          <w:b/>
          <w:sz w:val="32"/>
          <w:szCs w:val="32"/>
        </w:rPr>
        <w:t>（一）财政拨款“三公”经费支出决算总体情况说明</w:t>
      </w:r>
      <w:bookmarkEnd w:id="63"/>
    </w:p>
    <w:p w14:paraId="3DE9FF13">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1.32</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%，较上年度增加</w:t>
      </w:r>
      <w:r>
        <w:rPr>
          <w:rFonts w:hint="eastAsia" w:eastAsia="仿宋_GB2312" w:cs="仿宋_GB2312"/>
          <w:sz w:val="32"/>
          <w:szCs w:val="32"/>
          <w:lang w:val="en-US" w:eastAsia="zh-CN"/>
        </w:rPr>
        <w:t>0.07</w:t>
      </w:r>
      <w:r>
        <w:rPr>
          <w:rFonts w:hint="eastAsia" w:eastAsia="仿宋_GB2312" w:cs="仿宋_GB2312"/>
          <w:sz w:val="32"/>
          <w:szCs w:val="32"/>
        </w:rPr>
        <w:t>万元，增长</w:t>
      </w:r>
      <w:r>
        <w:rPr>
          <w:rFonts w:hint="eastAsia" w:eastAsia="仿宋_GB2312" w:cs="仿宋_GB2312"/>
          <w:sz w:val="32"/>
          <w:szCs w:val="32"/>
          <w:lang w:val="en-US" w:eastAsia="zh-CN"/>
        </w:rPr>
        <w:t>5.6</w:t>
      </w:r>
      <w:r>
        <w:rPr>
          <w:rFonts w:hint="eastAsia" w:eastAsia="仿宋_GB2312" w:cs="仿宋_GB2312"/>
          <w:sz w:val="32"/>
          <w:szCs w:val="32"/>
        </w:rPr>
        <w:t>%。决算数与预算数持平</w:t>
      </w:r>
      <w:r>
        <w:rPr>
          <w:rFonts w:hint="eastAsia" w:eastAsia="仿宋_GB2312" w:cs="仿宋_GB2312"/>
          <w:sz w:val="32"/>
          <w:szCs w:val="32"/>
          <w:lang w:eastAsia="zh-CN"/>
        </w:rPr>
        <w:t>。</w:t>
      </w:r>
    </w:p>
    <w:p w14:paraId="749DE071">
      <w:pPr>
        <w:spacing w:line="600" w:lineRule="exact"/>
        <w:ind w:firstLine="643" w:firstLineChars="200"/>
        <w:outlineLvl w:val="2"/>
        <w:rPr>
          <w:rFonts w:eastAsia="楷体_GB2312" w:cs="楷体_GB2312"/>
          <w:b/>
          <w:sz w:val="32"/>
          <w:szCs w:val="32"/>
        </w:rPr>
      </w:pPr>
      <w:bookmarkStart w:id="64" w:name="_Toc15377217"/>
      <w:r>
        <w:rPr>
          <w:rFonts w:hint="eastAsia" w:eastAsia="楷体_GB2312" w:cs="楷体_GB2312"/>
          <w:b/>
          <w:sz w:val="32"/>
          <w:szCs w:val="32"/>
        </w:rPr>
        <w:t>（二）财政拨款“三公”经费支出决算具体情况说明</w:t>
      </w:r>
      <w:bookmarkEnd w:id="64"/>
    </w:p>
    <w:p w14:paraId="32782DE4">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ascii="仿宋_GB2312" w:hAnsi="仿宋_GB2312" w:eastAsia="仿宋_GB2312" w:cs="仿宋_GB2312"/>
          <w:sz w:val="32"/>
          <w:szCs w:val="32"/>
        </w:rPr>
        <w:t>1.13</w:t>
      </w:r>
      <w:r>
        <w:rPr>
          <w:rFonts w:hint="eastAsia" w:eastAsia="仿宋_GB2312" w:cs="仿宋_GB2312"/>
          <w:sz w:val="32"/>
          <w:szCs w:val="32"/>
        </w:rPr>
        <w:t>万元，占</w:t>
      </w:r>
      <w:r>
        <w:rPr>
          <w:rFonts w:hint="eastAsia" w:eastAsia="仿宋_GB2312" w:cs="仿宋_GB2312"/>
          <w:sz w:val="32"/>
          <w:szCs w:val="32"/>
          <w:lang w:val="en-US" w:eastAsia="zh-CN"/>
        </w:rPr>
        <w:t>85.6</w:t>
      </w:r>
      <w:r>
        <w:rPr>
          <w:rFonts w:hint="eastAsia" w:eastAsia="仿宋_GB2312" w:cs="仿宋_GB2312"/>
          <w:sz w:val="32"/>
          <w:szCs w:val="32"/>
        </w:rPr>
        <w:t>%；公务接待费支出决算</w:t>
      </w:r>
      <w:r>
        <w:rPr>
          <w:rFonts w:hint="eastAsia" w:ascii="仿宋_GB2312" w:hAnsi="仿宋_GB2312" w:eastAsia="仿宋_GB2312" w:cs="仿宋_GB2312"/>
          <w:sz w:val="32"/>
          <w:szCs w:val="32"/>
        </w:rPr>
        <w:t>0.19</w:t>
      </w:r>
      <w:r>
        <w:rPr>
          <w:rFonts w:hint="eastAsia" w:eastAsia="仿宋_GB2312" w:cs="仿宋_GB2312"/>
          <w:sz w:val="32"/>
          <w:szCs w:val="32"/>
        </w:rPr>
        <w:t>万元，占</w:t>
      </w:r>
      <w:r>
        <w:rPr>
          <w:rFonts w:hint="eastAsia" w:eastAsia="仿宋_GB2312" w:cs="仿宋_GB2312"/>
          <w:sz w:val="32"/>
          <w:szCs w:val="32"/>
          <w:lang w:val="en-US" w:eastAsia="zh-CN"/>
        </w:rPr>
        <w:t>14.4</w:t>
      </w:r>
      <w:r>
        <w:rPr>
          <w:rFonts w:hint="eastAsia" w:eastAsia="仿宋_GB2312" w:cs="仿宋_GB2312"/>
          <w:sz w:val="32"/>
          <w:szCs w:val="32"/>
        </w:rPr>
        <w:t>%。具体情况如下：</w:t>
      </w:r>
    </w:p>
    <w:p w14:paraId="1A0869B5">
      <w:r>
        <w:drawing>
          <wp:inline distT="0" distB="0" distL="114300" distR="114300">
            <wp:extent cx="4813300" cy="2743200"/>
            <wp:effectExtent l="4445" t="5080" r="11430" b="444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EF7ABD">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6C7B6D59">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与2024年持平</w:t>
      </w:r>
      <w:r>
        <w:rPr>
          <w:rFonts w:hint="eastAsia" w:eastAsia="仿宋_GB2312" w:cs="仿宋_GB2312"/>
          <w:sz w:val="32"/>
          <w:szCs w:val="32"/>
        </w:rPr>
        <w:t>。</w:t>
      </w:r>
    </w:p>
    <w:p w14:paraId="11E9BE92">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开支内容包括：</w:t>
      </w:r>
      <w:r>
        <w:rPr>
          <w:rFonts w:hint="eastAsia" w:eastAsia="仿宋_GB2312" w:cs="仿宋_GB2312"/>
          <w:sz w:val="32"/>
          <w:szCs w:val="32"/>
          <w:lang w:val="en-US" w:eastAsia="zh-CN"/>
        </w:rPr>
        <w:t>无。</w:t>
      </w:r>
    </w:p>
    <w:p w14:paraId="3984FE61">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1.13</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w:t>
      </w:r>
      <w:r>
        <w:rPr>
          <w:rFonts w:hint="eastAsia" w:eastAsia="仿宋_GB2312" w:cs="仿宋_GB2312"/>
          <w:sz w:val="32"/>
          <w:szCs w:val="32"/>
          <w:lang w:val="en-US" w:eastAsia="zh-CN"/>
        </w:rPr>
        <w:t>0.02</w:t>
      </w:r>
      <w:r>
        <w:rPr>
          <w:rFonts w:hint="eastAsia" w:eastAsia="仿宋_GB2312" w:cs="仿宋_GB2312"/>
          <w:sz w:val="32"/>
          <w:szCs w:val="32"/>
        </w:rPr>
        <w:t>万元，增长</w:t>
      </w:r>
      <w:r>
        <w:rPr>
          <w:rFonts w:hint="eastAsia" w:eastAsia="仿宋_GB2312" w:cs="仿宋_GB2312"/>
          <w:sz w:val="32"/>
          <w:szCs w:val="32"/>
          <w:lang w:val="en-US" w:eastAsia="zh-CN"/>
        </w:rPr>
        <w:t>1.8</w:t>
      </w:r>
      <w:r>
        <w:rPr>
          <w:rFonts w:hint="eastAsia" w:eastAsia="仿宋_GB2312" w:cs="仿宋_GB2312"/>
          <w:sz w:val="32"/>
          <w:szCs w:val="32"/>
        </w:rPr>
        <w:t>%。主要原因是</w:t>
      </w:r>
      <w:r>
        <w:rPr>
          <w:rFonts w:hint="eastAsia" w:eastAsia="仿宋_GB2312" w:cs="仿宋_GB2312"/>
          <w:sz w:val="32"/>
          <w:szCs w:val="32"/>
          <w:lang w:val="en-US" w:eastAsia="zh-CN"/>
        </w:rPr>
        <w:t>公车运行维护费增加。</w:t>
      </w:r>
    </w:p>
    <w:p w14:paraId="39C3C19D">
      <w:pPr>
        <w:spacing w:line="600" w:lineRule="exact"/>
        <w:ind w:firstLine="640"/>
        <w:rPr>
          <w:rFonts w:hint="eastAsia"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w:t>
      </w:r>
    </w:p>
    <w:p w14:paraId="60F38BD9">
      <w:pPr>
        <w:spacing w:line="600" w:lineRule="exact"/>
        <w:ind w:firstLine="640"/>
        <w:rPr>
          <w:rFonts w:eastAsia="仿宋_GB2312" w:cs="仿宋_GB2312"/>
          <w:sz w:val="32"/>
          <w:szCs w:val="32"/>
        </w:rPr>
      </w:pP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0</w:t>
      </w:r>
      <w:r>
        <w:rPr>
          <w:rFonts w:hint="eastAsia" w:eastAsia="仿宋_GB2312" w:cs="仿宋_GB2312"/>
          <w:sz w:val="32"/>
          <w:szCs w:val="32"/>
        </w:rPr>
        <w:t>辆、载客汽车</w:t>
      </w:r>
      <w:r>
        <w:rPr>
          <w:rFonts w:hint="eastAsia" w:eastAsia="仿宋_GB2312" w:cs="仿宋_GB2312"/>
          <w:sz w:val="32"/>
          <w:szCs w:val="32"/>
          <w:lang w:val="en-US" w:eastAsia="zh-CN"/>
        </w:rPr>
        <w:t>1</w:t>
      </w:r>
      <w:r>
        <w:rPr>
          <w:rFonts w:hint="eastAsia" w:eastAsia="仿宋_GB2312" w:cs="仿宋_GB2312"/>
          <w:sz w:val="32"/>
          <w:szCs w:val="32"/>
        </w:rPr>
        <w:t>辆。</w:t>
      </w:r>
    </w:p>
    <w:p w14:paraId="6B3B8925">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1.13</w:t>
      </w:r>
      <w:r>
        <w:rPr>
          <w:rFonts w:hint="eastAsia" w:eastAsia="仿宋_GB2312" w:cs="仿宋_GB2312"/>
          <w:sz w:val="32"/>
          <w:szCs w:val="32"/>
        </w:rPr>
        <w:t>万元。主要用于</w:t>
      </w:r>
      <w:r>
        <w:rPr>
          <w:rFonts w:hint="eastAsia" w:eastAsia="仿宋_GB2312" w:cs="仿宋_GB2312"/>
          <w:sz w:val="32"/>
          <w:szCs w:val="32"/>
          <w:lang w:val="en-US" w:eastAsia="zh-CN"/>
        </w:rPr>
        <w:t>职工集体工作</w:t>
      </w:r>
      <w:r>
        <w:rPr>
          <w:rFonts w:hint="eastAsia" w:eastAsia="仿宋_GB2312" w:cs="仿宋_GB2312"/>
          <w:sz w:val="32"/>
          <w:szCs w:val="32"/>
        </w:rPr>
        <w:t>所需的公务用车燃料费、维修费、过路过桥费、保险费等支出。</w:t>
      </w:r>
    </w:p>
    <w:p w14:paraId="20FEB85E">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0.19</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0.05</w:t>
      </w:r>
      <w:r>
        <w:rPr>
          <w:rFonts w:hint="eastAsia" w:eastAsia="仿宋_GB2312" w:cs="仿宋_GB2312"/>
          <w:sz w:val="32"/>
          <w:szCs w:val="32"/>
        </w:rPr>
        <w:t>万元，增长</w:t>
      </w:r>
      <w:r>
        <w:rPr>
          <w:rFonts w:hint="eastAsia" w:eastAsia="仿宋_GB2312" w:cs="仿宋_GB2312"/>
          <w:sz w:val="32"/>
          <w:szCs w:val="32"/>
          <w:lang w:val="en-US" w:eastAsia="zh-CN"/>
        </w:rPr>
        <w:t>26.3</w:t>
      </w:r>
      <w:r>
        <w:rPr>
          <w:rFonts w:hint="eastAsia" w:eastAsia="仿宋_GB2312" w:cs="仿宋_GB2312"/>
          <w:sz w:val="32"/>
          <w:szCs w:val="32"/>
        </w:rPr>
        <w:t>%。主要原因是</w:t>
      </w:r>
      <w:r>
        <w:rPr>
          <w:rFonts w:hint="eastAsia" w:eastAsia="仿宋_GB2312" w:cs="仿宋_GB2312"/>
          <w:sz w:val="32"/>
          <w:szCs w:val="32"/>
          <w:lang w:val="en-US" w:eastAsia="zh-CN"/>
        </w:rPr>
        <w:t>为加强行业交流与合作，接待了上级部门调研</w:t>
      </w:r>
      <w:r>
        <w:rPr>
          <w:rFonts w:hint="eastAsia" w:eastAsia="仿宋_GB2312" w:cs="仿宋_GB2312"/>
          <w:sz w:val="32"/>
          <w:szCs w:val="32"/>
        </w:rPr>
        <w:t>。其中：</w:t>
      </w:r>
    </w:p>
    <w:p w14:paraId="086CAD8A">
      <w:pPr>
        <w:spacing w:line="600" w:lineRule="exact"/>
        <w:ind w:firstLine="640"/>
        <w:rPr>
          <w:rFonts w:eastAsia="仿宋_GB2312" w:cs="仿宋_GB2312"/>
          <w:sz w:val="32"/>
          <w:szCs w:val="32"/>
          <w:highlight w:val="none"/>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0.19</w:t>
      </w:r>
      <w:r>
        <w:rPr>
          <w:rFonts w:hint="eastAsia" w:eastAsia="仿宋_GB2312" w:cs="仿宋_GB2312"/>
          <w:sz w:val="32"/>
          <w:szCs w:val="32"/>
        </w:rPr>
        <w:t>万元，主要用于上级部门来攀调研指导的用餐费。国内公务接待</w:t>
      </w:r>
      <w:r>
        <w:rPr>
          <w:rFonts w:hint="eastAsia" w:ascii="仿宋_GB2312" w:hAnsi="仿宋_GB2312" w:eastAsia="仿宋_GB2312" w:cs="仿宋_GB2312"/>
          <w:sz w:val="32"/>
          <w:szCs w:val="32"/>
        </w:rPr>
        <w:t>2</w:t>
      </w:r>
      <w:r>
        <w:rPr>
          <w:rFonts w:hint="eastAsia" w:eastAsia="仿宋_GB2312" w:cs="仿宋_GB2312"/>
          <w:sz w:val="32"/>
          <w:szCs w:val="32"/>
        </w:rPr>
        <w:t>批次，</w:t>
      </w:r>
      <w:r>
        <w:rPr>
          <w:rFonts w:hint="eastAsia" w:ascii="仿宋_GB2312" w:hAnsi="仿宋_GB2312" w:eastAsia="仿宋_GB2312" w:cs="仿宋_GB2312"/>
          <w:sz w:val="32"/>
          <w:szCs w:val="32"/>
          <w:lang w:val="en-US" w:eastAsia="zh-CN"/>
        </w:rPr>
        <w:t>9</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0.19</w:t>
      </w:r>
      <w:r>
        <w:rPr>
          <w:rFonts w:hint="eastAsia" w:eastAsia="仿宋_GB2312" w:cs="仿宋_GB2312"/>
          <w:sz w:val="32"/>
          <w:szCs w:val="32"/>
        </w:rPr>
        <w:t>万元，</w:t>
      </w:r>
      <w:r>
        <w:rPr>
          <w:rFonts w:hint="eastAsia" w:eastAsia="仿宋_GB2312" w:cs="仿宋_GB2312"/>
          <w:sz w:val="32"/>
          <w:szCs w:val="32"/>
          <w:highlight w:val="none"/>
        </w:rPr>
        <w:t>具体内容包括：</w:t>
      </w:r>
      <w:r>
        <w:rPr>
          <w:rFonts w:hint="eastAsia" w:eastAsia="仿宋_GB2312" w:cs="仿宋_GB2312"/>
          <w:sz w:val="32"/>
          <w:szCs w:val="32"/>
          <w:highlight w:val="none"/>
          <w:lang w:val="en-US" w:eastAsia="zh-CN"/>
        </w:rPr>
        <w:t>1.2025年4月</w:t>
      </w:r>
      <w:r>
        <w:rPr>
          <w:rFonts w:hint="eastAsia"/>
          <w:sz w:val="30"/>
          <w:szCs w:val="30"/>
          <w:highlight w:val="none"/>
          <w:lang w:eastAsia="zh-CN"/>
        </w:rPr>
        <w:t>省教育科学研究院莅攀考察教研工作</w:t>
      </w:r>
      <w:r>
        <w:rPr>
          <w:rFonts w:hint="eastAsia"/>
          <w:sz w:val="30"/>
          <w:szCs w:val="30"/>
          <w:highlight w:val="none"/>
          <w:lang w:val="en-US" w:eastAsia="zh-CN"/>
        </w:rPr>
        <w:t>0.1万元；2.</w:t>
      </w:r>
      <w:r>
        <w:rPr>
          <w:rFonts w:hint="eastAsia" w:eastAsia="仿宋_GB2312" w:cs="仿宋_GB2312"/>
          <w:sz w:val="32"/>
          <w:szCs w:val="32"/>
          <w:highlight w:val="none"/>
          <w:lang w:val="en-US" w:eastAsia="zh-CN"/>
        </w:rPr>
        <w:t>2025年7月</w:t>
      </w:r>
      <w:r>
        <w:rPr>
          <w:rFonts w:hint="eastAsia"/>
          <w:sz w:val="30"/>
          <w:szCs w:val="30"/>
          <w:highlight w:val="none"/>
          <w:lang w:eastAsia="zh-CN"/>
        </w:rPr>
        <w:t>省教育科学研究院莅攀考察科研工作</w:t>
      </w:r>
      <w:r>
        <w:rPr>
          <w:rFonts w:hint="eastAsia"/>
          <w:sz w:val="30"/>
          <w:szCs w:val="30"/>
          <w:highlight w:val="none"/>
          <w:lang w:val="en-US" w:eastAsia="zh-CN"/>
        </w:rPr>
        <w:t>0.09万元</w:t>
      </w:r>
      <w:r>
        <w:rPr>
          <w:rFonts w:hint="eastAsia" w:eastAsia="仿宋_GB2312" w:cs="仿宋_GB2312"/>
          <w:sz w:val="32"/>
          <w:szCs w:val="32"/>
          <w:highlight w:val="none"/>
        </w:rPr>
        <w:t>。</w:t>
      </w:r>
    </w:p>
    <w:p w14:paraId="288FDD66">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0090E177">
      <w:pPr>
        <w:spacing w:line="600" w:lineRule="exact"/>
        <w:ind w:firstLine="640"/>
        <w:rPr>
          <w:rFonts w:eastAsia="仿宋_GB2312" w:cs="仿宋_GB2312"/>
          <w:sz w:val="32"/>
          <w:szCs w:val="32"/>
        </w:rPr>
      </w:pPr>
      <w:bookmarkStart w:id="65" w:name="_Toc15396610"/>
      <w:bookmarkStart w:id="66" w:name="_Toc15377218"/>
    </w:p>
    <w:p w14:paraId="66104A69">
      <w:pPr>
        <w:spacing w:line="600" w:lineRule="exact"/>
        <w:ind w:firstLine="640"/>
        <w:outlineLvl w:val="1"/>
        <w:rPr>
          <w:rStyle w:val="29"/>
          <w:rFonts w:ascii="Times New Roman" w:hAnsi="Times New Roman" w:eastAsia="黑体"/>
        </w:rPr>
      </w:pPr>
      <w:bookmarkStart w:id="67" w:name="_Toc28091"/>
      <w:r>
        <w:rPr>
          <w:rFonts w:hint="eastAsia" w:eastAsia="黑体"/>
          <w:sz w:val="32"/>
          <w:szCs w:val="32"/>
        </w:rPr>
        <w:t>八、</w:t>
      </w:r>
      <w:r>
        <w:rPr>
          <w:rStyle w:val="29"/>
          <w:rFonts w:hint="eastAsia" w:ascii="Times New Roman" w:hAnsi="Times New Roman" w:eastAsia="黑体"/>
          <w:b w:val="0"/>
        </w:rPr>
        <w:t>政府性基金预算支出决算情况说明</w:t>
      </w:r>
      <w:bookmarkEnd w:id="65"/>
      <w:bookmarkEnd w:id="66"/>
      <w:bookmarkEnd w:id="67"/>
    </w:p>
    <w:p w14:paraId="5F6B9DB7">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%。支出数与上年持平</w:t>
      </w:r>
      <w:r>
        <w:rPr>
          <w:rFonts w:hint="eastAsia" w:eastAsia="仿宋_GB2312" w:cs="仿宋_GB2312"/>
          <w:sz w:val="32"/>
          <w:szCs w:val="32"/>
          <w:lang w:eastAsia="zh-CN"/>
        </w:rPr>
        <w:t>。</w:t>
      </w:r>
    </w:p>
    <w:p w14:paraId="540DD1D9">
      <w:pPr>
        <w:spacing w:line="600" w:lineRule="exact"/>
        <w:ind w:firstLine="640"/>
        <w:rPr>
          <w:rFonts w:hint="eastAsia" w:eastAsia="仿宋_GB2312" w:cs="仿宋_GB2312"/>
          <w:sz w:val="32"/>
          <w:szCs w:val="32"/>
        </w:rPr>
      </w:pPr>
    </w:p>
    <w:p w14:paraId="38151EF1">
      <w:pPr>
        <w:spacing w:line="600" w:lineRule="exact"/>
        <w:ind w:left="630"/>
        <w:outlineLvl w:val="1"/>
        <w:rPr>
          <w:rStyle w:val="29"/>
          <w:rFonts w:ascii="Times New Roman" w:hAnsi="Times New Roman" w:eastAsia="黑体"/>
          <w:b w:val="0"/>
        </w:rPr>
      </w:pPr>
      <w:bookmarkStart w:id="68" w:name="_Toc15396611"/>
      <w:bookmarkStart w:id="69" w:name="_Toc15377219"/>
      <w:bookmarkStart w:id="70" w:name="_Toc32353"/>
      <w:r>
        <w:rPr>
          <w:rStyle w:val="29"/>
          <w:rFonts w:hint="eastAsia" w:ascii="Times New Roman" w:hAnsi="Times New Roman" w:eastAsia="黑体"/>
          <w:b w:val="0"/>
        </w:rPr>
        <w:t>九、国有资本经营预算支出决算情况说明</w:t>
      </w:r>
      <w:bookmarkEnd w:id="68"/>
      <w:bookmarkEnd w:id="69"/>
      <w:bookmarkEnd w:id="70"/>
    </w:p>
    <w:p w14:paraId="0C6D500F">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%。支出数与上年持平</w:t>
      </w:r>
      <w:r>
        <w:rPr>
          <w:rFonts w:hint="eastAsia" w:eastAsia="仿宋_GB2312" w:cs="仿宋_GB2312"/>
          <w:sz w:val="32"/>
          <w:szCs w:val="32"/>
          <w:lang w:eastAsia="zh-CN"/>
        </w:rPr>
        <w:t>。</w:t>
      </w:r>
    </w:p>
    <w:p w14:paraId="210D5632">
      <w:pPr>
        <w:spacing w:line="600" w:lineRule="exact"/>
        <w:ind w:firstLine="640"/>
        <w:rPr>
          <w:rFonts w:eastAsia="仿宋_GB2312" w:cs="仿宋_GB2312"/>
          <w:sz w:val="32"/>
          <w:szCs w:val="32"/>
        </w:rPr>
      </w:pPr>
    </w:p>
    <w:p w14:paraId="18A9C121">
      <w:pPr>
        <w:spacing w:line="600" w:lineRule="exact"/>
        <w:ind w:left="630"/>
        <w:outlineLvl w:val="1"/>
        <w:rPr>
          <w:rStyle w:val="29"/>
          <w:rFonts w:ascii="Times New Roman" w:hAnsi="Times New Roman" w:eastAsia="黑体"/>
          <w:b w:val="0"/>
        </w:rPr>
      </w:pPr>
      <w:bookmarkStart w:id="71" w:name="_Toc15377221"/>
      <w:bookmarkStart w:id="72" w:name="_Toc15396612"/>
      <w:bookmarkStart w:id="73" w:name="_Toc14001"/>
      <w:r>
        <w:rPr>
          <w:rStyle w:val="29"/>
          <w:rFonts w:hint="eastAsia" w:ascii="Times New Roman" w:hAnsi="Times New Roman" w:eastAsia="黑体"/>
          <w:b w:val="0"/>
        </w:rPr>
        <w:t>十、其他重要事项的情况说明</w:t>
      </w:r>
      <w:bookmarkEnd w:id="71"/>
      <w:bookmarkEnd w:id="72"/>
      <w:bookmarkEnd w:id="73"/>
    </w:p>
    <w:p w14:paraId="19E583BF">
      <w:pPr>
        <w:spacing w:line="600" w:lineRule="exact"/>
        <w:ind w:firstLine="643" w:firstLineChars="200"/>
        <w:outlineLvl w:val="2"/>
        <w:rPr>
          <w:rFonts w:eastAsia="楷体_GB2312" w:cs="楷体_GB2312"/>
          <w:b/>
          <w:sz w:val="32"/>
          <w:szCs w:val="32"/>
        </w:rPr>
      </w:pPr>
      <w:bookmarkStart w:id="74" w:name="_Toc15377222"/>
      <w:r>
        <w:rPr>
          <w:rFonts w:hint="eastAsia" w:eastAsia="楷体_GB2312" w:cs="楷体_GB2312"/>
          <w:b/>
          <w:sz w:val="32"/>
          <w:szCs w:val="32"/>
        </w:rPr>
        <w:t>（一）机关运行经费支出情况</w:t>
      </w:r>
      <w:bookmarkEnd w:id="74"/>
    </w:p>
    <w:p w14:paraId="0B6B77A1">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eastAsia="仿宋_GB2312" w:cs="仿宋_GB2312"/>
          <w:sz w:val="32"/>
          <w:szCs w:val="32"/>
        </w:rPr>
        <w:t>机关运行经费支出</w:t>
      </w:r>
      <w:r>
        <w:rPr>
          <w:rFonts w:hint="eastAsia" w:ascii="仿宋_GB2312" w:hAnsi="仿宋_GB2312" w:eastAsia="仿宋_GB2312" w:cs="仿宋_GB2312"/>
          <w:sz w:val="32"/>
          <w:szCs w:val="32"/>
        </w:rPr>
        <w:t>0</w:t>
      </w:r>
      <w:r>
        <w:rPr>
          <w:rFonts w:hint="eastAsia" w:eastAsia="仿宋_GB2312" w:cs="仿宋_GB2312"/>
          <w:sz w:val="32"/>
          <w:szCs w:val="32"/>
        </w:rPr>
        <w:t>万元，</w:t>
      </w:r>
      <w:r>
        <w:rPr>
          <w:rFonts w:hint="eastAsia" w:ascii="仿宋_GB2312" w:hAnsi="仿宋_GB2312" w:eastAsia="仿宋_GB2312" w:cs="仿宋_GB2312"/>
          <w:sz w:val="32"/>
          <w:szCs w:val="32"/>
        </w:rPr>
        <w:t>支出数与上年持平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主要原因是</w:t>
      </w: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ascii="仿宋_GB2312" w:hAnsi="仿宋_GB2312" w:eastAsia="仿宋_GB2312" w:cs="仿宋_GB2312"/>
          <w:sz w:val="32"/>
          <w:szCs w:val="32"/>
          <w:lang w:val="en-US" w:eastAsia="zh-CN"/>
        </w:rPr>
        <w:t>属于事业单位，无机关运行经费。</w:t>
      </w:r>
    </w:p>
    <w:p w14:paraId="2A363AC4">
      <w:pPr>
        <w:spacing w:line="600" w:lineRule="exact"/>
        <w:ind w:firstLine="640"/>
        <w:rPr>
          <w:rFonts w:eastAsia="仿宋_GB2312" w:cs="仿宋_GB2312"/>
          <w:sz w:val="32"/>
          <w:szCs w:val="32"/>
        </w:rPr>
      </w:pPr>
    </w:p>
    <w:p w14:paraId="50D53820">
      <w:pPr>
        <w:spacing w:line="600" w:lineRule="exact"/>
        <w:ind w:firstLine="643" w:firstLineChars="200"/>
        <w:outlineLvl w:val="2"/>
        <w:rPr>
          <w:rFonts w:eastAsia="楷体_GB2312" w:cs="楷体_GB2312"/>
          <w:b/>
          <w:sz w:val="32"/>
          <w:szCs w:val="32"/>
        </w:rPr>
      </w:pPr>
      <w:bookmarkStart w:id="75" w:name="_Toc15377223"/>
      <w:r>
        <w:rPr>
          <w:rFonts w:hint="eastAsia" w:eastAsia="楷体_GB2312" w:cs="楷体_GB2312"/>
          <w:b/>
          <w:sz w:val="32"/>
          <w:szCs w:val="32"/>
        </w:rPr>
        <w:t>（二）政府采购支出情况</w:t>
      </w:r>
      <w:bookmarkEnd w:id="75"/>
    </w:p>
    <w:p w14:paraId="4840756F">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eastAsia="仿宋_GB2312" w:cs="仿宋_GB2312"/>
          <w:sz w:val="32"/>
          <w:szCs w:val="32"/>
        </w:rPr>
        <w:t>政府采购支出总额</w:t>
      </w:r>
      <w:r>
        <w:rPr>
          <w:rFonts w:hint="eastAsia" w:ascii="仿宋_GB2312" w:hAnsi="仿宋_GB2312" w:eastAsia="仿宋_GB2312" w:cs="仿宋_GB2312"/>
          <w:sz w:val="32"/>
          <w:szCs w:val="32"/>
        </w:rPr>
        <w:t>3.7</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2.74</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0.96</w:t>
      </w:r>
      <w:r>
        <w:rPr>
          <w:rFonts w:hint="eastAsia" w:eastAsia="仿宋_GB2312" w:cs="仿宋_GB2312"/>
          <w:sz w:val="32"/>
          <w:szCs w:val="32"/>
        </w:rPr>
        <w:t>万元。主要用于</w:t>
      </w:r>
      <w:r>
        <w:rPr>
          <w:rFonts w:hint="eastAsia" w:eastAsia="仿宋_GB2312" w:cs="仿宋_GB2312"/>
          <w:sz w:val="32"/>
          <w:szCs w:val="32"/>
          <w:lang w:val="en-US" w:eastAsia="zh-CN"/>
        </w:rPr>
        <w:t>公车加油服务、公车维修服务、公车保险服务以及职工</w:t>
      </w:r>
      <w:r>
        <w:rPr>
          <w:rFonts w:hint="eastAsia" w:eastAsia="仿宋_GB2312" w:cs="仿宋_GB2312"/>
          <w:sz w:val="32"/>
          <w:szCs w:val="32"/>
          <w:u w:val="dotted"/>
          <w:lang w:val="en-US" w:eastAsia="zh-CN"/>
        </w:rPr>
        <w:t>办公用的台式电脑</w:t>
      </w:r>
      <w:r>
        <w:rPr>
          <w:rFonts w:hint="eastAsia" w:eastAsia="仿宋_GB2312" w:cs="仿宋_GB2312"/>
          <w:sz w:val="32"/>
          <w:szCs w:val="32"/>
        </w:rPr>
        <w:t>。授予中小企业合同金额</w:t>
      </w:r>
      <w:r>
        <w:rPr>
          <w:rFonts w:hint="eastAsia" w:ascii="仿宋_GB2312" w:hAnsi="仿宋_GB2312" w:eastAsia="仿宋_GB2312" w:cs="仿宋_GB2312"/>
          <w:sz w:val="32"/>
          <w:szCs w:val="32"/>
        </w:rPr>
        <w:t>3.55</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95.9</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3.55</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95.9</w:t>
      </w:r>
      <w:r>
        <w:rPr>
          <w:rFonts w:hint="eastAsia" w:eastAsia="仿宋_GB2312" w:cs="仿宋_GB2312"/>
          <w:sz w:val="32"/>
          <w:szCs w:val="32"/>
        </w:rPr>
        <w:t>%。</w:t>
      </w:r>
    </w:p>
    <w:p w14:paraId="5C6AB244">
      <w:pPr>
        <w:spacing w:line="600" w:lineRule="exact"/>
        <w:ind w:firstLine="640"/>
        <w:rPr>
          <w:rFonts w:eastAsia="仿宋_GB2312" w:cs="仿宋_GB2312"/>
          <w:sz w:val="32"/>
          <w:szCs w:val="32"/>
        </w:rPr>
      </w:pPr>
    </w:p>
    <w:p w14:paraId="06276024">
      <w:pPr>
        <w:spacing w:line="600" w:lineRule="exact"/>
        <w:ind w:firstLine="643" w:firstLineChars="200"/>
        <w:outlineLvl w:val="2"/>
        <w:rPr>
          <w:rFonts w:eastAsia="楷体_GB2312" w:cs="楷体_GB2312"/>
          <w:b/>
          <w:sz w:val="32"/>
          <w:szCs w:val="32"/>
        </w:rPr>
      </w:pPr>
      <w:bookmarkStart w:id="76" w:name="_Toc15377224"/>
      <w:r>
        <w:rPr>
          <w:rFonts w:hint="eastAsia" w:eastAsia="楷体_GB2312" w:cs="楷体_GB2312"/>
          <w:b/>
          <w:sz w:val="32"/>
          <w:szCs w:val="32"/>
        </w:rPr>
        <w:t>（三）国有资产占有使用情况</w:t>
      </w:r>
      <w:bookmarkEnd w:id="76"/>
    </w:p>
    <w:p w14:paraId="12041E14">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eastAsia="仿宋_GB2312" w:cs="仿宋_GB2312"/>
          <w:sz w:val="32"/>
          <w:szCs w:val="32"/>
        </w:rPr>
        <w:t>共有车辆</w:t>
      </w:r>
      <w:r>
        <w:rPr>
          <w:rFonts w:hint="eastAsia" w:ascii="仿宋_GB2312" w:hAnsi="仿宋_GB2312" w:eastAsia="仿宋_GB2312" w:cs="仿宋_GB2312"/>
          <w:sz w:val="32"/>
          <w:szCs w:val="32"/>
        </w:rPr>
        <w:t>1</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1</w:t>
      </w:r>
      <w:r>
        <w:rPr>
          <w:rFonts w:hint="eastAsia" w:eastAsia="仿宋_GB2312" w:cs="仿宋_GB2312"/>
          <w:sz w:val="32"/>
          <w:szCs w:val="32"/>
        </w:rPr>
        <w:t>辆，其他用车主要是用于</w:t>
      </w:r>
      <w:r>
        <w:rPr>
          <w:rFonts w:hint="eastAsia" w:eastAsia="仿宋_GB2312" w:cs="仿宋_GB2312"/>
          <w:sz w:val="32"/>
          <w:szCs w:val="32"/>
          <w:lang w:val="en-US" w:eastAsia="zh-CN"/>
        </w:rPr>
        <w:t>职工集体出行开展工作</w:t>
      </w:r>
      <w:r>
        <w:rPr>
          <w:rFonts w:hint="eastAsia" w:eastAsia="仿宋_GB2312" w:cs="仿宋_GB2312"/>
          <w:sz w:val="32"/>
          <w:szCs w:val="32"/>
        </w:rPr>
        <w:t>。单价100万元（含）以上设备（不含车辆）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33EC4EB4">
      <w:pPr>
        <w:spacing w:line="600" w:lineRule="exact"/>
        <w:ind w:firstLine="640"/>
        <w:rPr>
          <w:rFonts w:eastAsia="仿宋_GB2312" w:cs="仿宋_GB2312"/>
          <w:sz w:val="32"/>
          <w:szCs w:val="32"/>
        </w:rPr>
      </w:pPr>
    </w:p>
    <w:p w14:paraId="6EA5BF50">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A8FDF2B">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攀枝花市教育科学研究所(攀枝花市基础教育监测评估中心、攀枝花市教育培训中心）</w:t>
      </w:r>
      <w:r>
        <w:rPr>
          <w:rFonts w:hint="eastAsia" w:eastAsia="仿宋_GB2312" w:cs="仿宋_GB2312"/>
          <w:sz w:val="32"/>
          <w:szCs w:val="32"/>
        </w:rPr>
        <w:t>在2025年度，组织对一次性退休补贴等</w:t>
      </w:r>
      <w:r>
        <w:rPr>
          <w:rFonts w:hint="eastAsia" w:eastAsia="仿宋_GB2312" w:cs="仿宋_GB2312"/>
          <w:sz w:val="32"/>
          <w:szCs w:val="32"/>
          <w:lang w:val="en-US" w:eastAsia="zh-CN"/>
        </w:rPr>
        <w:t>7</w:t>
      </w:r>
      <w:r>
        <w:rPr>
          <w:rFonts w:hint="eastAsia" w:eastAsia="仿宋_GB2312" w:cs="仿宋_GB2312"/>
          <w:sz w:val="32"/>
          <w:szCs w:val="32"/>
        </w:rPr>
        <w:t>个项目涉及金额</w:t>
      </w:r>
      <w:r>
        <w:rPr>
          <w:rFonts w:hint="eastAsia" w:eastAsia="仿宋_GB2312" w:cs="仿宋_GB2312"/>
          <w:sz w:val="32"/>
          <w:szCs w:val="32"/>
          <w:lang w:val="en-US" w:eastAsia="zh-CN"/>
        </w:rPr>
        <w:t>108</w:t>
      </w:r>
      <w:r>
        <w:rPr>
          <w:rFonts w:hint="eastAsia" w:eastAsia="仿宋_GB2312" w:cs="仿宋_GB2312"/>
          <w:sz w:val="32"/>
          <w:szCs w:val="32"/>
        </w:rPr>
        <w:t>万元开展了事前绩效评估，对</w:t>
      </w:r>
      <w:r>
        <w:rPr>
          <w:rFonts w:hint="eastAsia" w:eastAsia="仿宋_GB2312" w:cs="仿宋_GB2312"/>
          <w:sz w:val="32"/>
          <w:szCs w:val="32"/>
          <w:lang w:val="en-US" w:eastAsia="zh-CN"/>
        </w:rPr>
        <w:t>7</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7</w:t>
      </w:r>
      <w:r>
        <w:rPr>
          <w:rFonts w:hint="eastAsia" w:eastAsia="仿宋_GB2312" w:cs="仿宋_GB2312"/>
          <w:sz w:val="32"/>
          <w:szCs w:val="32"/>
        </w:rPr>
        <w:t>个项目开展绩效监控。</w:t>
      </w:r>
    </w:p>
    <w:p w14:paraId="14D268EC">
      <w:pPr>
        <w:spacing w:line="600" w:lineRule="exact"/>
        <w:ind w:firstLine="640"/>
        <w:rPr>
          <w:rFonts w:eastAsia="仿宋_GB2312" w:cs="仿宋_GB2312"/>
          <w:sz w:val="32"/>
          <w:szCs w:val="32"/>
        </w:rPr>
      </w:pPr>
    </w:p>
    <w:p w14:paraId="5B1D8B2D">
      <w:pPr>
        <w:rPr>
          <w:rFonts w:hint="eastAsia"/>
          <w:lang w:val="en-US" w:eastAsia="zh-CN"/>
        </w:rPr>
      </w:pPr>
      <w:bookmarkStart w:id="77" w:name="_Toc15377225"/>
      <w:bookmarkStart w:id="78" w:name="_Toc15396613"/>
      <w:bookmarkStart w:id="79" w:name="_Toc4902"/>
      <w:r>
        <w:rPr>
          <w:rFonts w:hint="eastAsia"/>
          <w:lang w:val="en-US" w:eastAsia="zh-CN"/>
        </w:rPr>
        <w:br w:type="page"/>
      </w:r>
    </w:p>
    <w:p w14:paraId="53E03D0D">
      <w:pPr>
        <w:pStyle w:val="5"/>
        <w:bidi w:val="0"/>
        <w:rPr>
          <w:rFonts w:hint="eastAsia"/>
          <w:lang w:val="en-US" w:eastAsia="zh-CN"/>
        </w:rPr>
      </w:pPr>
      <w:r>
        <w:rPr>
          <w:rFonts w:hint="eastAsia"/>
          <w:lang w:val="en-US" w:eastAsia="zh-CN"/>
        </w:rPr>
        <w:t>第三部分名词解释</w:t>
      </w:r>
      <w:bookmarkEnd w:id="77"/>
      <w:bookmarkEnd w:id="78"/>
      <w:bookmarkEnd w:id="79"/>
    </w:p>
    <w:p w14:paraId="19825AAA">
      <w:pPr>
        <w:spacing w:line="600" w:lineRule="exact"/>
        <w:jc w:val="left"/>
        <w:rPr>
          <w:b/>
          <w:sz w:val="44"/>
          <w:szCs w:val="44"/>
        </w:rPr>
      </w:pPr>
    </w:p>
    <w:p w14:paraId="04BAC4A4">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129C1C3">
      <w:pPr>
        <w:spacing w:line="600" w:lineRule="exact"/>
        <w:ind w:firstLine="640"/>
        <w:rPr>
          <w:rFonts w:eastAsia="仿宋_GB2312" w:cs="仿宋_GB2312"/>
          <w:sz w:val="32"/>
          <w:szCs w:val="32"/>
        </w:rPr>
      </w:pPr>
      <w:r>
        <w:rPr>
          <w:rFonts w:hint="eastAsia" w:eastAsia="仿宋_GB2312" w:cs="仿宋_GB2312"/>
          <w:sz w:val="32"/>
          <w:szCs w:val="32"/>
        </w:rPr>
        <w:t>2.其他收入：指单位取得的除上述收入以外的各项收入。主要是</w:t>
      </w:r>
      <w:r>
        <w:rPr>
          <w:rFonts w:hint="eastAsia" w:eastAsia="仿宋_GB2312" w:cs="仿宋_GB2312"/>
          <w:sz w:val="32"/>
          <w:szCs w:val="32"/>
          <w:lang w:val="en-US" w:eastAsia="zh-CN"/>
        </w:rPr>
        <w:t>非同级财政拨款收入</w:t>
      </w:r>
      <w:r>
        <w:rPr>
          <w:rFonts w:hint="eastAsia" w:eastAsia="仿宋_GB2312" w:cs="仿宋_GB2312"/>
          <w:sz w:val="32"/>
          <w:szCs w:val="32"/>
        </w:rPr>
        <w:t xml:space="preserve">等。 </w:t>
      </w:r>
    </w:p>
    <w:p w14:paraId="45FF3B07">
      <w:pPr>
        <w:spacing w:line="600" w:lineRule="exact"/>
        <w:ind w:firstLine="640"/>
        <w:rPr>
          <w:rFonts w:eastAsia="仿宋_GB2312" w:cs="仿宋_GB2312"/>
          <w:sz w:val="32"/>
          <w:szCs w:val="32"/>
        </w:rPr>
      </w:pPr>
      <w:r>
        <w:rPr>
          <w:rFonts w:hint="eastAsia" w:eastAsia="仿宋_GB2312" w:cs="仿宋_GB2312"/>
          <w:sz w:val="32"/>
          <w:szCs w:val="32"/>
          <w:lang w:val="en-US" w:eastAsia="zh-CN"/>
        </w:rPr>
        <w:t>3</w:t>
      </w:r>
      <w:r>
        <w:rPr>
          <w:rFonts w:hint="eastAsia" w:eastAsia="仿宋_GB2312" w:cs="仿宋_GB2312"/>
          <w:sz w:val="32"/>
          <w:szCs w:val="32"/>
        </w:rPr>
        <w:t xml:space="preserve">.使用非财政拨款结余（含专用结余）：指事业单位使用以前年度积累的非财政拨款结余弥补当年收支差额的金额。 </w:t>
      </w:r>
    </w:p>
    <w:p w14:paraId="4DF359CD">
      <w:pPr>
        <w:spacing w:line="600" w:lineRule="exact"/>
        <w:ind w:firstLine="640"/>
        <w:rPr>
          <w:rFonts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 xml:space="preserve">.年初结转和结余：指以前年度尚未完成、结转到本年按有关规定继续使用的资金。 </w:t>
      </w:r>
    </w:p>
    <w:p w14:paraId="73B13482">
      <w:pPr>
        <w:spacing w:line="600" w:lineRule="exact"/>
        <w:ind w:firstLine="640"/>
        <w:rPr>
          <w:rFonts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.结余分配：指事业单位按照会计制度规定缴纳的所得税、提取的专用结余以及转入非财政拨款结余的金额等。</w:t>
      </w:r>
    </w:p>
    <w:p w14:paraId="77EF70EA">
      <w:pPr>
        <w:spacing w:line="600" w:lineRule="exact"/>
        <w:ind w:firstLine="640"/>
        <w:rPr>
          <w:rFonts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.年末结转和结余：指单位按有关规定结转到下年或以后年度继续使用的资金。</w:t>
      </w:r>
    </w:p>
    <w:p w14:paraId="42DDC081">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7</w:t>
      </w:r>
      <w:r>
        <w:rPr>
          <w:rFonts w:hint="eastAsia" w:eastAsia="仿宋_GB2312" w:cs="仿宋_GB2312"/>
          <w:sz w:val="32"/>
          <w:szCs w:val="32"/>
        </w:rPr>
        <w:t>.教育支出（类）教育费附加安排的支出（款）其他教育费附加安排的支出（项）：指教育费附加安排的支出。</w:t>
      </w:r>
    </w:p>
    <w:p w14:paraId="638A8D82">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教育支出（类）其他教育支出（款）其他教育支出（项）：指单位用于其他教育方面的支出。</w:t>
      </w:r>
    </w:p>
    <w:p w14:paraId="4624CF7E">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9.</w:t>
      </w:r>
      <w:r>
        <w:rPr>
          <w:rFonts w:hint="eastAsia" w:ascii="Times New Roman" w:hAnsi="Times New Roman" w:eastAsia="仿宋_GB2312" w:cs="仿宋_GB2312"/>
          <w:kern w:val="2"/>
          <w:sz w:val="32"/>
          <w:szCs w:val="32"/>
          <w:lang w:val="en-US" w:eastAsia="zh-CN" w:bidi="ar-SA"/>
        </w:rPr>
        <w:t>社会保障和就业支出（类）人力资源和社会保障管理事务（款）其他人力资源和社会保</w:t>
      </w:r>
      <w:r>
        <w:rPr>
          <w:rFonts w:hint="eastAsia" w:eastAsia="仿宋_GB2312" w:cs="仿宋_GB2312"/>
          <w:sz w:val="32"/>
          <w:szCs w:val="32"/>
          <w:lang w:val="en-US" w:eastAsia="zh-CN"/>
        </w:rPr>
        <w:t>障管理事务支出（项）：指单位用于其他人力资源和社会保障管理事务方面的支出。</w:t>
      </w:r>
    </w:p>
    <w:p w14:paraId="2519D0BF">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10.社会保障和就业支出（类）行政事业单位养老支</w:t>
      </w:r>
      <w:r>
        <w:rPr>
          <w:rFonts w:hint="eastAsia" w:ascii="Times New Roman" w:hAnsi="Times New Roman" w:eastAsia="仿宋_GB2312" w:cs="仿宋_GB2312"/>
          <w:kern w:val="2"/>
          <w:sz w:val="32"/>
          <w:szCs w:val="32"/>
          <w:lang w:val="en-US" w:eastAsia="zh-CN" w:bidi="ar-SA"/>
        </w:rPr>
        <w:t>出（款）事业单位离退休（项）：指单位</w:t>
      </w:r>
      <w:r>
        <w:rPr>
          <w:rFonts w:hint="eastAsia" w:eastAsia="仿宋_GB2312" w:cs="仿宋_GB2312"/>
          <w:kern w:val="2"/>
          <w:sz w:val="32"/>
          <w:szCs w:val="32"/>
          <w:lang w:val="en-US" w:eastAsia="zh-CN" w:bidi="ar-SA"/>
        </w:rPr>
        <w:t>开支的离退休经费</w:t>
      </w:r>
      <w:r>
        <w:rPr>
          <w:rFonts w:hint="eastAsia" w:eastAsia="仿宋_GB2312" w:cs="仿宋_GB2312"/>
          <w:sz w:val="32"/>
          <w:szCs w:val="32"/>
          <w:lang w:val="en-US" w:eastAsia="zh-CN"/>
        </w:rPr>
        <w:t>。</w:t>
      </w:r>
    </w:p>
    <w:p w14:paraId="100C0573">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11.社会保障和就业支出（类）行政事业单位养老支出（款）机关事业单位基本养老保险缴费支出（项）：指单位实施养老保险制度由单位缴纳的基本养老保险费支出。</w:t>
      </w:r>
    </w:p>
    <w:p w14:paraId="30E8650A">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12.社会保障和就业（类）行政事业单位养老支出（款）机关事业单位职业年金缴费支出（项）：指机关事业单位实施养老保险制度由单位实际缴纳的职业年金支出（含职业年金补记支出）。</w:t>
      </w:r>
    </w:p>
    <w:p w14:paraId="1646CE3A">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13.卫生健康（类）行政事业单位医疗（款）事业单位医疗（项）：指财政部门安排的事业单位基本医疗保险缴费经费，未参加医疗保险的事业单位的公费医疗经费，按国家规定享受离休人员待遇的医疗经费。</w:t>
      </w:r>
    </w:p>
    <w:p w14:paraId="12F1E37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lang w:val="en-US" w:eastAsia="zh-CN"/>
        </w:rPr>
        <w:t>14.卫生健康（类）行政事业单位医疗（款）公务员医疗补助（项）：指财政部门安排的公务员医疗补助经费。</w:t>
      </w:r>
    </w:p>
    <w:p w14:paraId="7C554D36">
      <w:pPr>
        <w:spacing w:line="600" w:lineRule="exact"/>
        <w:ind w:firstLine="640"/>
        <w:rPr>
          <w:rFonts w:hint="eastAsia" w:ascii="Times New Roman" w:hAnsi="Times New Roman" w:eastAsia="仿宋_GB2312" w:cs="仿宋_GB2312"/>
          <w:kern w:val="2"/>
          <w:sz w:val="32"/>
          <w:szCs w:val="32"/>
          <w:lang w:val="en-US" w:eastAsia="zh-CN" w:bidi="ar-SA"/>
        </w:rPr>
      </w:pPr>
      <w:r>
        <w:rPr>
          <w:rFonts w:hint="eastAsia" w:eastAsia="仿宋_GB2312" w:cs="仿宋_GB2312"/>
          <w:sz w:val="32"/>
          <w:szCs w:val="32"/>
          <w:lang w:val="en-US" w:eastAsia="zh-CN"/>
        </w:rPr>
        <w:t>15.住房保障支出（类）住房改革支出（款）住房公积金（项）：指单位按人力资源和社会保障部、财政部规定的基本工资和津贴补贴以及规定比例为职工缴纳的住房公积金。</w:t>
      </w:r>
    </w:p>
    <w:p w14:paraId="0BB268C5">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.基本支出：指为保障机构正常运转、完成日常工作任务而发生的人员支出和公用支出。</w:t>
      </w:r>
    </w:p>
    <w:p w14:paraId="0AF4190E">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 xml:space="preserve">.项目支出：指在基本支出之外为完成特定行政任务和事业发展目标所发生的支出。 </w:t>
      </w:r>
    </w:p>
    <w:p w14:paraId="3351E9AA">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3E3CEE">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93776B6">
      <w:pPr>
        <w:pStyle w:val="5"/>
        <w:bidi w:val="0"/>
        <w:rPr>
          <w:rFonts w:hint="eastAsia" w:ascii="黑体" w:hAnsi="黑体" w:eastAsia="黑体" w:cs="黑体"/>
          <w:b w:val="0"/>
        </w:rPr>
      </w:pPr>
      <w:bookmarkStart w:id="80" w:name="_Toc15377226"/>
      <w:r>
        <w:rPr>
          <w:rFonts w:hint="eastAsia" w:eastAsia="仿宋_GB2312" w:cs="仿宋_GB2312"/>
          <w:szCs w:val="32"/>
        </w:rPr>
        <w:br w:type="page"/>
      </w:r>
      <w:bookmarkStart w:id="81" w:name="_Toc15396614"/>
      <w:bookmarkStart w:id="82" w:name="_Toc24838"/>
      <w:r>
        <w:rPr>
          <w:rFonts w:hint="eastAsia"/>
        </w:rPr>
        <w:t>第四部分 附件</w:t>
      </w:r>
      <w:bookmarkEnd w:id="81"/>
      <w:bookmarkEnd w:id="82"/>
    </w:p>
    <w:p w14:paraId="3B44ADED">
      <w:pPr>
        <w:spacing w:line="572" w:lineRule="exact"/>
        <w:jc w:val="left"/>
        <w:outlineLvl w:val="0"/>
        <w:rPr>
          <w:rFonts w:eastAsia="黑体" w:cs="黑体"/>
          <w:color w:val="FF0000"/>
          <w:sz w:val="32"/>
          <w:szCs w:val="32"/>
        </w:rPr>
      </w:pPr>
    </w:p>
    <w:p w14:paraId="34AB1859">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lang w:val="en-US" w:eastAsia="zh-CN"/>
        </w:rPr>
        <w:t>部门预算项目支出绩效自评表（2025年度）见附件2</w:t>
      </w:r>
    </w:p>
    <w:p w14:paraId="52402DB7">
      <w:pPr>
        <w:spacing w:line="578" w:lineRule="exact"/>
        <w:ind w:firstLine="640"/>
        <w:rPr>
          <w:rFonts w:eastAsia="仿宋_GB2312" w:cs="仿宋_GB2312"/>
          <w:kern w:val="0"/>
          <w:sz w:val="32"/>
          <w:szCs w:val="32"/>
        </w:rPr>
      </w:pPr>
    </w:p>
    <w:p w14:paraId="71317C02">
      <w:pPr>
        <w:spacing w:line="578" w:lineRule="exact"/>
        <w:ind w:firstLine="640"/>
        <w:rPr>
          <w:rFonts w:eastAsia="仿宋_GB2312" w:cs="仿宋_GB2312"/>
          <w:kern w:val="0"/>
          <w:sz w:val="32"/>
          <w:szCs w:val="32"/>
        </w:rPr>
      </w:pPr>
      <w:bookmarkStart w:id="83" w:name="_Toc15396618"/>
      <w:r>
        <w:rPr>
          <w:rFonts w:hint="eastAsia" w:eastAsia="仿宋_GB2312" w:cs="仿宋_GB2312"/>
          <w:kern w:val="0"/>
          <w:sz w:val="32"/>
          <w:szCs w:val="32"/>
        </w:rPr>
        <w:br w:type="page"/>
      </w:r>
    </w:p>
    <w:p w14:paraId="094E2D20">
      <w:pPr>
        <w:pStyle w:val="5"/>
        <w:bidi w:val="0"/>
        <w:rPr>
          <w:rFonts w:hint="eastAsia"/>
        </w:rPr>
      </w:pPr>
      <w:bookmarkStart w:id="84" w:name="_Toc13148"/>
      <w:r>
        <w:rPr>
          <w:rFonts w:hint="eastAsia"/>
        </w:rPr>
        <w:t>第五部分 附表</w:t>
      </w:r>
      <w:bookmarkEnd w:id="80"/>
      <w:bookmarkEnd w:id="83"/>
      <w:bookmarkEnd w:id="84"/>
      <w:bookmarkStart w:id="85" w:name="_Toc15396619"/>
    </w:p>
    <w:p w14:paraId="22904A80">
      <w:pPr>
        <w:pStyle w:val="7"/>
        <w:adjustRightInd w:val="0"/>
        <w:snapToGrid w:val="0"/>
        <w:spacing w:line="560" w:lineRule="exact"/>
        <w:jc w:val="left"/>
        <w:rPr>
          <w:rFonts w:eastAsia="仿宋_GB2312" w:cs="仿宋_GB2312"/>
          <w:sz w:val="32"/>
          <w:szCs w:val="32"/>
        </w:rPr>
      </w:pPr>
    </w:p>
    <w:p w14:paraId="60AA4BC0">
      <w:pPr>
        <w:pStyle w:val="6"/>
        <w:bidi w:val="0"/>
      </w:pPr>
      <w:bookmarkStart w:id="86" w:name="_Toc5989"/>
      <w:r>
        <w:rPr>
          <w:rFonts w:hint="eastAsia"/>
        </w:rPr>
        <w:t>一、收入支出决算总表</w:t>
      </w:r>
      <w:bookmarkEnd w:id="85"/>
      <w:bookmarkEnd w:id="86"/>
    </w:p>
    <w:p w14:paraId="74723DBB">
      <w:pPr>
        <w:pStyle w:val="6"/>
        <w:bidi w:val="0"/>
      </w:pPr>
      <w:bookmarkStart w:id="87" w:name="_Toc15396620"/>
      <w:bookmarkStart w:id="88" w:name="_Toc27995"/>
      <w:r>
        <w:rPr>
          <w:rFonts w:hint="eastAsia"/>
        </w:rPr>
        <w:t>二、收入决算表</w:t>
      </w:r>
      <w:bookmarkEnd w:id="87"/>
      <w:bookmarkEnd w:id="88"/>
    </w:p>
    <w:p w14:paraId="04DECFCF">
      <w:pPr>
        <w:pStyle w:val="6"/>
        <w:bidi w:val="0"/>
      </w:pPr>
      <w:bookmarkStart w:id="89" w:name="_Toc15396621"/>
      <w:bookmarkStart w:id="90" w:name="_Toc27579"/>
      <w:r>
        <w:rPr>
          <w:rFonts w:hint="eastAsia"/>
        </w:rPr>
        <w:t>三、支出决算表</w:t>
      </w:r>
      <w:bookmarkEnd w:id="89"/>
      <w:bookmarkEnd w:id="90"/>
    </w:p>
    <w:p w14:paraId="182F3912">
      <w:pPr>
        <w:pStyle w:val="6"/>
        <w:bidi w:val="0"/>
        <w:rPr>
          <w:rFonts w:hint="eastAsia"/>
          <w:lang w:val="en-US" w:eastAsia="zh-CN"/>
        </w:rPr>
      </w:pPr>
      <w:bookmarkStart w:id="91" w:name="_Toc15396622"/>
      <w:bookmarkStart w:id="92" w:name="_Toc7297"/>
      <w:r>
        <w:rPr>
          <w:rFonts w:hint="eastAsia"/>
          <w:lang w:val="en-US" w:eastAsia="zh-CN"/>
        </w:rPr>
        <w:t>四、财政拨款收入支出决算总表</w:t>
      </w:r>
      <w:bookmarkEnd w:id="91"/>
      <w:bookmarkEnd w:id="92"/>
    </w:p>
    <w:p w14:paraId="4D9F5356">
      <w:pPr>
        <w:pStyle w:val="6"/>
        <w:bidi w:val="0"/>
        <w:rPr>
          <w:rFonts w:hint="eastAsia"/>
          <w:lang w:val="en-US" w:eastAsia="zh-CN"/>
        </w:rPr>
      </w:pPr>
      <w:bookmarkStart w:id="93" w:name="_Toc15396623"/>
      <w:bookmarkStart w:id="94" w:name="_Toc16494"/>
      <w:r>
        <w:rPr>
          <w:rFonts w:hint="eastAsia"/>
          <w:lang w:val="en-US" w:eastAsia="zh-CN"/>
        </w:rPr>
        <w:t>五、财政拨款支出决算明细表</w:t>
      </w:r>
      <w:bookmarkEnd w:id="93"/>
      <w:bookmarkEnd w:id="94"/>
      <w:bookmarkStart w:id="95" w:name="_Toc15396624"/>
    </w:p>
    <w:p w14:paraId="16D65795">
      <w:pPr>
        <w:pStyle w:val="6"/>
        <w:bidi w:val="0"/>
        <w:rPr>
          <w:rFonts w:hint="eastAsia"/>
          <w:lang w:val="en-US" w:eastAsia="zh-CN"/>
        </w:rPr>
      </w:pPr>
      <w:bookmarkStart w:id="96" w:name="_Toc17435"/>
      <w:r>
        <w:rPr>
          <w:rFonts w:hint="eastAsia"/>
          <w:lang w:val="en-US" w:eastAsia="zh-CN"/>
        </w:rPr>
        <w:t>六、一般公共预算财政拨款支出决算表</w:t>
      </w:r>
      <w:bookmarkEnd w:id="95"/>
      <w:bookmarkEnd w:id="96"/>
    </w:p>
    <w:p w14:paraId="227DF764">
      <w:pPr>
        <w:pStyle w:val="6"/>
        <w:bidi w:val="0"/>
        <w:rPr>
          <w:rFonts w:hint="eastAsia"/>
          <w:lang w:val="en-US" w:eastAsia="zh-CN"/>
        </w:rPr>
      </w:pPr>
      <w:bookmarkStart w:id="97" w:name="_Toc15396625"/>
      <w:bookmarkStart w:id="98" w:name="_Toc29736"/>
      <w:r>
        <w:rPr>
          <w:rFonts w:hint="eastAsia"/>
          <w:lang w:val="en-US" w:eastAsia="zh-CN"/>
        </w:rPr>
        <w:t>七、一般公共预算财政拨款支出决算明细表</w:t>
      </w:r>
      <w:bookmarkEnd w:id="97"/>
      <w:bookmarkEnd w:id="98"/>
    </w:p>
    <w:p w14:paraId="6932E8BC">
      <w:pPr>
        <w:pStyle w:val="6"/>
        <w:bidi w:val="0"/>
        <w:rPr>
          <w:rFonts w:hint="eastAsia"/>
          <w:lang w:val="en-US" w:eastAsia="zh-CN"/>
        </w:rPr>
      </w:pPr>
      <w:bookmarkStart w:id="99" w:name="_Toc15396626"/>
      <w:bookmarkStart w:id="100" w:name="_Toc22131"/>
      <w:r>
        <w:rPr>
          <w:rFonts w:hint="eastAsia"/>
          <w:lang w:val="en-US" w:eastAsia="zh-CN"/>
        </w:rPr>
        <w:t>八、一般公共预算财政拨款基本支出决算表</w:t>
      </w:r>
      <w:bookmarkEnd w:id="99"/>
      <w:bookmarkEnd w:id="100"/>
    </w:p>
    <w:p w14:paraId="5343A2B5">
      <w:pPr>
        <w:pStyle w:val="6"/>
        <w:bidi w:val="0"/>
        <w:rPr>
          <w:rFonts w:hint="eastAsia"/>
          <w:lang w:val="en-US" w:eastAsia="zh-CN"/>
        </w:rPr>
      </w:pPr>
      <w:bookmarkStart w:id="101" w:name="_Toc15396627"/>
      <w:bookmarkStart w:id="102" w:name="_Toc11569"/>
      <w:r>
        <w:rPr>
          <w:rFonts w:hint="eastAsia"/>
          <w:lang w:val="en-US" w:eastAsia="zh-CN"/>
        </w:rPr>
        <w:t>九、一般公共预算财政拨款项目支出决算表</w:t>
      </w:r>
      <w:bookmarkEnd w:id="101"/>
      <w:bookmarkEnd w:id="102"/>
    </w:p>
    <w:p w14:paraId="721ABEAA">
      <w:pPr>
        <w:pStyle w:val="6"/>
        <w:bidi w:val="0"/>
        <w:rPr>
          <w:rFonts w:hint="eastAsia"/>
          <w:lang w:val="en-US" w:eastAsia="zh-CN"/>
        </w:rPr>
      </w:pPr>
      <w:bookmarkStart w:id="103" w:name="_Toc15396628"/>
      <w:bookmarkStart w:id="104" w:name="_Toc29003"/>
      <w:r>
        <w:rPr>
          <w:rFonts w:hint="eastAsia"/>
          <w:lang w:val="en-US" w:eastAsia="zh-CN"/>
        </w:rPr>
        <w:t>十、</w:t>
      </w:r>
      <w:bookmarkEnd w:id="103"/>
      <w:r>
        <w:rPr>
          <w:rFonts w:hint="eastAsia"/>
          <w:lang w:val="en-US" w:eastAsia="zh-CN"/>
        </w:rPr>
        <w:t>政府性基金预算财政拨款收入支出决算表（此表无数据）</w:t>
      </w:r>
      <w:bookmarkEnd w:id="104"/>
    </w:p>
    <w:p w14:paraId="06630AA0">
      <w:pPr>
        <w:pStyle w:val="6"/>
        <w:bidi w:val="0"/>
        <w:rPr>
          <w:rFonts w:hint="eastAsia"/>
          <w:lang w:val="en-US" w:eastAsia="zh-CN"/>
        </w:rPr>
      </w:pPr>
      <w:bookmarkStart w:id="105" w:name="_Toc15396629"/>
      <w:bookmarkStart w:id="106" w:name="_Toc18543"/>
      <w:r>
        <w:rPr>
          <w:rFonts w:hint="eastAsia"/>
          <w:lang w:val="en-US" w:eastAsia="zh-CN"/>
        </w:rPr>
        <w:t>十一、</w:t>
      </w:r>
      <w:bookmarkEnd w:id="105"/>
      <w:r>
        <w:rPr>
          <w:rFonts w:hint="eastAsia"/>
          <w:lang w:val="en-US" w:eastAsia="zh-CN"/>
        </w:rPr>
        <w:t>国有资本经营预算财政拨款收入支出决算表（此表无数据）</w:t>
      </w:r>
      <w:bookmarkEnd w:id="106"/>
    </w:p>
    <w:p w14:paraId="02D90BE9">
      <w:pPr>
        <w:pStyle w:val="6"/>
        <w:bidi w:val="0"/>
        <w:rPr>
          <w:rFonts w:hint="eastAsia"/>
          <w:lang w:val="en-US" w:eastAsia="zh-CN"/>
        </w:rPr>
      </w:pPr>
      <w:bookmarkStart w:id="107" w:name="_Toc15396630"/>
      <w:bookmarkStart w:id="108" w:name="_Toc9052"/>
      <w:r>
        <w:rPr>
          <w:rFonts w:hint="eastAsia"/>
          <w:lang w:val="en-US" w:eastAsia="zh-CN"/>
        </w:rPr>
        <w:t>十二、</w:t>
      </w:r>
      <w:bookmarkEnd w:id="107"/>
      <w:r>
        <w:rPr>
          <w:rFonts w:hint="eastAsia"/>
          <w:lang w:val="en-US" w:eastAsia="zh-CN"/>
        </w:rPr>
        <w:t>国有资本经营预算财政拨款支出决算表（此表无数据）</w:t>
      </w:r>
      <w:bookmarkEnd w:id="108"/>
    </w:p>
    <w:p w14:paraId="3D38A25D">
      <w:pPr>
        <w:pStyle w:val="6"/>
        <w:bidi w:val="0"/>
        <w:rPr>
          <w:rFonts w:hint="eastAsia"/>
          <w:lang w:val="en-US" w:eastAsia="zh-CN"/>
        </w:rPr>
      </w:pPr>
      <w:bookmarkStart w:id="109" w:name="_Toc15396631"/>
      <w:bookmarkStart w:id="110" w:name="_Toc20862"/>
      <w:r>
        <w:rPr>
          <w:rFonts w:hint="eastAsia"/>
          <w:lang w:val="en-US" w:eastAsia="zh-CN"/>
        </w:rPr>
        <w:t>十三、</w:t>
      </w:r>
      <w:bookmarkEnd w:id="109"/>
      <w:r>
        <w:rPr>
          <w:rFonts w:hint="eastAsia"/>
          <w:lang w:val="en-US" w:eastAsia="zh-CN"/>
        </w:rPr>
        <w:t>财政拨款“三公”经费支出决算表</w:t>
      </w:r>
      <w:bookmarkEnd w:id="110"/>
    </w:p>
    <w:p w14:paraId="785606D1"/>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0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BA276">
    <w:pPr>
      <w:pStyle w:val="12"/>
      <w:jc w:val="center"/>
    </w:pPr>
  </w:p>
  <w:p w14:paraId="43BBC97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028ED">
    <w:pPr>
      <w:pStyle w:val="12"/>
      <w:jc w:val="center"/>
    </w:pPr>
  </w:p>
  <w:p w14:paraId="17A45250">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28D66">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3C4C8">
    <w:pPr>
      <w:pStyle w:val="12"/>
      <w:jc w:val="center"/>
    </w:pPr>
  </w:p>
  <w:p w14:paraId="7831416B">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F37AD">
    <w:pPr>
      <w:pStyle w:val="1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159A91A9">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E27A">
    <w:pPr>
      <w:pStyle w:val="12"/>
      <w:jc w:val="center"/>
    </w:pPr>
    <w:r>
      <w:rPr>
        <w:sz w:val="18"/>
      </w:rP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5C1869F6">
                <w:pPr>
                  <w:pStyle w:val="12"/>
                </w:pPr>
                <w:r>
                  <w:fldChar w:fldCharType="begin"/>
                </w:r>
                <w:r>
                  <w:instrText xml:space="preserve"> PAGE  \* MERGEFORMAT </w:instrText>
                </w:r>
                <w:r>
                  <w:fldChar w:fldCharType="separate"/>
                </w:r>
                <w:r>
                  <w:t>1</w:t>
                </w:r>
                <w:r>
                  <w:fldChar w:fldCharType="end"/>
                </w:r>
              </w:p>
            </w:txbxContent>
          </v:textbox>
        </v:shape>
      </w:pict>
    </w:r>
  </w:p>
  <w:p w14:paraId="57A01AC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A5687">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2CD7"/>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7435B"/>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02A6"/>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153E"/>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20B1C"/>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B03326"/>
    <w:rsid w:val="061E35DE"/>
    <w:rsid w:val="066E0107"/>
    <w:rsid w:val="07996F6E"/>
    <w:rsid w:val="07DFD8BA"/>
    <w:rsid w:val="08DB07E4"/>
    <w:rsid w:val="09867E8F"/>
    <w:rsid w:val="0A2032A3"/>
    <w:rsid w:val="0C6C4794"/>
    <w:rsid w:val="0CA8290A"/>
    <w:rsid w:val="0D35B1ED"/>
    <w:rsid w:val="0DE07E2B"/>
    <w:rsid w:val="0F531780"/>
    <w:rsid w:val="0F98263C"/>
    <w:rsid w:val="0FEE3381"/>
    <w:rsid w:val="101860EC"/>
    <w:rsid w:val="10C055FF"/>
    <w:rsid w:val="11772AA4"/>
    <w:rsid w:val="118107EC"/>
    <w:rsid w:val="12296736"/>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81824E9"/>
    <w:rsid w:val="28202D06"/>
    <w:rsid w:val="29462951"/>
    <w:rsid w:val="29FD04D3"/>
    <w:rsid w:val="2BFF7BC6"/>
    <w:rsid w:val="2C8A61B5"/>
    <w:rsid w:val="2D2E01CF"/>
    <w:rsid w:val="2DF04E50"/>
    <w:rsid w:val="2E9545B0"/>
    <w:rsid w:val="2F040D46"/>
    <w:rsid w:val="2FAE5751"/>
    <w:rsid w:val="2FB1A395"/>
    <w:rsid w:val="2FD9A7D8"/>
    <w:rsid w:val="319F7F4E"/>
    <w:rsid w:val="321B2544"/>
    <w:rsid w:val="32390227"/>
    <w:rsid w:val="3304709D"/>
    <w:rsid w:val="34281836"/>
    <w:rsid w:val="349D6851"/>
    <w:rsid w:val="35BA6CAF"/>
    <w:rsid w:val="35D37231"/>
    <w:rsid w:val="3600362B"/>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7F57CE"/>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135691"/>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21B5C"/>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E04990"/>
    <w:rsid w:val="7CFE0F48"/>
    <w:rsid w:val="7D7EC23E"/>
    <w:rsid w:val="7D916348"/>
    <w:rsid w:val="7DBD7BBC"/>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jc w:val="center"/>
      <w:outlineLvl w:val="0"/>
    </w:pPr>
    <w:rPr>
      <w:rFonts w:ascii="黑体" w:hAnsi="黑体" w:eastAsia="黑体" w:cs="黑体"/>
      <w:bCs/>
      <w:kern w:val="44"/>
      <w:sz w:val="44"/>
      <w:szCs w:val="44"/>
    </w:rPr>
  </w:style>
  <w:style w:type="paragraph" w:styleId="6">
    <w:name w:val="heading 2"/>
    <w:basedOn w:val="7"/>
    <w:next w:val="1"/>
    <w:link w:val="29"/>
    <w:unhideWhenUsed/>
    <w:qFormat/>
    <w:uiPriority w:val="9"/>
    <w:pPr>
      <w:adjustRightInd w:val="0"/>
      <w:snapToGrid w:val="0"/>
      <w:spacing w:line="560" w:lineRule="exact"/>
      <w:jc w:val="left"/>
      <w:outlineLvl w:val="1"/>
    </w:pPr>
    <w:rPr>
      <w:rFonts w:eastAsia="仿宋_GB2312" w:cs="仿宋_GB2312"/>
      <w:sz w:val="32"/>
      <w:szCs w:val="32"/>
    </w:rPr>
  </w:style>
  <w:style w:type="paragraph" w:styleId="8">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7">
    <w:name w:val="toc 2"/>
    <w:basedOn w:val="1"/>
    <w:next w:val="1"/>
    <w:unhideWhenUsed/>
    <w:qFormat/>
    <w:uiPriority w:val="39"/>
    <w:pPr>
      <w:tabs>
        <w:tab w:val="right" w:leader="dot" w:pos="8296"/>
      </w:tabs>
      <w:ind w:left="420" w:leftChars="200"/>
    </w:pPr>
  </w:style>
  <w:style w:type="paragraph" w:styleId="9">
    <w:name w:val="Body Text"/>
    <w:basedOn w:val="1"/>
    <w:link w:val="25"/>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1"/>
    <w:semiHidden/>
    <w:unhideWhenUsed/>
    <w:qFormat/>
    <w:uiPriority w:val="99"/>
    <w:rPr>
      <w:sz w:val="18"/>
      <w:szCs w:val="18"/>
    </w:rPr>
  </w:style>
  <w:style w:type="paragraph" w:styleId="12">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3"/>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2"/>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9"/>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link w:val="5"/>
    <w:qFormat/>
    <w:uiPriority w:val="9"/>
    <w:rPr>
      <w:rFonts w:ascii="黑体" w:hAnsi="黑体" w:eastAsia="黑体" w:cs="黑体"/>
      <w:bCs/>
      <w:kern w:val="44"/>
      <w:sz w:val="44"/>
      <w:szCs w:val="44"/>
      <w:lang w:val="en-US" w:eastAsia="zh-CN" w:bidi="ar-SA"/>
    </w:rPr>
  </w:style>
  <w:style w:type="character" w:customStyle="1" w:styleId="29">
    <w:name w:val="标题 2 Char"/>
    <w:link w:val="6"/>
    <w:qFormat/>
    <w:uiPriority w:val="9"/>
    <w:rPr>
      <w:rFonts w:ascii="Times New Roman" w:hAnsi="Times New Roman" w:eastAsia="仿宋_GB2312" w:cs="仿宋_GB2312"/>
      <w:kern w:val="2"/>
      <w:sz w:val="32"/>
      <w:szCs w:val="32"/>
      <w:lang w:val="en-US" w:eastAsia="zh-CN" w:bidi="ar-SA"/>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1"/>
    <w:semiHidden/>
    <w:qFormat/>
    <w:uiPriority w:val="99"/>
    <w:rPr>
      <w:rFonts w:ascii="Times New Roman" w:hAnsi="Times New Roman"/>
      <w:kern w:val="2"/>
      <w:sz w:val="18"/>
      <w:szCs w:val="18"/>
    </w:rPr>
  </w:style>
  <w:style w:type="character" w:customStyle="1" w:styleId="32">
    <w:name w:val="标题 3 Char"/>
    <w:basedOn w:val="16"/>
    <w:link w:val="8"/>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tangtang\Desktop\20260827%20&#20851;&#20110;&#20570;&#22909;2025&#24180;&#24230;&#37096;&#38376;&#20915;&#31639;&#20844;&#24320;&#26377;&#20851;&#24037;&#20316;&#30340;&#36890;&#30693;\&#20570;&#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图1：收入、支出决算总计变动情况图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[做图.xlsx]Sheet1!$A$4</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[做图.xlsx]Sheet1!$B$3:$C$3</c:f>
              <c:strCache>
                <c:ptCount val="2"/>
                <c:pt idx="0">
                  <c:v>收入</c:v>
                </c:pt>
                <c:pt idx="1">
                  <c:v>支出</c:v>
                </c:pt>
              </c:strCache>
            </c:strRef>
          </c:cat>
          <c:val>
            <c:numRef>
              <c:f>[做图.xlsx]Sheet1!$B$4:$C$4</c:f>
              <c:numCache>
                <c:formatCode>General</c:formatCode>
                <c:ptCount val="2"/>
                <c:pt idx="0">
                  <c:v>1070.86</c:v>
                </c:pt>
                <c:pt idx="1">
                  <c:v>1070.86</c:v>
                </c:pt>
              </c:numCache>
            </c:numRef>
          </c:val>
        </c:ser>
        <c:ser>
          <c:idx val="1"/>
          <c:order val="1"/>
          <c:tx>
            <c:strRef>
              <c:f>[做图.xlsx]Sheet1!$A$5</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[做图.xlsx]Sheet1!$B$3:$C$3</c:f>
              <c:strCache>
                <c:ptCount val="2"/>
                <c:pt idx="0">
                  <c:v>收入</c:v>
                </c:pt>
                <c:pt idx="1">
                  <c:v>支出</c:v>
                </c:pt>
              </c:strCache>
            </c:strRef>
          </c:cat>
          <c:val>
            <c:numRef>
              <c:f>[做图.xlsx]Sheet1!$B$5:$C$5</c:f>
              <c:numCache>
                <c:formatCode>General</c:formatCode>
                <c:ptCount val="2"/>
                <c:pt idx="0">
                  <c:v>1028.24</c:v>
                </c:pt>
                <c:pt idx="1">
                  <c:v>1028.24</c:v>
                </c:pt>
              </c:numCache>
            </c:numRef>
          </c:val>
        </c:ser>
        <c:dLbls>
          <c:showLegendKey val="0"/>
          <c:showVal val="1"/>
          <c:showCatName val="0"/>
          <c:showSerName val="0"/>
          <c:showPercent val="0"/>
          <c:showBubbleSize val="0"/>
        </c:dLbls>
        <c:gapWidth val="260"/>
        <c:overlap val="-32"/>
        <c:axId val="878348331"/>
        <c:axId val="88952532"/>
      </c:barChart>
      <c:catAx>
        <c:axId val="8783483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952532"/>
        <c:crosses val="autoZero"/>
        <c:auto val="1"/>
        <c:lblAlgn val="ctr"/>
        <c:lblOffset val="100"/>
        <c:noMultiLvlLbl val="0"/>
      </c:catAx>
      <c:valAx>
        <c:axId val="88952532"/>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348331"/>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24e959-c120-4d3e-800a-68765a5dcf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图2：收入决算结构图</a:t>
            </a:r>
          </a:p>
        </c:rich>
      </c:tx>
      <c:layout>
        <c:manualLayout>
          <c:xMode val="edge"/>
          <c:yMode val="edge"/>
          <c:x val="0.269909174674213"/>
          <c:y val="0.0261574074074074"/>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415009523433568"/>
          <c:y val="0.131944444444444"/>
          <c:w val="0.942082400947743"/>
          <c:h val="0.66712962962963"/>
        </c:manualLayout>
      </c:layout>
      <c:pie3DChart>
        <c:varyColors val="1"/>
        <c:ser>
          <c:idx val="0"/>
          <c:order val="0"/>
          <c:tx>
            <c:strRef>
              <c:f>[做图.xlsx]Sheet1!$N$6</c:f>
              <c:strCache>
                <c:ptCount val="1"/>
                <c:pt idx="0">
                  <c:v>一般公共预算财政拨款收入</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[做图.xlsx]Sheet1!$N$6</c:f>
              <c:strCache>
                <c:ptCount val="1"/>
                <c:pt idx="0">
                  <c:v>一般公共预算财政拨款收入</c:v>
                </c:pt>
              </c:strCache>
            </c:strRef>
          </c:cat>
          <c:val>
            <c:numRef>
              <c:f>[做图.xlsx]Sheet1!$O$6</c:f>
              <c:numCache>
                <c:formatCode>General</c:formatCode>
                <c:ptCount val="1"/>
                <c:pt idx="0">
                  <c:v>1028.24</c:v>
                </c:pt>
              </c:numCache>
            </c:numRef>
          </c:val>
        </c:ser>
        <c:dLbls>
          <c:showLegendKey val="0"/>
          <c:showVal val="0"/>
          <c:showCatName val="0"/>
          <c:showSerName val="0"/>
          <c:showPercent val="1"/>
          <c:showBubbleSize val="0"/>
        </c:dLbls>
      </c:pie3DChart>
      <c:spPr>
        <a:noFill/>
        <a:ln>
          <a:noFill/>
        </a:ln>
        <a:effectLst/>
      </c:spPr>
    </c:plotArea>
    <c:legend>
      <c:legendPos val="b"/>
      <c:layout>
        <c:manualLayout>
          <c:xMode val="edge"/>
          <c:yMode val="edge"/>
          <c:x val="0.309134107708553"/>
          <c:y val="0.8682870370370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0b7a34-da08-4ea6-833b-84810c325de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图3：支出决算结构图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157074973600845"/>
          <c:y val="0.184027777777778"/>
          <c:w val="0.941921858500528"/>
          <c:h val="0.66712962962963"/>
        </c:manualLayout>
      </c:layout>
      <c:pie3DChart>
        <c:varyColors val="1"/>
        <c:ser>
          <c:idx val="0"/>
          <c:order val="0"/>
          <c:spPr>
            <a:scene3d>
              <a:camera prst="orthographicFront"/>
              <a:lightRig rig="threePt" dir="t"/>
            </a:scene3d>
            <a:sp3d contourW="9525"/>
          </c:spPr>
          <c:explosion val="0"/>
          <c:dPt>
            <c:idx val="0"/>
            <c:bubble3D val="0"/>
            <c:spPr>
              <a:gradFill>
                <a:gsLst>
                  <a:gs pos="0">
                    <a:schemeClr val="accent1">
                      <a:shade val="76667"/>
                      <a:hueOff val="-1670000"/>
                    </a:schemeClr>
                  </a:gs>
                  <a:gs pos="100000">
                    <a:schemeClr val="accent1">
                      <a:shade val="76667"/>
                    </a:schemeClr>
                  </a:gs>
                </a:gsLst>
                <a:lin ang="5400000" scaled="0"/>
              </a:gradFill>
              <a:ln>
                <a:gradFill>
                  <a:gsLst>
                    <a:gs pos="0">
                      <a:schemeClr val="accent1">
                        <a:shade val="76667"/>
                        <a:lumMod val="75000"/>
                        <a:hueOff val="-1670000"/>
                      </a:schemeClr>
                    </a:gs>
                    <a:gs pos="100000">
                      <a:schemeClr val="accent1">
                        <a:shade val="76667"/>
                        <a:lumMod val="75000"/>
                      </a:schemeClr>
                    </a:gs>
                  </a:gsLst>
                  <a:lin ang="5160000" scaled="1"/>
                </a:gradFill>
              </a:ln>
              <a:effectLst/>
            </c:spPr>
          </c:dPt>
          <c:dPt>
            <c:idx val="1"/>
            <c:bubble3D val="0"/>
            <c:spPr>
              <a:gradFill>
                <a:gsLst>
                  <a:gs pos="0">
                    <a:schemeClr val="accent1">
                      <a:tint val="76667"/>
                      <a:hueOff val="-1670000"/>
                    </a:schemeClr>
                  </a:gs>
                  <a:gs pos="100000">
                    <a:schemeClr val="accent1">
                      <a:tint val="76667"/>
                    </a:schemeClr>
                  </a:gs>
                </a:gsLst>
                <a:lin ang="5400000" scaled="0"/>
              </a:gradFill>
              <a:ln>
                <a:gradFill>
                  <a:gsLst>
                    <a:gs pos="0">
                      <a:schemeClr val="accent1">
                        <a:tint val="76667"/>
                        <a:lumMod val="75000"/>
                        <a:hueOff val="-1670000"/>
                      </a:schemeClr>
                    </a:gs>
                    <a:gs pos="100000">
                      <a:schemeClr val="accent1">
                        <a:tint val="76667"/>
                        <a:lumMod val="75000"/>
                      </a:schemeClr>
                    </a:gs>
                  </a:gsLst>
                  <a:lin ang="5160000" scaled="1"/>
                </a:gradFill>
              </a:ln>
              <a:effectLst/>
            </c:spPr>
          </c:dPt>
          <c:dLbls>
            <c:dLbl>
              <c:idx val="0"/>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dLbl>
              <c:idx val="1"/>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extLst>
                <c:ext xmlns:c15="http://schemas.microsoft.com/office/drawing/2012/chart" uri="{CE6537A1-D6FC-4f65-9D91-7224C49458BB}"/>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[做图.xlsx]Sheet1!$A$20:$A$21</c:f>
              <c:strCache>
                <c:ptCount val="2"/>
                <c:pt idx="0">
                  <c:v>基本支出</c:v>
                </c:pt>
                <c:pt idx="1">
                  <c:v>项目支出</c:v>
                </c:pt>
              </c:strCache>
            </c:strRef>
          </c:cat>
          <c:val>
            <c:numRef>
              <c:f>[做图.xlsx]Sheet1!$B$20:$B$21</c:f>
              <c:numCache>
                <c:formatCode>General</c:formatCode>
                <c:ptCount val="2"/>
                <c:pt idx="0">
                  <c:v>929.31</c:v>
                </c:pt>
                <c:pt idx="1">
                  <c:v>98.94</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359bb2d-0910-40ae-90e5-4e4b0eb0f6a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a:t>
            </a:r>
          </a:p>
        </c:rich>
      </c:tx>
      <c:layout>
        <c:manualLayout>
          <c:xMode val="edge"/>
          <c:yMode val="edge"/>
          <c:x val="0.176667982629293"/>
          <c:y val="0.0347222222222222"/>
        </c:manualLayout>
      </c:layout>
      <c:overlay val="0"/>
      <c:spPr>
        <a:noFill/>
        <a:ln>
          <a:noFill/>
        </a:ln>
        <a:effectLst/>
      </c:spPr>
    </c:title>
    <c:autoTitleDeleted val="0"/>
    <c:plotArea>
      <c:layout>
        <c:manualLayout>
          <c:layoutTarget val="inner"/>
          <c:xMode val="edge"/>
          <c:yMode val="edge"/>
          <c:x val="0.0289511777865509"/>
          <c:y val="0.280092592592593"/>
          <c:w val="0.942097644426898"/>
          <c:h val="0.606111111111111"/>
        </c:manualLayout>
      </c:layout>
      <c:barChart>
        <c:barDir val="col"/>
        <c:grouping val="clustered"/>
        <c:varyColors val="0"/>
        <c:ser>
          <c:idx val="0"/>
          <c:order val="0"/>
          <c:tx>
            <c:strRef>
              <c:f>[做图.xlsx]Sheet1!$C$73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[做图.xlsx]Sheet1!$B$74:$B$75</c:f>
              <c:strCache>
                <c:ptCount val="2"/>
                <c:pt idx="0">
                  <c:v>财政拨款收入</c:v>
                </c:pt>
                <c:pt idx="1">
                  <c:v>财政拨款支出</c:v>
                </c:pt>
              </c:strCache>
            </c:strRef>
          </c:cat>
          <c:val>
            <c:numRef>
              <c:f>[做图.xlsx]Sheet1!$C$74:$C$75</c:f>
              <c:numCache>
                <c:formatCode>General</c:formatCode>
                <c:ptCount val="2"/>
                <c:pt idx="0">
                  <c:v>1069.67</c:v>
                </c:pt>
                <c:pt idx="1">
                  <c:v>1069.67</c:v>
                </c:pt>
              </c:numCache>
            </c:numRef>
          </c:val>
        </c:ser>
        <c:ser>
          <c:idx val="1"/>
          <c:order val="1"/>
          <c:tx>
            <c:strRef>
              <c:f>[做图.xlsx]Sheet1!$D$73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[做图.xlsx]Sheet1!$B$74:$B$75</c:f>
              <c:strCache>
                <c:ptCount val="2"/>
                <c:pt idx="0">
                  <c:v>财政拨款收入</c:v>
                </c:pt>
                <c:pt idx="1">
                  <c:v>财政拨款支出</c:v>
                </c:pt>
              </c:strCache>
            </c:strRef>
          </c:cat>
          <c:val>
            <c:numRef>
              <c:f>[做图.xlsx]Sheet1!$D$74:$D$75</c:f>
              <c:numCache>
                <c:formatCode>General</c:formatCode>
                <c:ptCount val="2"/>
                <c:pt idx="0">
                  <c:v>1028.24</c:v>
                </c:pt>
                <c:pt idx="1">
                  <c:v>1028.24</c:v>
                </c:pt>
              </c:numCache>
            </c:numRef>
          </c:val>
        </c:ser>
        <c:dLbls>
          <c:showLegendKey val="0"/>
          <c:showVal val="1"/>
          <c:showCatName val="0"/>
          <c:showSerName val="0"/>
          <c:showPercent val="0"/>
          <c:showBubbleSize val="0"/>
        </c:dLbls>
        <c:gapWidth val="260"/>
        <c:overlap val="-32"/>
        <c:axId val="503843493"/>
        <c:axId val="784990755"/>
      </c:barChart>
      <c:catAx>
        <c:axId val="5038434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4990755"/>
        <c:crosses val="autoZero"/>
        <c:auto val="1"/>
        <c:lblAlgn val="ctr"/>
        <c:lblOffset val="100"/>
        <c:noMultiLvlLbl val="0"/>
      </c:catAx>
      <c:valAx>
        <c:axId val="784990755"/>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843493"/>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a38bcd7-3a67-4007-a5c4-59dacf83fa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图5：一般公共预算财政拨款支出决算变动情况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[做图.xlsx]Sheet1!$K$34</c:f>
              <c:strCache>
                <c:ptCount val="1"/>
                <c:pt idx="0">
                  <c:v>2024年</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[做图.xlsx]Sheet1!$J$35:$J$36</c:f>
              <c:strCache>
                <c:ptCount val="2"/>
                <c:pt idx="0">
                  <c:v>基本支出</c:v>
                </c:pt>
                <c:pt idx="1">
                  <c:v>项目支出</c:v>
                </c:pt>
              </c:strCache>
            </c:strRef>
          </c:cat>
          <c:val>
            <c:numRef>
              <c:f>[做图.xlsx]Sheet1!$K$35:$K$36</c:f>
              <c:numCache>
                <c:formatCode>General</c:formatCode>
                <c:ptCount val="2"/>
                <c:pt idx="0">
                  <c:v>886.75</c:v>
                </c:pt>
                <c:pt idx="1">
                  <c:v>182.92</c:v>
                </c:pt>
              </c:numCache>
            </c:numRef>
          </c:val>
        </c:ser>
        <c:ser>
          <c:idx val="1"/>
          <c:order val="1"/>
          <c:tx>
            <c:strRef>
              <c:f>[做图.xlsx]Sheet1!$L$34</c:f>
              <c:strCache>
                <c:ptCount val="1"/>
                <c:pt idx="0">
                  <c:v>2025年</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[做图.xlsx]Sheet1!$J$35:$J$36</c:f>
              <c:strCache>
                <c:ptCount val="2"/>
                <c:pt idx="0">
                  <c:v>基本支出</c:v>
                </c:pt>
                <c:pt idx="1">
                  <c:v>项目支出</c:v>
                </c:pt>
              </c:strCache>
            </c:strRef>
          </c:cat>
          <c:val>
            <c:numRef>
              <c:f>[做图.xlsx]Sheet1!$L$35:$L$36</c:f>
              <c:numCache>
                <c:formatCode>General</c:formatCode>
                <c:ptCount val="2"/>
                <c:pt idx="0">
                  <c:v>929.31</c:v>
                </c:pt>
                <c:pt idx="1">
                  <c:v>98.94</c:v>
                </c:pt>
              </c:numCache>
            </c:numRef>
          </c:val>
        </c:ser>
        <c:dLbls>
          <c:showLegendKey val="0"/>
          <c:showVal val="1"/>
          <c:showCatName val="0"/>
          <c:showSerName val="0"/>
          <c:showPercent val="0"/>
          <c:showBubbleSize val="0"/>
        </c:dLbls>
        <c:gapWidth val="246"/>
        <c:overlap val="-28"/>
        <c:axId val="554112449"/>
        <c:axId val="735363376"/>
      </c:barChart>
      <c:catAx>
        <c:axId val="55411244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363376"/>
        <c:crosses val="autoZero"/>
        <c:auto val="1"/>
        <c:lblAlgn val="ctr"/>
        <c:lblOffset val="100"/>
        <c:noMultiLvlLbl val="0"/>
      </c:catAx>
      <c:valAx>
        <c:axId val="73536337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1124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2d9e657-accb-40b5-80cd-b094e139bb2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图6：一般公共预算财政拨款支出决算结构</a:t>
            </a:r>
          </a:p>
        </c:rich>
      </c:tx>
      <c:layout>
        <c:manualLayout>
          <c:xMode val="edge"/>
          <c:yMode val="edge"/>
          <c:x val="0.142105263157895"/>
          <c:y val="0.0155092592592593"/>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94198585046069"/>
          <c:y val="0.212333333333333"/>
          <c:w val="0.829052631578947"/>
          <c:h val="0.679962962962963"/>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dLbl>
              <c:idx val="0"/>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社会保障和就业支出, 215.71, 21%</a:t>
                    </a:r>
                  </a:p>
                </c:rich>
              </c:tx>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卫生健康支出, 41.09, 4%</a:t>
                    </a:r>
                  </a:p>
                </c:rich>
              </c:tx>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3"/>
              <c:layout>
                <c:manualLayout>
                  <c:x val="0.0611842105263158"/>
                  <c:y val="0.00856481481481482"/>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[做图.xlsx]Sheet1!$C$47:$C$50</c:f>
              <c:strCache>
                <c:ptCount val="4"/>
                <c:pt idx="0">
                  <c:v>教育支出</c:v>
                </c:pt>
                <c:pt idx="1">
                  <c:v>社会保障和就业支出</c:v>
                </c:pt>
                <c:pt idx="2">
                  <c:v>卫生健康支出</c:v>
                </c:pt>
                <c:pt idx="3">
                  <c:v>住房保障支出</c:v>
                </c:pt>
              </c:strCache>
            </c:strRef>
          </c:cat>
          <c:val>
            <c:numRef>
              <c:f>[做图.xlsx]Sheet1!$D$47:$D$50</c:f>
              <c:numCache>
                <c:formatCode>General</c:formatCode>
                <c:ptCount val="4"/>
                <c:pt idx="0">
                  <c:v>711.5</c:v>
                </c:pt>
                <c:pt idx="1">
                  <c:v>215.71</c:v>
                </c:pt>
                <c:pt idx="2">
                  <c:v>41.09</c:v>
                </c:pt>
                <c:pt idx="3">
                  <c:v>59.94</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ca597ad2-da7d-4ed6-b0e8-e91372d8204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图7：财政拨款“三公”经费支出结构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74365382086019"/>
          <c:y val="0.223402777777778"/>
          <c:w val="0.829072734446929"/>
          <c:h val="0.679351851851852"/>
        </c:manualLayout>
      </c:layout>
      <c:pie3DChart>
        <c:varyColors val="1"/>
        <c:ser>
          <c:idx val="0"/>
          <c:order val="0"/>
          <c:tx>
            <c:strRef>
              <c:f>[做图.xlsx]Sheet1!$D$63</c:f>
              <c:strCache>
                <c:ptCount val="1"/>
                <c:pt idx="0">
                  <c:v>2025年</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dLbl>
              <c:idx val="0"/>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manualLayout>
                  <c:x val="0.150861502038669"/>
                  <c:y val="-0.0363425925925926"/>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numFmt formatCode="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[做图.xlsx]Sheet1!$C$64:$C$66</c:f>
              <c:strCache>
                <c:ptCount val="3"/>
                <c:pt idx="0">
                  <c:v>因公出国（境）费</c:v>
                </c:pt>
                <c:pt idx="1">
                  <c:v>公务用车购置及运行维护费</c:v>
                </c:pt>
                <c:pt idx="2">
                  <c:v>公务接待费</c:v>
                </c:pt>
              </c:strCache>
            </c:strRef>
          </c:cat>
          <c:val>
            <c:numRef>
              <c:f>[做图.xlsx]Sheet1!$D$64:$D$66</c:f>
              <c:numCache>
                <c:formatCode>General</c:formatCode>
                <c:ptCount val="3"/>
                <c:pt idx="0">
                  <c:v>0</c:v>
                </c:pt>
                <c:pt idx="1">
                  <c:v>1.13</c:v>
                </c:pt>
                <c:pt idx="2">
                  <c:v>0.19</c:v>
                </c:pt>
              </c:numCache>
            </c:numRef>
          </c:val>
        </c:ser>
        <c:dLbls>
          <c:showLegendKey val="0"/>
          <c:showVal val="0"/>
          <c:showCatName val="0"/>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64f79f01-8d35-4d48-957a-d4e0e932424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9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D8BF27-9BC4-4803-BD7B-20AB2795F53D}">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20</Pages>
  <Words>49</Words>
  <Characters>52</Characters>
  <Lines>64</Lines>
  <Paragraphs>18</Paragraphs>
  <TotalTime>9</TotalTime>
  <ScaleCrop>false</ScaleCrop>
  <LinksUpToDate>false</LinksUpToDate>
  <CharactersWithSpaces>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堂堂</cp:lastModifiedBy>
  <cp:lastPrinted>2026-08-03T09:27:00Z</cp:lastPrinted>
  <dcterms:modified xsi:type="dcterms:W3CDTF">2026-09-02T04:40:03Z</dcterms:modified>
  <dc:title>四川省***</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eyJoZGlkIjoiNDA0N2Q4ZTQ5OWEwYWMwNTQzN2VmNGU1NjU0NGMyMzYiLCJ1c2VySWQiOiIzNzI3NTgzMDYifQ==</vt:lpwstr>
  </property>
</Properties>
</file>