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jc w:val="center"/>
        <w:rPr>
          <w:rFonts w:ascii="方正小标宋简体" w:hAnsi="宋体" w:eastAsia="方正小标宋简体"/>
          <w:kern w:val="2"/>
          <w:sz w:val="44"/>
          <w:szCs w:val="44"/>
        </w:rPr>
      </w:pPr>
    </w:p>
    <w:p>
      <w:pPr>
        <w:pStyle w:val="2"/>
        <w:spacing w:before="93"/>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rPr>
        <w:t>2023年度</w:t>
      </w:r>
    </w:p>
    <w:p>
      <w:pPr>
        <w:pStyle w:val="2"/>
        <w:spacing w:before="93"/>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rPr>
        <w:t>攀枝花市第三高级中学校</w:t>
      </w:r>
    </w:p>
    <w:p>
      <w:pPr>
        <w:pStyle w:val="2"/>
        <w:spacing w:before="93"/>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rPr>
        <w:t>单位决算</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sz w:val="28"/>
          <w:szCs w:val="28"/>
        </w:rPr>
      </w:pPr>
    </w:p>
    <w:p>
      <w:pPr>
        <w:pStyle w:val="11"/>
      </w:pPr>
      <w:r>
        <w:rPr>
          <w:rFonts w:hint="eastAsia"/>
        </w:rPr>
        <w:t>公开时间：2024年9月13日</w:t>
      </w:r>
    </w:p>
    <w:p/>
    <w:p>
      <w:pPr>
        <w:pStyle w:val="11"/>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单位概况 ..................................................4</w:t>
      </w:r>
    </w:p>
    <w:p>
      <w:pPr>
        <w:pStyle w:val="12"/>
        <w:adjustRightInd w:val="0"/>
        <w:snapToGrid w:val="0"/>
        <w:spacing w:line="440" w:lineRule="exact"/>
        <w:jc w:val="left"/>
        <w:rPr>
          <w:sz w:val="24"/>
        </w:rPr>
      </w:pPr>
      <w:r>
        <w:rPr>
          <w:rFonts w:hint="eastAsia"/>
          <w:sz w:val="24"/>
        </w:rPr>
        <w:t>一、主要职责</w:t>
      </w:r>
      <w:r>
        <w:rPr>
          <w:rFonts w:cstheme="minorBidi"/>
          <w:sz w:val="24"/>
        </w:rPr>
        <w:tab/>
      </w:r>
      <w:r>
        <w:rPr>
          <w:rFonts w:hint="eastAsia" w:cstheme="minorBidi"/>
          <w:sz w:val="24"/>
        </w:rPr>
        <w:t>4</w:t>
      </w:r>
    </w:p>
    <w:p>
      <w:pPr>
        <w:pStyle w:val="12"/>
        <w:adjustRightInd w:val="0"/>
        <w:snapToGrid w:val="0"/>
        <w:spacing w:line="440" w:lineRule="exact"/>
        <w:jc w:val="left"/>
      </w:pPr>
      <w:r>
        <w:rPr>
          <w:rFonts w:hint="eastAsia"/>
          <w:sz w:val="24"/>
        </w:rPr>
        <w:t>二、机构设置</w:t>
      </w:r>
      <w:r>
        <w:rPr>
          <w:rFonts w:cstheme="minorBidi"/>
          <w:sz w:val="24"/>
        </w:rPr>
        <w:tab/>
      </w:r>
      <w:r>
        <w:rPr>
          <w:rFonts w:hint="eastAsia" w:cstheme="minorBidi"/>
          <w:sz w:val="24"/>
        </w:rPr>
        <w:t>4</w:t>
      </w:r>
    </w:p>
    <w:p>
      <w:pPr>
        <w:pStyle w:val="11"/>
        <w:adjustRightInd w:val="0"/>
        <w:snapToGrid w:val="0"/>
        <w:spacing w:before="0" w:line="440" w:lineRule="exact"/>
        <w:jc w:val="left"/>
        <w:rPr>
          <w:sz w:val="24"/>
          <w:szCs w:val="24"/>
        </w:rPr>
      </w:pPr>
      <w:r>
        <w:rPr>
          <w:rFonts w:hint="eastAsia"/>
          <w:sz w:val="24"/>
        </w:rPr>
        <w:t>第二部分 2023年度单位决算情况说明............................... 5-14</w:t>
      </w:r>
    </w:p>
    <w:p>
      <w:pPr>
        <w:pStyle w:val="12"/>
        <w:adjustRightInd w:val="0"/>
        <w:snapToGrid w:val="0"/>
        <w:spacing w:line="440" w:lineRule="exact"/>
        <w:jc w:val="left"/>
        <w:rPr>
          <w:rFonts w:ascii="仿宋" w:hAnsi="仿宋" w:eastAsia="仿宋"/>
          <w:sz w:val="24"/>
        </w:rPr>
      </w:pPr>
      <w:r>
        <w:rPr>
          <w:rFonts w:hint="eastAsia"/>
          <w:sz w:val="24"/>
        </w:rPr>
        <w:t>一、收入支出决算总体情况说明</w:t>
      </w:r>
      <w:r>
        <w:rPr>
          <w:rFonts w:cstheme="minorBidi"/>
          <w:sz w:val="24"/>
        </w:rPr>
        <w:tab/>
      </w:r>
      <w:r>
        <w:rPr>
          <w:rFonts w:hint="eastAsia" w:cstheme="minorBidi"/>
          <w:sz w:val="24"/>
        </w:rPr>
        <w:t>5</w:t>
      </w:r>
    </w:p>
    <w:p>
      <w:pPr>
        <w:pStyle w:val="12"/>
        <w:adjustRightInd w:val="0"/>
        <w:snapToGrid w:val="0"/>
        <w:spacing w:line="440" w:lineRule="exact"/>
        <w:jc w:val="left"/>
        <w:rPr>
          <w:rFonts w:ascii="仿宋" w:hAnsi="仿宋" w:eastAsia="仿宋"/>
          <w:sz w:val="24"/>
        </w:rPr>
      </w:pPr>
      <w:r>
        <w:rPr>
          <w:rFonts w:hint="eastAsia"/>
          <w:sz w:val="24"/>
        </w:rPr>
        <w:t>二、收入决算情况说明</w:t>
      </w:r>
      <w:r>
        <w:rPr>
          <w:rFonts w:cstheme="minorBidi"/>
          <w:sz w:val="24"/>
        </w:rPr>
        <w:tab/>
      </w:r>
      <w:r>
        <w:rPr>
          <w:rFonts w:hint="eastAsia" w:cstheme="minorBidi"/>
          <w:sz w:val="24"/>
        </w:rPr>
        <w:t>5-6</w:t>
      </w:r>
    </w:p>
    <w:p>
      <w:pPr>
        <w:pStyle w:val="12"/>
        <w:adjustRightInd w:val="0"/>
        <w:snapToGrid w:val="0"/>
        <w:spacing w:line="440" w:lineRule="exact"/>
        <w:jc w:val="left"/>
        <w:rPr>
          <w:rFonts w:ascii="仿宋" w:hAnsi="仿宋" w:eastAsia="仿宋"/>
          <w:sz w:val="24"/>
        </w:rPr>
      </w:pPr>
      <w:r>
        <w:rPr>
          <w:rFonts w:hint="eastAsia"/>
          <w:sz w:val="24"/>
        </w:rPr>
        <w:t>三、支出决算情况说明</w:t>
      </w:r>
      <w:r>
        <w:rPr>
          <w:rFonts w:cstheme="minorBidi"/>
          <w:sz w:val="24"/>
        </w:rPr>
        <w:tab/>
      </w:r>
      <w:r>
        <w:rPr>
          <w:rFonts w:hint="eastAsia" w:cstheme="minorBidi"/>
          <w:sz w:val="24"/>
        </w:rPr>
        <w:t>6-7</w:t>
      </w:r>
    </w:p>
    <w:p>
      <w:pPr>
        <w:pStyle w:val="12"/>
        <w:adjustRightInd w:val="0"/>
        <w:snapToGrid w:val="0"/>
        <w:spacing w:line="440" w:lineRule="exact"/>
        <w:jc w:val="left"/>
        <w:rPr>
          <w:rFonts w:ascii="仿宋" w:hAnsi="仿宋" w:eastAsia="仿宋"/>
          <w:sz w:val="24"/>
        </w:rPr>
      </w:pPr>
      <w:r>
        <w:rPr>
          <w:rFonts w:hint="eastAsia"/>
          <w:sz w:val="24"/>
        </w:rPr>
        <w:t>四、财政拨款收入支出决算总体情况说明</w:t>
      </w:r>
      <w:r>
        <w:rPr>
          <w:rFonts w:cstheme="minorBidi"/>
          <w:sz w:val="24"/>
        </w:rPr>
        <w:tab/>
      </w:r>
      <w:r>
        <w:rPr>
          <w:rFonts w:hint="eastAsia" w:cstheme="minorBidi"/>
          <w:sz w:val="24"/>
        </w:rPr>
        <w:t>7-8</w:t>
      </w:r>
    </w:p>
    <w:p>
      <w:pPr>
        <w:pStyle w:val="12"/>
        <w:adjustRightInd w:val="0"/>
        <w:snapToGrid w:val="0"/>
        <w:spacing w:line="440" w:lineRule="exact"/>
        <w:jc w:val="left"/>
        <w:rPr>
          <w:rFonts w:ascii="仿宋" w:hAnsi="仿宋" w:eastAsia="仿宋"/>
          <w:sz w:val="24"/>
        </w:rPr>
      </w:pPr>
      <w:r>
        <w:rPr>
          <w:rFonts w:hint="eastAsia"/>
          <w:sz w:val="24"/>
        </w:rPr>
        <w:t>五、一般公共预算财政拨款支出决算情况说明</w:t>
      </w:r>
      <w:r>
        <w:rPr>
          <w:rFonts w:cstheme="minorBidi"/>
          <w:sz w:val="24"/>
        </w:rPr>
        <w:tab/>
      </w:r>
      <w:r>
        <w:rPr>
          <w:rFonts w:hint="eastAsia" w:cstheme="minorBidi"/>
          <w:sz w:val="24"/>
        </w:rPr>
        <w:t>8-11</w:t>
      </w:r>
    </w:p>
    <w:p>
      <w:pPr>
        <w:pStyle w:val="12"/>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r>
        <w:rPr>
          <w:rFonts w:cstheme="minorBidi"/>
          <w:sz w:val="24"/>
        </w:rPr>
        <w:tab/>
      </w:r>
      <w:r>
        <w:rPr>
          <w:rFonts w:hint="eastAsia" w:cstheme="minorBidi"/>
          <w:sz w:val="24"/>
        </w:rPr>
        <w:t>11</w:t>
      </w:r>
    </w:p>
    <w:p>
      <w:pPr>
        <w:pStyle w:val="12"/>
        <w:adjustRightInd w:val="0"/>
        <w:snapToGrid w:val="0"/>
        <w:spacing w:line="440" w:lineRule="exact"/>
        <w:jc w:val="left"/>
        <w:rPr>
          <w:rFonts w:ascii="仿宋" w:hAnsi="仿宋" w:eastAsia="仿宋"/>
          <w:sz w:val="24"/>
        </w:rPr>
      </w:pPr>
      <w:r>
        <w:rPr>
          <w:rFonts w:hint="eastAsia"/>
          <w:sz w:val="24"/>
        </w:rPr>
        <w:t>七、财政拨款“三公”经费支出决算情况说明</w:t>
      </w:r>
      <w:r>
        <w:rPr>
          <w:rFonts w:cstheme="minorBidi"/>
          <w:sz w:val="24"/>
        </w:rPr>
        <w:tab/>
      </w:r>
      <w:r>
        <w:rPr>
          <w:rFonts w:hint="eastAsia" w:cstheme="minorBidi"/>
          <w:sz w:val="24"/>
        </w:rPr>
        <w:t>12-13</w:t>
      </w:r>
    </w:p>
    <w:p>
      <w:pPr>
        <w:pStyle w:val="12"/>
        <w:adjustRightInd w:val="0"/>
        <w:snapToGrid w:val="0"/>
        <w:spacing w:line="440" w:lineRule="exact"/>
        <w:jc w:val="left"/>
        <w:rPr>
          <w:rFonts w:ascii="仿宋" w:hAnsi="仿宋" w:eastAsia="仿宋"/>
          <w:sz w:val="24"/>
        </w:rPr>
      </w:pPr>
      <w:r>
        <w:rPr>
          <w:rFonts w:hint="eastAsia"/>
          <w:sz w:val="24"/>
        </w:rPr>
        <w:t>八、政府性基金预算支出决算情况说明</w:t>
      </w:r>
      <w:r>
        <w:rPr>
          <w:rFonts w:cstheme="minorBidi"/>
          <w:sz w:val="24"/>
        </w:rPr>
        <w:tab/>
      </w:r>
      <w:r>
        <w:rPr>
          <w:rFonts w:hint="eastAsia" w:cstheme="minorBidi"/>
          <w:sz w:val="24"/>
        </w:rPr>
        <w:t>13</w:t>
      </w:r>
    </w:p>
    <w:p>
      <w:pPr>
        <w:pStyle w:val="12"/>
        <w:adjustRightInd w:val="0"/>
        <w:snapToGrid w:val="0"/>
        <w:spacing w:line="440" w:lineRule="exact"/>
        <w:jc w:val="left"/>
        <w:rPr>
          <w:rFonts w:cstheme="minorBidi"/>
          <w:sz w:val="24"/>
        </w:rPr>
      </w:pPr>
      <w:r>
        <w:rPr>
          <w:rFonts w:hint="eastAsia"/>
          <w:sz w:val="24"/>
        </w:rPr>
        <w:t>九、国有资本经营预算支出决算情况说明</w:t>
      </w:r>
      <w:r>
        <w:rPr>
          <w:rFonts w:cstheme="minorBidi"/>
          <w:sz w:val="24"/>
        </w:rPr>
        <w:tab/>
      </w:r>
      <w:r>
        <w:rPr>
          <w:rFonts w:hint="eastAsia" w:cstheme="minorBidi"/>
          <w:sz w:val="24"/>
        </w:rPr>
        <w:t>13</w:t>
      </w:r>
    </w:p>
    <w:p>
      <w:pPr>
        <w:pStyle w:val="12"/>
        <w:adjustRightInd w:val="0"/>
        <w:snapToGrid w:val="0"/>
        <w:spacing w:line="440" w:lineRule="exact"/>
        <w:jc w:val="left"/>
        <w:rPr>
          <w:sz w:val="24"/>
        </w:rPr>
      </w:pPr>
      <w:r>
        <w:rPr>
          <w:rFonts w:hint="eastAsia"/>
          <w:sz w:val="24"/>
        </w:rPr>
        <w:t>十、其他重要事项的情况说明</w:t>
      </w:r>
      <w:r>
        <w:rPr>
          <w:rFonts w:cstheme="minorBidi"/>
          <w:sz w:val="24"/>
        </w:rPr>
        <w:tab/>
      </w:r>
      <w:r>
        <w:rPr>
          <w:rFonts w:hint="eastAsia" w:cstheme="minorBidi"/>
          <w:sz w:val="24"/>
        </w:rPr>
        <w:t>13-14</w:t>
      </w:r>
    </w:p>
    <w:p>
      <w:pPr>
        <w:pStyle w:val="11"/>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名词解释...............................................15-17</w:t>
      </w:r>
    </w:p>
    <w:p>
      <w:pPr>
        <w:pStyle w:val="11"/>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附件......................................................17</w:t>
      </w:r>
    </w:p>
    <w:p>
      <w:pPr>
        <w:pStyle w:val="11"/>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附表......................................................18</w:t>
      </w:r>
    </w:p>
    <w:p>
      <w:pPr>
        <w:pStyle w:val="12"/>
        <w:adjustRightInd w:val="0"/>
        <w:snapToGrid w:val="0"/>
        <w:spacing w:line="440" w:lineRule="exact"/>
        <w:jc w:val="left"/>
        <w:rPr>
          <w:sz w:val="24"/>
        </w:rPr>
      </w:pPr>
      <w:r>
        <w:rPr>
          <w:rFonts w:hint="eastAsia"/>
          <w:sz w:val="24"/>
        </w:rPr>
        <w:t>一、收入支出决算总表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二、收入决算表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三、支出决算表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四、财政拨款收入支出决算总表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五、财政拨款支出决算明细表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六、一般公共预算财政拨款支出决算表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七、一般公共预算财政拨款支出决算明细表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八、一般公共预算财政拨款基本支出决算明细表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九、一般公共预算财政拨款项目支出决算表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十、政府性基金预算财政拨款收入支出决算表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十一、国有资本经营预算财政拨款收入支出决算表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十二、国有资本经营预算财政拨款支出决算表</w:t>
      </w:r>
      <w:r>
        <w:rPr>
          <w:rFonts w:cstheme="minorBidi"/>
          <w:sz w:val="24"/>
        </w:rPr>
        <w:tab/>
      </w:r>
      <w:r>
        <w:rPr>
          <w:rFonts w:hint="eastAsia" w:cstheme="minorBidi"/>
          <w:sz w:val="24"/>
        </w:rPr>
        <w:t>18</w:t>
      </w:r>
    </w:p>
    <w:p>
      <w:pPr>
        <w:pStyle w:val="12"/>
        <w:adjustRightInd w:val="0"/>
        <w:snapToGrid w:val="0"/>
        <w:spacing w:line="440" w:lineRule="exact"/>
        <w:jc w:val="left"/>
        <w:rPr>
          <w:sz w:val="24"/>
        </w:rPr>
      </w:pPr>
      <w:r>
        <w:rPr>
          <w:rFonts w:hint="eastAsia"/>
          <w:sz w:val="24"/>
        </w:rPr>
        <w:t>十三、财政拨款“三公”经费支出决算表</w:t>
      </w:r>
      <w:r>
        <w:rPr>
          <w:rFonts w:cstheme="minorBidi"/>
          <w:sz w:val="24"/>
        </w:rPr>
        <w:tab/>
      </w:r>
      <w:r>
        <w:rPr>
          <w:rFonts w:hint="eastAsia" w:cstheme="minorBidi"/>
          <w:sz w:val="24"/>
        </w:rPr>
        <w:t>18</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ascii="黑体" w:hAnsi="黑体" w:eastAsia="黑体"/>
          <w:b w:val="0"/>
        </w:rPr>
      </w:pPr>
      <w:r>
        <w:rPr>
          <w:rFonts w:hint="eastAsia" w:ascii="黑体" w:hAnsi="黑体" w:eastAsia="黑体"/>
          <w:b w:val="0"/>
        </w:rPr>
        <w:t>第一部分 单位</w:t>
      </w:r>
      <w:r>
        <w:rPr>
          <w:rStyle w:val="28"/>
          <w:rFonts w:hint="eastAsia" w:ascii="黑体" w:hAnsi="黑体" w:eastAsia="黑体"/>
          <w:b/>
          <w:bCs/>
        </w:rPr>
        <w:t>概况</w:t>
      </w:r>
    </w:p>
    <w:p>
      <w:pPr>
        <w:pStyle w:val="4"/>
        <w:suppressAutoHyphens/>
        <w:rPr>
          <w:rFonts w:ascii="黑体" w:hAnsi="黑体" w:eastAsia="黑体"/>
          <w:b w:val="0"/>
        </w:rPr>
      </w:pPr>
      <w:r>
        <w:rPr>
          <w:rFonts w:hint="eastAsia"/>
        </w:rPr>
        <w:t>一、主要职责</w:t>
      </w:r>
    </w:p>
    <w:p>
      <w:pPr>
        <w:ind w:firstLine="525" w:firstLineChars="250"/>
      </w:pPr>
      <w:r>
        <w:rPr>
          <w:rFonts w:hint="eastAsia"/>
        </w:rPr>
        <w:t xml:space="preserve">  </w:t>
      </w:r>
      <w:r>
        <w:rPr>
          <w:rFonts w:hint="eastAsia" w:ascii="仿宋" w:hAnsi="仿宋" w:eastAsia="仿宋"/>
          <w:sz w:val="32"/>
          <w:szCs w:val="32"/>
        </w:rPr>
        <w:t>攀枝花市第三高级中学校（以下简称市三中）为市教育和体育局直属高中，从事高中学历教育。学校始建于1978年，1982年学校被评为四川省首批办好的省重点中学之一，2002年学校被评为四川省国家级示范性高中之一，2013年学校被确认为四川省一级示范性普通高中。</w:t>
      </w:r>
    </w:p>
    <w:p>
      <w:pPr>
        <w:jc w:val="left"/>
      </w:pPr>
    </w:p>
    <w:p>
      <w:pPr>
        <w:pStyle w:val="4"/>
        <w:suppressAutoHyphens/>
        <w:rPr>
          <w:rFonts w:ascii="方正仿宋_GB2312" w:hAnsi="方正仿宋_GB2312" w:eastAsia="方正仿宋_GB2312" w:cs="方正仿宋_GB2312"/>
          <w:color w:val="000000"/>
          <w:kern w:val="0"/>
          <w:sz w:val="33"/>
          <w:szCs w:val="33"/>
        </w:rPr>
      </w:pPr>
      <w:r>
        <w:rPr>
          <w:rFonts w:hint="eastAsia" w:ascii="黑体" w:hAnsi="黑体" w:eastAsia="黑体"/>
          <w:b w:val="0"/>
        </w:rPr>
        <w:t>二、机构设置</w:t>
      </w:r>
    </w:p>
    <w:p>
      <w:pPr>
        <w:ind w:firstLine="800" w:firstLineChars="250"/>
        <w:rPr>
          <w:rFonts w:ascii="仿宋" w:hAnsi="仿宋" w:eastAsia="仿宋"/>
          <w:sz w:val="32"/>
          <w:szCs w:val="32"/>
        </w:rPr>
      </w:pPr>
      <w:r>
        <w:rPr>
          <w:rFonts w:hint="eastAsia" w:ascii="仿宋" w:hAnsi="仿宋" w:eastAsia="仿宋"/>
          <w:sz w:val="32"/>
          <w:szCs w:val="32"/>
        </w:rPr>
        <w:t>攀枝花市第三高级中学校内设15个内设机构，其中正科级干部职数15人，副科级干部职数21人。</w:t>
      </w:r>
    </w:p>
    <w:p>
      <w:pPr>
        <w:pStyle w:val="2"/>
        <w:spacing w:before="93"/>
        <w:rPr>
          <w:rFonts w:ascii="仿宋" w:hAnsi="仿宋" w:eastAsia="仿宋"/>
          <w:kern w:val="2"/>
          <w:sz w:val="32"/>
          <w:szCs w:val="32"/>
        </w:rPr>
      </w:pPr>
      <w:r>
        <w:rPr>
          <w:rFonts w:hint="eastAsia"/>
        </w:rPr>
        <w:t xml:space="preserve">     </w:t>
      </w:r>
      <w:r>
        <w:rPr>
          <w:rFonts w:hint="eastAsia" w:ascii="仿宋" w:hAnsi="仿宋" w:eastAsia="仿宋"/>
          <w:kern w:val="2"/>
          <w:sz w:val="32"/>
          <w:szCs w:val="32"/>
        </w:rPr>
        <w:t>学校包含学园路（东区学园路 1 号）和钒钛高新区（仁和区绒花路 36 号）两个校区，占地面积 16.05 万平方米，建筑面积 10.9 万平方米。现有 79 个教学班，学生 3940 余名，在编教职工人数349人，另含3名占编聘用86号文工勤人员。学校有正高级教师6人，副高职称以上教职工136 人</w:t>
      </w:r>
      <w:r>
        <w:rPr>
          <w:rFonts w:hint="eastAsia" w:ascii="仿宋" w:hAnsi="仿宋" w:eastAsia="仿宋"/>
          <w:sz w:val="32"/>
          <w:szCs w:val="32"/>
        </w:rPr>
        <w:t>；第三类高层次人才1人，第四类高层次人才8人、第五类高层次人才 2 人，2022-2024 年县级以上骨干教师 65 人。</w:t>
      </w:r>
    </w:p>
    <w:p>
      <w:pPr>
        <w:widowControl/>
        <w:jc w:val="left"/>
        <w:rPr>
          <w:rFonts w:ascii="仿宋" w:hAnsi="仿宋" w:eastAsia="仿宋"/>
          <w:kern w:val="0"/>
          <w:sz w:val="32"/>
          <w:szCs w:val="32"/>
        </w:rPr>
      </w:pPr>
    </w:p>
    <w:p>
      <w:pPr>
        <w:pStyle w:val="3"/>
        <w:ind w:right="440"/>
        <w:jc w:val="center"/>
        <w:rPr>
          <w:rStyle w:val="28"/>
          <w:rFonts w:ascii="黑体" w:hAnsi="黑体" w:eastAsia="黑体"/>
          <w:b/>
          <w:bCs w:val="0"/>
        </w:rPr>
      </w:pPr>
      <w:r>
        <w:rPr>
          <w:rFonts w:hint="eastAsia" w:ascii="黑体" w:hAnsi="黑体" w:eastAsia="黑体"/>
          <w:b w:val="0"/>
        </w:rPr>
        <w:t>第二部分 2023年度</w:t>
      </w:r>
      <w:r>
        <w:rPr>
          <w:rStyle w:val="28"/>
          <w:rFonts w:hint="eastAsia" w:ascii="黑体" w:hAnsi="黑体" w:eastAsia="黑体"/>
          <w:b/>
          <w:bCs w:val="0"/>
        </w:rPr>
        <w:t>单位决算情况说明</w:t>
      </w:r>
    </w:p>
    <w:p/>
    <w:p>
      <w:pPr>
        <w:pStyle w:val="27"/>
        <w:numPr>
          <w:ilvl w:val="0"/>
          <w:numId w:val="0"/>
        </w:numPr>
        <w:spacing w:line="600" w:lineRule="exact"/>
        <w:ind w:left="640"/>
        <w:outlineLvl w:val="1"/>
        <w:rPr>
          <w:rStyle w:val="29"/>
          <w:rFonts w:ascii="黑体" w:hAnsi="黑体" w:eastAsia="黑体"/>
          <w:color w:val="auto"/>
        </w:rPr>
      </w:pPr>
      <w:r>
        <w:rPr>
          <w:rFonts w:hint="eastAsia" w:ascii="黑体" w:hAnsi="黑体" w:eastAsia="黑体"/>
          <w:color w:val="auto"/>
          <w:sz w:val="32"/>
          <w:szCs w:val="32"/>
        </w:rPr>
        <w:t>一、收</w:t>
      </w:r>
      <w:r>
        <w:rPr>
          <w:rStyle w:val="29"/>
          <w:rFonts w:hint="eastAsia" w:ascii="黑体" w:hAnsi="黑体" w:eastAsia="黑体"/>
          <w:color w:val="auto"/>
        </w:rPr>
        <w:t>入支出决算总体情况说明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MERGEFIELD "当年收入支出总额"</w:instrText>
      </w:r>
      <w:r>
        <w:rPr>
          <w:rFonts w:hint="eastAsia" w:ascii="仿宋_GB2312" w:hAnsi="仿宋" w:eastAsia="仿宋_GB2312"/>
          <w:sz w:val="32"/>
          <w:szCs w:val="32"/>
        </w:rPr>
        <w:fldChar w:fldCharType="separate"/>
      </w:r>
      <w:r>
        <w:rPr>
          <w:rFonts w:hint="eastAsia" w:ascii="仿宋_GB2312" w:hAnsi="仿宋" w:eastAsia="仿宋_GB2312"/>
          <w:sz w:val="32"/>
          <w:szCs w:val="32"/>
        </w:rPr>
        <w:t>10547.66</w:t>
      </w:r>
      <w:r>
        <w:rPr>
          <w:rFonts w:hint="eastAsia" w:ascii="仿宋_GB2312" w:hAnsi="仿宋" w:eastAsia="仿宋_GB2312"/>
          <w:sz w:val="32"/>
          <w:szCs w:val="32"/>
        </w:rPr>
        <w:fldChar w:fldCharType="end"/>
      </w:r>
      <w:r>
        <w:rPr>
          <w:rFonts w:hint="eastAsia" w:ascii="仿宋_GB2312" w:hAnsi="仿宋" w:eastAsia="仿宋_GB2312"/>
          <w:sz w:val="32"/>
          <w:szCs w:val="32"/>
        </w:rPr>
        <w:t>万元</w:t>
      </w:r>
      <w:r>
        <w:rPr>
          <w:rFonts w:hint="eastAsia" w:ascii="仿宋" w:hAnsi="仿宋" w:eastAsia="仿宋"/>
          <w:sz w:val="32"/>
          <w:szCs w:val="32"/>
        </w:rPr>
        <w:t>。与2022年度相比，收、支总计各增加1195万元，增长12.</w:t>
      </w:r>
      <w:r>
        <w:rPr>
          <w:rFonts w:hint="eastAsia" w:ascii="仿宋" w:hAnsi="仿宋" w:eastAsia="仿宋"/>
          <w:sz w:val="32"/>
          <w:szCs w:val="32"/>
          <w:lang w:val="en-US" w:eastAsia="zh-CN"/>
        </w:rPr>
        <w:t>7</w:t>
      </w: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。主要变动原因是学校开始两校区办学，新进数名教职工，人员经费增加较多，部分公用经费2022年结转至2023年使用。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r>
        <w:rPr>
          <w:rFonts w:hint="eastAsia"/>
        </w:rPr>
        <w:drawing>
          <wp:inline distT="0" distB="0" distL="0" distR="0">
            <wp:extent cx="4724400" cy="2924175"/>
            <wp:effectExtent l="19050" t="0" r="19050" b="0"/>
            <wp:docPr id="1"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spacing w:before="93"/>
      </w:pPr>
    </w:p>
    <w:p>
      <w:pPr>
        <w:spacing w:line="600" w:lineRule="exact"/>
        <w:ind w:firstLine="640" w:firstLineChars="200"/>
        <w:jc w:val="left"/>
        <w:rPr>
          <w:rFonts w:ascii="仿宋_GB2312" w:eastAsia="仿宋_GB2312"/>
          <w:sz w:val="32"/>
          <w:szCs w:val="32"/>
        </w:rPr>
      </w:pPr>
    </w:p>
    <w:p>
      <w:pPr>
        <w:pStyle w:val="27"/>
        <w:numPr>
          <w:ilvl w:val="0"/>
          <w:numId w:val="0"/>
        </w:numPr>
        <w:spacing w:line="600" w:lineRule="exact"/>
        <w:ind w:left="640"/>
        <w:outlineLvl w:val="1"/>
        <w:rPr>
          <w:rStyle w:val="29"/>
          <w:rFonts w:ascii="黑体" w:hAnsi="黑体" w:eastAsia="黑体"/>
          <w:color w:val="auto"/>
        </w:rPr>
      </w:pPr>
      <w:r>
        <w:rPr>
          <w:rFonts w:hint="eastAsia" w:ascii="黑体" w:hAnsi="黑体" w:eastAsia="黑体"/>
          <w:color w:val="auto"/>
          <w:sz w:val="32"/>
          <w:szCs w:val="32"/>
        </w:rPr>
        <w:t>二、收</w:t>
      </w:r>
      <w:r>
        <w:rPr>
          <w:rStyle w:val="29"/>
          <w:rFonts w:hint="eastAsia" w:ascii="黑体" w:hAnsi="黑体" w:eastAsia="黑体"/>
          <w:color w:val="auto"/>
        </w:rPr>
        <w:t>入决算情况说明</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MERGEFIELD "本年收入（5）"</w:instrText>
      </w:r>
      <w:r>
        <w:rPr>
          <w:rFonts w:hint="eastAsia" w:ascii="仿宋_GB2312" w:hAnsi="仿宋" w:eastAsia="仿宋_GB2312"/>
          <w:sz w:val="32"/>
          <w:szCs w:val="32"/>
        </w:rPr>
        <w:fldChar w:fldCharType="separate"/>
      </w:r>
      <w:r>
        <w:rPr>
          <w:rFonts w:hint="eastAsia" w:ascii="仿宋_GB2312" w:hAnsi="仿宋" w:eastAsia="仿宋_GB2312"/>
          <w:sz w:val="32"/>
          <w:szCs w:val="32"/>
        </w:rPr>
        <w:t>10346.19</w:t>
      </w:r>
      <w:r>
        <w:rPr>
          <w:rFonts w:hint="eastAsia" w:ascii="仿宋_GB2312" w:hAnsi="仿宋" w:eastAsia="仿宋_GB2312"/>
          <w:sz w:val="32"/>
          <w:szCs w:val="32"/>
        </w:rPr>
        <w:fldChar w:fldCharType="end"/>
      </w:r>
      <w:r>
        <w:rPr>
          <w:rFonts w:hint="eastAsia" w:ascii="仿宋_GB2312" w:hAnsi="仿宋" w:eastAsia="仿宋_GB2312"/>
          <w:sz w:val="32"/>
          <w:szCs w:val="32"/>
        </w:rPr>
        <w:t>万元</w:t>
      </w:r>
      <w:r>
        <w:rPr>
          <w:rFonts w:hint="eastAsia" w:ascii="仿宋" w:hAnsi="仿宋" w:eastAsia="仿宋"/>
          <w:sz w:val="32"/>
          <w:szCs w:val="32"/>
        </w:rPr>
        <w:t>，其中：一般公共预算财政拨款收入</w:t>
      </w: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MERGEFIELD "一般公共预算收入（6）"</w:instrText>
      </w:r>
      <w:r>
        <w:rPr>
          <w:rFonts w:hint="eastAsia" w:ascii="仿宋_GB2312" w:hAnsi="仿宋" w:eastAsia="仿宋_GB2312"/>
          <w:sz w:val="32"/>
          <w:szCs w:val="32"/>
        </w:rPr>
        <w:fldChar w:fldCharType="separate"/>
      </w:r>
      <w:r>
        <w:rPr>
          <w:rFonts w:hint="eastAsia" w:ascii="仿宋_GB2312" w:hAnsi="仿宋" w:eastAsia="仿宋_GB2312"/>
          <w:sz w:val="32"/>
          <w:szCs w:val="32"/>
        </w:rPr>
        <w:t>8967.49</w:t>
      </w:r>
      <w:r>
        <w:rPr>
          <w:rFonts w:hint="eastAsia" w:ascii="仿宋_GB2312" w:hAnsi="仿宋" w:eastAsia="仿宋_GB2312"/>
          <w:sz w:val="32"/>
          <w:szCs w:val="32"/>
        </w:rPr>
        <w:fldChar w:fldCharType="end"/>
      </w:r>
      <w:r>
        <w:rPr>
          <w:rFonts w:hint="eastAsia" w:ascii="仿宋" w:hAnsi="仿宋" w:eastAsia="仿宋"/>
          <w:sz w:val="32"/>
          <w:szCs w:val="32"/>
        </w:rPr>
        <w:t>万元，</w:t>
      </w:r>
      <w:r>
        <w:rPr>
          <w:rFonts w:hint="eastAsia" w:ascii="仿宋_GB2312" w:hAnsi="仿宋" w:eastAsia="仿宋_GB2312"/>
          <w:sz w:val="32"/>
          <w:szCs w:val="32"/>
        </w:rPr>
        <w:t>86.</w:t>
      </w:r>
      <w:r>
        <w:rPr>
          <w:rFonts w:hint="eastAsia" w:ascii="仿宋_GB2312" w:hAnsi="仿宋" w:eastAsia="仿宋_GB2312"/>
          <w:sz w:val="32"/>
          <w:szCs w:val="32"/>
          <w:lang w:val="en-US" w:eastAsia="zh-CN"/>
        </w:rPr>
        <w:t>6</w:t>
      </w:r>
      <w:r>
        <w:rPr>
          <w:rFonts w:hint="eastAsia" w:ascii="仿宋_GB2312" w:hAnsi="仿宋" w:eastAsia="仿宋_GB2312"/>
          <w:sz w:val="32"/>
          <w:szCs w:val="32"/>
        </w:rPr>
        <w:t>7%</w:t>
      </w:r>
      <w:r>
        <w:rPr>
          <w:rFonts w:hint="eastAsia" w:ascii="仿宋" w:hAnsi="仿宋" w:eastAsia="仿宋"/>
          <w:sz w:val="32"/>
          <w:szCs w:val="32"/>
        </w:rPr>
        <w:t>；政府性基金预算财政拨款收入</w:t>
      </w: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MERGEFIELD "政府性基金预算资金收入"</w:instrText>
      </w:r>
      <w:r>
        <w:rPr>
          <w:rFonts w:hint="eastAsia" w:ascii="仿宋_GB2312" w:hAnsi="仿宋" w:eastAsia="仿宋_GB2312"/>
          <w:sz w:val="32"/>
          <w:szCs w:val="32"/>
        </w:rPr>
        <w:fldChar w:fldCharType="separate"/>
      </w:r>
      <w:r>
        <w:rPr>
          <w:rFonts w:hint="eastAsia" w:ascii="仿宋_GB2312" w:hAnsi="仿宋" w:eastAsia="仿宋_GB2312"/>
          <w:sz w:val="32"/>
          <w:szCs w:val="32"/>
        </w:rPr>
        <w:t>12.49</w:t>
      </w:r>
      <w:r>
        <w:rPr>
          <w:rFonts w:hint="eastAsia" w:ascii="仿宋_GB2312" w:hAnsi="仿宋" w:eastAsia="仿宋_GB2312"/>
          <w:sz w:val="32"/>
          <w:szCs w:val="32"/>
        </w:rPr>
        <w:fldChar w:fldCharType="end"/>
      </w:r>
      <w:r>
        <w:rPr>
          <w:rFonts w:hint="eastAsia" w:ascii="仿宋" w:hAnsi="仿宋" w:eastAsia="仿宋"/>
          <w:sz w:val="32"/>
          <w:szCs w:val="32"/>
        </w:rPr>
        <w:t>万元，占0.1</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w:t>
      </w: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MERGEFIELD "财政专户管理资金"</w:instrText>
      </w:r>
      <w:r>
        <w:rPr>
          <w:rFonts w:hint="eastAsia" w:ascii="仿宋_GB2312" w:hAnsi="仿宋" w:eastAsia="仿宋_GB2312"/>
          <w:sz w:val="32"/>
          <w:szCs w:val="32"/>
        </w:rPr>
        <w:fldChar w:fldCharType="separate"/>
      </w:r>
      <w:r>
        <w:rPr>
          <w:rFonts w:hint="eastAsia" w:ascii="仿宋_GB2312" w:hAnsi="仿宋" w:eastAsia="仿宋_GB2312"/>
          <w:sz w:val="32"/>
          <w:szCs w:val="32"/>
        </w:rPr>
        <w:t>1227.77</w:t>
      </w:r>
      <w:r>
        <w:rPr>
          <w:rFonts w:hint="eastAsia" w:ascii="仿宋_GB2312" w:hAnsi="仿宋" w:eastAsia="仿宋_GB2312"/>
          <w:sz w:val="32"/>
          <w:szCs w:val="32"/>
        </w:rPr>
        <w:fldChar w:fldCharType="end"/>
      </w:r>
      <w:r>
        <w:rPr>
          <w:rFonts w:hint="eastAsia" w:ascii="仿宋" w:hAnsi="仿宋" w:eastAsia="仿宋"/>
          <w:sz w:val="32"/>
          <w:szCs w:val="32"/>
        </w:rPr>
        <w:t>万元，占11.</w:t>
      </w:r>
      <w:r>
        <w:rPr>
          <w:rFonts w:hint="eastAsia" w:ascii="仿宋" w:hAnsi="仿宋" w:eastAsia="仿宋"/>
          <w:sz w:val="32"/>
          <w:szCs w:val="32"/>
          <w:lang w:val="en-US" w:eastAsia="zh-CN"/>
        </w:rPr>
        <w:t>87</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；其他收入138.43万元，占1.3</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
        <w:spacing w:before="93"/>
      </w:pPr>
      <w:r>
        <w:rPr>
          <w:rFonts w:hint="eastAsia"/>
        </w:rPr>
        <w:drawing>
          <wp:inline distT="0" distB="0" distL="0" distR="0">
            <wp:extent cx="4819650" cy="3171825"/>
            <wp:effectExtent l="19050" t="0" r="19050" b="0"/>
            <wp:docPr id="2"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pPr>
    </w:p>
    <w:p>
      <w:pPr>
        <w:pStyle w:val="27"/>
        <w:numPr>
          <w:ilvl w:val="0"/>
          <w:numId w:val="0"/>
        </w:numPr>
        <w:spacing w:line="600" w:lineRule="exact"/>
        <w:ind w:left="640"/>
        <w:outlineLvl w:val="1"/>
        <w:rPr>
          <w:rStyle w:val="29"/>
          <w:rFonts w:ascii="黑体" w:hAnsi="黑体" w:eastAsia="黑体"/>
          <w:color w:val="auto"/>
        </w:rPr>
      </w:pPr>
      <w:r>
        <w:rPr>
          <w:rFonts w:hint="eastAsia" w:ascii="黑体" w:hAnsi="黑体" w:eastAsia="黑体"/>
          <w:color w:val="auto"/>
          <w:sz w:val="32"/>
          <w:szCs w:val="32"/>
        </w:rPr>
        <w:t>三、支</w:t>
      </w:r>
      <w:r>
        <w:rPr>
          <w:rStyle w:val="29"/>
          <w:rFonts w:hint="eastAsia" w:ascii="黑体" w:hAnsi="黑体" w:eastAsia="黑体"/>
          <w:color w:val="auto"/>
        </w:rPr>
        <w:t>出决算情况说明</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2023年度本年支出合计10352.24万元，其中：基本支出9161.31万元，占88.5</w:t>
      </w:r>
      <w:r>
        <w:rPr>
          <w:rFonts w:ascii="仿宋" w:hAnsi="仿宋" w:eastAsia="仿宋"/>
          <w:sz w:val="32"/>
          <w:szCs w:val="32"/>
        </w:rPr>
        <w:t>%</w:t>
      </w:r>
      <w:r>
        <w:rPr>
          <w:rFonts w:hint="eastAsia" w:ascii="仿宋" w:hAnsi="仿宋" w:eastAsia="仿宋"/>
          <w:sz w:val="32"/>
          <w:szCs w:val="32"/>
        </w:rPr>
        <w:t>；项目支出1191.23万元，占11.5</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pStyle w:val="2"/>
        <w:spacing w:before="93"/>
      </w:pPr>
      <w:r>
        <w:rPr>
          <w:rFonts w:hint="eastAsia"/>
        </w:rPr>
        <w:drawing>
          <wp:inline distT="0" distB="0" distL="0" distR="0">
            <wp:extent cx="4867275" cy="2933700"/>
            <wp:effectExtent l="19050" t="0" r="9525" b="0"/>
            <wp:docPr id="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pPr>
    </w:p>
    <w:p>
      <w:pPr>
        <w:spacing w:line="600" w:lineRule="exact"/>
        <w:ind w:firstLine="640" w:firstLineChars="200"/>
        <w:outlineLvl w:val="1"/>
        <w:rPr>
          <w:rStyle w:val="29"/>
          <w:rFonts w:ascii="黑体" w:hAnsi="黑体" w:eastAsia="黑体"/>
        </w:rPr>
      </w:pPr>
      <w:r>
        <w:rPr>
          <w:rFonts w:hint="eastAsia" w:ascii="黑体" w:hAnsi="黑体" w:eastAsia="黑体"/>
          <w:sz w:val="32"/>
          <w:szCs w:val="32"/>
        </w:rPr>
        <w:t>四、财</w:t>
      </w:r>
      <w:r>
        <w:rPr>
          <w:rStyle w:val="29"/>
          <w:rFonts w:hint="eastAsia" w:ascii="黑体" w:hAnsi="黑体" w:eastAsia="黑体"/>
        </w:rPr>
        <w:t>政拨款收入支出决算总体情况说明</w:t>
      </w:r>
    </w:p>
    <w:p>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2023年度财政拨款收、支总计均为8979.98万元。与2022年度相比，财政拨款收、支总计各增加1508.91万元，增长20.2</w:t>
      </w:r>
      <w:r>
        <w:rPr>
          <w:rFonts w:ascii="仿宋" w:hAnsi="仿宋" w:eastAsia="仿宋"/>
          <w:sz w:val="32"/>
          <w:szCs w:val="32"/>
        </w:rPr>
        <w:t>%</w:t>
      </w:r>
      <w:r>
        <w:rPr>
          <w:rFonts w:hint="eastAsia" w:ascii="仿宋" w:hAnsi="仿宋" w:eastAsia="仿宋"/>
          <w:sz w:val="32"/>
          <w:szCs w:val="32"/>
        </w:rPr>
        <w:t>。主要变动原因是学校开始两校区办学，新进数名教职工，人员经费增加较多，部分公用经费2022年结转至2023年使用</w:t>
      </w:r>
      <w:r>
        <w:rPr>
          <w:rFonts w:hint="eastAsia" w:ascii="仿宋" w:hAnsi="仿宋" w:eastAsia="仿宋"/>
          <w:b/>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pStyle w:val="2"/>
        <w:spacing w:before="93"/>
      </w:pPr>
      <w:r>
        <w:rPr>
          <w:rFonts w:hint="eastAsia"/>
        </w:rPr>
        <w:drawing>
          <wp:inline distT="0" distB="0" distL="0" distR="0">
            <wp:extent cx="5274310" cy="3371850"/>
            <wp:effectExtent l="19050" t="0" r="21590" b="0"/>
            <wp:docPr id="7"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pacing w:before="93"/>
      </w:pPr>
    </w:p>
    <w:p>
      <w:pPr>
        <w:pStyle w:val="2"/>
        <w:spacing w:before="93"/>
      </w:pPr>
    </w:p>
    <w:p>
      <w:pPr>
        <w:spacing w:line="600" w:lineRule="exact"/>
        <w:ind w:firstLine="640" w:firstLineChars="200"/>
        <w:outlineLvl w:val="1"/>
        <w:rPr>
          <w:rStyle w:val="29"/>
          <w:rFonts w:ascii="黑体" w:hAnsi="黑体" w:eastAsia="黑体"/>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rPr>
        <w:t>般公共预算财政拨款支出决算情况说明</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2023年度一般公共预算财政拨款支出8967.49万元，占本年支出合计的86.</w:t>
      </w:r>
      <w:r>
        <w:rPr>
          <w:rFonts w:hint="eastAsia" w:ascii="仿宋" w:hAnsi="仿宋" w:eastAsia="仿宋"/>
          <w:sz w:val="32"/>
          <w:szCs w:val="32"/>
          <w:lang w:val="en-US" w:eastAsia="zh-CN"/>
        </w:rPr>
        <w:t>6</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。与2022年度相比，一般公共预算财政拨款支出增加1493.65万元，增长20</w:t>
      </w:r>
      <w:r>
        <w:rPr>
          <w:rFonts w:ascii="仿宋" w:hAnsi="仿宋" w:eastAsia="仿宋"/>
          <w:sz w:val="32"/>
          <w:szCs w:val="32"/>
        </w:rPr>
        <w:t>%</w:t>
      </w:r>
      <w:r>
        <w:rPr>
          <w:rFonts w:hint="eastAsia" w:ascii="仿宋" w:hAnsi="仿宋" w:eastAsia="仿宋"/>
          <w:sz w:val="32"/>
          <w:szCs w:val="32"/>
        </w:rPr>
        <w:t>。主要变动原因是学校开始两校区办学，新进数名教职工，人员经费增加较多，部分公用经费2022年结转至2023年使用。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pPr>
      <w:r>
        <w:rPr>
          <w:rFonts w:hint="eastAsia"/>
        </w:rPr>
        <w:drawing>
          <wp:inline distT="0" distB="0" distL="0" distR="0">
            <wp:extent cx="5274310" cy="3076575"/>
            <wp:effectExtent l="19050" t="0" r="21590" b="0"/>
            <wp:docPr id="8"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spacing w:before="93"/>
      </w:pPr>
    </w:p>
    <w:p>
      <w:pPr>
        <w:spacing w:line="600" w:lineRule="exact"/>
        <w:ind w:firstLine="640" w:firstLineChars="200"/>
        <w:rPr>
          <w:rFonts w:ascii="仿宋" w:hAnsi="仿宋" w:eastAsia="仿宋"/>
          <w:sz w:val="32"/>
          <w:szCs w:val="32"/>
        </w:rPr>
      </w:pPr>
      <w:bookmarkStart w:id="0" w:name="_GoBack"/>
      <w:bookmarkEnd w:id="0"/>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2023年度一般公共预算财政拨款支出8967.49万元，主要用于以下方面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7147.92万元，占79.7</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1194.77万元，占13.3</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624.8万元，占</w:t>
      </w:r>
      <w:r>
        <w:rPr>
          <w:rFonts w:hint="eastAsia" w:ascii="仿宋" w:hAnsi="仿宋" w:eastAsia="仿宋"/>
          <w:sz w:val="32"/>
          <w:szCs w:val="32"/>
          <w:lang w:val="en-US" w:eastAsia="zh-CN"/>
        </w:rPr>
        <w:t>6.97</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2"/>
        <w:spacing w:before="93"/>
      </w:pPr>
      <w:r>
        <w:rPr>
          <w:rFonts w:hint="eastAsia"/>
        </w:rPr>
        <w:drawing>
          <wp:inline distT="0" distB="0" distL="0" distR="0">
            <wp:extent cx="5274310" cy="3076575"/>
            <wp:effectExtent l="19050" t="0" r="21590" b="0"/>
            <wp:docPr id="12"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pPr>
    </w:p>
    <w:p>
      <w:pPr>
        <w:pStyle w:val="2"/>
        <w:spacing w:before="93"/>
      </w:pPr>
    </w:p>
    <w:p>
      <w:pPr>
        <w:pStyle w:val="2"/>
        <w:spacing w:before="93"/>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2023年度一般公共预算支出决算数为8967.49万元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color w:val="000000" w:themeColor="text1"/>
          <w:sz w:val="32"/>
          <w:szCs w:val="32"/>
          <w14:textFill>
            <w14:solidFill>
              <w14:schemeClr w14:val="tx1"/>
            </w14:solidFill>
          </w14:textFill>
        </w:rPr>
        <w:t>100</w:t>
      </w:r>
      <w:r>
        <w:rPr>
          <w:rStyle w:val="16"/>
          <w:rFonts w:ascii="仿宋" w:hAnsi="仿宋" w:eastAsia="仿宋"/>
          <w:bCs/>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。其中：</w:t>
      </w:r>
    </w:p>
    <w:p>
      <w:pPr>
        <w:spacing w:line="600" w:lineRule="exact"/>
        <w:ind w:firstLine="643" w:firstLineChars="200"/>
        <w:rPr>
          <w:rStyle w:val="16"/>
          <w:rFonts w:ascii="仿宋" w:hAnsi="仿宋" w:eastAsia="仿宋"/>
          <w:bCs/>
          <w:sz w:val="32"/>
          <w:szCs w:val="32"/>
        </w:rPr>
      </w:pPr>
      <w:r>
        <w:rPr>
          <w:rStyle w:val="16"/>
          <w:rFonts w:ascii="仿宋" w:hAnsi="仿宋" w:eastAsia="仿宋"/>
          <w:bCs/>
          <w:sz w:val="32"/>
          <w:szCs w:val="32"/>
        </w:rPr>
        <w:t>1.</w:t>
      </w:r>
      <w:r>
        <w:rPr>
          <w:rStyle w:val="16"/>
          <w:rFonts w:hint="eastAsia" w:ascii="仿宋" w:hAnsi="仿宋" w:eastAsia="仿宋"/>
          <w:bCs/>
          <w:sz w:val="32"/>
          <w:szCs w:val="32"/>
        </w:rPr>
        <w:t>教育（类）普通教育（款）高中教育（项）</w:t>
      </w:r>
      <w:r>
        <w:rPr>
          <w:rStyle w:val="16"/>
          <w:rFonts w:ascii="仿宋" w:hAnsi="仿宋" w:eastAsia="仿宋"/>
          <w:bCs/>
          <w:sz w:val="32"/>
          <w:szCs w:val="32"/>
        </w:rPr>
        <w:t>:</w:t>
      </w:r>
      <w:r>
        <w:rPr>
          <w:rStyle w:val="16"/>
          <w:rFonts w:hint="eastAsia" w:ascii="仿宋" w:hAnsi="仿宋" w:eastAsia="仿宋"/>
          <w:b w:val="0"/>
          <w:bCs/>
          <w:sz w:val="32"/>
          <w:szCs w:val="32"/>
        </w:rPr>
        <w:t>支出决算为6633.1万元，</w:t>
      </w:r>
      <w:r>
        <w:rPr>
          <w:rStyle w:val="16"/>
          <w:rFonts w:hint="eastAsia" w:ascii="仿宋" w:hAnsi="仿宋" w:eastAsia="仿宋"/>
          <w:b w:val="0"/>
          <w:bCs/>
          <w:color w:val="000000" w:themeColor="text1"/>
          <w:sz w:val="32"/>
          <w:szCs w:val="32"/>
          <w14:textFill>
            <w14:solidFill>
              <w14:schemeClr w14:val="tx1"/>
            </w14:solidFill>
          </w14:textFill>
        </w:rPr>
        <w:t>完成预算100</w:t>
      </w:r>
      <w:r>
        <w:rPr>
          <w:rStyle w:val="16"/>
          <w:rFonts w:ascii="仿宋" w:hAnsi="仿宋" w:eastAsia="仿宋"/>
          <w:b w:val="0"/>
          <w:bCs/>
          <w:color w:val="000000" w:themeColor="text1"/>
          <w:sz w:val="32"/>
          <w:szCs w:val="32"/>
          <w14:textFill>
            <w14:solidFill>
              <w14:schemeClr w14:val="tx1"/>
            </w14:solidFill>
          </w14:textFill>
        </w:rPr>
        <w:t>%</w:t>
      </w:r>
      <w:r>
        <w:rPr>
          <w:rStyle w:val="16"/>
          <w:rFonts w:hint="eastAsia" w:ascii="仿宋" w:hAnsi="仿宋" w:eastAsia="仿宋"/>
          <w:bCs/>
          <w:sz w:val="32"/>
          <w:szCs w:val="32"/>
        </w:rPr>
        <w:t>。</w:t>
      </w:r>
    </w:p>
    <w:p>
      <w:pPr>
        <w:spacing w:line="600" w:lineRule="exact"/>
        <w:ind w:firstLine="643" w:firstLineChars="200"/>
        <w:rPr>
          <w:rStyle w:val="16"/>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教育（类）普通教育（款）其他普通教育支出（项）</w:t>
      </w:r>
      <w:r>
        <w:rPr>
          <w:rStyle w:val="16"/>
          <w:rFonts w:ascii="仿宋" w:hAnsi="仿宋" w:eastAsia="仿宋"/>
          <w:bCs/>
          <w:sz w:val="32"/>
          <w:szCs w:val="32"/>
        </w:rPr>
        <w:t>:</w:t>
      </w:r>
      <w:r>
        <w:rPr>
          <w:rStyle w:val="16"/>
          <w:rFonts w:hint="eastAsia" w:ascii="仿宋" w:hAnsi="仿宋" w:eastAsia="仿宋"/>
          <w:b w:val="0"/>
          <w:bCs/>
          <w:sz w:val="32"/>
          <w:szCs w:val="32"/>
        </w:rPr>
        <w:t>支出决算为2.07万元，完成预算100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Style w:val="16"/>
          <w:rFonts w:hint="eastAsia" w:ascii="仿宋" w:hAnsi="仿宋" w:eastAsia="仿宋"/>
          <w:bCs/>
          <w:sz w:val="32"/>
          <w:szCs w:val="32"/>
        </w:rPr>
        <w:t>教育（类）教育费附加安排的支出（款）其他教育费附加安排的支出（项）</w:t>
      </w:r>
      <w:r>
        <w:rPr>
          <w:rStyle w:val="16"/>
          <w:rFonts w:ascii="仿宋" w:hAnsi="仿宋" w:eastAsia="仿宋"/>
          <w:bCs/>
          <w:sz w:val="32"/>
          <w:szCs w:val="32"/>
        </w:rPr>
        <w:t>:</w:t>
      </w:r>
      <w:r>
        <w:rPr>
          <w:rStyle w:val="16"/>
          <w:rFonts w:hint="eastAsia" w:ascii="仿宋" w:hAnsi="仿宋" w:eastAsia="仿宋"/>
          <w:b w:val="0"/>
          <w:bCs/>
          <w:sz w:val="32"/>
          <w:szCs w:val="32"/>
        </w:rPr>
        <w:t>支出决算为514.83万元，完成预算100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Cs/>
          <w:sz w:val="32"/>
          <w:szCs w:val="32"/>
        </w:rPr>
      </w:pPr>
      <w:r>
        <w:rPr>
          <w:rStyle w:val="16"/>
          <w:rFonts w:hint="eastAsia" w:ascii="仿宋" w:hAnsi="仿宋" w:eastAsia="仿宋"/>
          <w:bCs/>
          <w:sz w:val="32"/>
          <w:szCs w:val="32"/>
        </w:rPr>
        <w:t>4</w:t>
      </w:r>
      <w:r>
        <w:rPr>
          <w:rStyle w:val="16"/>
          <w:rFonts w:ascii="仿宋" w:hAnsi="仿宋" w:eastAsia="仿宋"/>
          <w:bCs/>
          <w:sz w:val="32"/>
          <w:szCs w:val="32"/>
        </w:rPr>
        <w:t>.</w:t>
      </w:r>
      <w:r>
        <w:rPr>
          <w:rStyle w:val="16"/>
          <w:rFonts w:hint="eastAsia" w:ascii="仿宋" w:hAnsi="仿宋" w:eastAsia="仿宋"/>
          <w:bCs/>
          <w:sz w:val="32"/>
          <w:szCs w:val="32"/>
        </w:rPr>
        <w:t>社会保障和就业（类）人力资源和其他社会保障管理事务（款）其他人力资源和其他社会保障管理事务支出（项）</w:t>
      </w:r>
      <w:r>
        <w:rPr>
          <w:rStyle w:val="16"/>
          <w:rFonts w:ascii="仿宋" w:hAnsi="仿宋" w:eastAsia="仿宋"/>
          <w:bCs/>
          <w:sz w:val="32"/>
          <w:szCs w:val="32"/>
        </w:rPr>
        <w:t>:</w:t>
      </w:r>
      <w:r>
        <w:rPr>
          <w:rStyle w:val="16"/>
          <w:rFonts w:hint="eastAsia" w:ascii="仿宋" w:hAnsi="仿宋" w:eastAsia="仿宋"/>
          <w:b w:val="0"/>
          <w:bCs/>
          <w:sz w:val="32"/>
          <w:szCs w:val="32"/>
        </w:rPr>
        <w:t>支出决算为52.05万元，完成预算100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5.</w:t>
      </w:r>
      <w:r>
        <w:rPr>
          <w:rStyle w:val="16"/>
          <w:rFonts w:hint="eastAsia" w:ascii="仿宋" w:hAnsi="仿宋" w:eastAsia="仿宋"/>
          <w:bCs/>
          <w:sz w:val="32"/>
          <w:szCs w:val="32"/>
        </w:rPr>
        <w:t>社会保障和就业（类）行政事业单位养老支出（款）事业单位离退休（项）</w:t>
      </w:r>
      <w:r>
        <w:rPr>
          <w:rStyle w:val="16"/>
          <w:rFonts w:ascii="仿宋" w:hAnsi="仿宋" w:eastAsia="仿宋"/>
          <w:bCs/>
          <w:sz w:val="32"/>
          <w:szCs w:val="32"/>
        </w:rPr>
        <w:t>:</w:t>
      </w:r>
      <w:r>
        <w:rPr>
          <w:rStyle w:val="16"/>
          <w:rFonts w:hint="eastAsia" w:ascii="仿宋" w:hAnsi="仿宋" w:eastAsia="仿宋"/>
          <w:b w:val="0"/>
          <w:bCs/>
          <w:sz w:val="32"/>
          <w:szCs w:val="32"/>
        </w:rPr>
        <w:t>支出决算为269.23万元，完成预算99.38</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。决算数小于预算数的主要原因是退休教职工死亡，支出减少。</w:t>
      </w:r>
    </w:p>
    <w:p>
      <w:pPr>
        <w:spacing w:line="600" w:lineRule="exact"/>
        <w:ind w:firstLine="643" w:firstLineChars="200"/>
        <w:rPr>
          <w:rStyle w:val="16"/>
        </w:rPr>
      </w:pPr>
      <w:r>
        <w:rPr>
          <w:rStyle w:val="16"/>
          <w:rFonts w:hint="eastAsia" w:ascii="仿宋" w:hAnsi="仿宋" w:eastAsia="仿宋"/>
          <w:bCs/>
          <w:sz w:val="32"/>
          <w:szCs w:val="32"/>
        </w:rPr>
        <w:t>6</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社会保障和就业（类）行政事业单位养老支出（款）机关事业单位基本养老保险缴费支出（项）</w:t>
      </w:r>
      <w:r>
        <w:rPr>
          <w:rStyle w:val="16"/>
          <w:rFonts w:ascii="仿宋" w:hAnsi="仿宋" w:eastAsia="仿宋"/>
          <w:bCs/>
          <w:sz w:val="32"/>
          <w:szCs w:val="32"/>
        </w:rPr>
        <w:t>:</w:t>
      </w:r>
      <w:r>
        <w:rPr>
          <w:rStyle w:val="16"/>
          <w:rFonts w:hint="eastAsia" w:ascii="仿宋" w:hAnsi="仿宋" w:eastAsia="仿宋"/>
          <w:b w:val="0"/>
          <w:bCs/>
          <w:sz w:val="32"/>
          <w:szCs w:val="32"/>
        </w:rPr>
        <w:t>支出决算为936.25万元，完成预算100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Pr>
      </w:pPr>
      <w:r>
        <w:rPr>
          <w:rStyle w:val="16"/>
          <w:rFonts w:hint="eastAsia" w:ascii="仿宋" w:hAnsi="仿宋" w:eastAsia="仿宋"/>
          <w:bCs/>
          <w:sz w:val="32"/>
          <w:szCs w:val="32"/>
        </w:rPr>
        <w:t>7</w:t>
      </w:r>
      <w:r>
        <w:rPr>
          <w:rStyle w:val="16"/>
          <w:rFonts w:ascii="仿宋" w:hAnsi="仿宋" w:eastAsia="仿宋"/>
          <w:bCs/>
          <w:sz w:val="32"/>
          <w:szCs w:val="32"/>
        </w:rPr>
        <w:t>.</w:t>
      </w:r>
      <w:r>
        <w:rPr>
          <w:rStyle w:val="16"/>
          <w:rFonts w:hint="eastAsia" w:ascii="仿宋" w:hAnsi="仿宋" w:eastAsia="仿宋"/>
          <w:bCs/>
          <w:sz w:val="32"/>
          <w:szCs w:val="32"/>
        </w:rPr>
        <w:t xml:space="preserve"> 社会保障和就业（类）抚恤（款）死亡抚恤（项）</w:t>
      </w:r>
      <w:r>
        <w:rPr>
          <w:rStyle w:val="16"/>
          <w:rFonts w:ascii="仿宋" w:hAnsi="仿宋" w:eastAsia="仿宋"/>
          <w:bCs/>
          <w:sz w:val="32"/>
          <w:szCs w:val="32"/>
        </w:rPr>
        <w:t>:</w:t>
      </w:r>
      <w:r>
        <w:rPr>
          <w:rStyle w:val="16"/>
          <w:rFonts w:hint="eastAsia" w:ascii="仿宋" w:hAnsi="仿宋" w:eastAsia="仿宋"/>
          <w:b w:val="0"/>
          <w:bCs/>
          <w:sz w:val="32"/>
          <w:szCs w:val="32"/>
        </w:rPr>
        <w:t>支出决算为38.81万元，完成预算100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bCs/>
          <w:color w:val="000000" w:themeColor="text1"/>
          <w:sz w:val="32"/>
          <w:szCs w:val="32"/>
          <w14:textFill>
            <w14:solidFill>
              <w14:schemeClr w14:val="tx1"/>
            </w14:solidFill>
          </w14:textFill>
        </w:rPr>
      </w:pPr>
      <w:r>
        <w:rPr>
          <w:rStyle w:val="16"/>
          <w:rFonts w:hint="eastAsia" w:ascii="仿宋" w:hAnsi="仿宋" w:eastAsia="仿宋"/>
          <w:bCs/>
          <w:sz w:val="32"/>
          <w:szCs w:val="32"/>
        </w:rPr>
        <w:t>8</w:t>
      </w:r>
      <w:r>
        <w:rPr>
          <w:rStyle w:val="16"/>
          <w:rFonts w:ascii="仿宋" w:hAnsi="仿宋" w:eastAsia="仿宋"/>
          <w:bCs/>
          <w:sz w:val="32"/>
          <w:szCs w:val="32"/>
        </w:rPr>
        <w:t>.</w:t>
      </w:r>
      <w:r>
        <w:rPr>
          <w:rStyle w:val="16"/>
          <w:rFonts w:hint="eastAsia" w:ascii="仿宋" w:hAnsi="仿宋" w:eastAsia="仿宋"/>
          <w:bCs/>
          <w:sz w:val="32"/>
          <w:szCs w:val="32"/>
        </w:rPr>
        <w:t>住房保障支出（类）住房改革支出（款）住房公积金（项）</w:t>
      </w:r>
      <w:r>
        <w:rPr>
          <w:rStyle w:val="16"/>
          <w:rFonts w:ascii="仿宋" w:hAnsi="仿宋" w:eastAsia="仿宋"/>
          <w:bCs/>
          <w:sz w:val="32"/>
          <w:szCs w:val="32"/>
        </w:rPr>
        <w:t>:</w:t>
      </w:r>
      <w:r>
        <w:rPr>
          <w:rStyle w:val="16"/>
          <w:rFonts w:hint="eastAsia" w:ascii="仿宋" w:hAnsi="仿宋" w:eastAsia="仿宋"/>
          <w:b w:val="0"/>
          <w:bCs/>
          <w:sz w:val="32"/>
          <w:szCs w:val="32"/>
        </w:rPr>
        <w:t>支出决算为624.8万元，完成预算100</w:t>
      </w:r>
      <w:r>
        <w:rPr>
          <w:rStyle w:val="16"/>
          <w:rFonts w:ascii="仿宋" w:hAnsi="仿宋" w:eastAsia="仿宋"/>
          <w:b w:val="0"/>
          <w:bCs/>
          <w:sz w:val="32"/>
          <w:szCs w:val="32"/>
        </w:rPr>
        <w:t>%</w:t>
      </w:r>
      <w:r>
        <w:rPr>
          <w:rStyle w:val="16"/>
          <w:rFonts w:hint="eastAsia" w:ascii="仿宋" w:hAnsi="仿宋" w:eastAsia="仿宋"/>
          <w:bCs/>
          <w:color w:val="000000" w:themeColor="text1"/>
          <w:sz w:val="32"/>
          <w:szCs w:val="32"/>
          <w14:textFill>
            <w14:solidFill>
              <w14:schemeClr w14:val="tx1"/>
            </w14:solidFill>
          </w14:textFill>
        </w:rPr>
        <w:t>。</w:t>
      </w:r>
    </w:p>
    <w:p>
      <w:pPr>
        <w:tabs>
          <w:tab w:val="right" w:pos="8306"/>
        </w:tabs>
        <w:spacing w:line="600" w:lineRule="exact"/>
        <w:ind w:firstLine="640"/>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rPr>
        <w:t>般公共预算财政拨款基本支出决算情况说明</w:t>
      </w:r>
      <w:r>
        <w:rPr>
          <w:rStyle w:val="29"/>
          <w:rFonts w:ascii="黑体" w:hAnsi="黑体" w:eastAsia="黑体"/>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2023年度一般公共预算财政拨款基本支出8004.36万元，其中：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7893.09万元，主要包括：基本工资、津贴补贴、绩效工资、机关事业单位基本养老保险缴费、职业年金缴费、其他社会保障缴费、其他工资福利支出、抚恤金、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公用经费111.27万元，主要包括：工会经费、福利费等。</w:t>
      </w:r>
    </w:p>
    <w:p>
      <w:pPr>
        <w:spacing w:line="600" w:lineRule="exact"/>
        <w:ind w:firstLine="640"/>
        <w:outlineLvl w:val="1"/>
        <w:rPr>
          <w:rStyle w:val="29"/>
          <w:rFonts w:ascii="黑体" w:hAnsi="黑体" w:eastAsia="黑体"/>
        </w:rPr>
      </w:pPr>
      <w:r>
        <w:rPr>
          <w:rFonts w:hint="eastAsia" w:ascii="黑体" w:eastAsia="黑体"/>
          <w:sz w:val="32"/>
          <w:szCs w:val="32"/>
        </w:rPr>
        <w:t>七、</w:t>
      </w:r>
      <w:r>
        <w:rPr>
          <w:rStyle w:val="29"/>
          <w:rFonts w:hint="eastAsia" w:ascii="黑体" w:hAnsi="黑体" w:eastAsia="黑体"/>
        </w:rPr>
        <w:t>财政拨款“三公”经费支出决算情况说明</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pPr>
        <w:spacing w:line="600" w:lineRule="exact"/>
        <w:ind w:firstLine="640"/>
        <w:rPr>
          <w:rFonts w:ascii="仿宋" w:hAnsi="仿宋" w:eastAsia="仿宋"/>
          <w:color w:val="FF0000"/>
          <w:sz w:val="32"/>
          <w:szCs w:val="32"/>
        </w:rPr>
      </w:pPr>
      <w:r>
        <w:rPr>
          <w:rFonts w:hint="eastAsia" w:ascii="仿宋" w:hAnsi="仿宋" w:eastAsia="仿宋"/>
          <w:sz w:val="32"/>
          <w:szCs w:val="32"/>
        </w:rPr>
        <w:t>2023年度“三公”经费财政拨款支出决算为0万元，完成预算100</w:t>
      </w:r>
      <w:r>
        <w:rPr>
          <w:rFonts w:ascii="仿宋" w:hAnsi="仿宋" w:eastAsia="仿宋"/>
          <w:sz w:val="32"/>
          <w:szCs w:val="32"/>
        </w:rPr>
        <w:t>%</w:t>
      </w:r>
      <w:r>
        <w:rPr>
          <w:rFonts w:hint="eastAsia" w:ascii="仿宋" w:hAnsi="仿宋" w:eastAsia="仿宋"/>
          <w:sz w:val="32"/>
          <w:szCs w:val="32"/>
        </w:rPr>
        <w:t>，较上年度减少4.78万元，减少100%，减少原因为2023年三公经费预算全部由教育收费（事业收入）安排。</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pPr>
      <w:r>
        <w:rPr>
          <w:rFonts w:hint="eastAsia"/>
        </w:rPr>
        <w:drawing>
          <wp:inline distT="0" distB="0" distL="0" distR="0">
            <wp:extent cx="5133975" cy="3076575"/>
            <wp:effectExtent l="19050" t="0" r="9525" b="0"/>
            <wp:docPr id="3"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6"/>
          <w:rFonts w:hint="eastAsia" w:ascii="仿宋" w:hAnsi="仿宋" w:eastAsia="仿宋"/>
          <w:bCs/>
          <w:sz w:val="32"/>
          <w:szCs w:val="32"/>
        </w:rPr>
        <w:t>完成预算0</w:t>
      </w:r>
      <w:r>
        <w:rPr>
          <w:rStyle w:val="16"/>
          <w:rFonts w:ascii="仿宋" w:hAnsi="仿宋" w:eastAsia="仿宋"/>
          <w:bCs/>
          <w:sz w:val="32"/>
          <w:szCs w:val="32"/>
        </w:rPr>
        <w:t>%</w:t>
      </w:r>
      <w:r>
        <w:rPr>
          <w:rStyle w:val="16"/>
          <w:rFonts w:hint="eastAsia" w:ascii="仿宋" w:hAnsi="仿宋" w:eastAsia="仿宋"/>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22年持平，主要原因是本年未安排因公出国（境）事项。</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6"/>
          <w:rFonts w:hint="eastAsia" w:ascii="仿宋" w:hAnsi="仿宋" w:eastAsia="仿宋"/>
          <w:bCs/>
          <w:sz w:val="32"/>
          <w:szCs w:val="32"/>
        </w:rPr>
        <w:t>完成预算</w:t>
      </w:r>
      <w:r>
        <w:rPr>
          <w:rStyle w:val="16"/>
          <w:rFonts w:hint="eastAsia" w:ascii="仿宋" w:hAnsi="仿宋" w:eastAsia="仿宋"/>
          <w:bCs/>
          <w:color w:val="000000" w:themeColor="text1"/>
          <w:sz w:val="32"/>
          <w:szCs w:val="32"/>
          <w14:textFill>
            <w14:solidFill>
              <w14:schemeClr w14:val="tx1"/>
            </w14:solidFill>
          </w14:textFill>
        </w:rPr>
        <w:t>0</w:t>
      </w:r>
      <w:r>
        <w:rPr>
          <w:rStyle w:val="16"/>
          <w:rFonts w:ascii="仿宋" w:hAnsi="仿宋" w:eastAsia="仿宋"/>
          <w:bCs/>
          <w:sz w:val="32"/>
          <w:szCs w:val="32"/>
        </w:rPr>
        <w:t>%</w:t>
      </w:r>
      <w:r>
        <w:rPr>
          <w:rStyle w:val="16"/>
          <w:rFonts w:hint="eastAsia" w:ascii="仿宋" w:hAnsi="仿宋" w:eastAsia="仿宋"/>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22年减少4.78万元，</w:t>
      </w:r>
      <w:r>
        <w:rPr>
          <w:rFonts w:hint="eastAsia" w:ascii="仿宋" w:hAnsi="仿宋" w:eastAsia="仿宋"/>
          <w:sz w:val="32"/>
          <w:szCs w:val="32"/>
        </w:rPr>
        <w:t>减少100%，减少原因为2023年三公经费预算全部由教育收费（事业收入）安排。</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w:t>
      </w:r>
      <w:r>
        <w:rPr>
          <w:rFonts w:hint="eastAsia" w:ascii="仿宋_GB2312" w:eastAsia="仿宋_GB2312"/>
          <w:sz w:val="32"/>
          <w:szCs w:val="32"/>
        </w:rPr>
        <w:t>23年</w:t>
      </w:r>
      <w:r>
        <w:rPr>
          <w:rFonts w:ascii="仿宋_GB2312" w:eastAsia="仿宋_GB2312"/>
          <w:sz w:val="32"/>
          <w:szCs w:val="32"/>
        </w:rPr>
        <w:t>12</w:t>
      </w:r>
      <w:r>
        <w:rPr>
          <w:rFonts w:hint="eastAsia" w:ascii="仿宋_GB2312" w:eastAsia="仿宋_GB2312"/>
          <w:sz w:val="32"/>
          <w:szCs w:val="32"/>
        </w:rPr>
        <w:t>月底，单位共有公务用车3辆，其中：轿车1辆、越野车0辆、载客汽车2辆。</w:t>
      </w:r>
    </w:p>
    <w:p>
      <w:pPr>
        <w:spacing w:line="600" w:lineRule="exact"/>
        <w:ind w:firstLine="640"/>
        <w:rPr>
          <w:rFonts w:ascii="仿宋_GB2312" w:eastAsia="仿宋_GB2312"/>
          <w:b/>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0万元。公务用车购置及运行维护费支出决算比</w:t>
      </w:r>
      <w:r>
        <w:rPr>
          <w:rFonts w:ascii="仿宋_GB2312" w:eastAsia="仿宋_GB2312"/>
          <w:sz w:val="32"/>
          <w:szCs w:val="32"/>
        </w:rPr>
        <w:t>20</w:t>
      </w:r>
      <w:r>
        <w:rPr>
          <w:rFonts w:hint="eastAsia" w:ascii="仿宋_GB2312" w:eastAsia="仿宋_GB2312"/>
          <w:sz w:val="32"/>
          <w:szCs w:val="32"/>
        </w:rPr>
        <w:t>22年减少4.78万元，</w:t>
      </w:r>
      <w:r>
        <w:rPr>
          <w:rFonts w:hint="eastAsia" w:ascii="仿宋" w:hAnsi="仿宋" w:eastAsia="仿宋"/>
          <w:sz w:val="32"/>
          <w:szCs w:val="32"/>
        </w:rPr>
        <w:t>减少100%，减少原因为2023年三公经费预算全部由教育收费（事业收入）安排。</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6"/>
          <w:rFonts w:hint="eastAsia" w:ascii="仿宋" w:hAnsi="仿宋" w:eastAsia="仿宋"/>
          <w:bCs/>
          <w:sz w:val="32"/>
          <w:szCs w:val="32"/>
        </w:rPr>
        <w:t>完成预算0</w:t>
      </w:r>
      <w:r>
        <w:rPr>
          <w:rStyle w:val="16"/>
          <w:rFonts w:ascii="仿宋" w:hAnsi="仿宋" w:eastAsia="仿宋"/>
          <w:bCs/>
          <w:sz w:val="32"/>
          <w:szCs w:val="32"/>
        </w:rPr>
        <w:t>%</w:t>
      </w:r>
      <w:r>
        <w:rPr>
          <w:rStyle w:val="16"/>
          <w:rFonts w:hint="eastAsia" w:ascii="仿宋" w:hAnsi="仿宋" w:eastAsia="仿宋"/>
          <w:bCs/>
          <w:sz w:val="32"/>
          <w:szCs w:val="32"/>
        </w:rPr>
        <w:t>。</w:t>
      </w:r>
      <w:r>
        <w:rPr>
          <w:rFonts w:hint="eastAsia" w:ascii="仿宋_GB2312" w:eastAsia="仿宋_GB2312"/>
          <w:sz w:val="32"/>
          <w:szCs w:val="32"/>
        </w:rPr>
        <w:t>公务接待费支出决算比2022年度持平。主要原因是2022年、2023年我校均未安排公务接待。</w:t>
      </w:r>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rPr>
        <w:t>政府性基金预算支出决算情况说明</w:t>
      </w:r>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2023年度政府性基金预算财政拨款支出2.07万元。</w:t>
      </w:r>
    </w:p>
    <w:p>
      <w:pPr>
        <w:spacing w:line="600" w:lineRule="exact"/>
        <w:ind w:firstLine="643" w:firstLineChars="200"/>
        <w:outlineLvl w:val="1"/>
        <w:rPr>
          <w:rStyle w:val="29"/>
          <w:rFonts w:ascii="黑体" w:hAnsi="黑体" w:eastAsia="黑体"/>
        </w:rPr>
      </w:pPr>
      <w:r>
        <w:rPr>
          <w:rStyle w:val="29"/>
          <w:rFonts w:hint="eastAsia" w:ascii="黑体" w:hAnsi="黑体" w:eastAsia="黑体"/>
        </w:rPr>
        <w:t>九、国有资本经营预算支出决算情况说明</w:t>
      </w:r>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2023年度国有资本经营预算财政拨款支出0万元。</w:t>
      </w:r>
    </w:p>
    <w:p>
      <w:pPr>
        <w:spacing w:line="580" w:lineRule="exact"/>
        <w:ind w:firstLine="880" w:firstLineChars="200"/>
        <w:jc w:val="center"/>
        <w:rPr>
          <w:rFonts w:ascii="方正小标宋简体" w:hAnsi="方正小标宋简体" w:eastAsia="方正小标宋简体" w:cs="方正小标宋简体"/>
          <w:sz w:val="44"/>
          <w:szCs w:val="44"/>
        </w:rPr>
      </w:pPr>
    </w:p>
    <w:p>
      <w:pPr>
        <w:spacing w:line="600" w:lineRule="exact"/>
        <w:ind w:firstLine="643" w:firstLineChars="200"/>
        <w:outlineLvl w:val="1"/>
        <w:rPr>
          <w:rStyle w:val="29"/>
          <w:rFonts w:ascii="黑体" w:hAnsi="黑体" w:eastAsia="黑体"/>
        </w:rPr>
      </w:pPr>
      <w:r>
        <w:rPr>
          <w:rStyle w:val="29"/>
          <w:rFonts w:hint="eastAsia" w:ascii="黑体" w:hAnsi="黑体" w:eastAsia="黑体"/>
        </w:rPr>
        <w:t>十、其他重要事项的情况说明</w:t>
      </w:r>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ascii="仿宋" w:hAnsi="仿宋" w:eastAsia="仿宋"/>
          <w:b/>
          <w:sz w:val="32"/>
          <w:szCs w:val="32"/>
        </w:rPr>
      </w:pPr>
      <w:r>
        <w:rPr>
          <w:rFonts w:hint="eastAsia" w:ascii="仿宋_GB2312" w:eastAsia="仿宋_GB2312"/>
          <w:sz w:val="32"/>
          <w:szCs w:val="32"/>
        </w:rPr>
        <w:t>我单位是事业单位，无此项支出</w:t>
      </w:r>
      <w:r>
        <w:rPr>
          <w:rFonts w:hint="eastAsia" w:ascii="仿宋" w:hAnsi="仿宋" w:eastAsia="仿宋"/>
          <w:b/>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攀枝花市第三高级中学校政府采购支出总额368.18万元，其中：政府采购货物支出368.18万元、政府采购工程支出0万元、政府采购服务支出0万元。主要是学校音乐教室、理化实验室改造和学生微机室电脑更新。授予中小企业合同金额368.18万元，占政府采购支出总额的100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，其中：授予小微企业合同金额368.18万元，占政府采购支出总额的100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themeColor="text1"/>
          <w:sz w:val="32"/>
          <w:szCs w:val="32"/>
          <w14:textFill>
            <w14:solidFill>
              <w14:schemeClr w14:val="tx1"/>
            </w14:solidFill>
          </w14:textFill>
        </w:rPr>
        <w:t>攀枝花市第三高级中学校</w:t>
      </w:r>
      <w:r>
        <w:rPr>
          <w:rFonts w:hint="eastAsia" w:ascii="仿宋_GB2312" w:eastAsia="仿宋_GB2312"/>
          <w:sz w:val="32"/>
          <w:szCs w:val="32"/>
        </w:rPr>
        <w:t>共有车辆3辆，其中：其中：主要领导干部用车0辆、机要通信用车0辆、应急保障用车0辆、其他用车3辆，其他用车主要是用于：一台一般公务用车，用于教职工市内一般公务及应急处置，中型和大型客车各一辆，主要用于教职工新校区通勤、教研活动、学生演出及比赛等。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根据预算绩效管理要求，本单位在2023年度预算编制阶段，组织对音乐教室改造项目等2</w:t>
      </w:r>
      <w:r>
        <w:rPr>
          <w:rFonts w:hint="eastAsia" w:ascii="仿宋_GB2312" w:eastAsia="仿宋_GB2312"/>
          <w:sz w:val="32"/>
          <w:szCs w:val="32"/>
          <w:lang w:val="en-US" w:eastAsia="zh-CN"/>
        </w:rPr>
        <w:t>4</w:t>
      </w:r>
      <w:r>
        <w:rPr>
          <w:rFonts w:hint="eastAsia" w:ascii="仿宋_GB2312" w:eastAsia="仿宋_GB2312"/>
          <w:sz w:val="32"/>
          <w:szCs w:val="32"/>
        </w:rPr>
        <w:t>个项目开展了预算事前绩效评估，对2</w:t>
      </w:r>
      <w:r>
        <w:rPr>
          <w:rFonts w:hint="eastAsia" w:ascii="仿宋_GB2312" w:eastAsia="仿宋_GB2312"/>
          <w:sz w:val="32"/>
          <w:szCs w:val="32"/>
          <w:lang w:val="en-US" w:eastAsia="zh-CN"/>
        </w:rPr>
        <w:t>4</w:t>
      </w:r>
      <w:r>
        <w:rPr>
          <w:rFonts w:hint="eastAsia" w:ascii="仿宋_GB2312" w:eastAsia="仿宋_GB2312"/>
          <w:sz w:val="32"/>
          <w:szCs w:val="32"/>
        </w:rPr>
        <w:t>个项目编制了绩效目标，预算执行过程中，选取2</w:t>
      </w:r>
      <w:r>
        <w:rPr>
          <w:rFonts w:hint="eastAsia" w:ascii="仿宋_GB2312" w:eastAsia="仿宋_GB2312"/>
          <w:sz w:val="32"/>
          <w:szCs w:val="32"/>
          <w:lang w:val="en-US" w:eastAsia="zh-CN"/>
        </w:rPr>
        <w:t>4</w:t>
      </w:r>
      <w:r>
        <w:rPr>
          <w:rFonts w:hint="eastAsia" w:ascii="仿宋_GB2312" w:eastAsia="仿宋_GB2312"/>
          <w:sz w:val="32"/>
          <w:szCs w:val="32"/>
        </w:rPr>
        <w:t>个项目开展绩效监控，组织对2</w:t>
      </w:r>
      <w:r>
        <w:rPr>
          <w:rFonts w:hint="eastAsia" w:ascii="仿宋_GB2312" w:eastAsia="仿宋_GB2312"/>
          <w:sz w:val="32"/>
          <w:szCs w:val="32"/>
          <w:lang w:val="en-US" w:eastAsia="zh-CN"/>
        </w:rPr>
        <w:t>4</w:t>
      </w:r>
      <w:r>
        <w:rPr>
          <w:rFonts w:hint="eastAsia" w:ascii="仿宋_GB2312" w:eastAsia="仿宋_GB2312"/>
          <w:sz w:val="32"/>
          <w:szCs w:val="32"/>
        </w:rPr>
        <w:t>个项目开展绩效自评，绩效自评表详见第四部分附件。</w:t>
      </w:r>
      <w:r>
        <w:rPr>
          <w:rFonts w:hint="eastAsia" w:ascii="仿宋_GB2312" w:eastAsia="仿宋_GB2312"/>
          <w:sz w:val="32"/>
          <w:szCs w:val="32"/>
        </w:rPr>
        <w:br w:type="page"/>
      </w:r>
    </w:p>
    <w:p>
      <w:pPr>
        <w:spacing w:line="600" w:lineRule="exact"/>
        <w:jc w:val="center"/>
        <w:outlineLvl w:val="0"/>
        <w:rPr>
          <w:rStyle w:val="28"/>
          <w:rFonts w:ascii="黑体" w:hAnsi="黑体" w:eastAsia="黑体"/>
        </w:rPr>
      </w:pPr>
      <w:r>
        <w:rPr>
          <w:rFonts w:hint="eastAsia" w:ascii="黑体" w:hAnsi="黑体" w:eastAsia="黑体"/>
          <w:sz w:val="44"/>
          <w:szCs w:val="44"/>
        </w:rPr>
        <w:t>第三部分  名</w:t>
      </w:r>
      <w:r>
        <w:rPr>
          <w:rStyle w:val="28"/>
          <w:rFonts w:hint="eastAsia" w:ascii="黑体" w:hAnsi="黑体" w:eastAsia="黑体"/>
        </w:rPr>
        <w:t>词解释</w:t>
      </w:r>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9</w:t>
      </w:r>
      <w:r>
        <w:rPr>
          <w:rFonts w:ascii="仿宋_GB2312" w:eastAsia="仿宋_GB2312"/>
          <w:sz w:val="32"/>
          <w:szCs w:val="32"/>
        </w:rPr>
        <w:t>.</w:t>
      </w:r>
      <w:r>
        <w:rPr>
          <w:rStyle w:val="16"/>
          <w:rFonts w:hint="eastAsia" w:ascii="仿宋" w:hAnsi="仿宋" w:eastAsia="仿宋"/>
          <w:bCs/>
          <w:color w:val="000000" w:themeColor="text1"/>
          <w:sz w:val="32"/>
          <w:szCs w:val="32"/>
          <w14:textFill>
            <w14:solidFill>
              <w14:schemeClr w14:val="tx1"/>
            </w14:solidFill>
          </w14:textFill>
        </w:rPr>
        <w:t>教育（类）普通教育（款）高中教育（项）</w:t>
      </w:r>
      <w:r>
        <w:rPr>
          <w:rFonts w:hint="eastAsia" w:ascii="仿宋_GB2312" w:eastAsia="仿宋_GB2312"/>
          <w:color w:val="000000" w:themeColor="text1"/>
          <w:sz w:val="32"/>
          <w:szCs w:val="32"/>
          <w14:textFill>
            <w14:solidFill>
              <w14:schemeClr w14:val="tx1"/>
            </w14:solidFill>
          </w14:textFill>
        </w:rPr>
        <w:t>：指反映各部门举办的普通高中教育支出。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w:t>
      </w:r>
      <w:r>
        <w:rPr>
          <w:rFonts w:ascii="仿宋_GB2312" w:eastAsia="仿宋_GB2312"/>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 xml:space="preserve"> 教育（类）普通教育（款）其他普通教育支出（项）</w:t>
      </w:r>
      <w:r>
        <w:rPr>
          <w:rFonts w:hint="eastAsia" w:ascii="仿宋_GB2312" w:eastAsia="仿宋_GB2312"/>
          <w:color w:val="000000" w:themeColor="text1"/>
          <w:sz w:val="32"/>
          <w:szCs w:val="32"/>
          <w14:textFill>
            <w14:solidFill>
              <w14:schemeClr w14:val="tx1"/>
            </w14:solidFill>
          </w14:textFill>
        </w:rPr>
        <w:t>：指反映除学前教育等项目以外其他用于普通教育方面的支出。</w:t>
      </w:r>
    </w:p>
    <w:p>
      <w:pPr>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 xml:space="preserve"> 教育（类）教育费附加安排的支出（款）其他教育费附加安排的支出（项）</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指反映用教育费附加安排的除农村中小学校校舍建设等以外的教育费附加支出。</w:t>
      </w:r>
    </w:p>
    <w:p>
      <w:pPr>
        <w:ind w:firstLine="640" w:firstLineChars="200"/>
        <w:rPr>
          <w:rFonts w:ascii="仿宋_GB2312" w:eastAsia="仿宋_GB2312"/>
          <w:b/>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b/>
          <w:sz w:val="32"/>
          <w:szCs w:val="32"/>
        </w:rPr>
        <w:t>.</w:t>
      </w:r>
      <w:r>
        <w:rPr>
          <w:rStyle w:val="16"/>
          <w:rFonts w:hint="eastAsia" w:ascii="仿宋" w:hAnsi="仿宋" w:eastAsia="仿宋"/>
          <w:bCs/>
          <w:sz w:val="32"/>
          <w:szCs w:val="32"/>
        </w:rPr>
        <w:t xml:space="preserve"> 社会保障和就业（类）行政事业单位养老支出（款）事业单位离退休（项）</w:t>
      </w:r>
      <w:r>
        <w:rPr>
          <w:rFonts w:hint="eastAsia" w:ascii="仿宋_GB2312" w:eastAsia="仿宋_GB2312"/>
          <w:b/>
          <w:sz w:val="32"/>
          <w:szCs w:val="32"/>
        </w:rPr>
        <w:t>：</w:t>
      </w:r>
      <w:r>
        <w:rPr>
          <w:rFonts w:hint="eastAsia" w:ascii="仿宋_GB2312" w:eastAsia="仿宋_GB2312"/>
          <w:sz w:val="32"/>
          <w:szCs w:val="32"/>
        </w:rPr>
        <w:t>指事业单位开支的离退休费。</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b/>
          <w:sz w:val="32"/>
          <w:szCs w:val="32"/>
        </w:rPr>
        <w:t>.</w:t>
      </w:r>
      <w:r>
        <w:rPr>
          <w:rStyle w:val="16"/>
          <w:rFonts w:hint="eastAsia" w:ascii="仿宋" w:hAnsi="仿宋" w:eastAsia="仿宋"/>
          <w:bCs/>
          <w:sz w:val="32"/>
          <w:szCs w:val="32"/>
        </w:rPr>
        <w:t xml:space="preserve"> 社会保障和就业（类）行政事业单位养老支出（款）机关事业单位基本养老保险缴费支出（项）</w:t>
      </w:r>
      <w:r>
        <w:rPr>
          <w:rFonts w:hint="eastAsia" w:ascii="仿宋_GB2312" w:eastAsia="仿宋_GB2312"/>
          <w:b/>
          <w:sz w:val="32"/>
          <w:szCs w:val="32"/>
        </w:rPr>
        <w:t>：</w:t>
      </w:r>
      <w:r>
        <w:rPr>
          <w:rFonts w:hint="eastAsia" w:ascii="仿宋_GB2312" w:eastAsia="仿宋_GB2312"/>
          <w:sz w:val="32"/>
          <w:szCs w:val="32"/>
        </w:rPr>
        <w:t>指反映机关事业单位实施养老保险制度由单位实际缴纳的基本养老保险费支出。</w:t>
      </w:r>
    </w:p>
    <w:p>
      <w:pPr>
        <w:ind w:firstLine="420" w:firstLineChars="200"/>
        <w:rPr>
          <w:rFonts w:ascii="仿宋_GB2312" w:eastAsia="仿宋_GB2312"/>
          <w:sz w:val="32"/>
          <w:szCs w:val="32"/>
        </w:rPr>
      </w:pPr>
      <w:r>
        <w:rPr>
          <w:rFonts w:hint="eastAsia"/>
        </w:rPr>
        <w:t xml:space="preserve">  </w:t>
      </w:r>
      <w:r>
        <w:rPr>
          <w:rFonts w:ascii="仿宋_GB2312" w:eastAsia="仿宋_GB2312"/>
          <w:sz w:val="32"/>
          <w:szCs w:val="32"/>
        </w:rPr>
        <w:t>1</w:t>
      </w:r>
      <w:r>
        <w:rPr>
          <w:rFonts w:hint="eastAsia" w:ascii="仿宋_GB2312" w:eastAsia="仿宋_GB2312"/>
          <w:sz w:val="32"/>
          <w:szCs w:val="32"/>
        </w:rPr>
        <w:t>4</w:t>
      </w:r>
      <w:r>
        <w:rPr>
          <w:rFonts w:ascii="仿宋_GB2312" w:eastAsia="仿宋_GB2312"/>
          <w:b/>
          <w:sz w:val="32"/>
          <w:szCs w:val="32"/>
        </w:rPr>
        <w:t>.</w:t>
      </w:r>
      <w:r>
        <w:rPr>
          <w:rStyle w:val="16"/>
          <w:rFonts w:hint="eastAsia" w:ascii="仿宋" w:hAnsi="仿宋" w:eastAsia="仿宋"/>
          <w:bCs/>
          <w:sz w:val="32"/>
          <w:szCs w:val="32"/>
        </w:rPr>
        <w:t xml:space="preserve"> 社会保障和就业（类）行政事业单位养老支出（款）关事业单位职业年金缴费支出（项）</w:t>
      </w:r>
      <w:r>
        <w:rPr>
          <w:rFonts w:hint="eastAsia" w:ascii="仿宋_GB2312" w:eastAsia="仿宋_GB2312"/>
          <w:b/>
          <w:sz w:val="32"/>
          <w:szCs w:val="32"/>
        </w:rPr>
        <w:t>：</w:t>
      </w:r>
      <w:r>
        <w:rPr>
          <w:rFonts w:hint="eastAsia" w:ascii="仿宋_GB2312" w:eastAsia="仿宋_GB2312"/>
          <w:sz w:val="32"/>
          <w:szCs w:val="32"/>
        </w:rPr>
        <w:t>指反映机关事业单位实施养老保险制度由单位实际缴纳的职业年金保支出（含职业年金补计支出）。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5</w:t>
      </w:r>
      <w:r>
        <w:rPr>
          <w:rFonts w:ascii="仿宋_GB2312" w:eastAsia="仿宋_GB2312"/>
          <w:b/>
          <w:sz w:val="32"/>
          <w:szCs w:val="32"/>
        </w:rPr>
        <w:t>.</w:t>
      </w:r>
      <w:r>
        <w:rPr>
          <w:rStyle w:val="16"/>
          <w:rFonts w:hint="eastAsia" w:ascii="仿宋" w:hAnsi="仿宋" w:eastAsia="仿宋"/>
          <w:bCs/>
          <w:sz w:val="32"/>
          <w:szCs w:val="32"/>
        </w:rPr>
        <w:t xml:space="preserve"> 社会保障和就业（类）抚恤（款）死亡抚恤（项）</w:t>
      </w:r>
      <w:r>
        <w:rPr>
          <w:rFonts w:hint="eastAsia" w:ascii="仿宋_GB2312" w:eastAsia="仿宋_GB2312"/>
          <w:b/>
          <w:sz w:val="32"/>
          <w:szCs w:val="32"/>
        </w:rPr>
        <w:t>：</w:t>
      </w:r>
      <w:r>
        <w:rPr>
          <w:rFonts w:hint="eastAsia" w:ascii="仿宋_GB2312" w:eastAsia="仿宋_GB2312"/>
          <w:sz w:val="32"/>
          <w:szCs w:val="32"/>
        </w:rPr>
        <w:t>指反映按规定用于烈士和牺牲、病故人员家属的一次性和定期抚恤金、丧葬补助费以及烈士褒扬金。</w:t>
      </w:r>
    </w:p>
    <w:p>
      <w:pPr>
        <w:ind w:firstLine="640" w:firstLineChars="200"/>
        <w:rPr>
          <w:rFonts w:ascii="仿宋_GB2312" w:eastAsia="仿宋_GB2312"/>
          <w:b/>
          <w:sz w:val="32"/>
          <w:szCs w:val="32"/>
        </w:rPr>
      </w:pPr>
      <w:r>
        <w:rPr>
          <w:rFonts w:hint="eastAsia" w:ascii="仿宋_GB2312" w:eastAsia="仿宋_GB2312"/>
          <w:sz w:val="32"/>
          <w:szCs w:val="32"/>
        </w:rPr>
        <w:t>16</w:t>
      </w:r>
      <w:r>
        <w:rPr>
          <w:rFonts w:ascii="仿宋_GB2312" w:eastAsia="仿宋_GB2312"/>
          <w:b/>
          <w:sz w:val="32"/>
          <w:szCs w:val="32"/>
        </w:rPr>
        <w:t>.</w:t>
      </w:r>
      <w:r>
        <w:rPr>
          <w:rStyle w:val="16"/>
          <w:rFonts w:hint="eastAsia" w:ascii="仿宋" w:hAnsi="仿宋" w:eastAsia="仿宋"/>
          <w:bCs/>
          <w:sz w:val="32"/>
          <w:szCs w:val="32"/>
        </w:rPr>
        <w:t xml:space="preserve"> 住房保障支出（类）住房改革支出（款）住房公积金（项）</w:t>
      </w:r>
      <w:r>
        <w:rPr>
          <w:rFonts w:hint="eastAsia" w:ascii="仿宋_GB2312" w:eastAsia="仿宋_GB2312"/>
          <w:b/>
          <w:sz w:val="32"/>
          <w:szCs w:val="32"/>
        </w:rPr>
        <w:t>：</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olor w:val="auto"/>
          <w:sz w:val="32"/>
          <w:szCs w:val="32"/>
        </w:rPr>
      </w:pPr>
    </w:p>
    <w:p>
      <w:pPr>
        <w:pStyle w:val="26"/>
        <w:spacing w:line="560" w:lineRule="exact"/>
        <w:ind w:firstLine="640" w:firstLineChars="200"/>
        <w:rPr>
          <w:rFonts w:ascii="仿宋_GB2312" w:eastAsia="仿宋_GB2312"/>
          <w:color w:val="auto"/>
          <w:sz w:val="32"/>
          <w:szCs w:val="32"/>
        </w:rPr>
      </w:pPr>
    </w:p>
    <w:p>
      <w:pPr>
        <w:spacing w:line="600" w:lineRule="exact"/>
        <w:jc w:val="center"/>
        <w:outlineLvl w:val="0"/>
        <w:rPr>
          <w:rStyle w:val="28"/>
          <w:rFonts w:ascii="黑体" w:hAnsi="黑体" w:eastAsia="黑体"/>
        </w:rPr>
      </w:pPr>
      <w:r>
        <w:rPr>
          <w:rFonts w:hint="eastAsia" w:ascii="黑体" w:hAnsi="黑体" w:eastAsia="黑体"/>
          <w:sz w:val="44"/>
          <w:szCs w:val="44"/>
        </w:rPr>
        <w:t>第</w:t>
      </w:r>
      <w:r>
        <w:rPr>
          <w:rStyle w:val="28"/>
          <w:rFonts w:hint="eastAsia" w:ascii="黑体" w:hAnsi="黑体" w:eastAsia="黑体"/>
        </w:rPr>
        <w:t>四部分 附件</w:t>
      </w:r>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r>
        <w:rPr>
          <w:rFonts w:hint="eastAsia"/>
          <w:sz w:val="32"/>
          <w:szCs w:val="32"/>
        </w:rPr>
        <w:t>部门预算项目支出绩效自评表（2023年度）</w:t>
      </w:r>
    </w:p>
    <w:p>
      <w:pPr>
        <w:pStyle w:val="2"/>
        <w:spacing w:before="93"/>
        <w:rPr>
          <w:rFonts w:hAnsi="Calibri" w:cs="仿宋"/>
          <w:sz w:val="32"/>
          <w:szCs w:val="32"/>
        </w:rPr>
      </w:pPr>
    </w:p>
    <w:p>
      <w:pPr>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rPr>
        <w:t>五部分 附表</w:t>
      </w:r>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bCs/>
        </w:rPr>
        <w:t>入支出决算总表</w:t>
      </w:r>
    </w:p>
    <w:p>
      <w:pPr>
        <w:pStyle w:val="4"/>
        <w:rPr>
          <w:rFonts w:ascii="仿宋" w:hAnsi="仿宋" w:eastAsia="仿宋"/>
        </w:rPr>
      </w:pPr>
      <w:r>
        <w:rPr>
          <w:rFonts w:hint="eastAsia" w:ascii="仿宋" w:hAnsi="仿宋" w:eastAsia="仿宋"/>
          <w:b w:val="0"/>
        </w:rPr>
        <w:t>二、收</w:t>
      </w:r>
      <w:r>
        <w:rPr>
          <w:rStyle w:val="29"/>
          <w:rFonts w:hint="eastAsia" w:ascii="仿宋" w:hAnsi="仿宋" w:eastAsia="仿宋"/>
          <w:b/>
          <w:bCs/>
        </w:rPr>
        <w:t>入决算表</w:t>
      </w:r>
    </w:p>
    <w:p>
      <w:pPr>
        <w:pStyle w:val="4"/>
        <w:rPr>
          <w:rFonts w:ascii="仿宋" w:hAnsi="仿宋" w:eastAsia="仿宋"/>
        </w:rPr>
      </w:pPr>
      <w:r>
        <w:rPr>
          <w:rStyle w:val="29"/>
          <w:rFonts w:hint="eastAsia" w:ascii="仿宋" w:hAnsi="仿宋" w:eastAsia="仿宋"/>
          <w:b/>
          <w:bCs/>
        </w:rPr>
        <w:t>三、</w:t>
      </w:r>
      <w:r>
        <w:rPr>
          <w:rFonts w:hint="eastAsia" w:ascii="仿宋" w:hAnsi="仿宋" w:eastAsia="仿宋"/>
          <w:b w:val="0"/>
        </w:rPr>
        <w:t>支</w:t>
      </w:r>
      <w:r>
        <w:rPr>
          <w:rStyle w:val="29"/>
          <w:rFonts w:hint="eastAsia" w:ascii="仿宋" w:hAnsi="仿宋" w:eastAsia="仿宋"/>
          <w:b/>
          <w:bCs/>
        </w:rPr>
        <w:t>出决算表</w:t>
      </w:r>
    </w:p>
    <w:p>
      <w:pPr>
        <w:pStyle w:val="4"/>
        <w:rPr>
          <w:rFonts w:ascii="仿宋" w:hAnsi="仿宋" w:eastAsia="仿宋"/>
          <w:b w:val="0"/>
        </w:rPr>
      </w:pPr>
      <w:r>
        <w:rPr>
          <w:rStyle w:val="29"/>
          <w:rFonts w:hint="eastAsia" w:ascii="仿宋" w:hAnsi="仿宋" w:eastAsia="仿宋"/>
          <w:b/>
          <w:bCs/>
        </w:rPr>
        <w:t>四、</w:t>
      </w:r>
      <w:r>
        <w:rPr>
          <w:rFonts w:hint="eastAsia" w:ascii="仿宋" w:hAnsi="仿宋" w:eastAsia="仿宋"/>
          <w:b w:val="0"/>
        </w:rPr>
        <w:t>财</w:t>
      </w:r>
      <w:r>
        <w:rPr>
          <w:rStyle w:val="29"/>
          <w:rFonts w:hint="eastAsia" w:ascii="仿宋" w:hAnsi="仿宋" w:eastAsia="仿宋"/>
          <w:b/>
          <w:bCs/>
        </w:rPr>
        <w:t>政拨款收入支出决算总表</w:t>
      </w:r>
    </w:p>
    <w:p>
      <w:pPr>
        <w:pStyle w:val="4"/>
        <w:rPr>
          <w:rStyle w:val="29"/>
          <w:rFonts w:ascii="仿宋" w:hAnsi="仿宋" w:eastAsia="仿宋"/>
          <w:b/>
          <w:bCs/>
        </w:rPr>
      </w:pPr>
      <w:r>
        <w:rPr>
          <w:rStyle w:val="29"/>
          <w:rFonts w:hint="eastAsia" w:ascii="仿宋" w:hAnsi="仿宋" w:eastAsia="仿宋"/>
          <w:b/>
          <w:bCs/>
        </w:rPr>
        <w:t>五、</w:t>
      </w:r>
      <w:r>
        <w:rPr>
          <w:rFonts w:hint="eastAsia" w:ascii="仿宋" w:hAnsi="仿宋" w:eastAsia="仿宋"/>
          <w:b w:val="0"/>
        </w:rPr>
        <w:t>财</w:t>
      </w:r>
      <w:r>
        <w:rPr>
          <w:rStyle w:val="29"/>
          <w:rFonts w:hint="eastAsia" w:ascii="仿宋" w:hAnsi="仿宋" w:eastAsia="仿宋"/>
          <w:b/>
          <w:bCs/>
        </w:rPr>
        <w:t>政拨款支出决算明细表</w:t>
      </w:r>
    </w:p>
    <w:p>
      <w:pPr>
        <w:pStyle w:val="4"/>
        <w:rPr>
          <w:rFonts w:ascii="仿宋" w:hAnsi="仿宋" w:eastAsia="仿宋"/>
        </w:rPr>
      </w:pPr>
      <w:r>
        <w:rPr>
          <w:rStyle w:val="29"/>
          <w:rFonts w:hint="eastAsia" w:ascii="仿宋" w:hAnsi="仿宋" w:eastAsia="仿宋"/>
          <w:b/>
          <w:bCs/>
        </w:rPr>
        <w:t>六、</w:t>
      </w:r>
      <w:r>
        <w:rPr>
          <w:rFonts w:hint="eastAsia" w:ascii="仿宋" w:hAnsi="仿宋" w:eastAsia="仿宋"/>
          <w:b w:val="0"/>
        </w:rPr>
        <w:t>一</w:t>
      </w:r>
      <w:r>
        <w:rPr>
          <w:rStyle w:val="29"/>
          <w:rFonts w:hint="eastAsia" w:ascii="仿宋" w:hAnsi="仿宋" w:eastAsia="仿宋"/>
          <w:b/>
          <w:bCs/>
        </w:rPr>
        <w:t>般公共预算财政拨款支出决算表</w:t>
      </w:r>
    </w:p>
    <w:p>
      <w:pPr>
        <w:pStyle w:val="4"/>
        <w:rPr>
          <w:rFonts w:ascii="仿宋" w:hAnsi="仿宋" w:eastAsia="仿宋"/>
        </w:rPr>
      </w:pPr>
      <w:r>
        <w:rPr>
          <w:rStyle w:val="29"/>
          <w:rFonts w:hint="eastAsia" w:ascii="仿宋" w:hAnsi="仿宋" w:eastAsia="仿宋"/>
          <w:b/>
          <w:bCs/>
        </w:rPr>
        <w:t>七、</w:t>
      </w:r>
      <w:r>
        <w:rPr>
          <w:rFonts w:hint="eastAsia" w:ascii="仿宋" w:hAnsi="仿宋" w:eastAsia="仿宋"/>
          <w:b w:val="0"/>
        </w:rPr>
        <w:t>一</w:t>
      </w:r>
      <w:r>
        <w:rPr>
          <w:rStyle w:val="29"/>
          <w:rFonts w:hint="eastAsia" w:ascii="仿宋" w:hAnsi="仿宋" w:eastAsia="仿宋"/>
          <w:b/>
          <w:bCs/>
        </w:rPr>
        <w:t>般公共预算财政拨款支出决算明细表</w:t>
      </w:r>
    </w:p>
    <w:p>
      <w:pPr>
        <w:pStyle w:val="4"/>
        <w:rPr>
          <w:rFonts w:ascii="仿宋" w:hAnsi="仿宋" w:eastAsia="仿宋"/>
        </w:rPr>
      </w:pPr>
      <w:r>
        <w:rPr>
          <w:rStyle w:val="29"/>
          <w:rFonts w:hint="eastAsia" w:ascii="仿宋" w:hAnsi="仿宋" w:eastAsia="仿宋"/>
          <w:b/>
          <w:bCs/>
        </w:rPr>
        <w:t>八、</w:t>
      </w:r>
      <w:r>
        <w:rPr>
          <w:rFonts w:hint="eastAsia" w:ascii="仿宋" w:hAnsi="仿宋" w:eastAsia="仿宋"/>
          <w:b w:val="0"/>
        </w:rPr>
        <w:t>一</w:t>
      </w:r>
      <w:r>
        <w:rPr>
          <w:rStyle w:val="29"/>
          <w:rFonts w:hint="eastAsia" w:ascii="仿宋" w:hAnsi="仿宋" w:eastAsia="仿宋"/>
          <w:b/>
          <w:bCs/>
        </w:rPr>
        <w:t>般公共预算财政拨款基本支出决算表</w:t>
      </w:r>
    </w:p>
    <w:p>
      <w:pPr>
        <w:pStyle w:val="4"/>
        <w:rPr>
          <w:rFonts w:ascii="仿宋" w:hAnsi="仿宋" w:eastAsia="仿宋"/>
        </w:rPr>
      </w:pPr>
      <w:r>
        <w:rPr>
          <w:rStyle w:val="29"/>
          <w:rFonts w:hint="eastAsia" w:ascii="仿宋" w:hAnsi="仿宋" w:eastAsia="仿宋"/>
          <w:b/>
          <w:bCs/>
        </w:rPr>
        <w:t>九、</w:t>
      </w:r>
      <w:r>
        <w:rPr>
          <w:rFonts w:hint="eastAsia" w:ascii="仿宋" w:hAnsi="仿宋" w:eastAsia="仿宋"/>
          <w:b w:val="0"/>
        </w:rPr>
        <w:t>一</w:t>
      </w:r>
      <w:r>
        <w:rPr>
          <w:rStyle w:val="29"/>
          <w:rFonts w:hint="eastAsia" w:ascii="仿宋" w:hAnsi="仿宋" w:eastAsia="仿宋"/>
          <w:b/>
          <w:bCs/>
        </w:rPr>
        <w:t>般公共预算财政拨款项目支出决算表</w:t>
      </w:r>
    </w:p>
    <w:p>
      <w:pPr>
        <w:pStyle w:val="4"/>
        <w:rPr>
          <w:rFonts w:ascii="仿宋" w:hAnsi="仿宋" w:eastAsia="仿宋"/>
        </w:rPr>
      </w:pPr>
      <w:r>
        <w:rPr>
          <w:rStyle w:val="29"/>
          <w:rFonts w:hint="eastAsia" w:ascii="仿宋" w:hAnsi="仿宋" w:eastAsia="仿宋"/>
          <w:b/>
          <w:bCs/>
        </w:rPr>
        <w:t>十、</w:t>
      </w:r>
      <w:r>
        <w:rPr>
          <w:rFonts w:hint="eastAsia" w:ascii="仿宋" w:hAnsi="仿宋" w:eastAsia="仿宋"/>
          <w:b w:val="0"/>
        </w:rPr>
        <w:t>政</w:t>
      </w:r>
      <w:r>
        <w:rPr>
          <w:rStyle w:val="29"/>
          <w:rFonts w:hint="eastAsia" w:ascii="仿宋" w:hAnsi="仿宋" w:eastAsia="仿宋"/>
          <w:b/>
          <w:bCs/>
        </w:rPr>
        <w:t>府性基金预算财政拨款收入支出决算表</w:t>
      </w:r>
    </w:p>
    <w:p>
      <w:pPr>
        <w:pStyle w:val="4"/>
        <w:rPr>
          <w:rFonts w:ascii="仿宋" w:hAnsi="仿宋" w:eastAsia="仿宋"/>
        </w:rPr>
      </w:pPr>
      <w:r>
        <w:rPr>
          <w:rStyle w:val="29"/>
          <w:rFonts w:hint="eastAsia" w:ascii="仿宋" w:hAnsi="仿宋" w:eastAsia="仿宋"/>
          <w:b/>
          <w:bCs/>
        </w:rPr>
        <w:t>十一、</w:t>
      </w:r>
      <w:r>
        <w:rPr>
          <w:rFonts w:hint="eastAsia" w:ascii="仿宋" w:hAnsi="仿宋" w:eastAsia="仿宋"/>
          <w:b w:val="0"/>
        </w:rPr>
        <w:t>国</w:t>
      </w:r>
      <w:r>
        <w:rPr>
          <w:rStyle w:val="29"/>
          <w:rFonts w:hint="eastAsia" w:ascii="仿宋" w:hAnsi="仿宋" w:eastAsia="仿宋"/>
          <w:b/>
          <w:bCs/>
        </w:rPr>
        <w:t>有资本经营预算财政拨款收入支出决算表</w:t>
      </w:r>
    </w:p>
    <w:p>
      <w:pPr>
        <w:pStyle w:val="4"/>
        <w:rPr>
          <w:rFonts w:ascii="仿宋" w:hAnsi="仿宋" w:eastAsia="仿宋"/>
        </w:rPr>
      </w:pPr>
      <w:r>
        <w:rPr>
          <w:rStyle w:val="29"/>
          <w:rFonts w:hint="eastAsia" w:ascii="仿宋" w:hAnsi="仿宋" w:eastAsia="仿宋"/>
          <w:b/>
          <w:bCs/>
        </w:rPr>
        <w:t>十二、国有资本经营预算财政拨款支出决算表</w:t>
      </w:r>
    </w:p>
    <w:p>
      <w:pPr>
        <w:pStyle w:val="4"/>
        <w:rPr>
          <w:rFonts w:eastAsia="仿宋"/>
        </w:rPr>
      </w:pPr>
      <w:r>
        <w:rPr>
          <w:rStyle w:val="29"/>
          <w:rFonts w:hint="eastAsia" w:ascii="仿宋" w:hAnsi="仿宋" w:eastAsia="仿宋"/>
          <w:b/>
          <w:bCs/>
        </w:rPr>
        <w:t>十三、财政拨款“三公”经费支出决算表</w:t>
      </w:r>
    </w:p>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438F28-1B96-4C66-A203-9D8A848C17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4FB57D-4E7A-4F0F-9861-4D0F7A462F61}"/>
  </w:font>
  <w:font w:name="Cambria">
    <w:panose1 w:val="02040503050406030204"/>
    <w:charset w:val="00"/>
    <w:family w:val="roman"/>
    <w:pitch w:val="default"/>
    <w:sig w:usb0="E00006FF" w:usb1="420024FF" w:usb2="02000000" w:usb3="00000000" w:csb0="2000019F" w:csb1="00000000"/>
    <w:embedRegular r:id="rId3" w:fontKey="{7033D846-E3AB-4E8D-8B1E-60C94FE67D97}"/>
  </w:font>
  <w:font w:name="仿宋_GB2312">
    <w:panose1 w:val="02010609030101010101"/>
    <w:charset w:val="86"/>
    <w:family w:val="modern"/>
    <w:pitch w:val="default"/>
    <w:sig w:usb0="00000001" w:usb1="080E0000" w:usb2="00000000" w:usb3="00000000" w:csb0="00040000" w:csb1="00000000"/>
    <w:embedRegular r:id="rId4" w:fontKey="{42203607-9747-41A9-983D-C414E6E0920F}"/>
  </w:font>
  <w:font w:name="仿宋">
    <w:panose1 w:val="02010609060101010101"/>
    <w:charset w:val="86"/>
    <w:family w:val="modern"/>
    <w:pitch w:val="default"/>
    <w:sig w:usb0="800002BF" w:usb1="38CF7CFA" w:usb2="00000016" w:usb3="00000000" w:csb0="00040001" w:csb1="00000000"/>
    <w:embedRegular r:id="rId5" w:fontKey="{E3CC84A1-D3B6-43C2-B0A0-F77F78A02D06}"/>
  </w:font>
  <w:font w:name="方正仿宋_GB2312">
    <w:panose1 w:val="02000000000000000000"/>
    <w:charset w:val="86"/>
    <w:family w:val="auto"/>
    <w:pitch w:val="default"/>
    <w:sig w:usb0="A00002BF" w:usb1="184F6CFA" w:usb2="00000012" w:usb3="00000000" w:csb0="00040001" w:csb1="00000000"/>
    <w:embedRegular r:id="rId6" w:fontKey="{8061A8C9-7E27-4FB1-B5A6-80BFC815B73C}"/>
  </w:font>
  <w:font w:name="??">
    <w:altName w:val="仿宋"/>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7" w:fontKey="{393B4368-91C1-4E88-94DD-A72FC52832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18</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pStyle w:val="27"/>
      <w:suff w:val="nothing"/>
      <w:lvlText w:val="%1、"/>
      <w:lvlJc w:val="left"/>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Y2Q2NmY2YTMzZmFkMzQwNmE3NjBmMzk0YWUzY2MifQ=="/>
  </w:docVars>
  <w:rsids>
    <w:rsidRoot w:val="00F1361C"/>
    <w:rsid w:val="00002E29"/>
    <w:rsid w:val="000118D5"/>
    <w:rsid w:val="00016621"/>
    <w:rsid w:val="000222C6"/>
    <w:rsid w:val="0002549F"/>
    <w:rsid w:val="000468DB"/>
    <w:rsid w:val="00054973"/>
    <w:rsid w:val="0006487A"/>
    <w:rsid w:val="00065F8F"/>
    <w:rsid w:val="00070A43"/>
    <w:rsid w:val="0007110E"/>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6544"/>
    <w:rsid w:val="000E6613"/>
    <w:rsid w:val="000E7119"/>
    <w:rsid w:val="000F7D0B"/>
    <w:rsid w:val="00110617"/>
    <w:rsid w:val="00114E9B"/>
    <w:rsid w:val="00123AD8"/>
    <w:rsid w:val="00136D0C"/>
    <w:rsid w:val="00142216"/>
    <w:rsid w:val="001426F0"/>
    <w:rsid w:val="00144D6A"/>
    <w:rsid w:val="0014729F"/>
    <w:rsid w:val="00157BAB"/>
    <w:rsid w:val="001654D1"/>
    <w:rsid w:val="00174518"/>
    <w:rsid w:val="00175104"/>
    <w:rsid w:val="0018106D"/>
    <w:rsid w:val="001877A7"/>
    <w:rsid w:val="00191536"/>
    <w:rsid w:val="00196687"/>
    <w:rsid w:val="001B1642"/>
    <w:rsid w:val="001C0962"/>
    <w:rsid w:val="001D5C30"/>
    <w:rsid w:val="001D7531"/>
    <w:rsid w:val="001E1B59"/>
    <w:rsid w:val="001E2FF1"/>
    <w:rsid w:val="001E4C2C"/>
    <w:rsid w:val="001E737D"/>
    <w:rsid w:val="001F0592"/>
    <w:rsid w:val="001F7506"/>
    <w:rsid w:val="002006CD"/>
    <w:rsid w:val="00202B36"/>
    <w:rsid w:val="00204B7A"/>
    <w:rsid w:val="00204CDE"/>
    <w:rsid w:val="0021101A"/>
    <w:rsid w:val="00217081"/>
    <w:rsid w:val="00220536"/>
    <w:rsid w:val="00235629"/>
    <w:rsid w:val="00244943"/>
    <w:rsid w:val="00247B82"/>
    <w:rsid w:val="00260C38"/>
    <w:rsid w:val="002616C0"/>
    <w:rsid w:val="00264461"/>
    <w:rsid w:val="00265372"/>
    <w:rsid w:val="002662AA"/>
    <w:rsid w:val="00273286"/>
    <w:rsid w:val="00280496"/>
    <w:rsid w:val="0028480E"/>
    <w:rsid w:val="00290A4D"/>
    <w:rsid w:val="00292ED5"/>
    <w:rsid w:val="00294DC9"/>
    <w:rsid w:val="00295495"/>
    <w:rsid w:val="002A31DE"/>
    <w:rsid w:val="002A7B73"/>
    <w:rsid w:val="002B2613"/>
    <w:rsid w:val="002D6D05"/>
    <w:rsid w:val="002E5B64"/>
    <w:rsid w:val="002F0DFF"/>
    <w:rsid w:val="002F1818"/>
    <w:rsid w:val="002F567B"/>
    <w:rsid w:val="003015D1"/>
    <w:rsid w:val="003065D8"/>
    <w:rsid w:val="003216A9"/>
    <w:rsid w:val="00335A74"/>
    <w:rsid w:val="0036561B"/>
    <w:rsid w:val="0037013F"/>
    <w:rsid w:val="00380C92"/>
    <w:rsid w:val="003A484F"/>
    <w:rsid w:val="003A4883"/>
    <w:rsid w:val="003B0BE0"/>
    <w:rsid w:val="003B0C1B"/>
    <w:rsid w:val="003B688C"/>
    <w:rsid w:val="003C0291"/>
    <w:rsid w:val="003C262D"/>
    <w:rsid w:val="003C334F"/>
    <w:rsid w:val="003C39AE"/>
    <w:rsid w:val="003C7B60"/>
    <w:rsid w:val="003D0C0F"/>
    <w:rsid w:val="003D19AE"/>
    <w:rsid w:val="003D1FB2"/>
    <w:rsid w:val="003D66DA"/>
    <w:rsid w:val="003E1310"/>
    <w:rsid w:val="003E6F55"/>
    <w:rsid w:val="00406254"/>
    <w:rsid w:val="004203C6"/>
    <w:rsid w:val="004223DE"/>
    <w:rsid w:val="00434489"/>
    <w:rsid w:val="00437085"/>
    <w:rsid w:val="00443880"/>
    <w:rsid w:val="004464F4"/>
    <w:rsid w:val="00446E63"/>
    <w:rsid w:val="00467094"/>
    <w:rsid w:val="00471401"/>
    <w:rsid w:val="004728E5"/>
    <w:rsid w:val="00473F31"/>
    <w:rsid w:val="00476084"/>
    <w:rsid w:val="0048263A"/>
    <w:rsid w:val="00487E5D"/>
    <w:rsid w:val="004A711F"/>
    <w:rsid w:val="004B199D"/>
    <w:rsid w:val="004B4690"/>
    <w:rsid w:val="004D1BFA"/>
    <w:rsid w:val="004E0A2D"/>
    <w:rsid w:val="004E206B"/>
    <w:rsid w:val="004E59A2"/>
    <w:rsid w:val="004E6DF7"/>
    <w:rsid w:val="004F0FBD"/>
    <w:rsid w:val="004F75F6"/>
    <w:rsid w:val="00501B73"/>
    <w:rsid w:val="00505A47"/>
    <w:rsid w:val="00512FDA"/>
    <w:rsid w:val="00520BD3"/>
    <w:rsid w:val="00520DA0"/>
    <w:rsid w:val="00525E15"/>
    <w:rsid w:val="005664BB"/>
    <w:rsid w:val="00566FFA"/>
    <w:rsid w:val="00572F3A"/>
    <w:rsid w:val="0057481D"/>
    <w:rsid w:val="0058486E"/>
    <w:rsid w:val="00585B33"/>
    <w:rsid w:val="0059014D"/>
    <w:rsid w:val="005B5C64"/>
    <w:rsid w:val="005B67C6"/>
    <w:rsid w:val="005B751A"/>
    <w:rsid w:val="005C5337"/>
    <w:rsid w:val="005C559D"/>
    <w:rsid w:val="005C6BD0"/>
    <w:rsid w:val="005D1362"/>
    <w:rsid w:val="005D1C8B"/>
    <w:rsid w:val="005D468D"/>
    <w:rsid w:val="005D5CED"/>
    <w:rsid w:val="005D7D8C"/>
    <w:rsid w:val="005E571B"/>
    <w:rsid w:val="005F1A4C"/>
    <w:rsid w:val="005F1A97"/>
    <w:rsid w:val="00603116"/>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80B"/>
    <w:rsid w:val="006748A4"/>
    <w:rsid w:val="00680F80"/>
    <w:rsid w:val="00681A31"/>
    <w:rsid w:val="00683E73"/>
    <w:rsid w:val="006A3141"/>
    <w:rsid w:val="006A5E34"/>
    <w:rsid w:val="006B04A1"/>
    <w:rsid w:val="006B2422"/>
    <w:rsid w:val="006B2B9A"/>
    <w:rsid w:val="006C1937"/>
    <w:rsid w:val="006E63D6"/>
    <w:rsid w:val="006F020C"/>
    <w:rsid w:val="007127B7"/>
    <w:rsid w:val="00715C19"/>
    <w:rsid w:val="0071798E"/>
    <w:rsid w:val="0073341C"/>
    <w:rsid w:val="0073400C"/>
    <w:rsid w:val="007416B6"/>
    <w:rsid w:val="00746F48"/>
    <w:rsid w:val="0075404D"/>
    <w:rsid w:val="00754CC9"/>
    <w:rsid w:val="0076182A"/>
    <w:rsid w:val="00762287"/>
    <w:rsid w:val="00767B7E"/>
    <w:rsid w:val="007770C3"/>
    <w:rsid w:val="00784D24"/>
    <w:rsid w:val="00785FBA"/>
    <w:rsid w:val="00786E4A"/>
    <w:rsid w:val="007875EB"/>
    <w:rsid w:val="00790E30"/>
    <w:rsid w:val="0079426B"/>
    <w:rsid w:val="007B33AA"/>
    <w:rsid w:val="007C0D56"/>
    <w:rsid w:val="007C5A47"/>
    <w:rsid w:val="007D1682"/>
    <w:rsid w:val="007D312A"/>
    <w:rsid w:val="007D3F19"/>
    <w:rsid w:val="007E1CDF"/>
    <w:rsid w:val="007E23B0"/>
    <w:rsid w:val="007E23E5"/>
    <w:rsid w:val="007F1991"/>
    <w:rsid w:val="007F2C2F"/>
    <w:rsid w:val="007F55FC"/>
    <w:rsid w:val="007F5665"/>
    <w:rsid w:val="00800112"/>
    <w:rsid w:val="00804D72"/>
    <w:rsid w:val="00805DB3"/>
    <w:rsid w:val="00813348"/>
    <w:rsid w:val="00814F06"/>
    <w:rsid w:val="008253BB"/>
    <w:rsid w:val="00827637"/>
    <w:rsid w:val="0083706E"/>
    <w:rsid w:val="008408F6"/>
    <w:rsid w:val="008423A5"/>
    <w:rsid w:val="0084448F"/>
    <w:rsid w:val="00850625"/>
    <w:rsid w:val="00853718"/>
    <w:rsid w:val="00855221"/>
    <w:rsid w:val="00855B1B"/>
    <w:rsid w:val="00860645"/>
    <w:rsid w:val="00871F71"/>
    <w:rsid w:val="00872FD8"/>
    <w:rsid w:val="00885AF4"/>
    <w:rsid w:val="008939CD"/>
    <w:rsid w:val="008A0E17"/>
    <w:rsid w:val="008A5A82"/>
    <w:rsid w:val="008B768C"/>
    <w:rsid w:val="008C4DB1"/>
    <w:rsid w:val="008C4EAF"/>
    <w:rsid w:val="008C5176"/>
    <w:rsid w:val="008C55A5"/>
    <w:rsid w:val="008C7FD0"/>
    <w:rsid w:val="008E1DE7"/>
    <w:rsid w:val="008E707C"/>
    <w:rsid w:val="00900B08"/>
    <w:rsid w:val="00902155"/>
    <w:rsid w:val="00902FA3"/>
    <w:rsid w:val="00916076"/>
    <w:rsid w:val="00923564"/>
    <w:rsid w:val="0092392E"/>
    <w:rsid w:val="009315F9"/>
    <w:rsid w:val="00933499"/>
    <w:rsid w:val="00935C98"/>
    <w:rsid w:val="00943DCE"/>
    <w:rsid w:val="00946945"/>
    <w:rsid w:val="00947B7E"/>
    <w:rsid w:val="00951248"/>
    <w:rsid w:val="0095152F"/>
    <w:rsid w:val="00954C49"/>
    <w:rsid w:val="00955E37"/>
    <w:rsid w:val="0097099F"/>
    <w:rsid w:val="00971997"/>
    <w:rsid w:val="00971FFC"/>
    <w:rsid w:val="0098493A"/>
    <w:rsid w:val="00985241"/>
    <w:rsid w:val="0098660A"/>
    <w:rsid w:val="009931C3"/>
    <w:rsid w:val="00995B2F"/>
    <w:rsid w:val="009B2C43"/>
    <w:rsid w:val="009B4EAE"/>
    <w:rsid w:val="009B7573"/>
    <w:rsid w:val="009C22F4"/>
    <w:rsid w:val="009C2A4B"/>
    <w:rsid w:val="009C2E98"/>
    <w:rsid w:val="009D3447"/>
    <w:rsid w:val="009D4711"/>
    <w:rsid w:val="009E4DB6"/>
    <w:rsid w:val="009F1185"/>
    <w:rsid w:val="009F18CD"/>
    <w:rsid w:val="009F2A13"/>
    <w:rsid w:val="009F5540"/>
    <w:rsid w:val="009F7527"/>
    <w:rsid w:val="00A04EB0"/>
    <w:rsid w:val="00A13CC1"/>
    <w:rsid w:val="00A16847"/>
    <w:rsid w:val="00A237D8"/>
    <w:rsid w:val="00A268C4"/>
    <w:rsid w:val="00A307CD"/>
    <w:rsid w:val="00A331C8"/>
    <w:rsid w:val="00A40A00"/>
    <w:rsid w:val="00A4142F"/>
    <w:rsid w:val="00A422EB"/>
    <w:rsid w:val="00A45BB7"/>
    <w:rsid w:val="00A54B73"/>
    <w:rsid w:val="00A56DF2"/>
    <w:rsid w:val="00A56E6E"/>
    <w:rsid w:val="00A67AB5"/>
    <w:rsid w:val="00A728EE"/>
    <w:rsid w:val="00A733B2"/>
    <w:rsid w:val="00A741C2"/>
    <w:rsid w:val="00A91760"/>
    <w:rsid w:val="00A93B00"/>
    <w:rsid w:val="00A93C21"/>
    <w:rsid w:val="00AB64C9"/>
    <w:rsid w:val="00AC3C6A"/>
    <w:rsid w:val="00AD5620"/>
    <w:rsid w:val="00AD656B"/>
    <w:rsid w:val="00AD7C1B"/>
    <w:rsid w:val="00AE16BA"/>
    <w:rsid w:val="00AE1EBE"/>
    <w:rsid w:val="00AF0A50"/>
    <w:rsid w:val="00B03C9D"/>
    <w:rsid w:val="00B060AE"/>
    <w:rsid w:val="00B10517"/>
    <w:rsid w:val="00B14E76"/>
    <w:rsid w:val="00B161B8"/>
    <w:rsid w:val="00B2048C"/>
    <w:rsid w:val="00B30AE8"/>
    <w:rsid w:val="00B310B9"/>
    <w:rsid w:val="00B35F3F"/>
    <w:rsid w:val="00B36CBB"/>
    <w:rsid w:val="00B425E0"/>
    <w:rsid w:val="00B440AA"/>
    <w:rsid w:val="00B44B70"/>
    <w:rsid w:val="00B53C56"/>
    <w:rsid w:val="00B57DAF"/>
    <w:rsid w:val="00B77EA6"/>
    <w:rsid w:val="00B81598"/>
    <w:rsid w:val="00B841F1"/>
    <w:rsid w:val="00B84CBB"/>
    <w:rsid w:val="00B93750"/>
    <w:rsid w:val="00B944D6"/>
    <w:rsid w:val="00BA3382"/>
    <w:rsid w:val="00BB4DF0"/>
    <w:rsid w:val="00BC289F"/>
    <w:rsid w:val="00BC2D50"/>
    <w:rsid w:val="00BC5361"/>
    <w:rsid w:val="00BC5460"/>
    <w:rsid w:val="00BC6B50"/>
    <w:rsid w:val="00BD0E25"/>
    <w:rsid w:val="00BE1F49"/>
    <w:rsid w:val="00BF5BD6"/>
    <w:rsid w:val="00C02522"/>
    <w:rsid w:val="00C03E31"/>
    <w:rsid w:val="00C33E72"/>
    <w:rsid w:val="00C354B2"/>
    <w:rsid w:val="00C35554"/>
    <w:rsid w:val="00C42709"/>
    <w:rsid w:val="00C42D18"/>
    <w:rsid w:val="00C4495C"/>
    <w:rsid w:val="00C52575"/>
    <w:rsid w:val="00C533CC"/>
    <w:rsid w:val="00C5751C"/>
    <w:rsid w:val="00C61BFC"/>
    <w:rsid w:val="00C62B85"/>
    <w:rsid w:val="00C65241"/>
    <w:rsid w:val="00C65438"/>
    <w:rsid w:val="00C7591F"/>
    <w:rsid w:val="00C87FC8"/>
    <w:rsid w:val="00C87FD8"/>
    <w:rsid w:val="00C91381"/>
    <w:rsid w:val="00C91CBB"/>
    <w:rsid w:val="00CB4E70"/>
    <w:rsid w:val="00CC09B6"/>
    <w:rsid w:val="00CC666F"/>
    <w:rsid w:val="00CC6BAC"/>
    <w:rsid w:val="00CD0539"/>
    <w:rsid w:val="00CD1E3F"/>
    <w:rsid w:val="00CE44F6"/>
    <w:rsid w:val="00CE49DA"/>
    <w:rsid w:val="00CE59A7"/>
    <w:rsid w:val="00CE7B61"/>
    <w:rsid w:val="00CF7B7A"/>
    <w:rsid w:val="00D00095"/>
    <w:rsid w:val="00D04B88"/>
    <w:rsid w:val="00D114F0"/>
    <w:rsid w:val="00D20620"/>
    <w:rsid w:val="00D254F7"/>
    <w:rsid w:val="00D26091"/>
    <w:rsid w:val="00D2685C"/>
    <w:rsid w:val="00D34E7C"/>
    <w:rsid w:val="00D34F17"/>
    <w:rsid w:val="00D35489"/>
    <w:rsid w:val="00D36AFE"/>
    <w:rsid w:val="00D51276"/>
    <w:rsid w:val="00D7035F"/>
    <w:rsid w:val="00D81340"/>
    <w:rsid w:val="00D82D35"/>
    <w:rsid w:val="00DA634F"/>
    <w:rsid w:val="00DA65AC"/>
    <w:rsid w:val="00DB1913"/>
    <w:rsid w:val="00DC410D"/>
    <w:rsid w:val="00DC4B63"/>
    <w:rsid w:val="00DC5A81"/>
    <w:rsid w:val="00DC68CA"/>
    <w:rsid w:val="00DC7CBA"/>
    <w:rsid w:val="00DD73B7"/>
    <w:rsid w:val="00DF06E2"/>
    <w:rsid w:val="00DF28BC"/>
    <w:rsid w:val="00DF34B9"/>
    <w:rsid w:val="00E01053"/>
    <w:rsid w:val="00E07ACF"/>
    <w:rsid w:val="00E22135"/>
    <w:rsid w:val="00E3147D"/>
    <w:rsid w:val="00E331A1"/>
    <w:rsid w:val="00E33202"/>
    <w:rsid w:val="00E336A9"/>
    <w:rsid w:val="00E472B1"/>
    <w:rsid w:val="00E50624"/>
    <w:rsid w:val="00E5285B"/>
    <w:rsid w:val="00E568DF"/>
    <w:rsid w:val="00E64269"/>
    <w:rsid w:val="00E671DE"/>
    <w:rsid w:val="00E82267"/>
    <w:rsid w:val="00E853CE"/>
    <w:rsid w:val="00E867B6"/>
    <w:rsid w:val="00E9430A"/>
    <w:rsid w:val="00EA010F"/>
    <w:rsid w:val="00EB7EFD"/>
    <w:rsid w:val="00EC2D84"/>
    <w:rsid w:val="00EC7627"/>
    <w:rsid w:val="00ED186B"/>
    <w:rsid w:val="00ED1B63"/>
    <w:rsid w:val="00ED3C1F"/>
    <w:rsid w:val="00ED4085"/>
    <w:rsid w:val="00ED420E"/>
    <w:rsid w:val="00ED6FBE"/>
    <w:rsid w:val="00EE2F57"/>
    <w:rsid w:val="00EF39C0"/>
    <w:rsid w:val="00EF3C8E"/>
    <w:rsid w:val="00EF4C34"/>
    <w:rsid w:val="00EF77C6"/>
    <w:rsid w:val="00F05438"/>
    <w:rsid w:val="00F1361C"/>
    <w:rsid w:val="00F156F0"/>
    <w:rsid w:val="00F160C7"/>
    <w:rsid w:val="00F2408F"/>
    <w:rsid w:val="00F240E9"/>
    <w:rsid w:val="00F36D8F"/>
    <w:rsid w:val="00F417B1"/>
    <w:rsid w:val="00F45853"/>
    <w:rsid w:val="00F601F0"/>
    <w:rsid w:val="00F602DF"/>
    <w:rsid w:val="00F754A1"/>
    <w:rsid w:val="00F81FD9"/>
    <w:rsid w:val="00F841AA"/>
    <w:rsid w:val="00F84A94"/>
    <w:rsid w:val="00F87E96"/>
    <w:rsid w:val="00F91328"/>
    <w:rsid w:val="00FA23E8"/>
    <w:rsid w:val="00FB2CB7"/>
    <w:rsid w:val="00FC45D1"/>
    <w:rsid w:val="00FD3CC1"/>
    <w:rsid w:val="00FD6436"/>
    <w:rsid w:val="00FE3427"/>
    <w:rsid w:val="00FF1E02"/>
    <w:rsid w:val="00FF30B4"/>
    <w:rsid w:val="00FF3E1F"/>
    <w:rsid w:val="015975B8"/>
    <w:rsid w:val="02143E91"/>
    <w:rsid w:val="04CE1291"/>
    <w:rsid w:val="066E0107"/>
    <w:rsid w:val="07996F6E"/>
    <w:rsid w:val="0A2032A3"/>
    <w:rsid w:val="0F98263C"/>
    <w:rsid w:val="101860EC"/>
    <w:rsid w:val="10C055FF"/>
    <w:rsid w:val="118107EC"/>
    <w:rsid w:val="13D50BC4"/>
    <w:rsid w:val="16BB723D"/>
    <w:rsid w:val="1BE8440E"/>
    <w:rsid w:val="1CCD1914"/>
    <w:rsid w:val="1D155CEE"/>
    <w:rsid w:val="1FF35744"/>
    <w:rsid w:val="23860B96"/>
    <w:rsid w:val="240371BF"/>
    <w:rsid w:val="2762025C"/>
    <w:rsid w:val="29FD04D3"/>
    <w:rsid w:val="2C8A61B5"/>
    <w:rsid w:val="2DF04E50"/>
    <w:rsid w:val="2F040D46"/>
    <w:rsid w:val="319F7F4E"/>
    <w:rsid w:val="3304709D"/>
    <w:rsid w:val="36AA5135"/>
    <w:rsid w:val="376D39B2"/>
    <w:rsid w:val="37E16F03"/>
    <w:rsid w:val="38D469F0"/>
    <w:rsid w:val="3D98207C"/>
    <w:rsid w:val="3E78745D"/>
    <w:rsid w:val="44E268DA"/>
    <w:rsid w:val="4A627F82"/>
    <w:rsid w:val="4B0E749A"/>
    <w:rsid w:val="4B4F25DA"/>
    <w:rsid w:val="4BE068DB"/>
    <w:rsid w:val="4D577224"/>
    <w:rsid w:val="4D8340D8"/>
    <w:rsid w:val="4EAB630A"/>
    <w:rsid w:val="4ECE2238"/>
    <w:rsid w:val="537E6D0A"/>
    <w:rsid w:val="5AF92295"/>
    <w:rsid w:val="5CD71FC4"/>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 w:val="FC9FCDE2"/>
    <w:rsid w:val="FFBD28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FollowedHyperlink"/>
    <w:basedOn w:val="15"/>
    <w:semiHidden/>
    <w:unhideWhenUsed/>
    <w:qFormat/>
    <w:uiPriority w:val="99"/>
    <w:rPr>
      <w:color w:val="954F72"/>
      <w:u w:val="single"/>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numPr>
        <w:ilvl w:val="0"/>
        <w:numId w:val="1"/>
      </w:numPr>
      <w:ind w:firstLine="420"/>
    </w:pPr>
    <w:rPr>
      <w:rFonts w:ascii="方正仿宋_GB2312" w:hAnsi="方正仿宋_GB2312" w:eastAsia="方正仿宋_GB2312" w:cs="方正仿宋_GB2312"/>
      <w:color w:val="000000"/>
      <w:kern w:val="0"/>
      <w:sz w:val="33"/>
      <w:szCs w:val="33"/>
    </w:r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8"/>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标题3"/>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8">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9">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0">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4">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6">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7">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9">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9352.6</c:v>
                </c:pt>
                <c:pt idx="1">
                  <c:v>10547.66</c:v>
                </c:pt>
              </c:numCache>
            </c:numRef>
          </c:val>
        </c:ser>
        <c:ser>
          <c:idx val="1"/>
          <c:order val="1"/>
          <c:tx>
            <c:strRef>
              <c:f>Sheet1!$C$1</c:f>
              <c:strCache>
                <c:ptCount val="1"/>
                <c:pt idx="0">
                  <c:v>支出</c:v>
                </c:pt>
              </c:strCache>
            </c:strRef>
          </c:tx>
          <c:invertIfNegative val="0"/>
          <c:dLbls>
            <c:delete val="1"/>
          </c:dLbls>
          <c:cat>
            <c:strRef>
              <c:f>Sheet1!$A$2:$A$3</c:f>
              <c:strCache>
                <c:ptCount val="2"/>
                <c:pt idx="0">
                  <c:v>2022年</c:v>
                </c:pt>
                <c:pt idx="1">
                  <c:v>2023年</c:v>
                </c:pt>
              </c:strCache>
            </c:strRef>
          </c:cat>
          <c:val>
            <c:numRef>
              <c:f>Sheet1!$C$2:$C$3</c:f>
              <c:numCache>
                <c:formatCode>General</c:formatCode>
                <c:ptCount val="2"/>
                <c:pt idx="0">
                  <c:v>9352.6</c:v>
                </c:pt>
                <c:pt idx="1">
                  <c:v>10547.66</c:v>
                </c:pt>
              </c:numCache>
            </c:numRef>
          </c:val>
        </c:ser>
        <c:dLbls>
          <c:showLegendKey val="0"/>
          <c:showVal val="0"/>
          <c:showCatName val="0"/>
          <c:showSerName val="0"/>
          <c:showPercent val="0"/>
          <c:showBubbleSize val="0"/>
        </c:dLbls>
        <c:gapWidth val="150"/>
        <c:axId val="72795264"/>
        <c:axId val="72803840"/>
      </c:barChart>
      <c:catAx>
        <c:axId val="727952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803840"/>
        <c:crosses val="autoZero"/>
        <c:auto val="1"/>
        <c:lblAlgn val="ctr"/>
        <c:lblOffset val="100"/>
        <c:noMultiLvlLbl val="0"/>
      </c:catAx>
      <c:valAx>
        <c:axId val="72803840"/>
        <c:scaling>
          <c:orientation val="minMax"/>
          <c:min val="6000"/>
        </c:scaling>
        <c:delete val="0"/>
        <c:axPos val="l"/>
        <c:majorGridlines/>
        <c:minorGridlines/>
        <c:numFmt formatCode="General" sourceLinked="1"/>
        <c:majorTickMark val="out"/>
        <c:minorTickMark val="none"/>
        <c:tickLblPos val="nextTo"/>
        <c:spPr>
          <a:noFill/>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795264"/>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各项收入占比</c:v>
                </c:pt>
              </c:strCache>
            </c:strRef>
          </c:tx>
          <c:explosion val="25"/>
          <c:dPt>
            <c:idx val="0"/>
            <c:bubble3D val="0"/>
          </c:dPt>
          <c:dPt>
            <c:idx val="1"/>
            <c:bubble3D val="0"/>
          </c:dPt>
          <c:dPt>
            <c:idx val="2"/>
            <c:bubble3D val="0"/>
          </c:dPt>
          <c:dPt>
            <c:idx val="3"/>
            <c:bubble3D val="0"/>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一般公共预算财政拨款收入</c:v>
                </c:pt>
                <c:pt idx="1">
                  <c:v>政府性基金预算财政拨款收入</c:v>
                </c:pt>
                <c:pt idx="2">
                  <c:v>其他收入</c:v>
                </c:pt>
                <c:pt idx="3">
                  <c:v>事业收入</c:v>
                </c:pt>
              </c:strCache>
            </c:strRef>
          </c:cat>
          <c:val>
            <c:numRef>
              <c:f>Sheet1!$B$2:$B$5</c:f>
              <c:numCache>
                <c:formatCode>General</c:formatCode>
                <c:ptCount val="4"/>
                <c:pt idx="0">
                  <c:v>8967.49</c:v>
                </c:pt>
                <c:pt idx="1">
                  <c:v>12.49</c:v>
                </c:pt>
                <c:pt idx="2">
                  <c:v>138.43</c:v>
                </c:pt>
                <c:pt idx="3">
                  <c:v>1227.77</c:v>
                </c:pt>
              </c:numCache>
            </c:numRef>
          </c:val>
        </c:ser>
        <c:dLbls>
          <c:showLegendKey val="0"/>
          <c:showVal val="0"/>
          <c:showCatName val="0"/>
          <c:showSerName val="0"/>
          <c:showPercent val="1"/>
          <c:showBubbleSize val="0"/>
          <c:showLeaderLines val="1"/>
        </c:dLbls>
        <c:firstSliceAng val="15"/>
      </c:pieChart>
      <c:spPr>
        <a:noFill/>
        <a:ln w="25400">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各项支出占比</c:v>
                </c:pt>
              </c:strCache>
            </c:strRef>
          </c:tx>
          <c:explosion val="25"/>
          <c:dPt>
            <c:idx val="0"/>
            <c:bubble3D val="0"/>
          </c:dPt>
          <c:dPt>
            <c:idx val="1"/>
            <c:bubble3D val="0"/>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9161.31</c:v>
                </c:pt>
                <c:pt idx="1">
                  <c:v>1191.23</c:v>
                </c:pt>
              </c:numCache>
            </c:numRef>
          </c:val>
        </c:ser>
        <c:dLbls>
          <c:showLegendKey val="0"/>
          <c:showVal val="0"/>
          <c:showCatName val="0"/>
          <c:showSerName val="0"/>
          <c:showPercent val="1"/>
          <c:showBubbleSize val="0"/>
          <c:showLeaderLines val="1"/>
        </c:dLbls>
        <c:firstSliceAng val="15"/>
      </c:pieChart>
      <c:spPr>
        <a:noFill/>
        <a:ln w="25400">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invertIfNegative val="0"/>
          <c:dLbls>
            <c:delete val="1"/>
          </c:dLbls>
          <c:cat>
            <c:strRef>
              <c:f>Sheet1!$A$2:$A$3</c:f>
              <c:strCache>
                <c:ptCount val="2"/>
                <c:pt idx="0">
                  <c:v>2022年财政拨款收支</c:v>
                </c:pt>
                <c:pt idx="1">
                  <c:v>2023年财政拨款收支</c:v>
                </c:pt>
              </c:strCache>
            </c:strRef>
          </c:cat>
          <c:val>
            <c:numRef>
              <c:f>Sheet1!$B$2:$B$3</c:f>
              <c:numCache>
                <c:formatCode>General</c:formatCode>
                <c:ptCount val="2"/>
                <c:pt idx="0">
                  <c:v>7471.07</c:v>
                </c:pt>
                <c:pt idx="1">
                  <c:v>8979.98</c:v>
                </c:pt>
              </c:numCache>
            </c:numRef>
          </c:val>
        </c:ser>
        <c:ser>
          <c:idx val="1"/>
          <c:order val="1"/>
          <c:tx>
            <c:strRef>
              <c:f>Sheet1!$C$1</c:f>
              <c:strCache>
                <c:ptCount val="1"/>
                <c:pt idx="0">
                  <c:v>列1</c:v>
                </c:pt>
              </c:strCache>
            </c:strRef>
          </c:tx>
          <c:invertIfNegative val="0"/>
          <c:dLbls>
            <c:delete val="1"/>
          </c:dLbls>
          <c:cat>
            <c:strRef>
              <c:f>Sheet1!$A$2:$A$3</c:f>
              <c:strCache>
                <c:ptCount val="2"/>
                <c:pt idx="0">
                  <c:v>2022年财政拨款收支</c:v>
                </c:pt>
                <c:pt idx="1">
                  <c:v>2023年财政拨款收支</c:v>
                </c:pt>
              </c:strCache>
            </c:strRef>
          </c:cat>
          <c:val>
            <c:numRef>
              <c:f>Sheet1!$C$2:$C$3</c:f>
              <c:numCache>
                <c:formatCode>General</c:formatCode>
                <c:ptCount val="2"/>
              </c:numCache>
            </c:numRef>
          </c:val>
        </c:ser>
        <c:ser>
          <c:idx val="2"/>
          <c:order val="2"/>
          <c:tx>
            <c:strRef>
              <c:f>Sheet1!$D$1</c:f>
              <c:strCache>
                <c:ptCount val="1"/>
                <c:pt idx="0">
                  <c:v>列2</c:v>
                </c:pt>
              </c:strCache>
            </c:strRef>
          </c:tx>
          <c:invertIfNegative val="0"/>
          <c:dLbls>
            <c:delete val="1"/>
          </c:dLbls>
          <c:cat>
            <c:strRef>
              <c:f>Sheet1!$A$2:$A$3</c:f>
              <c:strCache>
                <c:ptCount val="2"/>
                <c:pt idx="0">
                  <c:v>2022年财政拨款收支</c:v>
                </c:pt>
                <c:pt idx="1">
                  <c:v>2023年财政拨款收支</c:v>
                </c:pt>
              </c:strCache>
            </c:strRef>
          </c:cat>
          <c:val>
            <c:numRef>
              <c:f>Sheet1!$D$2:$D$3</c:f>
              <c:numCache>
                <c:formatCode>General</c:formatCode>
                <c:ptCount val="2"/>
              </c:numCache>
            </c:numRef>
          </c:val>
        </c:ser>
        <c:dLbls>
          <c:showLegendKey val="0"/>
          <c:showVal val="0"/>
          <c:showCatName val="0"/>
          <c:showSerName val="0"/>
          <c:showPercent val="0"/>
          <c:showBubbleSize val="0"/>
        </c:dLbls>
        <c:gapWidth val="180"/>
        <c:axId val="78497664"/>
        <c:axId val="80424960"/>
      </c:barChart>
      <c:catAx>
        <c:axId val="784976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424960"/>
        <c:crosses val="autoZero"/>
        <c:auto val="1"/>
        <c:lblAlgn val="ctr"/>
        <c:lblOffset val="100"/>
        <c:noMultiLvlLbl val="0"/>
      </c:catAx>
      <c:valAx>
        <c:axId val="80424960"/>
        <c:scaling>
          <c:orientation val="minMax"/>
          <c:min val="1000"/>
        </c:scaling>
        <c:delete val="0"/>
        <c:axPos val="l"/>
        <c:majorGridlines>
          <c:spPr>
            <a:ln w="9525" cap="flat" cmpd="sng" algn="ct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olid"/>
              <a:round/>
            </a:ln>
          </c:spPr>
        </c:majorGridlines>
        <c:min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497664"/>
        <c:crosses val="autoZero"/>
        <c:crossBetween val="between"/>
        <c:majorUnit val="500"/>
        <c:minorUnit val="200"/>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系列 1</c:v>
                </c:pt>
              </c:strCache>
            </c:strRef>
          </c:tx>
          <c:spPr>
            <a:blipFill>
              <a:blip xmlns:r="http://schemas.openxmlformats.org/officeDocument/2006/relationships" r:embed="rId2"/>
              <a:tile tx="0" ty="0" sx="100000" sy="100000" flip="none" algn="tl"/>
            </a:blipFill>
          </c:spPr>
          <c:invertIfNegative val="0"/>
          <c:dLbls>
            <c:delete val="1"/>
          </c:dLbls>
          <c:cat>
            <c:strRef>
              <c:f>Sheet1!$A$2:$A$3</c:f>
              <c:strCache>
                <c:ptCount val="2"/>
                <c:pt idx="0">
                  <c:v>2022年一般公共预算财政拨款支出</c:v>
                </c:pt>
                <c:pt idx="1">
                  <c:v>2023年一般公共预算财政拨款支出</c:v>
                </c:pt>
              </c:strCache>
            </c:strRef>
          </c:cat>
          <c:val>
            <c:numRef>
              <c:f>Sheet1!$B$2:$B$3</c:f>
              <c:numCache>
                <c:formatCode>General</c:formatCode>
                <c:ptCount val="2"/>
                <c:pt idx="0">
                  <c:v>7473.84</c:v>
                </c:pt>
                <c:pt idx="1">
                  <c:v>8967.49</c:v>
                </c:pt>
              </c:numCache>
            </c:numRef>
          </c:val>
        </c:ser>
        <c:dLbls>
          <c:showLegendKey val="0"/>
          <c:showVal val="0"/>
          <c:showCatName val="0"/>
          <c:showSerName val="0"/>
          <c:showPercent val="0"/>
          <c:showBubbleSize val="0"/>
        </c:dLbls>
        <c:gapWidth val="150"/>
        <c:overlap val="100"/>
        <c:axId val="80647296"/>
        <c:axId val="80648832"/>
      </c:barChart>
      <c:catAx>
        <c:axId val="806472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648832"/>
        <c:crosses val="autoZero"/>
        <c:auto val="1"/>
        <c:lblAlgn val="ctr"/>
        <c:lblOffset val="100"/>
        <c:noMultiLvlLbl val="0"/>
      </c:catAx>
      <c:valAx>
        <c:axId val="80648832"/>
        <c:scaling>
          <c:orientation val="minMax"/>
          <c:min val="500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6472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75"/>
      <c:rotY val="15"/>
      <c:depthPercent val="100"/>
      <c:rAngAx val="0"/>
      <c:perspective val="30"/>
    </c:view3D>
    <c:floor>
      <c:thickness val="0"/>
    </c:floor>
    <c:sideWall>
      <c:thickness val="0"/>
      <c:spPr>
        <a:noFill/>
        <a:ln>
          <a:noFill/>
        </a:ln>
        <a:effectLst/>
      </c:spPr>
    </c:sideWall>
    <c:backWall>
      <c:thickness val="0"/>
      <c:spPr>
        <a:noFill/>
        <a:ln>
          <a:noFill/>
        </a:ln>
        <a:effectLst/>
      </c:spPr>
    </c:backWall>
    <c:plotArea>
      <c:layout>
        <c:manualLayout>
          <c:layoutTarget val="inner"/>
          <c:xMode val="edge"/>
          <c:yMode val="edge"/>
          <c:x val="0.0385263664820612"/>
          <c:y val="0.179153766769866"/>
          <c:w val="0.67497113366488"/>
          <c:h val="0.775438596491228"/>
        </c:manualLayout>
      </c:layout>
      <c:pie3DChart>
        <c:varyColors val="1"/>
        <c:ser>
          <c:idx val="0"/>
          <c:order val="0"/>
          <c:tx>
            <c:strRef>
              <c:f>Sheet1!$B$1</c:f>
              <c:strCache>
                <c:ptCount val="1"/>
                <c:pt idx="0">
                  <c:v>一般公共预算财政拨款支出结构情况</c:v>
                </c:pt>
              </c:strCache>
            </c:strRef>
          </c:tx>
          <c:explosion val="25"/>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教育支出</c:v>
                </c:pt>
                <c:pt idx="1">
                  <c:v>社会保障和就业支出</c:v>
                </c:pt>
                <c:pt idx="2">
                  <c:v>住房保障支出</c:v>
                </c:pt>
              </c:strCache>
            </c:strRef>
          </c:cat>
          <c:val>
            <c:numRef>
              <c:f>Sheet1!$B$2:$B$4</c:f>
              <c:numCache>
                <c:formatCode>General</c:formatCode>
                <c:ptCount val="3"/>
                <c:pt idx="0">
                  <c:v>7147.92</c:v>
                </c:pt>
                <c:pt idx="1">
                  <c:v>1194.77</c:v>
                </c:pt>
                <c:pt idx="2">
                  <c:v>624.8</c:v>
                </c:pt>
              </c:numCache>
            </c:numRef>
          </c:val>
        </c:ser>
        <c:ser>
          <c:idx val="1"/>
          <c:order val="1"/>
          <c:tx>
            <c:strRef>
              <c:f>Sheet1!$C$1</c:f>
              <c:strCache>
                <c:ptCount val="1"/>
                <c:pt idx="0">
                  <c:v>列1</c:v>
                </c:pt>
              </c:strCache>
            </c:strRef>
          </c:tx>
          <c:explosion val="25"/>
          <c:dPt>
            <c:idx val="0"/>
            <c:bubble3D val="0"/>
          </c:dPt>
          <c:dPt>
            <c:idx val="1"/>
            <c:bubble3D val="0"/>
          </c:dPt>
          <c:dPt>
            <c:idx val="2"/>
            <c:bubble3D val="0"/>
          </c:dPt>
          <c:dLbls>
            <c:delete val="1"/>
          </c:dLbls>
          <c:cat>
            <c:strRef>
              <c:f>Sheet1!$A$2:$A$4</c:f>
              <c:strCache>
                <c:ptCount val="3"/>
                <c:pt idx="0">
                  <c:v>教育支出</c:v>
                </c:pt>
                <c:pt idx="1">
                  <c:v>社会保障和就业支出</c:v>
                </c:pt>
                <c:pt idx="2">
                  <c:v>住房保障支出</c:v>
                </c:pt>
              </c:strCache>
            </c:strRef>
          </c:cat>
          <c:val>
            <c:numRef>
              <c:f>Sheet1!$C$2:$C$4</c:f>
              <c:numCache>
                <c:formatCode>0.00%</c:formatCode>
                <c:ptCount val="3"/>
                <c:pt idx="0">
                  <c:v>0.7971</c:v>
                </c:pt>
                <c:pt idx="1">
                  <c:v>0.1332</c:v>
                </c:pt>
                <c:pt idx="2">
                  <c:v>0.069</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75"/>
      <c:rotY val="15"/>
      <c:depthPercent val="100"/>
      <c:rAngAx val="0"/>
      <c:perspective val="3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“三公”经费财政拨款决算具体情况</c:v>
                </c:pt>
              </c:strCache>
            </c:strRef>
          </c:tx>
          <c:explosion val="0"/>
          <c:dPt>
            <c:idx val="0"/>
            <c:bubble3D val="0"/>
          </c:dPt>
          <c:dPt>
            <c:idx val="1"/>
            <c:bubble3D val="0"/>
          </c:dPt>
          <c:dPt>
            <c:idx val="2"/>
            <c:bubble3D val="0"/>
          </c:dPt>
          <c:dLbls>
            <c:delete val="1"/>
          </c:dLbls>
          <c:cat>
            <c:strRef>
              <c:f>Sheet1!$A$2:$A$4</c:f>
              <c:strCache>
                <c:ptCount val="3"/>
                <c:pt idx="0">
                  <c:v>因公出国（境）费用</c:v>
                </c:pt>
                <c:pt idx="1">
                  <c:v>公务用车购置及运行维护费</c:v>
                </c:pt>
                <c:pt idx="2">
                  <c:v>公务接待费支出</c:v>
                </c:pt>
              </c:strCache>
            </c:strRef>
          </c:cat>
          <c:val>
            <c:numRef>
              <c:f>Sheet1!$B$2:$B$4</c:f>
              <c:numCache>
                <c:formatCode>General</c:formatCode>
                <c:ptCount val="3"/>
                <c:pt idx="0">
                  <c:v>33.33</c:v>
                </c:pt>
                <c:pt idx="1">
                  <c:v>33.33</c:v>
                </c:pt>
                <c:pt idx="2">
                  <c:v>33.33</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4969</Words>
  <Characters>5767</Characters>
  <Lines>43</Lines>
  <Paragraphs>12</Paragraphs>
  <TotalTime>83</TotalTime>
  <ScaleCrop>false</ScaleCrop>
  <LinksUpToDate>false</LinksUpToDate>
  <CharactersWithSpaces>5843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2024-09-10T07:16:00Z</dcterms:created>
  <dc:creator>曹颖</dc:creator>
  <cp:lastModifiedBy>灯</cp:lastModifiedBy>
  <cp:lastPrinted>2023-07-31T18:35:00Z</cp:lastPrinted>
  <dcterms:modified xsi:type="dcterms:W3CDTF">2025-12-31T08:52:37Z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BEBAC720C66643DFB4BEA244ABEE8B19_12</vt:lpwstr>
  </property>
</Properties>
</file>