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eastAsia" w:ascii="Times New Roman" w:hAnsi="Times New Roman" w:eastAsia="方正小标宋简体" w:cs="Times New Roman"/>
          <w:color w:val="auto"/>
          <w:kern w:val="2"/>
          <w:sz w:val="72"/>
          <w:szCs w:val="72"/>
          <w:highlight w:val="none"/>
          <w:lang w:val="en-US" w:eastAsia="zh-CN" w:bidi="ar-SA"/>
        </w:rPr>
      </w:pPr>
      <w:bookmarkStart w:id="0" w:name="_Toc15377425"/>
      <w:bookmarkStart w:id="1" w:name="_Toc15396475"/>
      <w:bookmarkStart w:id="2" w:name="_Toc15378441"/>
      <w:bookmarkStart w:id="3" w:name="_Toc15306267"/>
      <w:bookmarkStart w:id="4" w:name="_Toc15377193"/>
      <w:bookmarkStart w:id="5" w:name="_Toc15396597"/>
    </w:p>
    <w:p>
      <w:pPr>
        <w:pStyle w:val="8"/>
        <w:rPr>
          <w:rFonts w:hint="eastAsia" w:ascii="Times New Roman" w:hAnsi="Times New Roman" w:eastAsia="方正小标宋简体" w:cs="Times New Roman"/>
          <w:color w:val="auto"/>
          <w:kern w:val="2"/>
          <w:sz w:val="72"/>
          <w:szCs w:val="72"/>
          <w:highlight w:val="none"/>
          <w:lang w:val="en-US" w:eastAsia="zh-CN" w:bidi="ar-SA"/>
        </w:rPr>
      </w:pPr>
    </w:p>
    <w:p>
      <w:pPr>
        <w:pStyle w:val="8"/>
        <w:rPr>
          <w:rFonts w:hint="eastAsia" w:ascii="Times New Roman" w:hAnsi="Times New Roman" w:eastAsia="方正小标宋简体" w:cs="Times New Roman"/>
          <w:color w:val="auto"/>
          <w:kern w:val="2"/>
          <w:sz w:val="72"/>
          <w:szCs w:val="72"/>
          <w:highlight w:val="none"/>
          <w:lang w:val="en-US" w:eastAsia="zh-CN" w:bidi="ar-SA"/>
        </w:rPr>
      </w:pPr>
    </w:p>
    <w:p>
      <w:pPr>
        <w:adjustRightInd w:val="0"/>
        <w:snapToGrid w:val="0"/>
        <w:spacing w:line="360" w:lineRule="auto"/>
        <w:jc w:val="center"/>
        <w:outlineLvl w:val="0"/>
        <w:rPr>
          <w:rFonts w:hint="eastAsia"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2024年度四川省攀枝花市</w:t>
      </w:r>
    </w:p>
    <w:p>
      <w:pPr>
        <w:adjustRightInd w:val="0"/>
        <w:snapToGrid w:val="0"/>
        <w:spacing w:line="360" w:lineRule="auto"/>
        <w:jc w:val="center"/>
        <w:outlineLvl w:val="0"/>
        <w:rPr>
          <w:rFonts w:hint="eastAsia"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教育和体育局部门决算</w:t>
      </w:r>
    </w:p>
    <w:p>
      <w:pPr>
        <w:pStyle w:val="19"/>
        <w:rPr>
          <w:rFonts w:ascii="Times New Roman" w:hAnsi="Times New Roman"/>
        </w:rPr>
        <w:sectPr>
          <w:footerReference r:id="rId5" w:type="first"/>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p>
    <w:bookmarkEnd w:id="0"/>
    <w:bookmarkEnd w:id="1"/>
    <w:bookmarkEnd w:id="2"/>
    <w:bookmarkEnd w:id="3"/>
    <w:bookmarkEnd w:id="4"/>
    <w:bookmarkEnd w:id="5"/>
    <w:p>
      <w:pPr>
        <w:widowControl/>
        <w:ind w:firstLine="3840" w:firstLineChars="800"/>
        <w:jc w:val="both"/>
        <w:rPr>
          <w:rFonts w:ascii="Times New Roman" w:hAnsi="Times New Roman" w:eastAsia="黑体"/>
          <w:color w:val="auto"/>
          <w:sz w:val="48"/>
          <w:szCs w:val="48"/>
          <w:highlight w:val="none"/>
        </w:rPr>
      </w:pPr>
      <w:r>
        <w:rPr>
          <w:rFonts w:hint="eastAsia" w:ascii="Times New Roman" w:hAnsi="Times New Roman" w:eastAsia="黑体"/>
          <w:color w:val="auto"/>
          <w:sz w:val="48"/>
          <w:szCs w:val="48"/>
          <w:highlight w:val="none"/>
        </w:rPr>
        <w:t>目录</w:t>
      </w:r>
    </w:p>
    <w:p>
      <w:pPr>
        <w:widowControl/>
        <w:jc w:val="center"/>
        <w:rPr>
          <w:rFonts w:ascii="Times New Roman" w:hAnsi="Times New Roman" w:eastAsia="黑体" w:cstheme="minorBidi"/>
          <w:color w:val="auto"/>
          <w:sz w:val="28"/>
          <w:szCs w:val="28"/>
          <w:highlight w:val="none"/>
        </w:rPr>
      </w:pPr>
    </w:p>
    <w:p>
      <w:pPr>
        <w:pStyle w:val="13"/>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 xml:space="preserve"> 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 xml:space="preserve">16 </w:t>
      </w:r>
      <w:r>
        <w:rPr>
          <w:rFonts w:hint="eastAsia" w:ascii="Times New Roman" w:hAnsi="Times New Roman" w:eastAsia="仿宋_GB2312" w:cs="仿宋_GB2312"/>
          <w:color w:val="auto"/>
          <w:sz w:val="32"/>
          <w:szCs w:val="32"/>
          <w:highlight w:val="none"/>
        </w:rPr>
        <w:t>日</w:t>
      </w:r>
    </w:p>
    <w:p>
      <w:pPr>
        <w:rPr>
          <w:rFonts w:ascii="Times New Roman" w:hAnsi="Times New Roman"/>
          <w:color w:val="auto"/>
          <w:highlight w:val="none"/>
        </w:rPr>
      </w:pP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bookmarkStart w:id="6" w:name="_Toc15396599"/>
      <w:bookmarkStart w:id="7" w:name="_Toc15377196"/>
      <w:r>
        <w:rPr>
          <w:rFonts w:hint="eastAsia" w:ascii="Times New Roman" w:hAnsi="Times New Roman" w:eastAsia="黑体" w:cs="黑体"/>
          <w:color w:val="auto"/>
          <w:sz w:val="32"/>
          <w:szCs w:val="32"/>
          <w:highlight w:val="none"/>
        </w:rPr>
        <w:t xml:space="preserve">第一部分 </w:t>
      </w:r>
      <w:r>
        <w:rPr>
          <w:rFonts w:hint="eastAsia" w:ascii="Times New Roman" w:hAnsi="Times New Roman" w:eastAsia="黑体" w:cs="黑体"/>
          <w:color w:val="auto"/>
          <w:sz w:val="32"/>
          <w:szCs w:val="32"/>
          <w:highlight w:val="none"/>
          <w:lang w:eastAsia="zh-CN"/>
        </w:rPr>
        <w:t>单位</w:t>
      </w:r>
      <w:r>
        <w:rPr>
          <w:rFonts w:hint="eastAsia" w:ascii="Times New Roman" w:hAnsi="Times New Roman" w:eastAsia="黑体" w:cs="黑体"/>
          <w:color w:val="auto"/>
          <w:sz w:val="32"/>
          <w:szCs w:val="32"/>
          <w:highlight w:val="none"/>
        </w:rPr>
        <w:t>概况</w:t>
      </w:r>
      <w:r>
        <w:rPr>
          <w:rFonts w:cstheme="minorBidi"/>
          <w:sz w:val="24"/>
          <w:szCs w:val="24"/>
        </w:rPr>
        <w:tab/>
      </w:r>
      <w:r>
        <w:rPr>
          <w:rFonts w:hint="eastAsia" w:cstheme="minorBidi"/>
          <w:sz w:val="24"/>
          <w:szCs w:val="24"/>
          <w:lang w:val="en-US" w:eastAsia="zh-CN"/>
        </w:rPr>
        <w:t>4</w:t>
      </w:r>
    </w:p>
    <w:p>
      <w:pPr>
        <w:pStyle w:val="14"/>
        <w:adjustRightInd w:val="0"/>
        <w:snapToGrid w:val="0"/>
        <w:spacing w:line="440" w:lineRule="exact"/>
        <w:ind w:left="0" w:leftChars="0" w:firstLine="640" w:firstLineChars="200"/>
        <w:jc w:val="left"/>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w:t>
      </w:r>
      <w:r>
        <w:rPr>
          <w:rFonts w:hint="eastAsia" w:eastAsia="仿宋_GB2312" w:cs="仿宋_GB2312"/>
          <w:color w:val="auto"/>
          <w:sz w:val="32"/>
          <w:szCs w:val="32"/>
          <w:highlight w:val="none"/>
          <w:lang w:eastAsia="zh-CN"/>
        </w:rPr>
        <w:t>主要</w:t>
      </w:r>
      <w:r>
        <w:rPr>
          <w:rFonts w:hint="eastAsia" w:ascii="Times New Roman" w:hAnsi="Times New Roman" w:eastAsia="仿宋_GB2312" w:cs="仿宋_GB2312"/>
          <w:color w:val="auto"/>
          <w:sz w:val="32"/>
          <w:szCs w:val="32"/>
          <w:highlight w:val="none"/>
          <w:lang w:eastAsia="zh-CN"/>
        </w:rPr>
        <w:t>职责</w:t>
      </w:r>
      <w:r>
        <w:rPr>
          <w:rFonts w:cstheme="minorBidi"/>
          <w:sz w:val="24"/>
        </w:rPr>
        <w:tab/>
      </w:r>
      <w:r>
        <w:rPr>
          <w:rFonts w:hint="eastAsia" w:cstheme="minorBidi"/>
          <w:sz w:val="24"/>
          <w:lang w:val="en-US" w:eastAsia="zh-CN"/>
        </w:rPr>
        <w:t>4</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二、机构设置</w:t>
      </w:r>
      <w:r>
        <w:rPr>
          <w:rFonts w:cstheme="minorBidi"/>
          <w:sz w:val="24"/>
          <w:szCs w:val="24"/>
        </w:rPr>
        <w:tab/>
      </w:r>
      <w:r>
        <w:rPr>
          <w:rFonts w:hint="eastAsia" w:cstheme="minorBidi"/>
          <w:sz w:val="24"/>
          <w:szCs w:val="24"/>
          <w:lang w:val="en-US" w:eastAsia="zh-CN"/>
        </w:rPr>
        <w:t>7</w:t>
      </w: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第二部分</w:t>
      </w:r>
      <w:r>
        <w:rPr>
          <w:rFonts w:hint="eastAsia" w:ascii="Times New Roman" w:hAnsi="Times New Roman" w:eastAsia="黑体" w:cs="黑体"/>
          <w:color w:val="auto"/>
          <w:sz w:val="32"/>
          <w:szCs w:val="32"/>
          <w:highlight w:val="none"/>
          <w:lang w:val="en-US" w:eastAsia="zh-CN"/>
        </w:rPr>
        <w:t xml:space="preserve"> 2024年度单位</w:t>
      </w:r>
      <w:r>
        <w:rPr>
          <w:rFonts w:hint="eastAsia" w:ascii="Times New Roman" w:hAnsi="Times New Roman" w:eastAsia="黑体" w:cs="黑体"/>
          <w:color w:val="auto"/>
          <w:sz w:val="32"/>
          <w:szCs w:val="32"/>
          <w:highlight w:val="none"/>
        </w:rPr>
        <w:t>决算情况说明</w:t>
      </w:r>
      <w:r>
        <w:rPr>
          <w:rFonts w:cstheme="minorBidi"/>
          <w:sz w:val="24"/>
          <w:szCs w:val="24"/>
        </w:rPr>
        <w:tab/>
      </w:r>
      <w:r>
        <w:rPr>
          <w:rFonts w:hint="eastAsia" w:cstheme="minorBidi"/>
          <w:sz w:val="24"/>
          <w:szCs w:val="24"/>
          <w:lang w:val="en-US" w:eastAsia="zh-CN"/>
        </w:rPr>
        <w:t>8</w:t>
      </w:r>
    </w:p>
    <w:p>
      <w:pPr>
        <w:pStyle w:val="13"/>
        <w:adjustRightInd w:val="0"/>
        <w:snapToGrid w:val="0"/>
        <w:spacing w:before="0" w:line="440" w:lineRule="exact"/>
        <w:ind w:firstLine="640" w:firstLineChars="20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仿宋_GB2312" w:cs="仿宋_GB2312"/>
          <w:color w:val="auto"/>
          <w:sz w:val="32"/>
          <w:szCs w:val="32"/>
          <w:highlight w:val="none"/>
        </w:rPr>
        <w:t>一、收入支出决算总体情况说明</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t>8</w:t>
      </w:r>
    </w:p>
    <w:p>
      <w:pPr>
        <w:pStyle w:val="14"/>
        <w:adjustRightInd w:val="0"/>
        <w:snapToGrid w:val="0"/>
        <w:spacing w:line="440" w:lineRule="exact"/>
        <w:ind w:firstLine="320" w:firstLineChars="100"/>
        <w:jc w:val="left"/>
        <w:rPr>
          <w:rFonts w:hint="eastAsia" w:ascii="仿宋" w:hAnsi="仿宋" w:eastAsia="宋体" w:cstheme="minorBidi"/>
          <w:sz w:val="24"/>
          <w:lang w:val="en-US" w:eastAsia="zh-CN"/>
        </w:rPr>
      </w:pPr>
      <w:r>
        <w:rPr>
          <w:rFonts w:hint="eastAsia" w:ascii="Times New Roman" w:hAnsi="Times New Roman" w:eastAsia="仿宋_GB2312" w:cs="仿宋_GB2312"/>
          <w:color w:val="auto"/>
          <w:kern w:val="2"/>
          <w:sz w:val="32"/>
          <w:szCs w:val="32"/>
          <w:highlight w:val="none"/>
          <w:lang w:val="en-US" w:eastAsia="zh-CN" w:bidi="ar-SA"/>
        </w:rPr>
        <w:t>二、收入决算情况说明</w:t>
      </w:r>
      <w:r>
        <w:rPr>
          <w:rFonts w:cstheme="minorBidi"/>
          <w:sz w:val="24"/>
          <w:szCs w:val="24"/>
        </w:rPr>
        <w:tab/>
      </w:r>
      <w:r>
        <w:rPr>
          <w:rFonts w:hint="eastAsia" w:cstheme="minorBidi"/>
          <w:sz w:val="24"/>
          <w:szCs w:val="24"/>
          <w:lang w:val="en-US" w:eastAsia="zh-CN"/>
        </w:rPr>
        <w:t>8</w:t>
      </w:r>
    </w:p>
    <w:p>
      <w:pPr>
        <w:pStyle w:val="14"/>
        <w:adjustRightInd w:val="0"/>
        <w:snapToGrid w:val="0"/>
        <w:spacing w:line="440" w:lineRule="exact"/>
        <w:ind w:firstLine="320" w:firstLineChars="100"/>
        <w:jc w:val="left"/>
        <w:rPr>
          <w:rFonts w:hint="eastAsia" w:ascii="仿宋" w:hAnsi="仿宋" w:eastAsia="宋体" w:cstheme="minorBidi"/>
          <w:sz w:val="24"/>
          <w:lang w:val="en-US" w:eastAsia="zh-CN"/>
        </w:rPr>
      </w:pPr>
      <w:r>
        <w:rPr>
          <w:rFonts w:hint="eastAsia" w:ascii="Times New Roman" w:hAnsi="Times New Roman" w:eastAsia="仿宋_GB2312" w:cs="仿宋_GB2312"/>
          <w:color w:val="auto"/>
          <w:kern w:val="2"/>
          <w:sz w:val="32"/>
          <w:szCs w:val="32"/>
          <w:highlight w:val="none"/>
          <w:lang w:val="en-US" w:eastAsia="zh-CN" w:bidi="ar-SA"/>
        </w:rPr>
        <w:t>三、支出决算情况说明</w:t>
      </w:r>
      <w:r>
        <w:rPr>
          <w:rFonts w:cstheme="minorBidi"/>
          <w:sz w:val="24"/>
          <w:szCs w:val="24"/>
        </w:rPr>
        <w:tab/>
      </w:r>
      <w:r>
        <w:rPr>
          <w:rFonts w:hint="eastAsia" w:cstheme="minorBidi"/>
          <w:sz w:val="24"/>
          <w:szCs w:val="24"/>
          <w:lang w:val="en-US" w:eastAsia="zh-CN"/>
        </w:rPr>
        <w:t>9</w:t>
      </w:r>
    </w:p>
    <w:p>
      <w:pPr>
        <w:pStyle w:val="14"/>
        <w:adjustRightInd w:val="0"/>
        <w:snapToGrid w:val="0"/>
        <w:spacing w:line="440" w:lineRule="exact"/>
        <w:ind w:firstLine="320" w:firstLineChars="100"/>
        <w:jc w:val="left"/>
        <w:rPr>
          <w:rFonts w:hint="default" w:ascii="仿宋" w:hAnsi="仿宋" w:eastAsia="宋体" w:cstheme="minorBidi"/>
          <w:sz w:val="24"/>
          <w:lang w:val="en-US" w:eastAsia="zh-CN"/>
        </w:rPr>
      </w:pPr>
      <w:r>
        <w:rPr>
          <w:rFonts w:hint="eastAsia" w:ascii="Times New Roman" w:hAnsi="Times New Roman" w:eastAsia="仿宋_GB2312" w:cs="仿宋_GB2312"/>
          <w:color w:val="auto"/>
          <w:kern w:val="2"/>
          <w:sz w:val="32"/>
          <w:szCs w:val="32"/>
          <w:highlight w:val="none"/>
          <w:lang w:val="en-US" w:eastAsia="zh-CN" w:bidi="ar-SA"/>
        </w:rPr>
        <w:t>四、财政拨款收入支出决算总体情况说明</w:t>
      </w:r>
      <w:r>
        <w:rPr>
          <w:rFonts w:cstheme="minorBidi"/>
          <w:sz w:val="24"/>
          <w:szCs w:val="24"/>
        </w:rPr>
        <w:tab/>
      </w:r>
      <w:r>
        <w:rPr>
          <w:rFonts w:hint="eastAsia" w:cstheme="minorBidi"/>
          <w:sz w:val="24"/>
          <w:szCs w:val="24"/>
          <w:lang w:val="en-US" w:eastAsia="zh-CN"/>
        </w:rPr>
        <w:t>10</w:t>
      </w:r>
    </w:p>
    <w:p>
      <w:pPr>
        <w:pStyle w:val="14"/>
        <w:adjustRightInd w:val="0"/>
        <w:snapToGrid w:val="0"/>
        <w:spacing w:line="440" w:lineRule="exact"/>
        <w:ind w:firstLine="320" w:firstLineChars="100"/>
        <w:jc w:val="left"/>
        <w:rPr>
          <w:rFonts w:hint="default" w:ascii="仿宋" w:hAnsi="仿宋" w:eastAsia="宋体" w:cstheme="minorBidi"/>
          <w:sz w:val="24"/>
          <w:lang w:val="en-US" w:eastAsia="zh-CN"/>
        </w:rPr>
      </w:pPr>
      <w:r>
        <w:rPr>
          <w:rFonts w:hint="eastAsia" w:ascii="Times New Roman" w:hAnsi="Times New Roman" w:eastAsia="仿宋_GB2312" w:cs="仿宋_GB2312"/>
          <w:color w:val="auto"/>
          <w:kern w:val="2"/>
          <w:sz w:val="32"/>
          <w:szCs w:val="32"/>
          <w:highlight w:val="none"/>
          <w:lang w:val="en-US" w:eastAsia="zh-CN" w:bidi="ar-SA"/>
        </w:rPr>
        <w:t>五、一般公共预算财政拨款支出决算情况说明</w:t>
      </w:r>
      <w:r>
        <w:rPr>
          <w:rFonts w:cstheme="minorBidi"/>
          <w:sz w:val="24"/>
          <w:szCs w:val="24"/>
        </w:rPr>
        <w:tab/>
      </w:r>
      <w:r>
        <w:rPr>
          <w:rFonts w:hint="eastAsia" w:cstheme="minorBidi"/>
          <w:sz w:val="24"/>
          <w:szCs w:val="24"/>
          <w:lang w:val="en-US" w:eastAsia="zh-CN"/>
        </w:rPr>
        <w:t>11</w:t>
      </w:r>
    </w:p>
    <w:p>
      <w:pPr>
        <w:pStyle w:val="14"/>
        <w:adjustRightInd w:val="0"/>
        <w:snapToGrid w:val="0"/>
        <w:spacing w:line="440" w:lineRule="exact"/>
        <w:ind w:firstLine="320" w:firstLineChars="100"/>
        <w:jc w:val="left"/>
        <w:rPr>
          <w:rFonts w:hint="default" w:ascii="仿宋" w:hAnsi="仿宋" w:eastAsia="宋体" w:cstheme="minorBidi"/>
          <w:sz w:val="24"/>
          <w:lang w:val="en-US" w:eastAsia="zh-CN"/>
        </w:rPr>
      </w:pPr>
      <w:r>
        <w:rPr>
          <w:rFonts w:hint="eastAsia" w:ascii="Times New Roman" w:hAnsi="Times New Roman" w:eastAsia="仿宋_GB2312" w:cs="仿宋_GB2312"/>
          <w:color w:val="auto"/>
          <w:kern w:val="2"/>
          <w:sz w:val="32"/>
          <w:szCs w:val="32"/>
          <w:highlight w:val="none"/>
          <w:lang w:val="en-US" w:eastAsia="zh-CN" w:bidi="ar-SA"/>
        </w:rPr>
        <w:t>六、一般公共预算财政拨款基本支出决算情况说明</w:t>
      </w:r>
      <w:r>
        <w:rPr>
          <w:rFonts w:cstheme="minorBidi"/>
          <w:sz w:val="24"/>
          <w:szCs w:val="24"/>
        </w:rPr>
        <w:tab/>
      </w:r>
      <w:r>
        <w:rPr>
          <w:rFonts w:hint="eastAsia" w:cstheme="minorBidi"/>
          <w:sz w:val="24"/>
          <w:szCs w:val="24"/>
          <w:lang w:val="en-US" w:eastAsia="zh-CN"/>
        </w:rPr>
        <w:t>15</w:t>
      </w:r>
    </w:p>
    <w:p>
      <w:pPr>
        <w:pStyle w:val="14"/>
        <w:adjustRightInd w:val="0"/>
        <w:snapToGrid w:val="0"/>
        <w:spacing w:line="440" w:lineRule="exact"/>
        <w:ind w:firstLine="320" w:firstLineChars="100"/>
        <w:jc w:val="left"/>
        <w:rPr>
          <w:rFonts w:hint="default" w:ascii="仿宋" w:hAnsi="仿宋" w:eastAsia="宋体" w:cstheme="minorBidi"/>
          <w:sz w:val="24"/>
          <w:lang w:val="en-US" w:eastAsia="zh-CN"/>
        </w:rPr>
      </w:pPr>
      <w:r>
        <w:rPr>
          <w:rFonts w:hint="eastAsia" w:ascii="Times New Roman" w:hAnsi="Times New Roman" w:eastAsia="仿宋_GB2312" w:cs="仿宋_GB2312"/>
          <w:color w:val="auto"/>
          <w:kern w:val="2"/>
          <w:sz w:val="32"/>
          <w:szCs w:val="32"/>
          <w:highlight w:val="none"/>
          <w:lang w:val="en-US" w:eastAsia="zh-CN" w:bidi="ar-SA"/>
        </w:rPr>
        <w:t>七、财政拨款“三公”经费支出决算情况说明</w:t>
      </w:r>
      <w:r>
        <w:rPr>
          <w:rFonts w:cstheme="minorBidi"/>
          <w:sz w:val="24"/>
          <w:szCs w:val="24"/>
        </w:rPr>
        <w:tab/>
      </w:r>
      <w:r>
        <w:rPr>
          <w:rFonts w:hint="eastAsia" w:cstheme="minorBidi"/>
          <w:sz w:val="24"/>
          <w:szCs w:val="24"/>
          <w:lang w:val="en-US" w:eastAsia="zh-CN"/>
        </w:rPr>
        <w:t>16</w:t>
      </w:r>
    </w:p>
    <w:p>
      <w:pPr>
        <w:pStyle w:val="14"/>
        <w:adjustRightInd w:val="0"/>
        <w:snapToGrid w:val="0"/>
        <w:spacing w:line="440" w:lineRule="exact"/>
        <w:ind w:firstLine="320" w:firstLineChars="100"/>
        <w:jc w:val="left"/>
        <w:rPr>
          <w:rFonts w:hint="default" w:ascii="仿宋" w:hAnsi="仿宋" w:eastAsia="宋体" w:cstheme="minorBidi"/>
          <w:sz w:val="24"/>
          <w:lang w:val="en-US" w:eastAsia="zh-CN"/>
        </w:rPr>
      </w:pPr>
      <w:r>
        <w:rPr>
          <w:rFonts w:hint="eastAsia" w:ascii="Times New Roman" w:hAnsi="Times New Roman" w:eastAsia="仿宋_GB2312" w:cs="仿宋_GB2312"/>
          <w:color w:val="auto"/>
          <w:kern w:val="2"/>
          <w:sz w:val="32"/>
          <w:szCs w:val="32"/>
          <w:highlight w:val="none"/>
          <w:lang w:val="en-US" w:eastAsia="zh-CN" w:bidi="ar-SA"/>
        </w:rPr>
        <w:t>八、政府性基金预算支出决算情况说明</w:t>
      </w:r>
      <w:r>
        <w:rPr>
          <w:rFonts w:cstheme="minorBidi"/>
          <w:sz w:val="24"/>
          <w:szCs w:val="24"/>
        </w:rPr>
        <w:tab/>
      </w:r>
      <w:r>
        <w:rPr>
          <w:rFonts w:hint="eastAsia" w:cstheme="minorBidi"/>
          <w:sz w:val="24"/>
          <w:szCs w:val="24"/>
          <w:lang w:val="en-US" w:eastAsia="zh-CN"/>
        </w:rPr>
        <w:t>19</w:t>
      </w:r>
    </w:p>
    <w:p>
      <w:pPr>
        <w:pStyle w:val="14"/>
        <w:adjustRightInd w:val="0"/>
        <w:snapToGrid w:val="0"/>
        <w:spacing w:line="440" w:lineRule="exact"/>
        <w:ind w:firstLine="320" w:firstLineChars="100"/>
        <w:jc w:val="left"/>
        <w:rPr>
          <w:rFonts w:hint="default" w:eastAsia="宋体"/>
          <w:sz w:val="24"/>
          <w:lang w:val="en-US" w:eastAsia="zh-CN"/>
        </w:rPr>
      </w:pPr>
      <w:r>
        <w:rPr>
          <w:rFonts w:hint="eastAsia" w:ascii="Times New Roman" w:hAnsi="Times New Roman" w:eastAsia="仿宋_GB2312" w:cs="仿宋_GB2312"/>
          <w:color w:val="auto"/>
          <w:kern w:val="2"/>
          <w:sz w:val="32"/>
          <w:szCs w:val="32"/>
          <w:highlight w:val="none"/>
          <w:lang w:val="en-US" w:eastAsia="zh-CN" w:bidi="ar-SA"/>
        </w:rPr>
        <w:t>九、国有资本经营预算支出决算情况说明</w:t>
      </w:r>
      <w:r>
        <w:rPr>
          <w:rFonts w:cstheme="minorBidi"/>
          <w:sz w:val="24"/>
          <w:szCs w:val="24"/>
        </w:rPr>
        <w:tab/>
      </w:r>
      <w:r>
        <w:rPr>
          <w:rFonts w:hint="eastAsia" w:cstheme="minorBidi"/>
          <w:sz w:val="24"/>
          <w:szCs w:val="24"/>
          <w:lang w:val="en-US" w:eastAsia="zh-CN"/>
        </w:rPr>
        <w:t>20</w:t>
      </w:r>
    </w:p>
    <w:p>
      <w:pPr>
        <w:pStyle w:val="14"/>
        <w:adjustRightInd w:val="0"/>
        <w:snapToGrid w:val="0"/>
        <w:spacing w:line="440" w:lineRule="exact"/>
        <w:ind w:firstLine="320" w:firstLineChars="100"/>
        <w:jc w:val="left"/>
        <w:rPr>
          <w:rFonts w:hint="default" w:eastAsia="宋体"/>
          <w:sz w:val="24"/>
          <w:lang w:val="en-US" w:eastAsia="zh-CN"/>
        </w:rPr>
      </w:pPr>
      <w:r>
        <w:rPr>
          <w:rFonts w:hint="eastAsia" w:ascii="Times New Roman" w:hAnsi="Times New Roman" w:eastAsia="仿宋_GB2312" w:cs="仿宋_GB2312"/>
          <w:color w:val="auto"/>
          <w:kern w:val="2"/>
          <w:sz w:val="32"/>
          <w:szCs w:val="32"/>
          <w:highlight w:val="none"/>
          <w:lang w:val="en-US" w:eastAsia="zh-CN" w:bidi="ar-SA"/>
        </w:rPr>
        <w:t>十、其他重要事项的情况说明</w:t>
      </w:r>
      <w:r>
        <w:rPr>
          <w:rFonts w:cstheme="minorBidi"/>
          <w:sz w:val="24"/>
          <w:szCs w:val="24"/>
        </w:rPr>
        <w:tab/>
      </w:r>
      <w:r>
        <w:rPr>
          <w:rFonts w:hint="eastAsia" w:cstheme="minorBidi"/>
          <w:sz w:val="24"/>
          <w:szCs w:val="24"/>
          <w:lang w:val="en-US" w:eastAsia="zh-CN"/>
        </w:rPr>
        <w:t>20</w:t>
      </w: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rPr>
      </w:pPr>
      <w:r>
        <w:rPr>
          <w:rFonts w:hint="eastAsia" w:ascii="Times New Roman" w:hAnsi="Times New Roman" w:eastAsia="黑体" w:cs="黑体"/>
          <w:color w:val="auto"/>
          <w:sz w:val="32"/>
          <w:szCs w:val="32"/>
          <w:highlight w:val="none"/>
        </w:rPr>
        <w:t>第三部分 名词解释</w:t>
      </w:r>
      <w:r>
        <w:rPr>
          <w:rFonts w:cstheme="minorBidi"/>
          <w:sz w:val="24"/>
          <w:szCs w:val="24"/>
        </w:rPr>
        <w:tab/>
      </w:r>
      <w:r>
        <w:rPr>
          <w:rFonts w:hint="eastAsia" w:cstheme="minorBidi"/>
          <w:sz w:val="24"/>
          <w:szCs w:val="24"/>
          <w:lang w:val="en-US" w:eastAsia="zh-CN"/>
        </w:rPr>
        <w:t>23</w:t>
      </w:r>
    </w:p>
    <w:p>
      <w:pPr>
        <w:pStyle w:val="13"/>
        <w:adjustRightInd w:val="0"/>
        <w:snapToGrid w:val="0"/>
        <w:spacing w:before="0" w:line="440" w:lineRule="exact"/>
        <w:jc w:val="left"/>
        <w:rPr>
          <w:rFonts w:hint="default" w:ascii="Times New Roman" w:hAnsi="Times New Roman" w:eastAsia="黑体" w:cs="黑体"/>
          <w:color w:val="auto"/>
          <w:sz w:val="32"/>
          <w:szCs w:val="32"/>
          <w:highlight w:val="none"/>
          <w:lang w:val="en-US"/>
        </w:rPr>
      </w:pPr>
      <w:r>
        <w:rPr>
          <w:rFonts w:hint="eastAsia" w:ascii="Times New Roman" w:hAnsi="Times New Roman" w:eastAsia="黑体" w:cs="黑体"/>
          <w:color w:val="auto"/>
          <w:sz w:val="32"/>
          <w:szCs w:val="32"/>
          <w:highlight w:val="none"/>
        </w:rPr>
        <w:t>第四部分 附件</w:t>
      </w:r>
      <w:r>
        <w:rPr>
          <w:rFonts w:cstheme="minorBidi"/>
          <w:sz w:val="24"/>
          <w:szCs w:val="24"/>
        </w:rPr>
        <w:tab/>
      </w:r>
      <w:r>
        <w:rPr>
          <w:rFonts w:hint="eastAsia" w:cstheme="minorBidi"/>
          <w:sz w:val="24"/>
          <w:szCs w:val="24"/>
          <w:lang w:val="en-US" w:eastAsia="zh-CN"/>
        </w:rPr>
        <w:t>28</w:t>
      </w:r>
    </w:p>
    <w:p>
      <w:pPr>
        <w:pStyle w:val="13"/>
        <w:adjustRightInd w:val="0"/>
        <w:snapToGrid w:val="0"/>
        <w:spacing w:before="0" w:line="440" w:lineRule="exact"/>
        <w:jc w:val="left"/>
        <w:rPr>
          <w:rFonts w:hint="default" w:ascii="Times New Roman" w:hAnsi="Times New Roman" w:eastAsia="仿宋"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第五部分 附表</w:t>
      </w:r>
      <w:r>
        <w:rPr>
          <w:rFonts w:cstheme="minorBidi"/>
          <w:sz w:val="24"/>
          <w:szCs w:val="24"/>
        </w:rPr>
        <w:tab/>
      </w:r>
      <w:r>
        <w:rPr>
          <w:rFonts w:hint="eastAsia" w:cstheme="minorBidi"/>
          <w:sz w:val="24"/>
          <w:szCs w:val="24"/>
          <w:lang w:val="en-US" w:eastAsia="zh-CN"/>
        </w:rPr>
        <w:t>29</w:t>
      </w:r>
      <w:bookmarkStart w:id="65" w:name="_GoBack"/>
      <w:bookmarkEnd w:id="65"/>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二、收入决算表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三、支出决算表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四、财政拨款收入支出决算总表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五、财政拨款支出决算明细表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七、一般公共预算财政拨款支出决算明细表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八、一般公共预算财政拨款基本支出决算</w:t>
      </w:r>
      <w:r>
        <w:rPr>
          <w:rFonts w:hint="eastAsia" w:ascii="Times New Roman" w:hAnsi="Times New Roman" w:eastAsia="仿宋_GB2312" w:cs="仿宋_GB2312"/>
          <w:color w:val="auto"/>
          <w:sz w:val="32"/>
          <w:szCs w:val="32"/>
          <w:highlight w:val="none"/>
          <w:lang w:eastAsia="zh-CN"/>
        </w:rPr>
        <w:t>明细</w:t>
      </w:r>
      <w:r>
        <w:rPr>
          <w:rFonts w:hint="eastAsia" w:ascii="Times New Roman" w:hAnsi="Times New Roman" w:eastAsia="仿宋_GB2312" w:cs="仿宋_GB2312"/>
          <w:color w:val="auto"/>
          <w:sz w:val="32"/>
          <w:szCs w:val="32"/>
          <w:highlight w:val="none"/>
        </w:rPr>
        <w:t>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九、一般公共预算财政拨款项目支出决算表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十、政府性基金预算财政拨款收入支出决算表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十一、国有资本经营预算财政拨款收入支出决算表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十二、</w:t>
      </w:r>
      <w:r>
        <w:rPr>
          <w:rFonts w:hint="eastAsia" w:ascii="Times New Roman" w:hAnsi="Times New Roman" w:eastAsia="仿宋_GB2312" w:cs="仿宋_GB2312"/>
          <w:color w:val="auto"/>
          <w:sz w:val="32"/>
          <w:szCs w:val="32"/>
          <w:highlight w:val="none"/>
          <w:lang w:val="en-US" w:eastAsia="zh-CN"/>
        </w:rPr>
        <w:t>国有资本经营预算财政拨款支出决算表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十三、财政拨款“三公”经费支出决算表</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Times New Roman" w:hAnsi="Times New Roman" w:eastAsia="仿宋_GB2312" w:cs="仿宋_GB2312"/>
          <w:bCs/>
          <w:color w:val="auto"/>
          <w:kern w:val="44"/>
          <w:sz w:val="32"/>
          <w:szCs w:val="32"/>
          <w:highlight w:val="none"/>
        </w:rPr>
      </w:pPr>
      <w:r>
        <w:rPr>
          <w:rFonts w:hint="eastAsia" w:ascii="Times New Roman" w:hAnsi="Times New Roman" w:eastAsia="仿宋_GB2312" w:cs="仿宋_GB2312"/>
          <w:b/>
          <w:color w:val="auto"/>
          <w:sz w:val="32"/>
          <w:szCs w:val="32"/>
          <w:highlight w:val="none"/>
        </w:rPr>
        <w:br w:type="page"/>
      </w:r>
    </w:p>
    <w:p>
      <w:pPr>
        <w:pStyle w:val="5"/>
        <w:jc w:val="center"/>
        <w:rPr>
          <w:rFonts w:ascii="Times New Roman" w:hAnsi="Times New Roman" w:eastAsia="黑体"/>
          <w:color w:val="auto"/>
          <w:sz w:val="32"/>
          <w:szCs w:val="32"/>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28"/>
          <w:rFonts w:hint="eastAsia" w:ascii="Times New Roman" w:hAnsi="Times New Roman" w:eastAsia="方正小标宋简体" w:cs="方正小标宋简体"/>
          <w:b w:val="0"/>
          <w:bCs w:val="0"/>
          <w:color w:val="auto"/>
          <w:highlight w:val="none"/>
        </w:rPr>
        <w:t>部门概况</w:t>
      </w:r>
      <w:bookmarkEnd w:id="6"/>
      <w:bookmarkEnd w:id="7"/>
    </w:p>
    <w:p>
      <w:pPr>
        <w:pStyle w:val="6"/>
        <w:numPr>
          <w:ilvl w:val="0"/>
          <w:numId w:val="1"/>
        </w:numPr>
        <w:rPr>
          <w:rFonts w:hint="eastAsia" w:ascii="黑体" w:hAnsi="黑体" w:eastAsia="黑体"/>
          <w:b w:val="0"/>
        </w:rPr>
      </w:pPr>
      <w:r>
        <w:rPr>
          <w:rFonts w:hint="eastAsia" w:ascii="黑体" w:hAnsi="黑体" w:eastAsia="黑体"/>
          <w:b w:val="0"/>
        </w:rPr>
        <w:t>部门职责</w:t>
      </w:r>
    </w:p>
    <w:p>
      <w:pPr>
        <w:snapToGrid w:val="0"/>
        <w:spacing w:line="520" w:lineRule="exact"/>
        <w:ind w:firstLine="640" w:firstLineChars="200"/>
        <w:rPr>
          <w:rFonts w:ascii="仿宋_GB2312" w:eastAsia="仿宋_GB2312"/>
          <w:sz w:val="32"/>
          <w:szCs w:val="32"/>
        </w:rPr>
      </w:pPr>
      <w:r>
        <w:rPr>
          <w:rFonts w:hint="eastAsia" w:ascii="仿宋_GB2312" w:eastAsia="仿宋_GB2312" w:cs="仿宋_GB2312"/>
          <w:sz w:val="32"/>
          <w:szCs w:val="32"/>
        </w:rPr>
        <w:t>攀枝花市教育和体育局是2014年由原攀枝花市教育局和原攀枝花市体育局合并成立的，为市政府工作部门。</w:t>
      </w:r>
    </w:p>
    <w:p>
      <w:pPr>
        <w:snapToGrid w:val="0"/>
        <w:spacing w:line="520" w:lineRule="exact"/>
        <w:ind w:firstLine="640" w:firstLineChars="200"/>
        <w:rPr>
          <w:rFonts w:ascii="仿宋_GB2312" w:eastAsia="仿宋_GB2312"/>
          <w:sz w:val="32"/>
          <w:szCs w:val="32"/>
        </w:rPr>
      </w:pPr>
      <w:r>
        <w:rPr>
          <w:rFonts w:hint="eastAsia" w:ascii="仿宋_GB2312" w:eastAsia="仿宋_GB2312" w:cs="仿宋_GB2312"/>
          <w:sz w:val="32"/>
          <w:szCs w:val="32"/>
        </w:rPr>
        <w:t xml:space="preserve"> 主要职责：</w:t>
      </w:r>
    </w:p>
    <w:p>
      <w:pPr>
        <w:snapToGrid w:val="0"/>
        <w:spacing w:line="520" w:lineRule="exact"/>
        <w:ind w:firstLine="640" w:firstLineChars="200"/>
        <w:rPr>
          <w:rFonts w:ascii="仿宋_GB2312" w:eastAsia="仿宋_GB2312"/>
          <w:sz w:val="32"/>
          <w:szCs w:val="32"/>
        </w:rPr>
      </w:pPr>
      <w:r>
        <w:rPr>
          <w:rFonts w:hint="eastAsia" w:ascii="仿宋_GB2312" w:eastAsia="仿宋_GB2312" w:cs="仿宋_GB2312"/>
          <w:sz w:val="32"/>
          <w:szCs w:val="32"/>
        </w:rPr>
        <w:t>（1）贯彻执行国家和省有关教育体育工作的方针、政策和法律、法规，研究制定有关贯彻意见并组织实施。</w:t>
      </w:r>
    </w:p>
    <w:p>
      <w:pPr>
        <w:snapToGrid w:val="0"/>
        <w:spacing w:line="520" w:lineRule="exact"/>
        <w:ind w:firstLine="640" w:firstLineChars="200"/>
        <w:rPr>
          <w:rFonts w:ascii="仿宋_GB2312" w:eastAsia="仿宋_GB2312"/>
          <w:sz w:val="32"/>
          <w:szCs w:val="32"/>
        </w:rPr>
      </w:pPr>
      <w:r>
        <w:rPr>
          <w:rFonts w:hint="eastAsia" w:ascii="仿宋_GB2312" w:eastAsia="仿宋_GB2312" w:cs="仿宋_GB2312"/>
          <w:sz w:val="32"/>
          <w:szCs w:val="32"/>
        </w:rPr>
        <w:t>（2）拟订全市教育体育体制改革政策和教育体育事业发展规划；负责各级各类教育体育的统筹规划和协调管理；指导各级各类学校教育教学改革；负责中小学布局结构调整；负责多元化体育服务体系建设，推进体育公共服务和体育体制改革；负责全市教育体育系统基本信息的统计、分析、发布工作；负责组织和指导全市教育体育信息化建设工作。</w:t>
      </w:r>
    </w:p>
    <w:p>
      <w:pPr>
        <w:snapToGrid w:val="0"/>
        <w:spacing w:line="520" w:lineRule="exact"/>
        <w:ind w:firstLine="640" w:firstLineChars="200"/>
        <w:rPr>
          <w:rFonts w:ascii="仿宋_GB2312" w:eastAsia="仿宋_GB2312"/>
          <w:sz w:val="32"/>
          <w:szCs w:val="32"/>
        </w:rPr>
      </w:pPr>
      <w:r>
        <w:rPr>
          <w:rFonts w:hint="eastAsia" w:ascii="仿宋_GB2312" w:eastAsia="仿宋_GB2312" w:cs="仿宋_GB2312"/>
          <w:sz w:val="32"/>
          <w:szCs w:val="32"/>
        </w:rPr>
        <w:t>（3）负责义务教育的指导与协调，推进全市义务教育均衡发展和促进教育公平。指导普通高中教育、学前教育和特殊教育工作。推进基础教育教学改革，全面实施素质教育。</w:t>
      </w:r>
    </w:p>
    <w:p>
      <w:pPr>
        <w:snapToGrid w:val="0"/>
        <w:spacing w:line="520" w:lineRule="exact"/>
        <w:ind w:firstLine="640" w:firstLineChars="200"/>
        <w:rPr>
          <w:rFonts w:ascii="仿宋_GB2312" w:eastAsia="仿宋_GB2312"/>
          <w:sz w:val="32"/>
          <w:szCs w:val="32"/>
        </w:rPr>
      </w:pPr>
      <w:r>
        <w:rPr>
          <w:rFonts w:hint="eastAsia" w:ascii="仿宋_GB2312" w:eastAsia="仿宋_GB2312" w:cs="仿宋_GB2312"/>
          <w:sz w:val="32"/>
          <w:szCs w:val="32"/>
        </w:rPr>
        <w:t>（4）指导基础教育、中等职业教育和成人教育学校开展思想政治、德育、体育卫生与艺术教育、国防教育、心理健康教育、安全和稳定工作。</w:t>
      </w:r>
    </w:p>
    <w:p>
      <w:pPr>
        <w:snapToGrid w:val="0"/>
        <w:spacing w:line="520" w:lineRule="exact"/>
        <w:ind w:firstLine="640" w:firstLineChars="200"/>
        <w:rPr>
          <w:rFonts w:ascii="仿宋_GB2312" w:eastAsia="仿宋_GB2312"/>
          <w:sz w:val="32"/>
          <w:szCs w:val="32"/>
        </w:rPr>
      </w:pPr>
      <w:r>
        <w:rPr>
          <w:rFonts w:hint="eastAsia" w:ascii="仿宋_GB2312" w:eastAsia="仿宋_GB2312" w:cs="仿宋_GB2312"/>
          <w:sz w:val="32"/>
          <w:szCs w:val="32"/>
        </w:rPr>
        <w:t>（5）指导职业教育发展与改革，组织实施民族地区免费中等职业教育工作。完成省里下达的藏（彝）区学生“9+3”免费职业教育任务。</w:t>
      </w:r>
    </w:p>
    <w:p>
      <w:pPr>
        <w:snapToGrid w:val="0"/>
        <w:spacing w:line="520" w:lineRule="exact"/>
        <w:ind w:firstLine="640" w:firstLineChars="200"/>
        <w:rPr>
          <w:rFonts w:ascii="仿宋_GB2312" w:eastAsia="仿宋_GB2312"/>
          <w:sz w:val="32"/>
          <w:szCs w:val="32"/>
        </w:rPr>
      </w:pPr>
      <w:r>
        <w:rPr>
          <w:rFonts w:hint="eastAsia" w:ascii="仿宋_GB2312" w:eastAsia="仿宋_GB2312" w:cs="仿宋_GB2312"/>
          <w:sz w:val="32"/>
          <w:szCs w:val="32"/>
        </w:rPr>
        <w:t>（6）综合管理全市成人教育和广播电视教育及扫除青壮年文盲工作，协调普通高等教育发展。</w:t>
      </w:r>
    </w:p>
    <w:p>
      <w:pPr>
        <w:snapToGrid w:val="0"/>
        <w:spacing w:line="520" w:lineRule="exact"/>
        <w:ind w:firstLine="640" w:firstLineChars="200"/>
        <w:rPr>
          <w:rFonts w:ascii="仿宋_GB2312" w:eastAsia="仿宋_GB2312"/>
          <w:sz w:val="32"/>
          <w:szCs w:val="32"/>
        </w:rPr>
      </w:pPr>
      <w:r>
        <w:rPr>
          <w:rFonts w:hint="eastAsia" w:ascii="仿宋_GB2312" w:eastAsia="仿宋_GB2312" w:cs="仿宋_GB2312"/>
          <w:sz w:val="32"/>
          <w:szCs w:val="32"/>
        </w:rPr>
        <w:t xml:space="preserve"> (7)负责全市教育督导工作。负责组织对中等及以下各级各类教育、广播电视教育以及扫除青壮年文盲工作的督导检查和评估考核工作；开展基础教育发展水平和质量监测工作。</w:t>
      </w:r>
    </w:p>
    <w:p>
      <w:pPr>
        <w:snapToGrid w:val="0"/>
        <w:spacing w:line="520" w:lineRule="exact"/>
        <w:ind w:firstLine="640" w:firstLineChars="200"/>
        <w:rPr>
          <w:rFonts w:ascii="仿宋_GB2312" w:eastAsia="仿宋_GB2312"/>
          <w:sz w:val="32"/>
          <w:szCs w:val="32"/>
        </w:rPr>
      </w:pPr>
      <w:r>
        <w:rPr>
          <w:rFonts w:hint="eastAsia" w:ascii="仿宋_GB2312" w:eastAsia="仿宋_GB2312" w:cs="仿宋_GB2312"/>
          <w:sz w:val="32"/>
          <w:szCs w:val="32"/>
        </w:rPr>
        <w:t>(8)负责本部门教育体育经费的统筹管理。会同有关部门制定筹措教育体育经费、拨款、基建投资的政策和措施，协助有关部门做好教育体育拨款的筹集、拨付工作；监督全市教育体育经费的筹措和使用情况；指导国(境)外教育体育援助、贷款和合作项目的执行。负责普通高校生源地信用助学贷款工作，完善贫困学生资助管理体系。</w:t>
      </w:r>
    </w:p>
    <w:p>
      <w:pPr>
        <w:snapToGrid w:val="0"/>
        <w:spacing w:line="520" w:lineRule="exact"/>
        <w:ind w:firstLine="640" w:firstLineChars="200"/>
        <w:rPr>
          <w:rFonts w:ascii="仿宋_GB2312" w:eastAsia="仿宋_GB2312"/>
          <w:sz w:val="32"/>
          <w:szCs w:val="32"/>
        </w:rPr>
      </w:pPr>
      <w:r>
        <w:rPr>
          <w:rFonts w:hint="eastAsia" w:ascii="仿宋_GB2312" w:eastAsia="仿宋_GB2312" w:cs="仿宋_GB2312"/>
          <w:sz w:val="32"/>
          <w:szCs w:val="32"/>
        </w:rPr>
        <w:t>(9)指导少数民族教育工作，协调对少数民族地区的教育援助。</w:t>
      </w:r>
    </w:p>
    <w:p>
      <w:pPr>
        <w:snapToGrid w:val="0"/>
        <w:spacing w:line="520" w:lineRule="exact"/>
        <w:ind w:firstLine="640" w:firstLineChars="200"/>
        <w:rPr>
          <w:rFonts w:ascii="仿宋_GB2312" w:eastAsia="仿宋_GB2312"/>
          <w:sz w:val="32"/>
          <w:szCs w:val="32"/>
        </w:rPr>
      </w:pPr>
      <w:r>
        <w:rPr>
          <w:rFonts w:hint="eastAsia" w:ascii="仿宋_GB2312" w:eastAsia="仿宋_GB2312" w:cs="仿宋_GB2312"/>
          <w:sz w:val="32"/>
          <w:szCs w:val="32"/>
        </w:rPr>
        <w:t>(10)统筹规划、综合管理全市民办教育，规范民办教育办学秩序，促进民办教育事业健康发展。</w:t>
      </w:r>
    </w:p>
    <w:p>
      <w:pPr>
        <w:snapToGrid w:val="0"/>
        <w:spacing w:line="520" w:lineRule="exact"/>
        <w:ind w:firstLine="640" w:firstLineChars="200"/>
        <w:rPr>
          <w:rFonts w:ascii="仿宋_GB2312" w:eastAsia="仿宋_GB2312"/>
          <w:sz w:val="32"/>
          <w:szCs w:val="32"/>
        </w:rPr>
      </w:pPr>
      <w:r>
        <w:rPr>
          <w:rFonts w:hint="eastAsia" w:ascii="仿宋_GB2312" w:eastAsia="仿宋_GB2312" w:cs="仿宋_GB2312"/>
          <w:sz w:val="32"/>
          <w:szCs w:val="32"/>
        </w:rPr>
        <w:t>(11)负责全市中小学校教师队伍建设和教育体育系统干部队伍建设工作；组织和指导县(区)域内义务教育学校校长教师交流轮岗工作，推进义务教育教师“县管校用”管理制度改革。</w:t>
      </w:r>
    </w:p>
    <w:p>
      <w:pPr>
        <w:snapToGrid w:val="0"/>
        <w:spacing w:line="520" w:lineRule="exact"/>
        <w:ind w:firstLine="640" w:firstLineChars="200"/>
        <w:rPr>
          <w:rFonts w:ascii="仿宋_GB2312" w:eastAsia="仿宋_GB2312"/>
          <w:sz w:val="32"/>
          <w:szCs w:val="32"/>
        </w:rPr>
      </w:pPr>
      <w:r>
        <w:rPr>
          <w:rFonts w:hint="eastAsia" w:ascii="仿宋_GB2312" w:eastAsia="仿宋_GB2312" w:cs="仿宋_GB2312"/>
          <w:sz w:val="32"/>
          <w:szCs w:val="32"/>
        </w:rPr>
        <w:t>(12)负责并指导教育基础设施建设，完善中小学校校舍维修改造长效机制，负责并指导学校现代信息技术教育和推进现代教育信息化建设，进一步改善学校办学条件。负责推进农村薄弱学校建设，加强项目建设管理，推动校舍档案和信息系统建设，促进校舍安全管理的规范化、信息化。</w:t>
      </w:r>
    </w:p>
    <w:p>
      <w:pPr>
        <w:snapToGrid w:val="0"/>
        <w:spacing w:line="520" w:lineRule="exact"/>
        <w:ind w:firstLine="640" w:firstLineChars="200"/>
        <w:rPr>
          <w:rFonts w:ascii="仿宋_GB2312" w:eastAsia="仿宋_GB2312"/>
          <w:sz w:val="32"/>
          <w:szCs w:val="32"/>
        </w:rPr>
      </w:pPr>
      <w:r>
        <w:rPr>
          <w:rFonts w:hint="eastAsia" w:ascii="仿宋_GB2312" w:eastAsia="仿宋_GB2312" w:cs="仿宋_GB2312"/>
          <w:sz w:val="32"/>
          <w:szCs w:val="32"/>
        </w:rPr>
        <w:t>(13)贯彻执行国家语言文字的方针政策，拟订语言文字工作中长期规划和工作计划，指导普通话推广和普通话师资培训工作，承担市语言文字工作委员会的具体工作。</w:t>
      </w:r>
    </w:p>
    <w:p>
      <w:pPr>
        <w:snapToGrid w:val="0"/>
        <w:spacing w:line="520" w:lineRule="exact"/>
        <w:ind w:firstLine="640" w:firstLineChars="200"/>
        <w:rPr>
          <w:rFonts w:ascii="仿宋_GB2312" w:eastAsia="仿宋_GB2312"/>
          <w:sz w:val="32"/>
          <w:szCs w:val="32"/>
        </w:rPr>
      </w:pPr>
      <w:r>
        <w:rPr>
          <w:rFonts w:hint="eastAsia" w:ascii="仿宋_GB2312" w:eastAsia="仿宋_GB2312" w:cs="仿宋_GB2312"/>
          <w:sz w:val="32"/>
          <w:szCs w:val="32"/>
        </w:rPr>
        <w:t>(14)指导教育体育系统对外交流与合作，负责全市中小学出国留学人员和教育体育系统来攀外籍教师、教练、专家及留学人员的有关管理工作。</w:t>
      </w:r>
    </w:p>
    <w:p>
      <w:pPr>
        <w:snapToGrid w:val="0"/>
        <w:spacing w:line="520" w:lineRule="exact"/>
        <w:ind w:firstLine="640" w:firstLineChars="200"/>
        <w:rPr>
          <w:rFonts w:ascii="仿宋_GB2312" w:eastAsia="仿宋_GB2312"/>
          <w:sz w:val="32"/>
          <w:szCs w:val="32"/>
        </w:rPr>
      </w:pPr>
      <w:r>
        <w:rPr>
          <w:rFonts w:hint="eastAsia" w:ascii="仿宋_GB2312" w:eastAsia="仿宋_GB2312" w:cs="仿宋_GB2312"/>
          <w:sz w:val="32"/>
          <w:szCs w:val="32"/>
        </w:rPr>
        <w:t>(15)管理、指导大中专招生和自学考试工作；制定中小学和中等职业学校招生计划并组织实施。</w:t>
      </w:r>
    </w:p>
    <w:p>
      <w:pPr>
        <w:snapToGrid w:val="0"/>
        <w:spacing w:line="520" w:lineRule="exact"/>
        <w:ind w:firstLine="640" w:firstLineChars="200"/>
        <w:rPr>
          <w:rFonts w:ascii="仿宋_GB2312" w:eastAsia="仿宋_GB2312"/>
          <w:sz w:val="32"/>
          <w:szCs w:val="32"/>
        </w:rPr>
      </w:pPr>
      <w:r>
        <w:rPr>
          <w:rFonts w:hint="eastAsia" w:ascii="仿宋_GB2312" w:eastAsia="仿宋_GB2312" w:cs="仿宋_GB2312"/>
          <w:sz w:val="32"/>
          <w:szCs w:val="32"/>
        </w:rPr>
        <w:t>(16)统筹规划全市群众体育发展。负责推行全民健身计划，监督实施国家体育锻炼标准，承担全市国民体质监测和社会体育指导工作队伍制度建设；指导公共体育设施的建设，负责对公共体育设施的管理。</w:t>
      </w:r>
    </w:p>
    <w:p>
      <w:pPr>
        <w:snapToGrid w:val="0"/>
        <w:spacing w:line="520" w:lineRule="exact"/>
        <w:ind w:firstLine="640" w:firstLineChars="200"/>
        <w:rPr>
          <w:rFonts w:ascii="仿宋_GB2312" w:eastAsia="仿宋_GB2312"/>
          <w:sz w:val="32"/>
          <w:szCs w:val="32"/>
        </w:rPr>
      </w:pPr>
      <w:r>
        <w:rPr>
          <w:rFonts w:hint="eastAsia" w:ascii="仿宋_GB2312" w:eastAsia="仿宋_GB2312" w:cs="仿宋_GB2312"/>
          <w:sz w:val="32"/>
          <w:szCs w:val="32"/>
        </w:rPr>
        <w:t>(17)统筹规划全市竞技体育发展。指导体育训练、体育竞赛和运动员队伍建设；组织和统筹参加省级以上综合运动会，负责组织协调市级综合性运动会的竞赛工作，协调运动员社会保障工作。</w:t>
      </w:r>
    </w:p>
    <w:p>
      <w:pPr>
        <w:snapToGrid w:val="0"/>
        <w:spacing w:line="520" w:lineRule="exact"/>
        <w:ind w:firstLine="640" w:firstLineChars="200"/>
        <w:rPr>
          <w:rFonts w:ascii="仿宋_GB2312" w:eastAsia="仿宋_GB2312"/>
          <w:sz w:val="32"/>
          <w:szCs w:val="32"/>
        </w:rPr>
      </w:pPr>
      <w:r>
        <w:rPr>
          <w:rFonts w:hint="eastAsia" w:ascii="仿宋_GB2312" w:eastAsia="仿宋_GB2312" w:cs="仿宋_GB2312"/>
          <w:sz w:val="32"/>
          <w:szCs w:val="32"/>
        </w:rPr>
        <w:t>(18)统筹规划全市青少年体育发展。指导和管理学校体育工作；制定全市学校体育、青少年业余训练的规划和工作意见，并负责组织实施、督促和检查。</w:t>
      </w:r>
    </w:p>
    <w:p>
      <w:pPr>
        <w:snapToGrid w:val="0"/>
        <w:spacing w:line="520" w:lineRule="exact"/>
        <w:ind w:firstLine="640" w:firstLineChars="200"/>
        <w:rPr>
          <w:rFonts w:ascii="仿宋_GB2312" w:eastAsia="仿宋_GB2312"/>
          <w:sz w:val="32"/>
          <w:szCs w:val="32"/>
        </w:rPr>
      </w:pPr>
      <w:r>
        <w:rPr>
          <w:rFonts w:hint="eastAsia" w:ascii="仿宋_GB2312" w:eastAsia="仿宋_GB2312" w:cs="仿宋_GB2312"/>
          <w:sz w:val="32"/>
          <w:szCs w:val="32"/>
        </w:rPr>
        <w:t>(19)指导全市学校后勤改革和体育产业发展，负责全市学校后勤和体育产业管理。拟定全市体育产业发展政策、措施，规范体育服务管理，推动体育标准化建设；协助管理全市体育彩票市场。</w:t>
      </w:r>
    </w:p>
    <w:p>
      <w:pPr>
        <w:snapToGrid w:val="0"/>
        <w:spacing w:line="520" w:lineRule="exact"/>
        <w:ind w:firstLine="640" w:firstLineChars="200"/>
        <w:rPr>
          <w:rFonts w:ascii="仿宋_GB2312" w:eastAsia="仿宋_GB2312"/>
          <w:sz w:val="32"/>
          <w:szCs w:val="32"/>
        </w:rPr>
      </w:pPr>
      <w:r>
        <w:rPr>
          <w:rFonts w:hint="eastAsia" w:ascii="仿宋_GB2312" w:eastAsia="仿宋_GB2312" w:cs="仿宋_GB2312"/>
          <w:sz w:val="32"/>
          <w:szCs w:val="32"/>
        </w:rPr>
        <w:t>(20)指导教育体育科研、技术攻关及成果推广工作；负责组织、监督全市体育运动中的反兴奋剂工作。</w:t>
      </w:r>
    </w:p>
    <w:p>
      <w:pPr>
        <w:snapToGrid w:val="0"/>
        <w:spacing w:line="520" w:lineRule="exact"/>
        <w:ind w:firstLine="640" w:firstLineChars="200"/>
        <w:rPr>
          <w:rFonts w:ascii="仿宋_GB2312" w:eastAsia="仿宋_GB2312"/>
          <w:sz w:val="32"/>
          <w:szCs w:val="32"/>
        </w:rPr>
      </w:pPr>
      <w:r>
        <w:rPr>
          <w:rFonts w:hint="eastAsia" w:ascii="仿宋_GB2312" w:eastAsia="仿宋_GB2312" w:cs="仿宋_GB2312"/>
          <w:sz w:val="32"/>
          <w:szCs w:val="32"/>
        </w:rPr>
        <w:t>(21)负责指导、检查、督促全市学校安全管理工作。</w:t>
      </w:r>
    </w:p>
    <w:p>
      <w:pPr>
        <w:snapToGrid w:val="0"/>
        <w:spacing w:line="520" w:lineRule="exact"/>
        <w:ind w:firstLine="640" w:firstLineChars="200"/>
        <w:rPr>
          <w:rFonts w:ascii="仿宋_GB2312" w:eastAsia="仿宋_GB2312"/>
          <w:sz w:val="32"/>
          <w:szCs w:val="32"/>
        </w:rPr>
      </w:pPr>
      <w:r>
        <w:rPr>
          <w:rFonts w:hint="eastAsia" w:ascii="仿宋_GB2312" w:eastAsia="仿宋_GB2312" w:cs="仿宋_GB2312"/>
          <w:sz w:val="32"/>
          <w:szCs w:val="32"/>
        </w:rPr>
        <w:t>(22)承担市政府公布的有关行政审批事项。</w:t>
      </w:r>
    </w:p>
    <w:p>
      <w:pPr>
        <w:ind w:firstLine="640" w:firstLineChars="200"/>
      </w:pPr>
      <w:r>
        <w:rPr>
          <w:rFonts w:hint="eastAsia" w:ascii="仿宋_GB2312" w:eastAsia="仿宋_GB2312" w:cs="仿宋_GB2312"/>
          <w:sz w:val="32"/>
          <w:szCs w:val="32"/>
        </w:rPr>
        <w:t>(23)承办市政府交办的其他事项。</w:t>
      </w:r>
    </w:p>
    <w:p>
      <w:pPr>
        <w:pStyle w:val="6"/>
        <w:rPr>
          <w:rStyle w:val="29"/>
          <w:b w:val="0"/>
          <w:bCs w:val="0"/>
        </w:rPr>
      </w:pPr>
      <w:bookmarkStart w:id="8" w:name="_Toc15396601"/>
      <w:bookmarkStart w:id="9" w:name="_Toc15377200"/>
      <w:r>
        <w:rPr>
          <w:rFonts w:hint="eastAsia" w:ascii="黑体" w:eastAsia="黑体"/>
          <w:b w:val="0"/>
        </w:rPr>
        <w:t>二、</w:t>
      </w:r>
      <w:r>
        <w:rPr>
          <w:rFonts w:hint="eastAsia" w:ascii="黑体" w:hAnsi="黑体" w:eastAsia="黑体"/>
          <w:b w:val="0"/>
        </w:rPr>
        <w:t>机</w:t>
      </w:r>
      <w:r>
        <w:rPr>
          <w:rStyle w:val="29"/>
          <w:rFonts w:hint="eastAsia" w:ascii="黑体" w:hAnsi="黑体" w:eastAsia="黑体"/>
          <w:b w:val="0"/>
          <w:bCs w:val="0"/>
        </w:rPr>
        <w:t>构设置</w:t>
      </w:r>
      <w:bookmarkEnd w:id="8"/>
      <w:bookmarkEnd w:id="9"/>
    </w:p>
    <w:p>
      <w:pPr>
        <w:snapToGrid w:val="0"/>
        <w:spacing w:line="520" w:lineRule="exact"/>
        <w:ind w:firstLine="640" w:firstLineChars="20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攀枝花市教育和体育局及下属二级预算单位18个，其中行政单位1个，参照公务员法管理的事业单位0个，其他事业单位17个。</w:t>
      </w:r>
    </w:p>
    <w:p>
      <w:pPr>
        <w:snapToGrid w:val="0"/>
        <w:spacing w:line="520" w:lineRule="exact"/>
        <w:ind w:firstLine="640" w:firstLineChars="20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纳入攀枝花市教育和体育局202</w:t>
      </w:r>
      <w:r>
        <w:rPr>
          <w:rFonts w:hint="eastAsia" w:ascii="仿宋_GB2312" w:hAnsi="Times New Roman" w:eastAsia="仿宋_GB2312" w:cs="仿宋_GB2312"/>
          <w:sz w:val="32"/>
          <w:szCs w:val="32"/>
          <w:lang w:val="en-US" w:eastAsia="zh-CN"/>
        </w:rPr>
        <w:t>4</w:t>
      </w:r>
      <w:r>
        <w:rPr>
          <w:rFonts w:hint="eastAsia" w:ascii="仿宋_GB2312" w:hAnsi="Times New Roman" w:eastAsia="仿宋_GB2312" w:cs="仿宋_GB2312"/>
          <w:sz w:val="32"/>
          <w:szCs w:val="32"/>
        </w:rPr>
        <w:t>年度部门决算编制范围的二级预算单位包括：</w:t>
      </w:r>
    </w:p>
    <w:p>
      <w:pPr>
        <w:snapToGrid w:val="0"/>
        <w:spacing w:line="520" w:lineRule="exact"/>
        <w:ind w:firstLine="640" w:firstLineChars="20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1.攀枝花市教育和体育局</w:t>
      </w:r>
    </w:p>
    <w:p>
      <w:pPr>
        <w:snapToGrid w:val="0"/>
        <w:spacing w:line="520" w:lineRule="exact"/>
        <w:ind w:firstLine="640" w:firstLineChars="20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2.攀枝花市外国语学校</w:t>
      </w:r>
    </w:p>
    <w:p>
      <w:pPr>
        <w:snapToGrid w:val="0"/>
        <w:spacing w:line="520" w:lineRule="exact"/>
        <w:ind w:firstLine="640" w:firstLineChars="200"/>
        <w:rPr>
          <w:rFonts w:hint="eastAsia" w:ascii="仿宋_GB2312" w:hAnsi="Times New Roman" w:eastAsia="仿宋_GB2312" w:cs="仿宋_GB2312"/>
          <w:sz w:val="32"/>
          <w:szCs w:val="32"/>
        </w:rPr>
      </w:pPr>
      <w:bookmarkStart w:id="10" w:name="_Toc15306277"/>
      <w:bookmarkStart w:id="11" w:name="_Toc15378450"/>
      <w:bookmarkStart w:id="12" w:name="_Toc15377434"/>
      <w:bookmarkStart w:id="13" w:name="_Toc15377203"/>
      <w:r>
        <w:rPr>
          <w:rFonts w:hint="eastAsia" w:ascii="仿宋_GB2312" w:hAnsi="Times New Roman" w:eastAsia="仿宋_GB2312" w:cs="仿宋_GB2312"/>
          <w:sz w:val="32"/>
          <w:szCs w:val="32"/>
        </w:rPr>
        <w:t>3.攀枝花市第二初级中学校</w:t>
      </w:r>
      <w:bookmarkEnd w:id="10"/>
      <w:bookmarkEnd w:id="11"/>
      <w:bookmarkEnd w:id="12"/>
      <w:bookmarkEnd w:id="13"/>
    </w:p>
    <w:p>
      <w:pPr>
        <w:snapToGrid w:val="0"/>
        <w:spacing w:line="520" w:lineRule="exact"/>
        <w:ind w:firstLine="640" w:firstLineChars="20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4.攀枝花市实验学校</w:t>
      </w:r>
    </w:p>
    <w:p>
      <w:pPr>
        <w:snapToGrid w:val="0"/>
        <w:spacing w:line="520" w:lineRule="exact"/>
        <w:ind w:firstLine="640" w:firstLineChars="20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5.攀枝花市特殊教育学校</w:t>
      </w:r>
    </w:p>
    <w:p>
      <w:pPr>
        <w:snapToGrid w:val="0"/>
        <w:spacing w:line="520" w:lineRule="exact"/>
        <w:ind w:firstLine="640" w:firstLineChars="20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6.攀枝花市体育中学</w:t>
      </w:r>
    </w:p>
    <w:p>
      <w:pPr>
        <w:snapToGrid w:val="0"/>
        <w:spacing w:line="520" w:lineRule="exact"/>
        <w:ind w:firstLine="640" w:firstLineChars="20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7.攀枝花市第三高级中学校</w:t>
      </w:r>
    </w:p>
    <w:p>
      <w:pPr>
        <w:snapToGrid w:val="0"/>
        <w:spacing w:line="520" w:lineRule="exact"/>
        <w:ind w:firstLine="640" w:firstLineChars="20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8.攀枝花市第七高级中学校</w:t>
      </w:r>
    </w:p>
    <w:p>
      <w:pPr>
        <w:snapToGrid w:val="0"/>
        <w:spacing w:line="520" w:lineRule="exact"/>
        <w:ind w:firstLine="640" w:firstLineChars="20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9.攀枝花市经贸旅游学校</w:t>
      </w:r>
    </w:p>
    <w:p>
      <w:pPr>
        <w:snapToGrid w:val="0"/>
        <w:spacing w:line="520" w:lineRule="exact"/>
        <w:ind w:firstLine="640" w:firstLineChars="20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10.攀枝花市建筑工程学校</w:t>
      </w:r>
    </w:p>
    <w:p>
      <w:pPr>
        <w:snapToGrid w:val="0"/>
        <w:spacing w:line="520" w:lineRule="exact"/>
        <w:ind w:firstLine="640" w:firstLineChars="20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11.攀枝花市实验幼儿园</w:t>
      </w:r>
    </w:p>
    <w:p>
      <w:pPr>
        <w:snapToGrid w:val="0"/>
        <w:spacing w:line="520" w:lineRule="exact"/>
        <w:ind w:firstLine="640" w:firstLineChars="20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12.攀枝花开放大学</w:t>
      </w:r>
    </w:p>
    <w:p>
      <w:pPr>
        <w:snapToGrid w:val="0"/>
        <w:spacing w:line="520" w:lineRule="exact"/>
        <w:ind w:firstLine="640" w:firstLineChars="20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13.攀枝花市教育考试院</w:t>
      </w:r>
    </w:p>
    <w:p>
      <w:pPr>
        <w:snapToGrid w:val="0"/>
        <w:spacing w:line="520" w:lineRule="exact"/>
        <w:ind w:firstLine="640" w:firstLineChars="20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14.攀枝花市教育科学研究所</w:t>
      </w:r>
    </w:p>
    <w:p>
      <w:pPr>
        <w:snapToGrid w:val="0"/>
        <w:spacing w:line="520" w:lineRule="exact"/>
        <w:ind w:firstLine="640" w:firstLineChars="20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15.攀枝花市电化教育技术装备中心</w:t>
      </w:r>
    </w:p>
    <w:p>
      <w:pPr>
        <w:snapToGrid w:val="0"/>
        <w:spacing w:line="520" w:lineRule="exact"/>
        <w:ind w:firstLine="640" w:firstLineChars="20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16.攀枝花市学校后勤保障服务中心</w:t>
      </w:r>
    </w:p>
    <w:p>
      <w:pPr>
        <w:snapToGrid w:val="0"/>
        <w:spacing w:line="520" w:lineRule="exact"/>
        <w:ind w:firstLine="640" w:firstLineChars="20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17.攀枝花市体育场馆中心</w:t>
      </w:r>
    </w:p>
    <w:p>
      <w:pPr>
        <w:snapToGrid w:val="0"/>
        <w:spacing w:line="520" w:lineRule="exact"/>
        <w:ind w:firstLine="640" w:firstLineChars="200"/>
        <w:rPr>
          <w:rFonts w:hint="eastAsia" w:ascii="Times New Roman" w:hAnsi="Times New Roman" w:eastAsia="仿宋_GB2312" w:cs="仿宋_GB2312"/>
          <w:color w:val="auto"/>
          <w:sz w:val="32"/>
          <w:szCs w:val="32"/>
          <w:highlight w:val="none"/>
        </w:rPr>
      </w:pPr>
      <w:r>
        <w:rPr>
          <w:rFonts w:hint="eastAsia" w:ascii="仿宋_GB2312" w:hAnsi="Times New Roman" w:eastAsia="仿宋_GB2312" w:cs="仿宋_GB2312"/>
          <w:sz w:val="32"/>
          <w:szCs w:val="32"/>
        </w:rPr>
        <w:t>18.攀枝花市社会体育指导中心</w:t>
      </w:r>
      <w:r>
        <w:rPr>
          <w:rFonts w:ascii="仿宋" w:hAnsi="仿宋" w:eastAsia="仿宋"/>
          <w:sz w:val="32"/>
          <w:szCs w:val="32"/>
        </w:rPr>
        <w:br w:type="page"/>
      </w:r>
    </w:p>
    <w:p>
      <w:pPr>
        <w:widowControl/>
        <w:jc w:val="left"/>
        <w:rPr>
          <w:rFonts w:ascii="Times New Roman" w:hAnsi="Times New Roman" w:eastAsia="仿宋"/>
          <w:color w:val="auto"/>
          <w:kern w:val="0"/>
          <w:sz w:val="32"/>
          <w:szCs w:val="32"/>
          <w:highlight w:val="none"/>
        </w:rPr>
      </w:pPr>
    </w:p>
    <w:p>
      <w:pPr>
        <w:pStyle w:val="5"/>
        <w:jc w:val="center"/>
        <w:rPr>
          <w:rFonts w:hint="eastAsia" w:ascii="Times New Roman" w:hAnsi="Times New Roman" w:eastAsia="方正小标宋简体" w:cs="方正小标宋简体"/>
          <w:b w:val="0"/>
          <w:color w:val="auto"/>
          <w:highlight w:val="none"/>
        </w:rPr>
      </w:pPr>
      <w:bookmarkStart w:id="14" w:name="_Toc15396602"/>
      <w:bookmarkStart w:id="15" w:name="_Toc15377204"/>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ascii="Times New Roman" w:hAnsi="Times New Roman" w:eastAsia="方正小标宋简体" w:cs="方正小标宋简体"/>
          <w:b w:val="0"/>
          <w:color w:val="auto"/>
          <w:highlight w:val="none"/>
        </w:rPr>
        <w:t>部门决算情况说明</w:t>
      </w:r>
      <w:bookmarkEnd w:id="14"/>
      <w:bookmarkEnd w:id="15"/>
    </w:p>
    <w:p>
      <w:pPr>
        <w:rPr>
          <w:rFonts w:ascii="Times New Roman" w:hAnsi="Times New Roman"/>
          <w:color w:val="auto"/>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bookmarkStart w:id="16" w:name="_Toc15396603"/>
      <w:bookmarkStart w:id="17" w:name="_Toc15377205"/>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29"/>
          <w:rFonts w:hint="eastAsia" w:ascii="Times New Roman" w:hAnsi="Times New Roman" w:eastAsia="黑体"/>
          <w:b w:val="0"/>
          <w:color w:val="auto"/>
          <w:highlight w:val="none"/>
        </w:rPr>
        <w:t>入支出决算总体情况说明</w:t>
      </w:r>
      <w:bookmarkEnd w:id="16"/>
      <w:bookmarkEnd w:id="17"/>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hint="eastAsia" w:ascii="仿宋_GB2312" w:hAnsi="仿宋_GB2312" w:eastAsia="仿宋_GB2312" w:cs="仿宋_GB2312"/>
          <w:sz w:val="32"/>
          <w:szCs w:val="32"/>
        </w:rPr>
        <w:t>77790.63</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总计各</w:t>
      </w:r>
      <w:r>
        <w:rPr>
          <w:rFonts w:hint="eastAsia" w:eastAsia="仿宋_GB2312" w:cs="仿宋_GB2312"/>
          <w:color w:val="auto"/>
          <w:sz w:val="32"/>
          <w:szCs w:val="32"/>
          <w:highlight w:val="none"/>
          <w:lang w:eastAsia="zh-CN"/>
        </w:rPr>
        <w:t>增加</w:t>
      </w:r>
      <w:r>
        <w:rPr>
          <w:rFonts w:hint="default" w:eastAsia="仿宋_GB2312" w:cs="仿宋_GB2312"/>
          <w:color w:val="auto"/>
          <w:sz w:val="32"/>
          <w:szCs w:val="32"/>
          <w:highlight w:val="none"/>
          <w:lang w:val="en-US"/>
        </w:rPr>
        <w:t>477.58</w:t>
      </w:r>
      <w:r>
        <w:rPr>
          <w:rFonts w:hint="eastAsia" w:ascii="Times New Roman" w:hAnsi="Times New Roman" w:eastAsia="仿宋_GB2312" w:cs="仿宋_GB2312"/>
          <w:color w:val="auto"/>
          <w:sz w:val="32"/>
          <w:szCs w:val="32"/>
          <w:highlight w:val="none"/>
        </w:rPr>
        <w:t>万元，</w:t>
      </w:r>
      <w:r>
        <w:rPr>
          <w:rFonts w:hint="eastAsia" w:eastAsia="仿宋_GB2312" w:cs="仿宋_GB2312"/>
          <w:color w:val="auto"/>
          <w:sz w:val="32"/>
          <w:szCs w:val="32"/>
          <w:highlight w:val="none"/>
          <w:lang w:eastAsia="zh-CN"/>
        </w:rPr>
        <w:t>增加</w:t>
      </w:r>
      <w:r>
        <w:rPr>
          <w:rFonts w:hint="default" w:eastAsia="仿宋_GB2312" w:cs="仿宋_GB2312"/>
          <w:color w:val="auto"/>
          <w:sz w:val="32"/>
          <w:szCs w:val="32"/>
          <w:highlight w:val="none"/>
          <w:lang w:val="en-US"/>
        </w:rPr>
        <w:t>0.62</w:t>
      </w:r>
      <w:r>
        <w:rPr>
          <w:rFonts w:hint="eastAsia" w:ascii="Times New Roman" w:hAnsi="Times New Roman" w:eastAsia="仿宋_GB2312" w:cs="仿宋_GB2312"/>
          <w:color w:val="auto"/>
          <w:sz w:val="32"/>
          <w:szCs w:val="32"/>
          <w:highlight w:val="none"/>
        </w:rPr>
        <w:t>%。主要变动原因是</w:t>
      </w:r>
      <w:r>
        <w:rPr>
          <w:rFonts w:hint="eastAsia" w:ascii="Times New Roman" w:hAnsi="Times New Roman" w:eastAsia="仿宋_GB2312" w:cs="仿宋_GB2312"/>
          <w:color w:val="auto"/>
          <w:sz w:val="32"/>
          <w:szCs w:val="32"/>
          <w:highlight w:val="none"/>
          <w:lang w:eastAsia="zh-CN"/>
        </w:rPr>
        <w:t>教育投入增加以及偿还以往年度欠款。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决算总计变动情况图）（柱状图）</w:t>
      </w:r>
    </w:p>
    <w:p>
      <w:pPr>
        <w:pStyle w:val="8"/>
        <w:rPr>
          <w:rFonts w:hint="eastAsia" w:ascii="Times New Roman" w:hAnsi="Times New Roman" w:eastAsia="仿宋_GB2312" w:cs="仿宋_GB2312"/>
          <w:color w:val="auto"/>
          <w:sz w:val="32"/>
          <w:szCs w:val="32"/>
          <w:highlight w:val="none"/>
        </w:rPr>
      </w:pPr>
      <w:r>
        <w:rPr>
          <w:rFonts w:hint="eastAsia"/>
        </w:rPr>
        <w:drawing>
          <wp:inline distT="0" distB="0" distL="0" distR="0">
            <wp:extent cx="4724400" cy="2924175"/>
            <wp:effectExtent l="4445" t="4445" r="14605" b="5080"/>
            <wp:docPr id="1"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仿宋_GB2312"/>
          <w:color w:val="auto"/>
          <w:sz w:val="32"/>
          <w:szCs w:val="32"/>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18" w:name="_Toc15377206"/>
      <w:bookmarkStart w:id="19" w:name="_Toc15396604"/>
      <w:r>
        <w:rPr>
          <w:rFonts w:hint="eastAsia" w:ascii="Times New Roman" w:hAnsi="Times New Roman" w:eastAsia="黑体"/>
          <w:color w:val="auto"/>
          <w:sz w:val="32"/>
          <w:szCs w:val="32"/>
          <w:highlight w:val="none"/>
          <w:lang w:eastAsia="zh-CN"/>
        </w:rPr>
        <w:t>二、收入决算情况说明</w:t>
      </w:r>
      <w:bookmarkEnd w:id="18"/>
      <w:bookmarkEnd w:id="19"/>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rPr>
        <w:t>76702.27万元，其中：一般公共预算财政拨款收入70549.98</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91.9</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color w:val="auto"/>
          <w:sz w:val="32"/>
          <w:szCs w:val="32"/>
          <w:highlight w:val="none"/>
          <w:lang w:eastAsia="zh-CN"/>
        </w:rPr>
        <w:t>%；政府性基金预算财政拨款收入</w:t>
      </w:r>
      <w:r>
        <w:rPr>
          <w:rFonts w:hint="eastAsia" w:ascii="仿宋_GB2312" w:hAnsi="仿宋_GB2312" w:eastAsia="仿宋_GB2312" w:cs="仿宋_GB2312"/>
          <w:sz w:val="32"/>
          <w:szCs w:val="32"/>
        </w:rPr>
        <w:t>847.7</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1.1</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%；上级补助收入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%；事业收入</w:t>
      </w:r>
      <w:r>
        <w:rPr>
          <w:rFonts w:hint="eastAsia" w:ascii="仿宋_GB2312" w:hAnsi="仿宋_GB2312" w:eastAsia="仿宋_GB2312" w:cs="仿宋_GB2312"/>
          <w:sz w:val="32"/>
          <w:szCs w:val="32"/>
        </w:rPr>
        <w:t>2873.31</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3.7</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color w:val="auto"/>
          <w:sz w:val="32"/>
          <w:szCs w:val="32"/>
          <w:highlight w:val="none"/>
          <w:lang w:eastAsia="zh-CN"/>
        </w:rPr>
        <w:t>%；经营收入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%；附属单位上缴收入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%；其他收入</w:t>
      </w:r>
      <w:r>
        <w:rPr>
          <w:rFonts w:hint="eastAsia" w:ascii="仿宋_GB2312" w:hAnsi="仿宋_GB2312" w:eastAsia="仿宋_GB2312" w:cs="仿宋_GB2312"/>
          <w:sz w:val="32"/>
          <w:szCs w:val="32"/>
        </w:rPr>
        <w:t>2431.28</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color w:val="auto"/>
          <w:sz w:val="32"/>
          <w:szCs w:val="32"/>
          <w:highlight w:val="none"/>
          <w:lang w:eastAsia="zh-CN"/>
        </w:rPr>
        <w:t>%。</w:t>
      </w:r>
    </w:p>
    <w:p>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（图2：收入决算结构图）（饼状图）</w:t>
      </w:r>
    </w:p>
    <w:p>
      <w:pPr>
        <w:ind w:firstLine="800" w:firstLineChars="250"/>
        <w:rPr>
          <w:rFonts w:hint="eastAsia" w:ascii="Times New Roman" w:hAnsi="Times New Roman" w:eastAsia="仿宋_GB2312" w:cs="仿宋_GB2312"/>
          <w:color w:val="auto"/>
          <w:sz w:val="32"/>
          <w:szCs w:val="32"/>
          <w:highlight w:val="none"/>
          <w:lang w:eastAsia="zh-CN"/>
        </w:rPr>
      </w:pPr>
    </w:p>
    <w:p>
      <w:pPr>
        <w:pStyle w:val="8"/>
        <w:rPr>
          <w:rFonts w:hint="eastAsia" w:ascii="Times New Roman" w:hAnsi="Times New Roman" w:eastAsia="仿宋_GB2312" w:cs="仿宋_GB2312"/>
          <w:color w:val="auto"/>
          <w:sz w:val="32"/>
          <w:szCs w:val="32"/>
          <w:highlight w:val="none"/>
          <w:lang w:eastAsia="zh-CN"/>
        </w:rPr>
      </w:pPr>
      <w:r>
        <w:rPr>
          <w:rFonts w:hint="eastAsia"/>
        </w:rPr>
        <w:drawing>
          <wp:inline distT="0" distB="0" distL="0" distR="0">
            <wp:extent cx="4819650" cy="3171825"/>
            <wp:effectExtent l="4445" t="4445" r="14605" b="5080"/>
            <wp:docPr id="2"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9"/>
        <w:rPr>
          <w:rFonts w:hint="eastAsia" w:ascii="Times New Roman" w:hAnsi="Times New Roman" w:eastAsia="仿宋_GB2312" w:cs="仿宋_GB2312"/>
          <w:color w:val="auto"/>
          <w:sz w:val="32"/>
          <w:szCs w:val="32"/>
          <w:highlight w:val="none"/>
          <w:lang w:eastAsia="zh-CN"/>
        </w:rPr>
      </w:pPr>
    </w:p>
    <w:p>
      <w:pPr>
        <w:pStyle w:val="9"/>
        <w:rPr>
          <w:rFonts w:hint="eastAsia" w:ascii="Times New Roman" w:hAnsi="Times New Roman" w:eastAsia="仿宋_GB2312" w:cs="仿宋_GB2312"/>
          <w:color w:val="auto"/>
          <w:sz w:val="32"/>
          <w:szCs w:val="32"/>
          <w:highlight w:val="none"/>
          <w:lang w:eastAsia="zh-CN"/>
        </w:rPr>
      </w:pPr>
    </w:p>
    <w:p>
      <w:pPr>
        <w:pStyle w:val="9"/>
        <w:rPr>
          <w:rFonts w:hint="eastAsia" w:ascii="Times New Roman" w:hAnsi="Times New Roman" w:eastAsia="仿宋_GB2312" w:cs="仿宋_GB2312"/>
          <w:color w:val="auto"/>
          <w:sz w:val="32"/>
          <w:szCs w:val="32"/>
          <w:highlight w:val="none"/>
          <w:lang w:eastAsia="zh-CN"/>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bookmarkStart w:id="20" w:name="_Toc15396605"/>
      <w:bookmarkStart w:id="21" w:name="_Toc15377207"/>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29"/>
          <w:rFonts w:hint="eastAsia" w:ascii="Times New Roman" w:hAnsi="Times New Roman" w:eastAsia="黑体"/>
          <w:b w:val="0"/>
          <w:color w:val="auto"/>
          <w:highlight w:val="none"/>
        </w:rPr>
        <w:t>出决算情况说明</w:t>
      </w:r>
      <w:bookmarkEnd w:id="20"/>
      <w:bookmarkEnd w:id="21"/>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2024年度本年支出合计</w:t>
      </w:r>
      <w:r>
        <w:rPr>
          <w:rFonts w:hint="eastAsia" w:ascii="仿宋_GB2312" w:hAnsi="仿宋_GB2312" w:eastAsia="仿宋_GB2312" w:cs="仿宋_GB2312"/>
          <w:sz w:val="32"/>
          <w:szCs w:val="32"/>
        </w:rPr>
        <w:t>76820.99</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sz w:val="32"/>
          <w:szCs w:val="32"/>
        </w:rPr>
        <w:t>60896.22</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79.27</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sz w:val="32"/>
          <w:szCs w:val="32"/>
        </w:rPr>
        <w:t>15924.77</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20.7</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color w:val="auto"/>
          <w:sz w:val="32"/>
          <w:szCs w:val="32"/>
          <w:highlight w:val="none"/>
          <w:lang w:eastAsia="zh-CN"/>
        </w:rPr>
        <w:t>%；上缴上级支出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%；对附属单位补助支出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p>
    <w:p>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（图3：支出决算结构图）（饼状图）</w:t>
      </w:r>
    </w:p>
    <w:p>
      <w:pPr>
        <w:ind w:firstLine="525" w:firstLineChars="250"/>
        <w:rPr>
          <w:rFonts w:hint="eastAsia" w:ascii="Times New Roman" w:hAnsi="Times New Roman" w:eastAsia="仿宋_GB2312" w:cs="仿宋_GB2312"/>
          <w:color w:val="auto"/>
          <w:sz w:val="32"/>
          <w:szCs w:val="32"/>
          <w:highlight w:val="none"/>
          <w:lang w:eastAsia="zh-CN"/>
        </w:rPr>
      </w:pPr>
      <w:r>
        <w:rPr>
          <w:rFonts w:hint="eastAsia"/>
        </w:rPr>
        <w:drawing>
          <wp:inline distT="0" distB="0" distL="0" distR="0">
            <wp:extent cx="4620260" cy="2572385"/>
            <wp:effectExtent l="4445" t="4445" r="23495" b="13970"/>
            <wp:docPr id="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9"/>
        <w:rPr>
          <w:rFonts w:hint="eastAsia" w:ascii="Times New Roman" w:hAnsi="Times New Roman" w:eastAsia="仿宋_GB2312" w:cs="仿宋_GB2312"/>
          <w:color w:val="auto"/>
          <w:sz w:val="32"/>
          <w:szCs w:val="32"/>
          <w:highlight w:val="none"/>
          <w:lang w:eastAsia="zh-CN"/>
        </w:rPr>
      </w:pPr>
    </w:p>
    <w:p>
      <w:pPr>
        <w:pStyle w:val="9"/>
        <w:rPr>
          <w:rFonts w:hint="eastAsia" w:ascii="Times New Roman" w:hAnsi="Times New Roman" w:eastAsia="仿宋_GB2312" w:cs="仿宋_GB2312"/>
          <w:color w:val="auto"/>
          <w:sz w:val="32"/>
          <w:szCs w:val="32"/>
          <w:highlight w:val="none"/>
          <w:lang w:eastAsia="zh-CN"/>
        </w:rPr>
      </w:pPr>
    </w:p>
    <w:p>
      <w:pPr>
        <w:spacing w:line="600" w:lineRule="exact"/>
        <w:ind w:firstLine="640" w:firstLineChars="200"/>
        <w:outlineLvl w:val="1"/>
        <w:rPr>
          <w:rStyle w:val="29"/>
          <w:rFonts w:ascii="Times New Roman" w:hAnsi="Times New Roman" w:eastAsia="黑体"/>
          <w:b w:val="0"/>
          <w:color w:val="auto"/>
          <w:highlight w:val="none"/>
        </w:rPr>
      </w:pPr>
      <w:bookmarkStart w:id="22" w:name="_Toc15396606"/>
      <w:bookmarkStart w:id="23" w:name="_Toc15377208"/>
      <w:r>
        <w:rPr>
          <w:rFonts w:hint="eastAsia" w:ascii="Times New Roman" w:hAnsi="Times New Roman" w:eastAsia="黑体"/>
          <w:color w:val="auto"/>
          <w:sz w:val="32"/>
          <w:szCs w:val="32"/>
          <w:highlight w:val="none"/>
        </w:rPr>
        <w:t>四、财</w:t>
      </w:r>
      <w:r>
        <w:rPr>
          <w:rStyle w:val="29"/>
          <w:rFonts w:hint="eastAsia" w:ascii="Times New Roman" w:hAnsi="Times New Roman" w:eastAsia="黑体"/>
          <w:b w:val="0"/>
          <w:color w:val="auto"/>
          <w:highlight w:val="none"/>
        </w:rPr>
        <w:t>政拨款收入支出决算总体情况说明</w:t>
      </w:r>
      <w:bookmarkEnd w:id="22"/>
      <w:bookmarkEnd w:id="23"/>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ascii="仿宋_GB2312" w:hAnsi="仿宋_GB2312" w:eastAsia="仿宋_GB2312" w:cs="仿宋_GB2312"/>
          <w:sz w:val="32"/>
          <w:szCs w:val="32"/>
        </w:rPr>
        <w:t>71397.68</w:t>
      </w:r>
      <w:r>
        <w:rPr>
          <w:rFonts w:hint="eastAsia" w:ascii="Times New Roman" w:hAnsi="Times New Roman" w:eastAsia="仿宋_GB2312" w:cs="仿宋_GB2312"/>
          <w:color w:val="auto"/>
          <w:kern w:val="2"/>
          <w:sz w:val="32"/>
          <w:szCs w:val="32"/>
          <w:highlight w:val="none"/>
          <w:lang w:val="en-US" w:eastAsia="zh-CN" w:bidi="ar-SA"/>
        </w:rPr>
        <w:t>万元。与2023年度相比，财政拨款收入总计、支出总计各增加</w:t>
      </w:r>
      <w:r>
        <w:rPr>
          <w:rFonts w:hint="eastAsia" w:eastAsia="仿宋_GB2312" w:cs="仿宋_GB2312"/>
          <w:color w:val="auto"/>
          <w:kern w:val="2"/>
          <w:sz w:val="32"/>
          <w:szCs w:val="32"/>
          <w:highlight w:val="none"/>
          <w:lang w:val="en-US" w:eastAsia="zh-CN" w:bidi="ar-SA"/>
        </w:rPr>
        <w:t>733.85</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1.04</w:t>
      </w:r>
      <w:r>
        <w:rPr>
          <w:rFonts w:hint="eastAsia" w:ascii="Times New Roman" w:hAnsi="Times New Roman" w:eastAsia="仿宋_GB2312" w:cs="仿宋_GB2312"/>
          <w:color w:val="auto"/>
          <w:kern w:val="2"/>
          <w:sz w:val="32"/>
          <w:szCs w:val="32"/>
          <w:highlight w:val="none"/>
          <w:lang w:val="en-US" w:eastAsia="zh-CN" w:bidi="ar-SA"/>
        </w:rPr>
        <w:t>%。主要变动原因是教育投入增加以及偿还以往年度欠款。</w:t>
      </w:r>
    </w:p>
    <w:p>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（图4：财政拨款收、支决算总计变动情况）（柱状图）</w:t>
      </w:r>
    </w:p>
    <w:p>
      <w:pPr>
        <w:pStyle w:val="8"/>
        <w:rPr>
          <w:rFonts w:hint="eastAsia" w:ascii="Times New Roman" w:hAnsi="Times New Roman" w:eastAsia="仿宋_GB2312" w:cs="仿宋_GB2312"/>
          <w:color w:val="auto"/>
          <w:kern w:val="2"/>
          <w:sz w:val="32"/>
          <w:szCs w:val="32"/>
          <w:highlight w:val="none"/>
          <w:lang w:val="en-US" w:eastAsia="zh-CN" w:bidi="ar-SA"/>
        </w:rPr>
      </w:pPr>
      <w:r>
        <w:rPr>
          <w:rFonts w:hint="eastAsia"/>
        </w:rPr>
        <w:drawing>
          <wp:anchor distT="0" distB="0" distL="0" distR="0" simplePos="0" relativeHeight="251660288" behindDoc="0" locked="0" layoutInCell="1" allowOverlap="1">
            <wp:simplePos x="0" y="0"/>
            <wp:positionH relativeFrom="column">
              <wp:posOffset>-71755</wp:posOffset>
            </wp:positionH>
            <wp:positionV relativeFrom="paragraph">
              <wp:posOffset>466090</wp:posOffset>
            </wp:positionV>
            <wp:extent cx="5274310" cy="2849245"/>
            <wp:effectExtent l="4445" t="4445" r="17145" b="22860"/>
            <wp:wrapSquare wrapText="bothSides"/>
            <wp:docPr id="7"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9"/>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firstLineChars="200"/>
        <w:outlineLvl w:val="1"/>
        <w:rPr>
          <w:rStyle w:val="29"/>
          <w:rFonts w:ascii="Times New Roman" w:hAnsi="Times New Roman" w:eastAsia="黑体"/>
          <w:b w:val="0"/>
          <w:color w:val="auto"/>
          <w:highlight w:val="none"/>
        </w:rPr>
      </w:pPr>
      <w:bookmarkStart w:id="24" w:name="_Toc15396607"/>
      <w:bookmarkStart w:id="25" w:name="_Toc15377209"/>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般公共预算财政拨款支出决算情况说明</w:t>
      </w:r>
      <w:bookmarkEnd w:id="24"/>
      <w:bookmarkEnd w:id="25"/>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26"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26"/>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70549.98</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91.83</w:t>
      </w:r>
      <w:r>
        <w:rPr>
          <w:rFonts w:hint="eastAsia" w:ascii="仿宋_GB2312" w:hAnsi="仿宋_GB2312" w:eastAsia="仿宋_GB2312" w:cs="仿宋_GB2312"/>
          <w:color w:val="auto"/>
          <w:kern w:val="2"/>
          <w:sz w:val="32"/>
          <w:szCs w:val="32"/>
          <w:highlight w:val="none"/>
          <w:lang w:val="en-US" w:eastAsia="zh-CN" w:bidi="ar-SA"/>
        </w:rPr>
        <w:t>%。与2023年度相比，一般公共预算财政拨款支出增加749.26万元，增长1.07%。主要变动原因</w:t>
      </w:r>
      <w:r>
        <w:rPr>
          <w:rFonts w:hint="eastAsia" w:ascii="仿宋_GB2312" w:hAnsi="仿宋_GB2312" w:eastAsia="仿宋_GB2312" w:cs="仿宋_GB2312"/>
          <w:sz w:val="32"/>
          <w:szCs w:val="32"/>
          <w:lang w:val="en-US" w:eastAsia="zh-CN"/>
        </w:rPr>
        <w:t>是</w:t>
      </w:r>
      <w:r>
        <w:rPr>
          <w:rFonts w:hint="eastAsia" w:ascii="仿宋_GB2312" w:hAnsi="仿宋_GB2312" w:eastAsia="仿宋_GB2312" w:cs="仿宋_GB2312"/>
          <w:sz w:val="32"/>
          <w:szCs w:val="32"/>
          <w:lang w:eastAsia="zh-CN"/>
        </w:rPr>
        <w:t>教育投入增加以及偿还以往年度欠款。</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（图5：一般公共预算财政拨款支出决算变动情况）（柱状图）</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pStyle w:val="8"/>
        <w:rPr>
          <w:rFonts w:hint="eastAsia" w:ascii="Times New Roman" w:hAnsi="Times New Roman" w:eastAsia="仿宋_GB2312" w:cs="仿宋_GB2312"/>
          <w:color w:val="auto"/>
          <w:kern w:val="2"/>
          <w:sz w:val="32"/>
          <w:szCs w:val="32"/>
          <w:highlight w:val="none"/>
          <w:lang w:val="en-US" w:eastAsia="zh-CN" w:bidi="ar-SA"/>
        </w:rPr>
      </w:pPr>
      <w:r>
        <w:rPr>
          <w:rFonts w:hint="eastAsia"/>
        </w:rPr>
        <w:drawing>
          <wp:inline distT="0" distB="0" distL="0" distR="0">
            <wp:extent cx="5274310" cy="3076575"/>
            <wp:effectExtent l="5080" t="4445" r="16510" b="5080"/>
            <wp:docPr id="8"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9"/>
        <w:rPr>
          <w:rFonts w:hint="eastAsia" w:ascii="Times New Roman" w:hAnsi="Times New Roman" w:eastAsia="仿宋_GB2312" w:cs="仿宋_GB2312"/>
          <w:color w:val="auto"/>
          <w:kern w:val="2"/>
          <w:sz w:val="32"/>
          <w:szCs w:val="32"/>
          <w:highlight w:val="none"/>
          <w:lang w:val="en-US" w:eastAsia="zh-CN" w:bidi="ar-SA"/>
        </w:rPr>
      </w:pPr>
    </w:p>
    <w:p>
      <w:pPr>
        <w:pStyle w:val="9"/>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27"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27"/>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70549.98</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，主要用于以下方面</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一般公共服务支出</w:t>
      </w:r>
      <w:r>
        <w:rPr>
          <w:rFonts w:hint="eastAsia" w:eastAsia="仿宋_GB2312" w:cs="仿宋_GB2312"/>
          <w:color w:val="auto"/>
          <w:kern w:val="2"/>
          <w:sz w:val="32"/>
          <w:szCs w:val="32"/>
          <w:highlight w:val="none"/>
          <w:lang w:val="en-US" w:eastAsia="zh-CN" w:bidi="ar-SA"/>
        </w:rPr>
        <w:t>45.39</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0.06</w:t>
      </w:r>
      <w:r>
        <w:rPr>
          <w:rFonts w:hint="eastAsia" w:ascii="Times New Roman" w:hAnsi="Times New Roman" w:eastAsia="仿宋_GB2312" w:cs="仿宋_GB2312"/>
          <w:color w:val="auto"/>
          <w:kern w:val="2"/>
          <w:sz w:val="32"/>
          <w:szCs w:val="32"/>
          <w:highlight w:val="none"/>
          <w:lang w:val="en-US" w:eastAsia="zh-CN" w:bidi="ar-SA"/>
        </w:rPr>
        <w:t>%；教育支出</w:t>
      </w:r>
      <w:r>
        <w:rPr>
          <w:rFonts w:hint="eastAsia" w:eastAsia="仿宋_GB2312" w:cs="仿宋_GB2312"/>
          <w:color w:val="auto"/>
          <w:kern w:val="2"/>
          <w:sz w:val="32"/>
          <w:szCs w:val="32"/>
          <w:highlight w:val="none"/>
          <w:lang w:val="en-US" w:eastAsia="zh-CN" w:bidi="ar-SA"/>
        </w:rPr>
        <w:t>53042.11</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75.18</w:t>
      </w:r>
      <w:r>
        <w:rPr>
          <w:rFonts w:hint="eastAsia" w:ascii="Times New Roman" w:hAnsi="Times New Roman" w:eastAsia="仿宋_GB2312" w:cs="仿宋_GB2312"/>
          <w:color w:val="auto"/>
          <w:kern w:val="2"/>
          <w:sz w:val="32"/>
          <w:szCs w:val="32"/>
          <w:highlight w:val="none"/>
          <w:lang w:val="en-US" w:eastAsia="zh-CN" w:bidi="ar-SA"/>
        </w:rPr>
        <w:t>%；文化旅游体育与传媒支出</w:t>
      </w:r>
      <w:r>
        <w:rPr>
          <w:rFonts w:hint="eastAsia" w:ascii="仿宋" w:hAnsi="仿宋" w:eastAsia="仿宋"/>
          <w:sz w:val="32"/>
          <w:szCs w:val="32"/>
          <w:lang w:val="en-US" w:eastAsia="zh-CN"/>
        </w:rPr>
        <w:t>1088.6</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1.54</w:t>
      </w:r>
      <w:r>
        <w:rPr>
          <w:rFonts w:hint="eastAsia" w:ascii="Times New Roman" w:hAnsi="Times New Roman" w:eastAsia="仿宋_GB2312" w:cs="仿宋_GB2312"/>
          <w:color w:val="auto"/>
          <w:kern w:val="2"/>
          <w:sz w:val="32"/>
          <w:szCs w:val="32"/>
          <w:highlight w:val="none"/>
          <w:lang w:val="en-US" w:eastAsia="zh-CN" w:bidi="ar-SA"/>
        </w:rPr>
        <w:t>%；社会保障和就业支出</w:t>
      </w:r>
      <w:r>
        <w:rPr>
          <w:rFonts w:hint="eastAsia" w:eastAsia="仿宋_GB2312" w:cs="仿宋_GB2312"/>
          <w:color w:val="auto"/>
          <w:kern w:val="2"/>
          <w:sz w:val="32"/>
          <w:szCs w:val="32"/>
          <w:highlight w:val="none"/>
          <w:lang w:val="en-US" w:eastAsia="zh-CN" w:bidi="ar-SA"/>
        </w:rPr>
        <w:t>9251.93</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13.11</w:t>
      </w:r>
      <w:r>
        <w:rPr>
          <w:rFonts w:hint="eastAsia" w:ascii="Times New Roman" w:hAnsi="Times New Roman" w:eastAsia="仿宋_GB2312" w:cs="仿宋_GB2312"/>
          <w:color w:val="auto"/>
          <w:kern w:val="2"/>
          <w:sz w:val="32"/>
          <w:szCs w:val="32"/>
          <w:highlight w:val="none"/>
          <w:lang w:val="en-US" w:eastAsia="zh-CN" w:bidi="ar-SA"/>
        </w:rPr>
        <w:t>%；卫生健康支出</w:t>
      </w:r>
      <w:r>
        <w:rPr>
          <w:rFonts w:hint="eastAsia" w:eastAsia="仿宋_GB2312" w:cs="仿宋_GB2312"/>
          <w:color w:val="auto"/>
          <w:kern w:val="2"/>
          <w:sz w:val="32"/>
          <w:szCs w:val="32"/>
          <w:highlight w:val="none"/>
          <w:lang w:val="en-US" w:eastAsia="zh-CN" w:bidi="ar-SA"/>
        </w:rPr>
        <w:t>2946.55</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4.18</w:t>
      </w:r>
      <w:r>
        <w:rPr>
          <w:rFonts w:hint="eastAsia" w:ascii="Times New Roman" w:hAnsi="Times New Roman" w:eastAsia="仿宋_GB2312" w:cs="仿宋_GB2312"/>
          <w:color w:val="auto"/>
          <w:kern w:val="2"/>
          <w:sz w:val="32"/>
          <w:szCs w:val="32"/>
          <w:highlight w:val="none"/>
          <w:lang w:val="en-US" w:eastAsia="zh-CN" w:bidi="ar-SA"/>
        </w:rPr>
        <w:t>%；住房保障支出</w:t>
      </w:r>
      <w:r>
        <w:rPr>
          <w:rFonts w:hint="eastAsia" w:eastAsia="仿宋_GB2312" w:cs="仿宋_GB2312"/>
          <w:color w:val="auto"/>
          <w:kern w:val="2"/>
          <w:sz w:val="32"/>
          <w:szCs w:val="32"/>
          <w:highlight w:val="none"/>
          <w:lang w:val="en-US" w:eastAsia="zh-CN" w:bidi="ar-SA"/>
        </w:rPr>
        <w:t>4175.4</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5.92</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（图6：一般公共预算财政拨款支出决算结构）（饼状图）</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pStyle w:val="8"/>
        <w:rPr>
          <w:rFonts w:hint="eastAsia" w:ascii="Times New Roman" w:hAnsi="Times New Roman" w:eastAsia="仿宋_GB2312" w:cs="仿宋_GB2312"/>
          <w:color w:val="auto"/>
          <w:kern w:val="2"/>
          <w:sz w:val="32"/>
          <w:szCs w:val="32"/>
          <w:highlight w:val="none"/>
          <w:lang w:val="en-US" w:eastAsia="zh-CN" w:bidi="ar-SA"/>
        </w:rPr>
      </w:pPr>
      <w:r>
        <w:rPr>
          <w:rFonts w:hint="eastAsia"/>
        </w:rPr>
        <w:drawing>
          <wp:inline distT="0" distB="0" distL="0" distR="0">
            <wp:extent cx="5274310" cy="3076575"/>
            <wp:effectExtent l="5080" t="4445" r="16510" b="5080"/>
            <wp:docPr id="12"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9"/>
        <w:rPr>
          <w:rFonts w:hint="eastAsia" w:ascii="Times New Roman" w:hAnsi="Times New Roman" w:eastAsia="仿宋_GB2312" w:cs="仿宋_GB2312"/>
          <w:color w:val="auto"/>
          <w:kern w:val="2"/>
          <w:sz w:val="32"/>
          <w:szCs w:val="32"/>
          <w:highlight w:val="none"/>
          <w:lang w:val="en-US" w:eastAsia="zh-CN" w:bidi="ar-SA"/>
        </w:rPr>
      </w:pPr>
    </w:p>
    <w:p>
      <w:pPr>
        <w:pStyle w:val="9"/>
        <w:rPr>
          <w:rFonts w:hint="eastAsia" w:ascii="Times New Roman" w:hAnsi="Times New Roman" w:eastAsia="仿宋_GB2312" w:cs="仿宋_GB2312"/>
          <w:color w:val="auto"/>
          <w:kern w:val="2"/>
          <w:sz w:val="32"/>
          <w:szCs w:val="32"/>
          <w:highlight w:val="none"/>
          <w:lang w:val="en-US" w:eastAsia="zh-CN" w:bidi="ar-SA"/>
        </w:rPr>
      </w:pPr>
    </w:p>
    <w:p>
      <w:pPr>
        <w:pStyle w:val="9"/>
        <w:rPr>
          <w:rFonts w:hint="eastAsia" w:ascii="Times New Roman" w:hAnsi="Times New Roman" w:eastAsia="仿宋_GB2312" w:cs="仿宋_GB2312"/>
          <w:color w:val="auto"/>
          <w:kern w:val="2"/>
          <w:sz w:val="32"/>
          <w:szCs w:val="32"/>
          <w:highlight w:val="none"/>
          <w:lang w:val="en-US" w:eastAsia="zh-CN" w:bidi="ar-SA"/>
        </w:rPr>
      </w:pPr>
    </w:p>
    <w:p>
      <w:pPr>
        <w:pStyle w:val="9"/>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28" w:name="_Toc15377212"/>
      <w:r>
        <w:rPr>
          <w:rFonts w:hint="eastAsia" w:ascii="Times New Roman" w:hAnsi="Times New Roman" w:eastAsia="楷体_GB2312" w:cs="楷体_GB2312"/>
          <w:b/>
          <w:color w:val="auto"/>
          <w:sz w:val="32"/>
          <w:szCs w:val="32"/>
          <w:highlight w:val="none"/>
        </w:rPr>
        <w:t>（三）一般公共预算财政拨款支出决算具体情况</w:t>
      </w:r>
      <w:bookmarkEnd w:id="28"/>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29" w:name="_Toc15377213"/>
      <w:bookmarkStart w:id="30" w:name="_Toc15377444"/>
      <w:bookmarkStart w:id="31" w:name="_Toc15378460"/>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w:t>
      </w:r>
      <w:r>
        <w:rPr>
          <w:rFonts w:hint="eastAsia" w:ascii="仿宋_GB2312" w:hAnsi="仿宋_GB2312" w:eastAsia="仿宋_GB2312" w:cs="仿宋_GB2312"/>
          <w:sz w:val="32"/>
          <w:szCs w:val="32"/>
        </w:rPr>
        <w:t>70549.98</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%。其中：</w:t>
      </w:r>
      <w:bookmarkEnd w:id="29"/>
      <w:bookmarkEnd w:id="30"/>
      <w:bookmarkEnd w:id="31"/>
    </w:p>
    <w:p>
      <w:pPr>
        <w:numPr>
          <w:ilvl w:val="0"/>
          <w:numId w:val="2"/>
        </w:numPr>
        <w:spacing w:line="600" w:lineRule="exact"/>
        <w:ind w:left="0" w:leftChars="0" w:firstLine="400" w:firstLineChars="0"/>
        <w:rPr>
          <w:rStyle w:val="17"/>
          <w:rFonts w:hint="eastAsia" w:ascii="仿宋" w:hAnsi="仿宋" w:eastAsia="仿宋"/>
          <w:b w:val="0"/>
          <w:bCs/>
          <w:sz w:val="32"/>
          <w:szCs w:val="32"/>
          <w:lang w:eastAsia="zh-CN"/>
        </w:rPr>
      </w:pPr>
      <w:r>
        <w:rPr>
          <w:rStyle w:val="17"/>
          <w:rFonts w:hint="eastAsia" w:ascii="仿宋" w:hAnsi="仿宋" w:eastAsia="仿宋"/>
          <w:bCs/>
          <w:sz w:val="32"/>
          <w:szCs w:val="32"/>
        </w:rPr>
        <w:t>一般公共服务（类）</w:t>
      </w:r>
      <w:r>
        <w:rPr>
          <w:rStyle w:val="17"/>
          <w:rFonts w:hint="eastAsia" w:ascii="仿宋" w:eastAsia="仿宋"/>
          <w:bCs/>
          <w:color w:val="auto"/>
          <w:sz w:val="32"/>
          <w:szCs w:val="32"/>
          <w:highlight w:val="none"/>
          <w:lang w:eastAsia="zh-CN"/>
        </w:rPr>
        <w:t>组织事务（</w:t>
      </w:r>
      <w:r>
        <w:rPr>
          <w:rStyle w:val="17"/>
          <w:rFonts w:hint="eastAsia" w:ascii="仿宋" w:eastAsia="仿宋"/>
          <w:bCs/>
          <w:color w:val="auto"/>
          <w:sz w:val="32"/>
          <w:szCs w:val="32"/>
          <w:highlight w:val="none"/>
        </w:rPr>
        <w:t>款）</w:t>
      </w:r>
      <w:r>
        <w:rPr>
          <w:rStyle w:val="17"/>
          <w:rFonts w:hint="eastAsia" w:ascii="仿宋" w:eastAsia="仿宋"/>
          <w:bCs/>
          <w:color w:val="auto"/>
          <w:sz w:val="32"/>
          <w:szCs w:val="32"/>
          <w:highlight w:val="none"/>
          <w:lang w:eastAsia="zh-CN"/>
        </w:rPr>
        <w:t>其他组织事务支出</w:t>
      </w:r>
      <w:r>
        <w:rPr>
          <w:rStyle w:val="17"/>
          <w:rFonts w:hint="eastAsia" w:ascii="仿宋" w:eastAsia="仿宋"/>
          <w:bCs/>
          <w:color w:val="auto"/>
          <w:sz w:val="32"/>
          <w:szCs w:val="32"/>
          <w:highlight w:val="none"/>
        </w:rPr>
        <w:t>（项）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highlight w:val="none"/>
          <w:lang w:val="en-US" w:eastAsia="zh-CN"/>
        </w:rPr>
        <w:t>45.39</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p>
    <w:p>
      <w:pPr>
        <w:numPr>
          <w:ilvl w:val="0"/>
          <w:numId w:val="2"/>
        </w:numPr>
        <w:spacing w:line="600" w:lineRule="exact"/>
        <w:ind w:left="0" w:leftChars="0" w:firstLine="400" w:firstLineChars="0"/>
        <w:rPr>
          <w:rStyle w:val="17"/>
          <w:rFonts w:hint="eastAsia" w:ascii="仿宋" w:hAnsi="仿宋" w:eastAsia="仿宋"/>
          <w:b w:val="0"/>
          <w:bCs/>
          <w:sz w:val="32"/>
          <w:szCs w:val="32"/>
        </w:rPr>
      </w:pPr>
      <w:r>
        <w:rPr>
          <w:rStyle w:val="17"/>
          <w:rFonts w:hint="eastAsia" w:ascii="仿宋" w:hAnsi="仿宋" w:eastAsia="仿宋"/>
          <w:bCs/>
          <w:sz w:val="32"/>
          <w:szCs w:val="32"/>
        </w:rPr>
        <w:t>教育（类）</w:t>
      </w:r>
      <w:r>
        <w:rPr>
          <w:rStyle w:val="17"/>
          <w:rFonts w:hint="eastAsia" w:ascii="仿宋" w:hAnsi="仿宋" w:eastAsia="仿宋"/>
          <w:bCs/>
          <w:color w:val="000000"/>
          <w:sz w:val="32"/>
          <w:szCs w:val="32"/>
        </w:rPr>
        <w:t>教育管理事务（款）行政运行</w:t>
      </w:r>
      <w:r>
        <w:rPr>
          <w:rStyle w:val="17"/>
          <w:rFonts w:hint="eastAsia" w:ascii="仿宋" w:hAnsi="仿宋" w:eastAsia="仿宋"/>
          <w:bCs/>
          <w:sz w:val="32"/>
          <w:szCs w:val="32"/>
        </w:rPr>
        <w:t>（项）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1092.72</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pStyle w:val="8"/>
        <w:numPr>
          <w:ilvl w:val="0"/>
          <w:numId w:val="2"/>
        </w:numPr>
        <w:ind w:left="0" w:leftChars="0" w:firstLine="400" w:firstLineChars="0"/>
        <w:rPr>
          <w:rStyle w:val="17"/>
          <w:rFonts w:hint="eastAsia" w:ascii="仿宋" w:eastAsia="仿宋"/>
          <w:b w:val="0"/>
          <w:bCs/>
          <w:color w:val="auto"/>
          <w:sz w:val="32"/>
          <w:szCs w:val="32"/>
          <w:highlight w:val="none"/>
        </w:rPr>
      </w:pPr>
      <w:r>
        <w:rPr>
          <w:rStyle w:val="17"/>
          <w:rFonts w:hint="eastAsia" w:ascii="仿宋" w:hAnsi="仿宋" w:eastAsia="仿宋"/>
          <w:bCs/>
          <w:color w:val="000000"/>
          <w:sz w:val="32"/>
          <w:szCs w:val="32"/>
        </w:rPr>
        <w:t>教育（类）教育管理事务（款）</w:t>
      </w:r>
      <w:r>
        <w:rPr>
          <w:rStyle w:val="17"/>
          <w:rFonts w:hint="eastAsia" w:ascii="仿宋" w:hAnsi="仿宋" w:eastAsia="仿宋"/>
          <w:bCs/>
          <w:color w:val="000000"/>
          <w:sz w:val="32"/>
          <w:szCs w:val="32"/>
          <w:lang w:eastAsia="zh-CN"/>
        </w:rPr>
        <w:t>其他教育管理事务支出</w:t>
      </w:r>
      <w:r>
        <w:rPr>
          <w:rStyle w:val="17"/>
          <w:rFonts w:hint="eastAsia" w:ascii="仿宋" w:hAnsi="仿宋" w:eastAsia="仿宋"/>
          <w:bCs/>
          <w:color w:val="000000"/>
          <w:sz w:val="32"/>
          <w:szCs w:val="32"/>
        </w:rPr>
        <w:t>（项）</w:t>
      </w:r>
      <w:r>
        <w:rPr>
          <w:rStyle w:val="17"/>
          <w:rFonts w:ascii="仿宋" w:eastAsia="仿宋"/>
          <w:bCs/>
          <w:color w:val="auto"/>
          <w:sz w:val="32"/>
          <w:szCs w:val="32"/>
          <w:highlight w:val="none"/>
        </w:rPr>
        <w:t>:</w:t>
      </w:r>
      <w:r>
        <w:rPr>
          <w:rStyle w:val="17"/>
          <w:rFonts w:ascii="仿宋" w:eastAsia="仿宋"/>
          <w:b w:val="0"/>
          <w:bCs/>
          <w:color w:val="auto"/>
          <w:sz w:val="32"/>
          <w:szCs w:val="32"/>
          <w:highlight w:val="none"/>
        </w:rPr>
        <w:t xml:space="preserve"> </w:t>
      </w:r>
      <w:r>
        <w:rPr>
          <w:rStyle w:val="17"/>
          <w:rFonts w:hint="eastAsia" w:ascii="仿宋" w:eastAsia="仿宋"/>
          <w:b w:val="0"/>
          <w:bCs/>
          <w:color w:val="auto"/>
          <w:sz w:val="32"/>
          <w:szCs w:val="32"/>
          <w:highlight w:val="none"/>
        </w:rPr>
        <w:t>支出决算为</w:t>
      </w:r>
      <w:r>
        <w:rPr>
          <w:rStyle w:val="17"/>
          <w:rFonts w:hint="eastAsia" w:ascii="仿宋" w:eastAsia="仿宋"/>
          <w:b w:val="0"/>
          <w:bCs/>
          <w:color w:val="auto"/>
          <w:sz w:val="32"/>
          <w:szCs w:val="32"/>
          <w:highlight w:val="none"/>
          <w:lang w:val="en-US" w:eastAsia="zh-CN"/>
        </w:rPr>
        <w:t>367.25</w:t>
      </w:r>
      <w:r>
        <w:rPr>
          <w:rStyle w:val="17"/>
          <w:rFonts w:hint="eastAsia" w:ascii="仿宋" w:eastAsia="仿宋"/>
          <w:b w:val="0"/>
          <w:bCs/>
          <w:color w:val="auto"/>
          <w:sz w:val="32"/>
          <w:szCs w:val="32"/>
          <w:highlight w:val="none"/>
        </w:rPr>
        <w:t>万元，完成预算</w:t>
      </w:r>
      <w:r>
        <w:rPr>
          <w:rStyle w:val="17"/>
          <w:rFonts w:hint="eastAsia" w:ascii="仿宋" w:eastAsia="仿宋"/>
          <w:b w:val="0"/>
          <w:bCs/>
          <w:color w:val="auto"/>
          <w:sz w:val="32"/>
          <w:szCs w:val="32"/>
          <w:highlight w:val="none"/>
          <w:lang w:val="en-US" w:eastAsia="zh-CN"/>
        </w:rPr>
        <w:t>100</w:t>
      </w:r>
      <w:r>
        <w:rPr>
          <w:rStyle w:val="17"/>
          <w:rFonts w:ascii="仿宋" w:eastAsia="仿宋"/>
          <w:b w:val="0"/>
          <w:bCs/>
          <w:color w:val="auto"/>
          <w:sz w:val="32"/>
          <w:szCs w:val="32"/>
          <w:highlight w:val="none"/>
        </w:rPr>
        <w:t>%</w:t>
      </w:r>
      <w:r>
        <w:rPr>
          <w:rStyle w:val="17"/>
          <w:rFonts w:hint="eastAsia" w:ascii="仿宋" w:eastAsia="仿宋"/>
          <w:b w:val="0"/>
          <w:bCs/>
          <w:color w:val="auto"/>
          <w:sz w:val="32"/>
          <w:szCs w:val="32"/>
          <w:highlight w:val="none"/>
        </w:rPr>
        <w:t>。</w:t>
      </w:r>
    </w:p>
    <w:p>
      <w:pPr>
        <w:numPr>
          <w:ilvl w:val="0"/>
          <w:numId w:val="2"/>
        </w:numPr>
        <w:spacing w:line="600" w:lineRule="exact"/>
        <w:ind w:left="0" w:leftChars="0" w:firstLine="400" w:firstLineChars="0"/>
        <w:rPr>
          <w:rStyle w:val="17"/>
          <w:rFonts w:hint="eastAsia" w:ascii="仿宋" w:hAnsi="仿宋" w:eastAsia="仿宋"/>
          <w:b w:val="0"/>
          <w:bCs/>
          <w:sz w:val="32"/>
          <w:szCs w:val="32"/>
        </w:rPr>
      </w:pPr>
      <w:r>
        <w:rPr>
          <w:rStyle w:val="17"/>
          <w:rFonts w:hint="eastAsia" w:ascii="仿宋" w:hAnsi="仿宋" w:eastAsia="仿宋"/>
          <w:bCs/>
          <w:sz w:val="32"/>
          <w:szCs w:val="32"/>
        </w:rPr>
        <w:t>教育（类）普通教育（款）学前教育（项）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2387.91</w:t>
      </w:r>
      <w:r>
        <w:rPr>
          <w:rStyle w:val="17"/>
          <w:rFonts w:hint="eastAsia" w:ascii="仿宋" w:hAnsi="仿宋" w:eastAsia="仿宋"/>
          <w:b w:val="0"/>
          <w:bCs/>
          <w:sz w:val="32"/>
          <w:szCs w:val="32"/>
        </w:rPr>
        <w:t>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numPr>
          <w:ilvl w:val="0"/>
          <w:numId w:val="2"/>
        </w:numPr>
        <w:spacing w:line="600" w:lineRule="exact"/>
        <w:ind w:left="0" w:leftChars="0" w:firstLine="400" w:firstLineChars="0"/>
      </w:pPr>
      <w:r>
        <w:rPr>
          <w:rStyle w:val="17"/>
          <w:rFonts w:hint="eastAsia" w:ascii="仿宋" w:hAnsi="仿宋" w:eastAsia="仿宋"/>
          <w:bCs/>
          <w:sz w:val="32"/>
          <w:szCs w:val="32"/>
        </w:rPr>
        <w:t>教育（类）普通教育（款）</w:t>
      </w:r>
      <w:r>
        <w:rPr>
          <w:rStyle w:val="17"/>
          <w:rFonts w:hint="eastAsia" w:ascii="仿宋" w:hAnsi="仿宋" w:eastAsia="仿宋"/>
          <w:bCs/>
          <w:sz w:val="32"/>
          <w:szCs w:val="32"/>
          <w:lang w:eastAsia="zh-CN"/>
        </w:rPr>
        <w:t>小学</w:t>
      </w:r>
      <w:r>
        <w:rPr>
          <w:rStyle w:val="17"/>
          <w:rFonts w:hint="eastAsia" w:ascii="仿宋" w:hAnsi="仿宋" w:eastAsia="仿宋"/>
          <w:bCs/>
          <w:sz w:val="32"/>
          <w:szCs w:val="32"/>
        </w:rPr>
        <w:t>教育（项）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2</w:t>
      </w:r>
      <w:r>
        <w:rPr>
          <w:rStyle w:val="17"/>
          <w:rFonts w:hint="eastAsia" w:ascii="仿宋" w:hAnsi="仿宋" w:eastAsia="仿宋"/>
          <w:b w:val="0"/>
          <w:bCs/>
          <w:sz w:val="32"/>
          <w:szCs w:val="32"/>
        </w:rPr>
        <w:t>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numPr>
          <w:ilvl w:val="0"/>
          <w:numId w:val="2"/>
        </w:numPr>
        <w:spacing w:line="600" w:lineRule="exact"/>
        <w:ind w:left="0" w:leftChars="0" w:firstLine="400" w:firstLineChars="0"/>
        <w:rPr>
          <w:rFonts w:ascii="仿宋" w:hAnsi="仿宋" w:eastAsia="仿宋"/>
          <w:b/>
          <w:sz w:val="32"/>
          <w:szCs w:val="32"/>
        </w:rPr>
      </w:pPr>
      <w:r>
        <w:rPr>
          <w:rStyle w:val="17"/>
          <w:rFonts w:hint="eastAsia" w:ascii="仿宋" w:hAnsi="仿宋" w:eastAsia="仿宋"/>
          <w:bCs/>
          <w:sz w:val="32"/>
          <w:szCs w:val="32"/>
        </w:rPr>
        <w:t>教育（类）普通教育（款）初中教育（项）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13528.53</w:t>
      </w:r>
      <w:r>
        <w:rPr>
          <w:rStyle w:val="17"/>
          <w:rFonts w:hint="eastAsia" w:ascii="仿宋" w:hAnsi="仿宋" w:eastAsia="仿宋"/>
          <w:b w:val="0"/>
          <w:bCs/>
          <w:sz w:val="32"/>
          <w:szCs w:val="32"/>
        </w:rPr>
        <w:t>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numPr>
          <w:ilvl w:val="0"/>
          <w:numId w:val="2"/>
        </w:numPr>
        <w:spacing w:line="600" w:lineRule="exact"/>
        <w:ind w:left="0" w:leftChars="0" w:firstLine="400" w:firstLineChars="0"/>
        <w:rPr>
          <w:rFonts w:ascii="仿宋" w:hAnsi="仿宋" w:eastAsia="仿宋"/>
          <w:b/>
          <w:sz w:val="32"/>
          <w:szCs w:val="32"/>
        </w:rPr>
      </w:pPr>
      <w:r>
        <w:rPr>
          <w:rStyle w:val="17"/>
          <w:rFonts w:hint="eastAsia" w:ascii="仿宋" w:hAnsi="仿宋" w:eastAsia="仿宋"/>
          <w:bCs/>
          <w:sz w:val="32"/>
          <w:szCs w:val="32"/>
        </w:rPr>
        <w:t>教育（类）普通教育（款）高中教育（项）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18100.96</w:t>
      </w:r>
      <w:r>
        <w:rPr>
          <w:rStyle w:val="17"/>
          <w:rFonts w:hint="eastAsia" w:ascii="仿宋" w:hAnsi="仿宋" w:eastAsia="仿宋"/>
          <w:b w:val="0"/>
          <w:bCs/>
          <w:sz w:val="32"/>
          <w:szCs w:val="32"/>
        </w:rPr>
        <w:t>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numPr>
          <w:ilvl w:val="0"/>
          <w:numId w:val="2"/>
        </w:numPr>
        <w:spacing w:line="600" w:lineRule="exact"/>
        <w:ind w:left="0" w:leftChars="0" w:firstLine="400" w:firstLineChars="0"/>
        <w:rPr>
          <w:rStyle w:val="17"/>
          <w:rFonts w:hint="eastAsia" w:ascii="仿宋" w:hAnsi="仿宋" w:eastAsia="仿宋"/>
          <w:b w:val="0"/>
          <w:bCs/>
          <w:color w:val="000000"/>
          <w:sz w:val="32"/>
          <w:szCs w:val="32"/>
          <w:lang w:eastAsia="zh-CN"/>
        </w:rPr>
      </w:pPr>
      <w:r>
        <w:rPr>
          <w:rStyle w:val="17"/>
          <w:rFonts w:hint="eastAsia" w:ascii="仿宋" w:hAnsi="仿宋" w:eastAsia="仿宋"/>
          <w:bCs/>
          <w:color w:val="000000"/>
          <w:sz w:val="32"/>
          <w:szCs w:val="32"/>
        </w:rPr>
        <w:t>教育（类）</w:t>
      </w:r>
      <w:r>
        <w:rPr>
          <w:rStyle w:val="17"/>
          <w:rFonts w:hint="eastAsia" w:ascii="仿宋" w:hAnsi="仿宋" w:eastAsia="仿宋"/>
          <w:bCs/>
          <w:color w:val="000000"/>
          <w:sz w:val="32"/>
          <w:szCs w:val="32"/>
          <w:lang w:eastAsia="zh-CN"/>
        </w:rPr>
        <w:t>职业教育</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中等职业教育</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12474.16</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lang w:eastAsia="zh-CN"/>
        </w:rPr>
        <w:t>。</w:t>
      </w:r>
    </w:p>
    <w:p>
      <w:pPr>
        <w:pStyle w:val="8"/>
        <w:numPr>
          <w:ilvl w:val="0"/>
          <w:numId w:val="2"/>
        </w:numPr>
        <w:spacing w:before="93"/>
        <w:ind w:left="0" w:leftChars="0" w:firstLine="400" w:firstLineChars="0"/>
        <w:rPr>
          <w:rStyle w:val="17"/>
          <w:rFonts w:ascii="仿宋" w:hAnsi="仿宋" w:eastAsia="仿宋"/>
          <w:b w:val="0"/>
          <w:bCs/>
          <w:sz w:val="32"/>
          <w:szCs w:val="32"/>
        </w:rPr>
      </w:pPr>
      <w:r>
        <w:rPr>
          <w:rStyle w:val="17"/>
          <w:rFonts w:hint="eastAsia" w:ascii="仿宋" w:hAnsi="仿宋" w:eastAsia="仿宋"/>
          <w:bCs/>
          <w:color w:val="000000"/>
          <w:sz w:val="32"/>
          <w:szCs w:val="32"/>
        </w:rPr>
        <w:t>教育（类）广播电视教育（款）广播电视学校（项）</w:t>
      </w:r>
      <w:r>
        <w:rPr>
          <w:rStyle w:val="17"/>
          <w:rFonts w:ascii="仿宋" w:hAnsi="仿宋" w:eastAsia="仿宋"/>
          <w:bCs/>
          <w:color w:val="000000"/>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Fonts w:hint="eastAsia" w:ascii="仿宋" w:hAnsi="仿宋" w:eastAsia="仿宋"/>
          <w:sz w:val="32"/>
          <w:szCs w:val="32"/>
          <w:lang w:val="en-US" w:eastAsia="zh-CN"/>
        </w:rPr>
        <w:t>812.21</w:t>
      </w:r>
      <w:r>
        <w:rPr>
          <w:rStyle w:val="17"/>
          <w:rFonts w:hint="eastAsia" w:ascii="仿宋" w:hAnsi="仿宋" w:eastAsia="仿宋"/>
          <w:b w:val="0"/>
          <w:bCs/>
          <w:sz w:val="32"/>
          <w:szCs w:val="32"/>
        </w:rPr>
        <w:t>万元，完成预算</w:t>
      </w:r>
      <w:r>
        <w:rPr>
          <w:rStyle w:val="17"/>
          <w:rFonts w:ascii="仿宋" w:hAnsi="仿宋" w:eastAsia="仿宋"/>
          <w:b w:val="0"/>
          <w:bCs/>
          <w:sz w:val="32"/>
          <w:szCs w:val="32"/>
        </w:rPr>
        <w:t>100%</w:t>
      </w:r>
      <w:r>
        <w:rPr>
          <w:rStyle w:val="17"/>
          <w:rFonts w:hint="eastAsia" w:ascii="仿宋" w:hAnsi="仿宋" w:eastAsia="仿宋"/>
          <w:b w:val="0"/>
          <w:bCs/>
          <w:sz w:val="32"/>
          <w:szCs w:val="32"/>
        </w:rPr>
        <w:t>。</w:t>
      </w:r>
    </w:p>
    <w:p>
      <w:pPr>
        <w:pStyle w:val="8"/>
        <w:numPr>
          <w:ilvl w:val="0"/>
          <w:numId w:val="2"/>
        </w:numPr>
        <w:spacing w:before="93"/>
        <w:ind w:left="0" w:leftChars="0" w:firstLine="400" w:firstLineChars="0"/>
        <w:rPr>
          <w:rFonts w:hint="eastAsia"/>
          <w:lang w:eastAsia="zh-CN"/>
        </w:rPr>
      </w:pPr>
      <w:r>
        <w:rPr>
          <w:rStyle w:val="17"/>
          <w:rFonts w:hint="eastAsia" w:ascii="仿宋" w:eastAsia="仿宋"/>
          <w:bCs/>
          <w:color w:val="000000"/>
          <w:sz w:val="32"/>
          <w:szCs w:val="32"/>
        </w:rPr>
        <w:t>教育（类）特殊教育（款）特殊学校教育（项）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832.11</w:t>
      </w:r>
      <w:r>
        <w:rPr>
          <w:rStyle w:val="17"/>
          <w:rFonts w:hint="eastAsia" w:ascii="仿宋" w:hAnsi="仿宋" w:eastAsia="仿宋"/>
          <w:b w:val="0"/>
          <w:bCs/>
          <w:sz w:val="32"/>
          <w:szCs w:val="32"/>
        </w:rPr>
        <w:t>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pStyle w:val="8"/>
        <w:numPr>
          <w:ilvl w:val="0"/>
          <w:numId w:val="2"/>
        </w:numPr>
        <w:ind w:left="0" w:leftChars="0" w:firstLine="400" w:firstLineChars="0"/>
        <w:rPr>
          <w:rStyle w:val="17"/>
          <w:rFonts w:hint="eastAsia" w:ascii="仿宋" w:hAnsi="仿宋" w:eastAsia="仿宋"/>
          <w:b w:val="0"/>
          <w:bCs/>
          <w:color w:val="000000"/>
          <w:sz w:val="32"/>
          <w:szCs w:val="32"/>
          <w:lang w:eastAsia="zh-CN"/>
        </w:rPr>
      </w:pPr>
      <w:r>
        <w:rPr>
          <w:rStyle w:val="17"/>
          <w:rFonts w:hint="eastAsia" w:ascii="仿宋" w:hAnsi="仿宋" w:eastAsia="仿宋"/>
          <w:bCs/>
          <w:color w:val="000000"/>
          <w:sz w:val="32"/>
          <w:szCs w:val="32"/>
        </w:rPr>
        <w:t>教育（类）</w:t>
      </w:r>
      <w:r>
        <w:rPr>
          <w:rStyle w:val="17"/>
          <w:rFonts w:hint="eastAsia" w:ascii="仿宋" w:hAnsi="仿宋" w:eastAsia="仿宋"/>
          <w:bCs/>
          <w:color w:val="000000"/>
          <w:sz w:val="32"/>
          <w:szCs w:val="32"/>
          <w:lang w:eastAsia="zh-CN"/>
        </w:rPr>
        <w:t>进修及培训</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培训支出</w:t>
      </w:r>
      <w:r>
        <w:rPr>
          <w:rStyle w:val="17"/>
          <w:rFonts w:hint="eastAsia" w:ascii="仿宋" w:hAnsi="仿宋" w:eastAsia="仿宋"/>
          <w:bCs/>
          <w:color w:val="000000"/>
          <w:sz w:val="32"/>
          <w:szCs w:val="32"/>
        </w:rPr>
        <w:t>（项）</w:t>
      </w:r>
      <w:r>
        <w:rPr>
          <w:rStyle w:val="17"/>
          <w:rFonts w:hint="eastAsia" w:ascii="仿宋" w:hAnsi="仿宋" w:eastAsia="仿宋"/>
          <w:bCs/>
          <w:color w:val="000000"/>
          <w:sz w:val="32"/>
          <w:szCs w:val="32"/>
          <w:lang w:eastAsia="zh-CN"/>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217.5</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lang w:eastAsia="zh-CN"/>
        </w:rPr>
        <w:t>。</w:t>
      </w:r>
    </w:p>
    <w:p>
      <w:pPr>
        <w:pStyle w:val="8"/>
        <w:numPr>
          <w:ilvl w:val="0"/>
          <w:numId w:val="2"/>
        </w:numPr>
        <w:ind w:left="0" w:leftChars="0" w:firstLine="400" w:firstLineChars="0"/>
        <w:rPr>
          <w:rStyle w:val="17"/>
          <w:rFonts w:hint="eastAsia" w:ascii="仿宋" w:hAnsi="仿宋" w:eastAsia="仿宋"/>
          <w:b w:val="0"/>
          <w:bCs/>
          <w:color w:val="000000"/>
          <w:sz w:val="32"/>
          <w:szCs w:val="32"/>
          <w:lang w:eastAsia="zh-CN"/>
        </w:rPr>
      </w:pPr>
      <w:r>
        <w:rPr>
          <w:rStyle w:val="17"/>
          <w:rFonts w:hint="eastAsia" w:ascii="仿宋" w:hAnsi="仿宋" w:eastAsia="仿宋"/>
          <w:bCs/>
          <w:color w:val="000000"/>
          <w:sz w:val="32"/>
          <w:szCs w:val="32"/>
        </w:rPr>
        <w:t>教育（类）教育附加安排的支出（款）其他教育费附加安排的支出（项）</w:t>
      </w:r>
      <w:r>
        <w:rPr>
          <w:rStyle w:val="17"/>
          <w:rFonts w:hint="eastAsia" w:ascii="仿宋" w:hAnsi="仿宋" w:eastAsia="仿宋"/>
          <w:bCs/>
          <w:color w:val="000000"/>
          <w:sz w:val="32"/>
          <w:szCs w:val="32"/>
          <w:lang w:eastAsia="zh-CN"/>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2060.72</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lang w:eastAsia="zh-CN"/>
        </w:rPr>
        <w:t>。</w:t>
      </w:r>
    </w:p>
    <w:p>
      <w:pPr>
        <w:pStyle w:val="8"/>
        <w:numPr>
          <w:ilvl w:val="0"/>
          <w:numId w:val="2"/>
        </w:numPr>
        <w:ind w:left="0" w:leftChars="0" w:firstLine="400" w:firstLineChars="0"/>
        <w:rPr>
          <w:rStyle w:val="17"/>
          <w:rFonts w:hint="eastAsia" w:ascii="仿宋" w:hAnsi="仿宋" w:eastAsia="仿宋"/>
          <w:b w:val="0"/>
          <w:bCs/>
          <w:color w:val="000000"/>
          <w:sz w:val="32"/>
          <w:szCs w:val="32"/>
          <w:lang w:eastAsia="zh-CN"/>
        </w:rPr>
      </w:pPr>
      <w:r>
        <w:rPr>
          <w:rStyle w:val="17"/>
          <w:rFonts w:hint="eastAsia" w:ascii="仿宋" w:hAnsi="仿宋" w:eastAsia="仿宋"/>
          <w:bCs/>
          <w:color w:val="000000"/>
          <w:sz w:val="32"/>
          <w:szCs w:val="32"/>
        </w:rPr>
        <w:t>教育（类）其他教育支出（款）其他教育支出（项）</w:t>
      </w:r>
      <w:r>
        <w:rPr>
          <w:rStyle w:val="17"/>
          <w:rFonts w:hint="eastAsia" w:ascii="仿宋" w:hAnsi="仿宋" w:eastAsia="仿宋"/>
          <w:bCs/>
          <w:color w:val="000000"/>
          <w:sz w:val="32"/>
          <w:szCs w:val="32"/>
          <w:lang w:eastAsia="zh-CN"/>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1166.03</w:t>
      </w:r>
      <w:r>
        <w:rPr>
          <w:rStyle w:val="17"/>
          <w:rFonts w:hint="eastAsia" w:ascii="仿宋" w:hAnsi="仿宋" w:eastAsia="仿宋"/>
          <w:b w:val="0"/>
          <w:bCs/>
          <w:color w:val="000000"/>
          <w:sz w:val="32"/>
          <w:szCs w:val="32"/>
        </w:rPr>
        <w:t>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lang w:eastAsia="zh-CN"/>
        </w:rPr>
        <w:t>。</w:t>
      </w:r>
    </w:p>
    <w:p>
      <w:pPr>
        <w:numPr>
          <w:ilvl w:val="0"/>
          <w:numId w:val="2"/>
        </w:numPr>
        <w:spacing w:line="600" w:lineRule="exact"/>
        <w:ind w:left="0" w:leftChars="0" w:firstLine="400" w:firstLineChars="0"/>
        <w:rPr>
          <w:rStyle w:val="17"/>
          <w:rFonts w:hint="eastAsia" w:ascii="仿宋" w:hAnsi="仿宋" w:eastAsia="仿宋"/>
          <w:b w:val="0"/>
          <w:bCs/>
          <w:sz w:val="32"/>
          <w:szCs w:val="32"/>
        </w:rPr>
      </w:pPr>
      <w:r>
        <w:rPr>
          <w:rStyle w:val="17"/>
          <w:rFonts w:hint="eastAsia" w:ascii="仿宋" w:hAnsi="仿宋" w:eastAsia="仿宋"/>
          <w:bCs/>
          <w:sz w:val="32"/>
          <w:szCs w:val="32"/>
        </w:rPr>
        <w:t>文化旅游体育与传媒（类）体育（款）体育场馆（项）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249.15</w:t>
      </w:r>
      <w:r>
        <w:rPr>
          <w:rStyle w:val="17"/>
          <w:rFonts w:hint="eastAsia" w:ascii="仿宋" w:hAnsi="仿宋" w:eastAsia="仿宋"/>
          <w:b w:val="0"/>
          <w:bCs/>
          <w:sz w:val="32"/>
          <w:szCs w:val="32"/>
        </w:rPr>
        <w:t>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numPr>
          <w:ilvl w:val="0"/>
          <w:numId w:val="2"/>
        </w:numPr>
        <w:spacing w:line="600" w:lineRule="exact"/>
        <w:ind w:left="0" w:leftChars="0" w:firstLine="400" w:firstLineChars="0"/>
        <w:rPr>
          <w:rStyle w:val="17"/>
          <w:rFonts w:hint="default" w:ascii="仿宋" w:hAnsi="仿宋" w:eastAsia="仿宋"/>
          <w:b w:val="0"/>
          <w:bCs/>
          <w:color w:val="000000"/>
          <w:sz w:val="32"/>
          <w:szCs w:val="32"/>
          <w:lang w:val="en-US" w:eastAsia="zh-CN"/>
        </w:rPr>
      </w:pPr>
      <w:r>
        <w:rPr>
          <w:rStyle w:val="17"/>
          <w:rFonts w:hint="eastAsia" w:ascii="仿宋" w:eastAsia="仿宋"/>
          <w:bCs/>
          <w:sz w:val="32"/>
          <w:szCs w:val="32"/>
        </w:rPr>
        <w:t>文化旅游体育与传媒（类）体育（款）</w:t>
      </w:r>
      <w:r>
        <w:rPr>
          <w:rStyle w:val="17"/>
          <w:rFonts w:hint="eastAsia" w:ascii="仿宋" w:hAnsi="仿宋" w:eastAsia="仿宋"/>
          <w:bCs/>
          <w:color w:val="000000"/>
          <w:sz w:val="32"/>
          <w:szCs w:val="32"/>
        </w:rPr>
        <w:t>其他体育支出</w:t>
      </w:r>
      <w:r>
        <w:rPr>
          <w:rStyle w:val="17"/>
          <w:rFonts w:hint="eastAsia" w:ascii="仿宋" w:eastAsia="仿宋"/>
          <w:bCs/>
          <w:sz w:val="32"/>
          <w:szCs w:val="32"/>
        </w:rPr>
        <w:t>（项）</w:t>
      </w:r>
      <w:r>
        <w:rPr>
          <w:rStyle w:val="17"/>
          <w:rFonts w:ascii="仿宋" w:eastAsia="仿宋"/>
          <w:bCs/>
          <w:sz w:val="32"/>
          <w:szCs w:val="32"/>
        </w:rPr>
        <w:t>:</w:t>
      </w:r>
      <w:r>
        <w:rPr>
          <w:rStyle w:val="17"/>
          <w:rFonts w:ascii="仿宋" w:eastAsia="仿宋"/>
          <w:b w:val="0"/>
          <w:bCs/>
          <w:sz w:val="32"/>
          <w:szCs w:val="32"/>
        </w:rPr>
        <w:t xml:space="preserve"> </w:t>
      </w:r>
      <w:r>
        <w:rPr>
          <w:rStyle w:val="17"/>
          <w:rFonts w:hint="eastAsia" w:ascii="仿宋" w:eastAsia="仿宋"/>
          <w:b w:val="0"/>
          <w:bCs/>
          <w:sz w:val="32"/>
          <w:szCs w:val="32"/>
        </w:rPr>
        <w:t>支出决算为</w:t>
      </w:r>
      <w:r>
        <w:rPr>
          <w:rStyle w:val="17"/>
          <w:rFonts w:hint="eastAsia" w:ascii="仿宋" w:eastAsia="仿宋"/>
          <w:b w:val="0"/>
          <w:bCs/>
          <w:sz w:val="32"/>
          <w:szCs w:val="32"/>
          <w:lang w:val="en-US" w:eastAsia="zh-CN"/>
        </w:rPr>
        <w:t>839.45</w:t>
      </w:r>
      <w:r>
        <w:rPr>
          <w:rStyle w:val="17"/>
          <w:rFonts w:hint="eastAsia" w:ascii="仿宋" w:eastAsia="仿宋"/>
          <w:b w:val="0"/>
          <w:bCs/>
          <w:sz w:val="32"/>
          <w:szCs w:val="32"/>
        </w:rPr>
        <w:t>万元，完成预算100</w:t>
      </w:r>
      <w:r>
        <w:rPr>
          <w:rStyle w:val="17"/>
          <w:rFonts w:ascii="仿宋" w:eastAsia="仿宋"/>
          <w:b w:val="0"/>
          <w:bCs/>
          <w:sz w:val="32"/>
          <w:szCs w:val="32"/>
        </w:rPr>
        <w:t>%</w:t>
      </w:r>
      <w:r>
        <w:rPr>
          <w:rStyle w:val="17"/>
          <w:rFonts w:hint="eastAsia" w:ascii="仿宋" w:eastAsia="仿宋"/>
          <w:b w:val="0"/>
          <w:bCs/>
          <w:sz w:val="32"/>
          <w:szCs w:val="32"/>
        </w:rPr>
        <w:t>。</w:t>
      </w:r>
    </w:p>
    <w:p>
      <w:pPr>
        <w:numPr>
          <w:ilvl w:val="0"/>
          <w:numId w:val="2"/>
        </w:numPr>
        <w:spacing w:line="600" w:lineRule="exact"/>
        <w:ind w:left="0" w:leftChars="0" w:firstLine="400" w:firstLineChars="0"/>
        <w:rPr>
          <w:rStyle w:val="17"/>
          <w:rFonts w:ascii="仿宋" w:hAnsi="仿宋" w:eastAsia="仿宋"/>
          <w:b w:val="0"/>
          <w:bCs/>
          <w:color w:val="000000"/>
          <w:sz w:val="32"/>
          <w:szCs w:val="32"/>
        </w:rPr>
      </w:pPr>
      <w:r>
        <w:rPr>
          <w:rStyle w:val="17"/>
          <w:rFonts w:hint="eastAsia" w:ascii="仿宋" w:hAnsi="仿宋" w:eastAsia="仿宋"/>
          <w:bCs/>
          <w:color w:val="000000"/>
          <w:sz w:val="32"/>
          <w:szCs w:val="32"/>
        </w:rPr>
        <w:t>社会保障和就业（类）人力资源和社会保障管理事务（款）其他人力资源和社会保障管理事务支出（项）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20</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numPr>
          <w:ilvl w:val="0"/>
          <w:numId w:val="2"/>
        </w:numPr>
        <w:spacing w:line="600" w:lineRule="exact"/>
        <w:ind w:left="0" w:leftChars="0" w:firstLine="400" w:firstLineChars="0"/>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rPr>
        <w:t>社会保障和就业（类）行政事业单位养老支出（款）行政单位离退休（项）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237.87</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pStyle w:val="8"/>
        <w:numPr>
          <w:ilvl w:val="0"/>
          <w:numId w:val="2"/>
        </w:numPr>
        <w:ind w:left="0" w:leftChars="0" w:firstLine="400" w:firstLineChars="0"/>
        <w:rPr>
          <w:rFonts w:hint="eastAsia" w:eastAsia="仿宋"/>
          <w:lang w:eastAsia="zh-CN"/>
        </w:rPr>
      </w:pPr>
      <w:r>
        <w:rPr>
          <w:rStyle w:val="17"/>
          <w:rFonts w:hint="eastAsia" w:ascii="仿宋" w:hAnsi="仿宋" w:eastAsia="仿宋"/>
          <w:bCs/>
          <w:color w:val="000000"/>
          <w:sz w:val="32"/>
          <w:szCs w:val="32"/>
        </w:rPr>
        <w:t>社会保障和就业（类）行政事业单位养老保险（款）事业单位离退休（项）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2649.49</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lang w:eastAsia="zh-CN"/>
        </w:rPr>
        <w:t>。</w:t>
      </w:r>
    </w:p>
    <w:p>
      <w:pPr>
        <w:pStyle w:val="8"/>
        <w:numPr>
          <w:ilvl w:val="0"/>
          <w:numId w:val="2"/>
        </w:numPr>
        <w:ind w:left="0" w:leftChars="0" w:firstLine="400" w:firstLineChars="0"/>
        <w:rPr>
          <w:rStyle w:val="17"/>
          <w:rFonts w:hint="eastAsia" w:ascii="仿宋" w:hAnsi="仿宋" w:eastAsia="仿宋"/>
          <w:b w:val="0"/>
          <w:bCs/>
          <w:color w:val="000000"/>
          <w:sz w:val="32"/>
          <w:szCs w:val="32"/>
          <w:lang w:eastAsia="zh-CN"/>
        </w:rPr>
      </w:pPr>
      <w:r>
        <w:rPr>
          <w:rStyle w:val="17"/>
          <w:rFonts w:hint="eastAsia" w:ascii="仿宋" w:hAnsi="仿宋" w:eastAsia="仿宋"/>
          <w:bCs/>
          <w:color w:val="000000"/>
          <w:sz w:val="32"/>
          <w:szCs w:val="32"/>
        </w:rPr>
        <w:t>社会保障和就业（类）行政事业单位养老支出（款）机关事业单位养老保险缴费支出（项）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5552.24</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lang w:eastAsia="zh-CN"/>
        </w:rPr>
        <w:t>。</w:t>
      </w:r>
    </w:p>
    <w:p>
      <w:pPr>
        <w:pStyle w:val="8"/>
        <w:numPr>
          <w:ilvl w:val="0"/>
          <w:numId w:val="2"/>
        </w:numPr>
        <w:ind w:left="0" w:leftChars="0" w:firstLine="400" w:firstLineChars="0"/>
        <w:rPr>
          <w:rStyle w:val="17"/>
          <w:rFonts w:hint="eastAsia" w:ascii="仿宋" w:hAnsi="仿宋" w:eastAsia="仿宋"/>
          <w:b w:val="0"/>
          <w:bCs/>
          <w:color w:val="000000"/>
          <w:sz w:val="32"/>
          <w:szCs w:val="32"/>
          <w:lang w:eastAsia="zh-CN"/>
        </w:rPr>
      </w:pPr>
      <w:r>
        <w:rPr>
          <w:rStyle w:val="17"/>
          <w:rFonts w:hint="eastAsia" w:ascii="仿宋" w:hAnsi="仿宋" w:eastAsia="仿宋"/>
          <w:bCs/>
          <w:color w:val="000000"/>
          <w:sz w:val="32"/>
          <w:szCs w:val="32"/>
        </w:rPr>
        <w:t>社会保障和就业（类）行政事业单位养老支出（款）机关事业单位职业年金缴费支出（项）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456.83</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lang w:eastAsia="zh-CN"/>
        </w:rPr>
        <w:t>。</w:t>
      </w:r>
    </w:p>
    <w:p>
      <w:pPr>
        <w:numPr>
          <w:ilvl w:val="0"/>
          <w:numId w:val="2"/>
        </w:numPr>
        <w:spacing w:line="600" w:lineRule="exact"/>
        <w:ind w:left="0" w:leftChars="0" w:firstLine="400" w:firstLineChars="0"/>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rPr>
        <w:t>社会保障和就业（类）</w:t>
      </w:r>
      <w:r>
        <w:rPr>
          <w:rStyle w:val="17"/>
          <w:rFonts w:hint="eastAsia" w:ascii="仿宋" w:hAnsi="仿宋" w:eastAsia="仿宋"/>
          <w:bCs/>
          <w:color w:val="000000"/>
          <w:sz w:val="32"/>
          <w:szCs w:val="32"/>
          <w:lang w:eastAsia="zh-CN"/>
        </w:rPr>
        <w:t>抚恤</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死亡抚恤（</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334.64</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pStyle w:val="8"/>
        <w:numPr>
          <w:ilvl w:val="0"/>
          <w:numId w:val="2"/>
        </w:numPr>
        <w:ind w:left="0" w:leftChars="0" w:firstLine="400" w:firstLineChars="0"/>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rPr>
        <w:t>社会保障和就业（类）</w:t>
      </w:r>
      <w:r>
        <w:rPr>
          <w:rStyle w:val="17"/>
          <w:rFonts w:hint="eastAsia" w:ascii="仿宋" w:hAnsi="仿宋" w:eastAsia="仿宋"/>
          <w:bCs/>
          <w:color w:val="000000"/>
          <w:sz w:val="32"/>
          <w:szCs w:val="32"/>
          <w:lang w:eastAsia="zh-CN"/>
        </w:rPr>
        <w:t>社会福利</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儿童福利（</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0.86</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pStyle w:val="8"/>
        <w:numPr>
          <w:ilvl w:val="0"/>
          <w:numId w:val="2"/>
        </w:numPr>
        <w:ind w:left="0" w:leftChars="0" w:firstLine="400" w:firstLineChars="0"/>
        <w:rPr>
          <w:rStyle w:val="17"/>
          <w:rFonts w:hint="eastAsia" w:ascii="仿宋" w:hAnsi="仿宋" w:eastAsia="仿宋"/>
          <w:b w:val="0"/>
          <w:bCs/>
          <w:color w:val="000000"/>
          <w:sz w:val="32"/>
          <w:szCs w:val="32"/>
          <w:lang w:eastAsia="zh-CN"/>
        </w:rPr>
      </w:pPr>
      <w:r>
        <w:rPr>
          <w:rStyle w:val="17"/>
          <w:rFonts w:hint="eastAsia" w:ascii="仿宋" w:hAnsi="仿宋" w:eastAsia="仿宋"/>
          <w:bCs/>
          <w:color w:val="000000"/>
          <w:sz w:val="32"/>
          <w:szCs w:val="32"/>
          <w:lang w:eastAsia="zh-CN"/>
        </w:rPr>
        <w:t>卫生健康支出</w:t>
      </w:r>
      <w:r>
        <w:rPr>
          <w:rStyle w:val="17"/>
          <w:rFonts w:hint="eastAsia" w:ascii="仿宋" w:hAnsi="仿宋" w:eastAsia="仿宋"/>
          <w:bCs/>
          <w:color w:val="000000"/>
          <w:sz w:val="32"/>
          <w:szCs w:val="32"/>
        </w:rPr>
        <w:t>（类）</w:t>
      </w:r>
      <w:r>
        <w:rPr>
          <w:rStyle w:val="17"/>
          <w:rFonts w:hint="eastAsia" w:ascii="仿宋" w:hAnsi="仿宋" w:eastAsia="仿宋"/>
          <w:bCs/>
          <w:color w:val="000000"/>
          <w:sz w:val="32"/>
          <w:szCs w:val="32"/>
          <w:lang w:eastAsia="zh-CN"/>
        </w:rPr>
        <w:t>公共卫生</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重大公共卫生服务</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2</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lang w:eastAsia="zh-CN"/>
        </w:rPr>
        <w:t>。</w:t>
      </w:r>
    </w:p>
    <w:p>
      <w:pPr>
        <w:pStyle w:val="8"/>
        <w:numPr>
          <w:ilvl w:val="0"/>
          <w:numId w:val="2"/>
        </w:numPr>
        <w:ind w:left="0" w:leftChars="0" w:firstLine="400" w:firstLineChars="0"/>
        <w:rPr>
          <w:rStyle w:val="17"/>
          <w:rFonts w:hint="eastAsia" w:ascii="仿宋" w:hAnsi="仿宋" w:eastAsia="仿宋"/>
          <w:b w:val="0"/>
          <w:bCs/>
          <w:color w:val="000000"/>
          <w:sz w:val="32"/>
          <w:szCs w:val="32"/>
          <w:lang w:eastAsia="zh-CN"/>
        </w:rPr>
      </w:pPr>
      <w:r>
        <w:rPr>
          <w:rStyle w:val="17"/>
          <w:rFonts w:hint="eastAsia" w:ascii="仿宋" w:hAnsi="仿宋" w:eastAsia="仿宋"/>
          <w:bCs/>
          <w:color w:val="000000"/>
          <w:sz w:val="32"/>
          <w:szCs w:val="32"/>
          <w:lang w:eastAsia="zh-CN"/>
        </w:rPr>
        <w:t>卫生健康支出</w:t>
      </w:r>
      <w:r>
        <w:rPr>
          <w:rStyle w:val="17"/>
          <w:rFonts w:hint="eastAsia" w:ascii="仿宋" w:hAnsi="仿宋" w:eastAsia="仿宋"/>
          <w:bCs/>
          <w:color w:val="000000"/>
          <w:sz w:val="32"/>
          <w:szCs w:val="32"/>
        </w:rPr>
        <w:t>（类）</w:t>
      </w:r>
      <w:r>
        <w:rPr>
          <w:rStyle w:val="17"/>
          <w:rFonts w:hint="eastAsia" w:ascii="仿宋" w:hAnsi="仿宋" w:eastAsia="仿宋"/>
          <w:bCs/>
          <w:color w:val="000000"/>
          <w:sz w:val="32"/>
          <w:szCs w:val="32"/>
          <w:lang w:eastAsia="zh-CN"/>
        </w:rPr>
        <w:t>行政事业单位医疗</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行政单位医疗</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68.18</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lang w:eastAsia="zh-CN"/>
        </w:rPr>
        <w:t>。</w:t>
      </w:r>
    </w:p>
    <w:p>
      <w:pPr>
        <w:pStyle w:val="8"/>
        <w:numPr>
          <w:ilvl w:val="0"/>
          <w:numId w:val="2"/>
        </w:numPr>
        <w:ind w:left="0" w:leftChars="0" w:firstLine="400" w:firstLineChars="0"/>
        <w:rPr>
          <w:rStyle w:val="17"/>
          <w:rFonts w:hint="eastAsia" w:ascii="仿宋" w:hAnsi="仿宋" w:eastAsia="仿宋"/>
          <w:b w:val="0"/>
          <w:bCs/>
          <w:color w:val="000000"/>
          <w:sz w:val="32"/>
          <w:szCs w:val="32"/>
          <w:lang w:eastAsia="zh-CN"/>
        </w:rPr>
      </w:pPr>
      <w:r>
        <w:rPr>
          <w:rStyle w:val="17"/>
          <w:rFonts w:hint="eastAsia" w:ascii="仿宋" w:hAnsi="仿宋" w:eastAsia="仿宋"/>
          <w:bCs/>
          <w:color w:val="000000"/>
          <w:sz w:val="32"/>
          <w:szCs w:val="32"/>
          <w:lang w:eastAsia="zh-CN"/>
        </w:rPr>
        <w:t>卫生健康支出</w:t>
      </w:r>
      <w:r>
        <w:rPr>
          <w:rStyle w:val="17"/>
          <w:rFonts w:hint="eastAsia" w:ascii="仿宋" w:hAnsi="仿宋" w:eastAsia="仿宋"/>
          <w:bCs/>
          <w:color w:val="000000"/>
          <w:sz w:val="32"/>
          <w:szCs w:val="32"/>
        </w:rPr>
        <w:t>（类）</w:t>
      </w:r>
      <w:r>
        <w:rPr>
          <w:rStyle w:val="17"/>
          <w:rFonts w:hint="eastAsia" w:ascii="仿宋" w:hAnsi="仿宋" w:eastAsia="仿宋"/>
          <w:bCs/>
          <w:color w:val="000000"/>
          <w:sz w:val="32"/>
          <w:szCs w:val="32"/>
          <w:lang w:eastAsia="zh-CN"/>
        </w:rPr>
        <w:t>行政事业单位医疗</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事业单位医疗</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2610.29</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lang w:eastAsia="zh-CN"/>
        </w:rPr>
        <w:t>。</w:t>
      </w:r>
    </w:p>
    <w:p>
      <w:pPr>
        <w:pStyle w:val="8"/>
        <w:numPr>
          <w:ilvl w:val="0"/>
          <w:numId w:val="2"/>
        </w:numPr>
        <w:spacing w:before="93"/>
        <w:ind w:left="0" w:leftChars="0" w:firstLine="400" w:firstLineChars="0"/>
        <w:rPr>
          <w:rStyle w:val="17"/>
          <w:rFonts w:hint="eastAsia" w:ascii="仿宋" w:hAnsi="仿宋" w:eastAsia="仿宋"/>
          <w:b w:val="0"/>
          <w:bCs/>
          <w:color w:val="000000"/>
          <w:sz w:val="32"/>
          <w:szCs w:val="32"/>
          <w:lang w:eastAsia="zh-CN"/>
        </w:rPr>
      </w:pPr>
      <w:r>
        <w:rPr>
          <w:rStyle w:val="17"/>
          <w:rFonts w:hint="eastAsia" w:ascii="仿宋" w:hAnsi="仿宋" w:eastAsia="仿宋"/>
          <w:bCs/>
          <w:color w:val="000000"/>
          <w:sz w:val="32"/>
          <w:szCs w:val="32"/>
        </w:rPr>
        <w:t>社会保障和就业（类）行政事业单位医疗（款）公务员医疗补助（项）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257.05</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pStyle w:val="8"/>
        <w:numPr>
          <w:ilvl w:val="0"/>
          <w:numId w:val="2"/>
        </w:numPr>
        <w:ind w:left="0" w:leftChars="0" w:firstLine="400" w:firstLineChars="0"/>
        <w:rPr>
          <w:rStyle w:val="17"/>
          <w:rFonts w:hint="eastAsia" w:ascii="仿宋" w:hAnsi="仿宋" w:eastAsia="仿宋"/>
          <w:b w:val="0"/>
          <w:bCs/>
          <w:color w:val="000000"/>
          <w:sz w:val="32"/>
          <w:szCs w:val="32"/>
          <w:lang w:eastAsia="zh-CN"/>
        </w:rPr>
      </w:pPr>
      <w:r>
        <w:rPr>
          <w:rStyle w:val="17"/>
          <w:rFonts w:hint="eastAsia" w:ascii="仿宋" w:hAnsi="仿宋" w:eastAsia="仿宋"/>
          <w:bCs/>
          <w:color w:val="000000"/>
          <w:sz w:val="32"/>
          <w:szCs w:val="32"/>
          <w:lang w:eastAsia="zh-CN"/>
        </w:rPr>
        <w:t>卫生健康支出</w:t>
      </w:r>
      <w:r>
        <w:rPr>
          <w:rStyle w:val="17"/>
          <w:rFonts w:hint="eastAsia" w:ascii="仿宋" w:hAnsi="仿宋" w:eastAsia="仿宋"/>
          <w:bCs/>
          <w:color w:val="000000"/>
          <w:sz w:val="32"/>
          <w:szCs w:val="32"/>
        </w:rPr>
        <w:t>（类）</w:t>
      </w:r>
      <w:r>
        <w:rPr>
          <w:rStyle w:val="17"/>
          <w:rFonts w:hint="eastAsia" w:ascii="仿宋" w:hAnsi="仿宋" w:eastAsia="仿宋"/>
          <w:bCs/>
          <w:color w:val="000000"/>
          <w:sz w:val="32"/>
          <w:szCs w:val="32"/>
          <w:lang w:eastAsia="zh-CN"/>
        </w:rPr>
        <w:t>行政事业单位医疗</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其他行政事业单位医疗支出</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3.82</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lang w:eastAsia="zh-CN"/>
        </w:rPr>
        <w:t>。</w:t>
      </w:r>
    </w:p>
    <w:p>
      <w:pPr>
        <w:pStyle w:val="8"/>
        <w:numPr>
          <w:ilvl w:val="0"/>
          <w:numId w:val="2"/>
        </w:numPr>
        <w:ind w:left="0" w:leftChars="0" w:firstLine="400" w:firstLineChars="0"/>
        <w:rPr>
          <w:rStyle w:val="17"/>
          <w:rFonts w:hint="eastAsia" w:ascii="仿宋" w:hAnsi="仿宋" w:eastAsia="仿宋"/>
          <w:b w:val="0"/>
          <w:bCs/>
          <w:color w:val="000000"/>
          <w:sz w:val="32"/>
          <w:szCs w:val="32"/>
          <w:lang w:eastAsia="zh-CN"/>
        </w:rPr>
      </w:pPr>
      <w:r>
        <w:rPr>
          <w:rStyle w:val="17"/>
          <w:rFonts w:hint="eastAsia" w:ascii="仿宋" w:hAnsi="仿宋" w:eastAsia="仿宋"/>
          <w:bCs/>
          <w:color w:val="000000"/>
          <w:sz w:val="32"/>
          <w:szCs w:val="32"/>
          <w:lang w:eastAsia="zh-CN"/>
        </w:rPr>
        <w:t>卫生健康支出</w:t>
      </w:r>
      <w:r>
        <w:rPr>
          <w:rStyle w:val="17"/>
          <w:rFonts w:hint="eastAsia" w:ascii="仿宋" w:hAnsi="仿宋" w:eastAsia="仿宋"/>
          <w:bCs/>
          <w:color w:val="000000"/>
          <w:sz w:val="32"/>
          <w:szCs w:val="32"/>
        </w:rPr>
        <w:t>（类）</w:t>
      </w:r>
      <w:r>
        <w:rPr>
          <w:rStyle w:val="17"/>
          <w:rFonts w:hint="eastAsia" w:ascii="仿宋" w:hAnsi="仿宋" w:eastAsia="仿宋"/>
          <w:bCs/>
          <w:color w:val="000000"/>
          <w:sz w:val="32"/>
          <w:szCs w:val="32"/>
          <w:lang w:eastAsia="zh-CN"/>
        </w:rPr>
        <w:t>其他卫生健康支出</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其他卫生健康支出</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5.21</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lang w:eastAsia="zh-CN"/>
        </w:rPr>
        <w:t>。</w:t>
      </w:r>
    </w:p>
    <w:p>
      <w:pPr>
        <w:numPr>
          <w:ilvl w:val="0"/>
          <w:numId w:val="2"/>
        </w:numPr>
        <w:spacing w:line="600" w:lineRule="exact"/>
        <w:ind w:left="0" w:leftChars="0" w:firstLine="400" w:firstLineChars="0"/>
        <w:rPr>
          <w:rFonts w:hint="eastAsia" w:ascii="Times New Roman" w:hAnsi="Times New Roman" w:eastAsia="仿宋_GB2312" w:cs="仿宋_GB2312"/>
          <w:color w:val="auto"/>
          <w:kern w:val="2"/>
          <w:sz w:val="32"/>
          <w:szCs w:val="32"/>
          <w:highlight w:val="none"/>
          <w:lang w:val="en-US" w:eastAsia="zh-CN" w:bidi="ar-SA"/>
        </w:rPr>
      </w:pPr>
      <w:r>
        <w:rPr>
          <w:rFonts w:hint="eastAsia" w:ascii="仿宋" w:hAnsi="仿宋" w:eastAsia="仿宋"/>
          <w:b/>
          <w:bCs/>
          <w:color w:val="000000"/>
          <w:sz w:val="32"/>
          <w:szCs w:val="32"/>
        </w:rPr>
        <w:t>住房保障支出</w:t>
      </w:r>
      <w:r>
        <w:rPr>
          <w:rStyle w:val="17"/>
          <w:rFonts w:hint="eastAsia" w:ascii="仿宋" w:hAnsi="仿宋" w:eastAsia="仿宋"/>
          <w:bCs/>
          <w:color w:val="000000"/>
          <w:sz w:val="32"/>
          <w:szCs w:val="32"/>
        </w:rPr>
        <w:t>（类）住房改革支出（款）住房公积金（项）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4175.4</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lang w:eastAsia="zh-CN"/>
        </w:rPr>
        <w:t>。</w:t>
      </w:r>
    </w:p>
    <w:p>
      <w:pPr>
        <w:tabs>
          <w:tab w:val="right" w:pos="8306"/>
        </w:tabs>
        <w:spacing w:line="600" w:lineRule="exact"/>
        <w:ind w:firstLine="640"/>
        <w:outlineLvl w:val="1"/>
        <w:rPr>
          <w:rStyle w:val="29"/>
          <w:rFonts w:ascii="Times New Roman" w:hAnsi="Times New Roman"/>
          <w:color w:val="auto"/>
          <w:highlight w:val="none"/>
        </w:rPr>
      </w:pPr>
      <w:bookmarkStart w:id="32" w:name="_Toc15377214"/>
      <w:bookmarkStart w:id="33" w:name="_Toc15396608"/>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般公共预算财政拨款基本支出决算情况说明</w:t>
      </w:r>
      <w:bookmarkEnd w:id="32"/>
      <w:bookmarkEnd w:id="33"/>
      <w:r>
        <w:rPr>
          <w:rStyle w:val="29"/>
          <w:rFonts w:ascii="Times New Roman" w:hAnsi="Times New Roman" w:eastAsia="黑体"/>
          <w:b w:val="0"/>
          <w:color w:val="auto"/>
          <w:highlight w:val="none"/>
        </w:rPr>
        <w:tab/>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ascii="仿宋_GB2312" w:hAnsi="仿宋_GB2312" w:eastAsia="仿宋_GB2312" w:cs="仿宋_GB2312"/>
          <w:sz w:val="32"/>
          <w:szCs w:val="32"/>
        </w:rPr>
        <w:t>57630.3</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w:t>
      </w:r>
      <w:r>
        <w:rPr>
          <w:rFonts w:hint="eastAsia" w:ascii="仿宋_GB2312" w:hAnsi="仿宋_GB2312" w:eastAsia="仿宋_GB2312" w:cs="仿宋_GB2312"/>
          <w:sz w:val="32"/>
          <w:szCs w:val="32"/>
        </w:rPr>
        <w:t>56060.17</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w:t>
      </w:r>
      <w:r>
        <w:rPr>
          <w:rFonts w:hint="eastAsia" w:ascii="仿宋_GB2312" w:hAnsi="仿宋_GB2312" w:eastAsia="仿宋_GB2312" w:cs="仿宋_GB2312"/>
          <w:sz w:val="32"/>
          <w:szCs w:val="32"/>
        </w:rPr>
        <w:t>1570.13</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9"/>
          <w:rFonts w:ascii="Times New Roman" w:hAnsi="Times New Roman" w:eastAsia="黑体"/>
          <w:b w:val="0"/>
          <w:color w:val="auto"/>
          <w:highlight w:val="none"/>
        </w:rPr>
      </w:pPr>
      <w:bookmarkStart w:id="34" w:name="_Toc15396609"/>
      <w:bookmarkStart w:id="35" w:name="_Toc15377215"/>
      <w:r>
        <w:rPr>
          <w:rFonts w:hint="eastAsia" w:ascii="Times New Roman" w:hAnsi="Times New Roman" w:eastAsia="黑体"/>
          <w:color w:val="auto"/>
          <w:sz w:val="32"/>
          <w:szCs w:val="32"/>
          <w:highlight w:val="none"/>
        </w:rPr>
        <w:t>七、</w:t>
      </w:r>
      <w:r>
        <w:rPr>
          <w:rStyle w:val="29"/>
          <w:rFonts w:hint="eastAsia" w:ascii="Times New Roman" w:hAnsi="Times New Roman" w:eastAsia="黑体"/>
          <w:b w:val="0"/>
          <w:color w:val="auto"/>
          <w:highlight w:val="none"/>
        </w:rPr>
        <w:t>财政拨款</w:t>
      </w:r>
      <w:r>
        <w:rPr>
          <w:rStyle w:val="29"/>
          <w:rFonts w:hint="eastAsia" w:ascii="Times New Roman" w:hAnsi="Times New Roman" w:eastAsia="黑体"/>
          <w:color w:val="auto"/>
          <w:highlight w:val="none"/>
        </w:rPr>
        <w:t>“</w:t>
      </w:r>
      <w:r>
        <w:rPr>
          <w:rStyle w:val="29"/>
          <w:rFonts w:hint="eastAsia" w:ascii="Times New Roman" w:hAnsi="Times New Roman" w:eastAsia="黑体"/>
          <w:b w:val="0"/>
          <w:color w:val="auto"/>
          <w:highlight w:val="none"/>
        </w:rPr>
        <w:t>三公”经费支出决算情况说明</w:t>
      </w:r>
      <w:bookmarkEnd w:id="34"/>
      <w:bookmarkEnd w:id="35"/>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36"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36"/>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w:t>
      </w:r>
      <w:r>
        <w:rPr>
          <w:rFonts w:hint="eastAsia" w:ascii="仿宋_GB2312" w:hAnsi="仿宋_GB2312" w:eastAsia="仿宋_GB2312" w:cs="仿宋_GB2312"/>
          <w:sz w:val="32"/>
          <w:szCs w:val="32"/>
        </w:rPr>
        <w:t>11.05</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较上年度增加</w:t>
      </w:r>
      <w:r>
        <w:rPr>
          <w:rFonts w:hint="eastAsia" w:eastAsia="仿宋_GB2312" w:cs="仿宋_GB2312"/>
          <w:color w:val="auto"/>
          <w:kern w:val="2"/>
          <w:sz w:val="32"/>
          <w:szCs w:val="32"/>
          <w:highlight w:val="none"/>
          <w:lang w:val="en-US" w:eastAsia="zh-CN" w:bidi="ar-SA"/>
        </w:rPr>
        <w:t>0.39</w:t>
      </w:r>
      <w:r>
        <w:rPr>
          <w:rFonts w:hint="eastAsia" w:ascii="Times New Roman" w:hAnsi="Times New Roman" w:eastAsia="仿宋_GB2312" w:cs="仿宋_GB2312"/>
          <w:color w:val="auto"/>
          <w:kern w:val="2"/>
          <w:sz w:val="32"/>
          <w:szCs w:val="32"/>
          <w:highlight w:val="none"/>
          <w:lang w:val="en-US" w:eastAsia="zh-CN" w:bidi="ar-SA"/>
        </w:rPr>
        <w:t>万元，增</w:t>
      </w:r>
      <w:r>
        <w:rPr>
          <w:rFonts w:hint="eastAsia" w:eastAsia="仿宋_GB2312" w:cs="仿宋_GB2312"/>
          <w:color w:val="auto"/>
          <w:kern w:val="2"/>
          <w:sz w:val="32"/>
          <w:szCs w:val="32"/>
          <w:highlight w:val="none"/>
          <w:lang w:val="en-US" w:eastAsia="zh-CN" w:bidi="ar-SA"/>
        </w:rPr>
        <w:t>长3.66</w:t>
      </w:r>
      <w:r>
        <w:rPr>
          <w:rFonts w:hint="eastAsia" w:ascii="Times New Roman" w:hAnsi="Times New Roman" w:eastAsia="仿宋_GB2312" w:cs="仿宋_GB2312"/>
          <w:color w:val="auto"/>
          <w:kern w:val="2"/>
          <w:sz w:val="32"/>
          <w:szCs w:val="32"/>
          <w:highlight w:val="none"/>
          <w:lang w:val="en-US" w:eastAsia="zh-CN" w:bidi="ar-SA"/>
        </w:rPr>
        <w:t>%。决算数小于预算数的主要原因是市教育和体育局部门严格执行中央八项规定和省、市十项规定以及《党政机关厉行节约反对浪费条例》等相关文件要求，厉行节约，反对浪费，严格控制公务接待和公务用车。</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37"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37"/>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2024年度“三公”经费财政拨款支出决算中，因公出国（境）费支出决算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万元，占0%；公务用车购置及运行维护费支出决算</w:t>
      </w:r>
      <w:r>
        <w:rPr>
          <w:rFonts w:hint="eastAsia" w:ascii="仿宋_GB2312" w:hAnsi="仿宋_GB2312" w:eastAsia="仿宋_GB2312" w:cs="仿宋_GB2312"/>
          <w:sz w:val="32"/>
          <w:szCs w:val="32"/>
        </w:rPr>
        <w:t>9.14</w:t>
      </w:r>
      <w:r>
        <w:rPr>
          <w:rFonts w:hint="eastAsia" w:ascii="仿宋_GB2312" w:hAnsi="仿宋_GB2312" w:eastAsia="仿宋_GB2312" w:cs="仿宋_GB2312"/>
          <w:color w:val="auto"/>
          <w:kern w:val="2"/>
          <w:sz w:val="32"/>
          <w:szCs w:val="32"/>
          <w:highlight w:val="none"/>
          <w:lang w:val="en-US" w:eastAsia="zh-CN" w:bidi="ar-SA"/>
        </w:rPr>
        <w:t>万元，占82.71%；公务接待费支出决算</w:t>
      </w:r>
      <w:r>
        <w:rPr>
          <w:rFonts w:hint="eastAsia" w:ascii="仿宋_GB2312" w:hAnsi="仿宋_GB2312" w:eastAsia="仿宋_GB2312" w:cs="仿宋_GB2312"/>
          <w:sz w:val="32"/>
          <w:szCs w:val="32"/>
        </w:rPr>
        <w:t>1.91</w:t>
      </w:r>
      <w:r>
        <w:rPr>
          <w:rFonts w:hint="eastAsia" w:ascii="仿宋_GB2312" w:hAnsi="仿宋_GB2312" w:eastAsia="仿宋_GB2312" w:cs="仿宋_GB2312"/>
          <w:color w:val="auto"/>
          <w:kern w:val="2"/>
          <w:sz w:val="32"/>
          <w:szCs w:val="32"/>
          <w:highlight w:val="none"/>
          <w:lang w:val="en-US" w:eastAsia="zh-CN" w:bidi="ar-SA"/>
        </w:rPr>
        <w:t>万元，占17.29%。具体情况如下：</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（图7：“三公”经费财政拨款支出结构）（饼状图）</w:t>
      </w:r>
    </w:p>
    <w:p>
      <w:pPr>
        <w:pStyle w:val="9"/>
        <w:rPr>
          <w:rFonts w:hint="eastAsia" w:ascii="Times New Roman" w:hAnsi="Times New Roman" w:eastAsia="仿宋_GB2312" w:cs="仿宋_GB2312"/>
          <w:color w:val="auto"/>
          <w:kern w:val="2"/>
          <w:sz w:val="32"/>
          <w:szCs w:val="32"/>
          <w:highlight w:val="none"/>
          <w:lang w:val="en-US" w:eastAsia="zh-CN" w:bidi="ar-SA"/>
        </w:rPr>
      </w:pPr>
    </w:p>
    <w:p>
      <w:pPr>
        <w:pStyle w:val="9"/>
        <w:rPr>
          <w:rFonts w:hint="eastAsia" w:ascii="Times New Roman" w:hAnsi="Times New Roman" w:eastAsia="仿宋_GB2312" w:cs="仿宋_GB2312"/>
          <w:color w:val="auto"/>
          <w:kern w:val="2"/>
          <w:sz w:val="32"/>
          <w:szCs w:val="32"/>
          <w:highlight w:val="none"/>
          <w:lang w:val="en-US" w:eastAsia="zh-CN" w:bidi="ar-SA"/>
        </w:rPr>
      </w:pPr>
    </w:p>
    <w:p>
      <w:pPr>
        <w:pStyle w:val="9"/>
        <w:rPr>
          <w:rFonts w:hint="eastAsia" w:ascii="Times New Roman" w:hAnsi="Times New Roman" w:eastAsia="仿宋_GB2312" w:cs="仿宋_GB2312"/>
          <w:color w:val="auto"/>
          <w:kern w:val="2"/>
          <w:sz w:val="32"/>
          <w:szCs w:val="32"/>
          <w:highlight w:val="none"/>
          <w:lang w:val="en-US" w:eastAsia="zh-CN" w:bidi="ar-SA"/>
        </w:rPr>
      </w:pPr>
      <w:r>
        <w:rPr>
          <w:rFonts w:hint="eastAsia"/>
        </w:rPr>
        <w:drawing>
          <wp:inline distT="0" distB="0" distL="0" distR="0">
            <wp:extent cx="5133975" cy="3076575"/>
            <wp:effectExtent l="5080" t="4445" r="4445" b="5080"/>
            <wp:docPr id="3"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9"/>
        <w:rPr>
          <w:rFonts w:hint="eastAsia" w:ascii="Times New Roman" w:hAnsi="Times New Roman" w:eastAsia="仿宋_GB2312" w:cs="仿宋_GB2312"/>
          <w:color w:val="auto"/>
          <w:kern w:val="2"/>
          <w:sz w:val="32"/>
          <w:szCs w:val="32"/>
          <w:highlight w:val="none"/>
          <w:lang w:val="en-US" w:eastAsia="zh-CN" w:bidi="ar-SA"/>
        </w:rPr>
      </w:pPr>
    </w:p>
    <w:p>
      <w:pPr>
        <w:pStyle w:val="9"/>
        <w:rPr>
          <w:rFonts w:hint="eastAsia" w:ascii="Times New Roman" w:hAnsi="Times New Roman" w:eastAsia="仿宋_GB2312" w:cs="仿宋_GB2312"/>
          <w:color w:val="auto"/>
          <w:kern w:val="2"/>
          <w:sz w:val="32"/>
          <w:szCs w:val="32"/>
          <w:highlight w:val="none"/>
          <w:lang w:val="en-US" w:eastAsia="zh-CN" w:bidi="ar-SA"/>
        </w:rPr>
      </w:pPr>
    </w:p>
    <w:p>
      <w:pPr>
        <w:pStyle w:val="9"/>
        <w:rPr>
          <w:rFonts w:hint="eastAsia" w:ascii="Times New Roman" w:hAnsi="Times New Roman" w:eastAsia="仿宋_GB2312" w:cs="仿宋_GB2312"/>
          <w:color w:val="auto"/>
          <w:kern w:val="2"/>
          <w:sz w:val="32"/>
          <w:szCs w:val="32"/>
          <w:highlight w:val="none"/>
          <w:lang w:val="en-US" w:eastAsia="zh-CN" w:bidi="ar-SA"/>
        </w:rPr>
      </w:pPr>
    </w:p>
    <w:p>
      <w:pPr>
        <w:numPr>
          <w:ilvl w:val="0"/>
          <w:numId w:val="3"/>
        </w:numPr>
        <w:spacing w:line="600" w:lineRule="exact"/>
        <w:ind w:firstLine="640"/>
        <w:rPr>
          <w:rFonts w:hint="eastAsia" w:ascii="仿宋_GB2312" w:eastAsia="仿宋_GB2312"/>
          <w:sz w:val="32"/>
          <w:szCs w:val="32"/>
        </w:rPr>
      </w:pPr>
      <w:r>
        <w:rPr>
          <w:rFonts w:hint="eastAsia" w:ascii="Times New Roman" w:hAnsi="Times New Roman" w:eastAsia="仿宋_GB2312" w:cs="仿宋_GB2312"/>
          <w:b/>
          <w:bCs/>
          <w:color w:val="auto"/>
          <w:kern w:val="2"/>
          <w:sz w:val="32"/>
          <w:szCs w:val="32"/>
          <w:highlight w:val="none"/>
          <w:lang w:val="en-US" w:eastAsia="zh-CN" w:bidi="ar-SA"/>
        </w:rPr>
        <w:t>1.因公出国（境）经费支出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全年安排因公出国（境）团</w:t>
      </w:r>
      <w:r>
        <w:rPr>
          <w:rFonts w:hint="eastAsia" w:ascii="仿宋_GB2312" w:hAnsi="仿宋_GB2312" w:eastAsia="仿宋_GB2312" w:cs="仿宋_GB2312"/>
          <w:color w:val="auto"/>
          <w:kern w:val="2"/>
          <w:sz w:val="32"/>
          <w:szCs w:val="32"/>
          <w:highlight w:val="none"/>
          <w:lang w:val="en-US" w:eastAsia="zh-CN" w:bidi="ar-SA"/>
        </w:rPr>
        <w:t>组</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次，出国（境）</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w:t>
      </w:r>
      <w:r>
        <w:rPr>
          <w:rFonts w:hint="eastAsia" w:ascii="Times New Roman" w:hAnsi="Times New Roman" w:eastAsia="仿宋_GB2312" w:cs="仿宋_GB2312"/>
          <w:color w:val="auto"/>
          <w:kern w:val="2"/>
          <w:sz w:val="32"/>
          <w:szCs w:val="32"/>
          <w:highlight w:val="none"/>
          <w:lang w:val="en-US" w:eastAsia="zh-CN" w:bidi="ar-SA"/>
        </w:rPr>
        <w:t>。</w:t>
      </w:r>
      <w:r>
        <w:rPr>
          <w:rFonts w:hint="eastAsia" w:ascii="仿宋_GB2312" w:eastAsia="仿宋_GB2312"/>
          <w:sz w:val="32"/>
          <w:szCs w:val="32"/>
        </w:rPr>
        <w:t>因公出国（境）支出决算与202</w:t>
      </w:r>
      <w:r>
        <w:rPr>
          <w:rFonts w:hint="eastAsia" w:ascii="仿宋_GB2312" w:eastAsia="仿宋_GB2312"/>
          <w:sz w:val="32"/>
          <w:szCs w:val="32"/>
          <w:lang w:val="en-US" w:eastAsia="zh-CN"/>
        </w:rPr>
        <w:t>3</w:t>
      </w:r>
      <w:r>
        <w:rPr>
          <w:rFonts w:hint="eastAsia" w:ascii="仿宋_GB2312" w:eastAsia="仿宋_GB2312"/>
          <w:sz w:val="32"/>
          <w:szCs w:val="32"/>
        </w:rPr>
        <w:t>年持平</w:t>
      </w:r>
      <w:r>
        <w:rPr>
          <w:rFonts w:hint="eastAsia" w:ascii="仿宋_GB2312" w:eastAsia="仿宋_GB2312"/>
          <w:sz w:val="32"/>
          <w:szCs w:val="32"/>
          <w:lang w:eastAsia="zh-CN"/>
        </w:rPr>
        <w:t>。</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9.14万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87.34</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公务用车购置及运行维护费支出决算比2023年度增加</w:t>
      </w:r>
      <w:r>
        <w:rPr>
          <w:rFonts w:hint="eastAsia" w:eastAsia="仿宋_GB2312" w:cs="仿宋_GB2312"/>
          <w:color w:val="auto"/>
          <w:kern w:val="2"/>
          <w:sz w:val="32"/>
          <w:szCs w:val="32"/>
          <w:highlight w:val="none"/>
          <w:lang w:val="en-US" w:eastAsia="zh-CN" w:bidi="ar-SA"/>
        </w:rPr>
        <w:t>0.53</w:t>
      </w:r>
      <w:r>
        <w:rPr>
          <w:rFonts w:hint="eastAsia" w:ascii="Times New Roman" w:hAnsi="Times New Roman" w:eastAsia="仿宋_GB2312" w:cs="仿宋_GB2312"/>
          <w:color w:val="auto"/>
          <w:kern w:val="2"/>
          <w:sz w:val="32"/>
          <w:szCs w:val="32"/>
          <w:highlight w:val="none"/>
          <w:lang w:val="en-US" w:eastAsia="zh-CN" w:bidi="ar-SA"/>
        </w:rPr>
        <w:t>万元，增</w:t>
      </w:r>
      <w:r>
        <w:rPr>
          <w:rFonts w:hint="eastAsia" w:eastAsia="仿宋_GB2312" w:cs="仿宋_GB2312"/>
          <w:color w:val="auto"/>
          <w:kern w:val="2"/>
          <w:sz w:val="32"/>
          <w:szCs w:val="32"/>
          <w:highlight w:val="none"/>
          <w:lang w:val="en-US" w:eastAsia="zh-CN" w:bidi="ar-SA"/>
        </w:rPr>
        <w:t>长6.16</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部门开展“校园餐”检查，增加了公务车出行。</w:t>
      </w:r>
    </w:p>
    <w:p>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其中：公务用车购置支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w:t>
      </w:r>
      <w:r>
        <w:rPr>
          <w:rFonts w:hint="eastAsia" w:ascii="仿宋_GB2312" w:eastAsia="仿宋_GB2312"/>
          <w:sz w:val="32"/>
          <w:szCs w:val="32"/>
        </w:rPr>
        <w:t>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万元。截至202</w:t>
      </w:r>
      <w:r>
        <w:rPr>
          <w:rFonts w:hint="eastAsia" w:ascii="仿宋_GB2312" w:eastAsia="仿宋_GB2312"/>
          <w:sz w:val="32"/>
          <w:szCs w:val="32"/>
          <w:lang w:val="en-US" w:eastAsia="zh-CN"/>
        </w:rPr>
        <w:t>4</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45</w:t>
      </w:r>
      <w:r>
        <w:rPr>
          <w:rFonts w:hint="eastAsia" w:ascii="仿宋_GB2312" w:eastAsia="仿宋_GB2312"/>
          <w:sz w:val="32"/>
          <w:szCs w:val="32"/>
        </w:rPr>
        <w:t>辆，其中：轿车</w:t>
      </w:r>
      <w:r>
        <w:rPr>
          <w:rFonts w:hint="eastAsia" w:ascii="仿宋_GB2312" w:eastAsia="仿宋_GB2312"/>
          <w:sz w:val="32"/>
          <w:szCs w:val="32"/>
          <w:lang w:val="en-US" w:eastAsia="zh-CN"/>
        </w:rPr>
        <w:t>15</w:t>
      </w:r>
      <w:r>
        <w:rPr>
          <w:rFonts w:hint="eastAsia" w:ascii="仿宋_GB2312" w:eastAsia="仿宋_GB2312"/>
          <w:sz w:val="32"/>
          <w:szCs w:val="32"/>
        </w:rPr>
        <w:t>辆、越野车</w:t>
      </w:r>
      <w:r>
        <w:rPr>
          <w:rFonts w:hint="eastAsia" w:ascii="仿宋_GB2312" w:eastAsia="仿宋_GB2312"/>
          <w:sz w:val="32"/>
          <w:szCs w:val="32"/>
          <w:lang w:val="en-US" w:eastAsia="zh-CN"/>
        </w:rPr>
        <w:t>2</w:t>
      </w:r>
      <w:r>
        <w:rPr>
          <w:rFonts w:hint="eastAsia" w:ascii="仿宋_GB2312" w:eastAsia="仿宋_GB2312"/>
          <w:sz w:val="32"/>
          <w:szCs w:val="32"/>
        </w:rPr>
        <w:t>辆、载客汽车</w:t>
      </w:r>
      <w:r>
        <w:rPr>
          <w:rFonts w:hint="eastAsia" w:ascii="仿宋_GB2312" w:eastAsia="仿宋_GB2312"/>
          <w:sz w:val="32"/>
          <w:szCs w:val="32"/>
          <w:lang w:val="en-US" w:eastAsia="zh-CN"/>
        </w:rPr>
        <w:t>10</w:t>
      </w:r>
      <w:r>
        <w:rPr>
          <w:rFonts w:hint="eastAsia" w:ascii="仿宋_GB2312" w:eastAsia="仿宋_GB2312"/>
          <w:sz w:val="32"/>
          <w:szCs w:val="32"/>
        </w:rPr>
        <w:t>辆。</w:t>
      </w:r>
    </w:p>
    <w:p>
      <w:pPr>
        <w:spacing w:line="600" w:lineRule="exact"/>
        <w:ind w:firstLine="640"/>
        <w:rPr>
          <w:rFonts w:ascii="仿宋_GB2312" w:eastAsia="仿宋_GB2312"/>
          <w:sz w:val="32"/>
          <w:szCs w:val="32"/>
        </w:rPr>
      </w:pPr>
      <w:r>
        <w:rPr>
          <w:rFonts w:hint="eastAsia" w:ascii="Times New Roman" w:hAnsi="Times New Roman" w:eastAsia="仿宋_GB2312" w:cs="仿宋_GB2312"/>
          <w:color w:val="auto"/>
          <w:kern w:val="2"/>
          <w:sz w:val="32"/>
          <w:szCs w:val="32"/>
          <w:highlight w:val="none"/>
          <w:lang w:val="en-US" w:eastAsia="zh-CN" w:bidi="ar-SA"/>
        </w:rPr>
        <w:t>公务用车运行维护费支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9.14</w:t>
      </w:r>
      <w:r>
        <w:rPr>
          <w:rFonts w:hint="eastAsia" w:ascii="Times New Roman" w:hAnsi="Times New Roman" w:eastAsia="仿宋_GB2312" w:cs="仿宋_GB2312"/>
          <w:color w:val="auto"/>
          <w:kern w:val="2"/>
          <w:sz w:val="32"/>
          <w:szCs w:val="32"/>
          <w:highlight w:val="none"/>
          <w:lang w:val="en-US" w:eastAsia="zh-CN" w:bidi="ar-SA"/>
        </w:rPr>
        <w:t>万元。</w:t>
      </w:r>
      <w:r>
        <w:rPr>
          <w:rFonts w:hint="eastAsia" w:ascii="仿宋_GB2312" w:eastAsia="仿宋_GB2312"/>
          <w:sz w:val="32"/>
          <w:szCs w:val="32"/>
        </w:rPr>
        <w:t>主要用于教育教学管理、学校安全工作、教师培训、普通初中教育、教育督导、普通高中教育、职业教育、“9+3”工作、校安工程、学生营养改善计划、高寒山区温暖工程、农村薄弱学校改造以及单位日常公务等所需的公务用车燃料费、维修费、过路过桥费、保险费等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ascii="仿宋_GB2312" w:hAnsi="仿宋_GB2312" w:eastAsia="仿宋_GB2312" w:cs="仿宋_GB2312"/>
          <w:b/>
          <w:bCs/>
          <w:color w:val="auto"/>
          <w:kern w:val="2"/>
          <w:sz w:val="32"/>
          <w:szCs w:val="32"/>
          <w:highlight w:val="none"/>
          <w:lang w:val="en-US" w:eastAsia="zh-CN" w:bidi="ar-SA"/>
        </w:rPr>
        <w:t>1.91万</w:t>
      </w:r>
      <w:r>
        <w:rPr>
          <w:rFonts w:hint="eastAsia" w:ascii="Times New Roman" w:hAnsi="Times New Roman" w:eastAsia="仿宋_GB2312" w:cs="仿宋_GB2312"/>
          <w:b/>
          <w:bCs/>
          <w:color w:val="auto"/>
          <w:kern w:val="2"/>
          <w:sz w:val="32"/>
          <w:szCs w:val="32"/>
          <w:highlight w:val="none"/>
          <w:lang w:val="en-US" w:eastAsia="zh-CN" w:bidi="ar-SA"/>
        </w:rPr>
        <w:t>元，完成预算</w:t>
      </w:r>
      <w:r>
        <w:rPr>
          <w:rFonts w:hint="eastAsia" w:eastAsia="仿宋_GB2312" w:cs="仿宋_GB2312"/>
          <w:b/>
          <w:bCs/>
          <w:color w:val="auto"/>
          <w:kern w:val="2"/>
          <w:sz w:val="32"/>
          <w:szCs w:val="32"/>
          <w:highlight w:val="none"/>
          <w:lang w:val="en-US" w:eastAsia="zh-CN" w:bidi="ar-SA"/>
        </w:rPr>
        <w:t>35.17</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公务接待费支出决算比2023年度减少</w:t>
      </w:r>
      <w:r>
        <w:rPr>
          <w:rFonts w:hint="eastAsia" w:eastAsia="仿宋_GB2312" w:cs="仿宋_GB2312"/>
          <w:color w:val="auto"/>
          <w:kern w:val="2"/>
          <w:sz w:val="32"/>
          <w:szCs w:val="32"/>
          <w:highlight w:val="none"/>
          <w:lang w:val="en-US" w:eastAsia="zh-CN" w:bidi="ar-SA"/>
        </w:rPr>
        <w:t>0.14</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6.83</w:t>
      </w:r>
      <w:r>
        <w:rPr>
          <w:rFonts w:hint="eastAsia" w:ascii="Times New Roman" w:hAnsi="Times New Roman" w:eastAsia="仿宋_GB2312" w:cs="仿宋_GB2312"/>
          <w:color w:val="auto"/>
          <w:kern w:val="2"/>
          <w:sz w:val="32"/>
          <w:szCs w:val="32"/>
          <w:highlight w:val="none"/>
          <w:lang w:val="en-US" w:eastAsia="zh-CN" w:bidi="ar-SA"/>
        </w:rPr>
        <w:t>%。主要原因是市教育和体育局部门严格执行中央八项规定和省、市十项规定以及《党政机关厉行节约反对浪费条例》等相关文件要求，厉行节约，反对浪费，严格控制公务接待。其中：</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国内公务接待支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1.91</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w:t>
      </w:r>
      <w:r>
        <w:rPr>
          <w:rFonts w:hint="eastAsia" w:ascii="仿宋_GB2312" w:eastAsia="仿宋_GB2312"/>
          <w:sz w:val="32"/>
          <w:szCs w:val="32"/>
        </w:rPr>
        <w:t>主要用于执行公务、开展业务活动开支的交通费、住宿费、用餐费等</w:t>
      </w:r>
      <w:r>
        <w:rPr>
          <w:rFonts w:hint="eastAsia" w:ascii="Times New Roman" w:hAnsi="Times New Roman" w:eastAsia="仿宋_GB2312" w:cs="仿宋_GB2312"/>
          <w:color w:val="auto"/>
          <w:kern w:val="2"/>
          <w:sz w:val="32"/>
          <w:szCs w:val="32"/>
          <w:highlight w:val="none"/>
          <w:lang w:val="en-US" w:eastAsia="zh-CN" w:bidi="ar-SA"/>
        </w:rPr>
        <w:t>。国内公务接</w:t>
      </w:r>
      <w:r>
        <w:rPr>
          <w:rFonts w:hint="eastAsia" w:ascii="仿宋_GB2312" w:hAnsi="仿宋_GB2312" w:eastAsia="仿宋_GB2312" w:cs="仿宋_GB2312"/>
          <w:color w:val="auto"/>
          <w:kern w:val="2"/>
          <w:sz w:val="32"/>
          <w:szCs w:val="32"/>
          <w:highlight w:val="none"/>
          <w:lang w:val="en-US" w:eastAsia="zh-CN" w:bidi="ar-SA"/>
        </w:rPr>
        <w:t>待</w:t>
      </w:r>
      <w:r>
        <w:rPr>
          <w:rFonts w:hint="eastAsia" w:ascii="仿宋_GB2312" w:hAnsi="仿宋_GB2312" w:eastAsia="仿宋_GB2312" w:cs="仿宋_GB2312"/>
          <w:sz w:val="32"/>
          <w:szCs w:val="32"/>
        </w:rPr>
        <w:t>15</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89</w:t>
      </w:r>
      <w:r>
        <w:rPr>
          <w:rFonts w:hint="eastAsia" w:ascii="Times New Roman" w:hAnsi="Times New Roman" w:eastAsia="仿宋_GB2312" w:cs="仿宋_GB2312"/>
          <w:color w:val="auto"/>
          <w:kern w:val="2"/>
          <w:sz w:val="32"/>
          <w:szCs w:val="32"/>
          <w:highlight w:val="none"/>
          <w:lang w:val="en-US" w:eastAsia="zh-CN" w:bidi="ar-SA"/>
        </w:rPr>
        <w:t>人次（不包括陪同人员），共计支出</w:t>
      </w:r>
      <w:r>
        <w:rPr>
          <w:rFonts w:hint="eastAsia" w:eastAsia="仿宋_GB2312" w:cs="仿宋_GB2312"/>
          <w:color w:val="auto"/>
          <w:kern w:val="2"/>
          <w:sz w:val="32"/>
          <w:szCs w:val="32"/>
          <w:highlight w:val="none"/>
          <w:lang w:val="en-US" w:eastAsia="zh-CN" w:bidi="ar-SA"/>
        </w:rPr>
        <w:t>1.91</w:t>
      </w:r>
      <w:r>
        <w:rPr>
          <w:rFonts w:hint="eastAsia" w:ascii="Times New Roman" w:hAnsi="Times New Roman" w:eastAsia="仿宋_GB2312" w:cs="仿宋_GB2312"/>
          <w:color w:val="auto"/>
          <w:kern w:val="2"/>
          <w:sz w:val="32"/>
          <w:szCs w:val="32"/>
          <w:highlight w:val="none"/>
          <w:lang w:val="en-US" w:eastAsia="zh-CN" w:bidi="ar-SA"/>
        </w:rPr>
        <w:t>万元，具体内容包括：</w:t>
      </w:r>
    </w:p>
    <w:p>
      <w:pPr>
        <w:pStyle w:val="8"/>
        <w:ind w:firstLine="640" w:firstLineChars="200"/>
        <w:rPr>
          <w:rFonts w:hint="eastAsia" w:ascii="Times New Roman" w:cs="仿宋_GB2312"/>
          <w:color w:val="auto"/>
          <w:kern w:val="2"/>
          <w:sz w:val="32"/>
          <w:szCs w:val="32"/>
          <w:highlight w:val="none"/>
          <w:lang w:val="en-US" w:eastAsia="zh-CN" w:bidi="ar-SA"/>
        </w:rPr>
      </w:pPr>
      <w:r>
        <w:rPr>
          <w:rFonts w:hint="eastAsia" w:ascii="Times New Roman" w:cs="仿宋_GB2312"/>
          <w:color w:val="auto"/>
          <w:kern w:val="2"/>
          <w:sz w:val="32"/>
          <w:szCs w:val="32"/>
          <w:highlight w:val="none"/>
          <w:lang w:val="en-US" w:eastAsia="zh-CN" w:bidi="ar-SA"/>
        </w:rPr>
        <w:t>市教育和体育局</w:t>
      </w:r>
    </w:p>
    <w:p>
      <w:pPr>
        <w:numPr>
          <w:ilvl w:val="0"/>
          <w:numId w:val="0"/>
        </w:numPr>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省教科院来攀考察挂职干部接待费0.08万元；2.芙蓉花开音乐教师培训接待费0.12万元；3.乐山市副市长一行到攀考察教育工作接待费0.22万元；4.国家体育总局人员赴攀参加2023年健身步道联赛总决赛开幕式接待费0.14万元；5.省厅来攀参加机电学院建校50周年成果展接待费0.11万元；6.省教育厅到攀开展安全生产隐患排查大整治接待费0.13万元；7.教育日报调研攀枝花教育工作接待费0.16万元；8.教育厅参加攀枝花学院应用型一流大学建设活动接待费0.09万元；9.乡村音乐教师合唱指挥技能公益培训接待费0.12万</w:t>
      </w:r>
      <w:r>
        <w:rPr>
          <w:rFonts w:hint="eastAsia" w:ascii="仿宋_GB2312" w:hAnsi="仿宋_GB2312" w:eastAsia="仿宋_GB2312" w:cs="仿宋_GB2312"/>
          <w:color w:val="auto"/>
          <w:kern w:val="2"/>
          <w:sz w:val="32"/>
          <w:szCs w:val="32"/>
          <w:highlight w:val="none"/>
          <w:lang w:val="en-US" w:eastAsia="zh-CN" w:bidi="ar-SA"/>
        </w:rPr>
        <w:t>元。</w:t>
      </w:r>
    </w:p>
    <w:p>
      <w:pPr>
        <w:pStyle w:val="2"/>
        <w:numPr>
          <w:ilvl w:val="0"/>
          <w:numId w:val="0"/>
        </w:numP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市电化教育（技术装备）中心</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1.接待省学校国有资产与教育装备中心赴攀调研餐费0.13万元2.接待省校园影视调研工作人员餐费0.17万元。</w:t>
      </w:r>
    </w:p>
    <w:p>
      <w:pPr>
        <w:pStyle w:val="8"/>
        <w:keepNext w:val="0"/>
        <w:keepLines w:val="0"/>
        <w:pageBreakBefore w:val="0"/>
        <w:widowControl w:val="0"/>
        <w:kinsoku/>
        <w:wordWrap/>
        <w:overflowPunct/>
        <w:topLinePunct w:val="0"/>
        <w:autoSpaceDE/>
        <w:autoSpaceDN/>
        <w:bidi w:val="0"/>
        <w:adjustRightInd/>
        <w:spacing w:line="600" w:lineRule="exact"/>
        <w:ind w:firstLine="601"/>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市体育场馆中心</w:t>
      </w:r>
    </w:p>
    <w:p>
      <w:pPr>
        <w:pStyle w:val="9"/>
        <w:keepNext w:val="0"/>
        <w:keepLines w:val="0"/>
        <w:pageBreakBefore w:val="0"/>
        <w:widowControl w:val="0"/>
        <w:kinsoku/>
        <w:wordWrap/>
        <w:overflowPunct/>
        <w:topLinePunct w:val="0"/>
        <w:autoSpaceDE/>
        <w:autoSpaceDN/>
        <w:bidi w:val="0"/>
        <w:adjustRightInd/>
        <w:spacing w:line="600" w:lineRule="exact"/>
        <w:ind w:firstLine="601"/>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1.接待省体育局检查组开展公共体育设施管理检查，接待金额0.11万元；2.接待成都体育学院一行开展全市体育产业规划编制调研工作；3.接待省体育局一行来攀开展全省体育系统今冬明春综合检查。</w:t>
      </w:r>
    </w:p>
    <w:p>
      <w:pPr>
        <w:pStyle w:val="9"/>
        <w:keepNext w:val="0"/>
        <w:keepLines w:val="0"/>
        <w:pageBreakBefore w:val="0"/>
        <w:widowControl w:val="0"/>
        <w:kinsoku/>
        <w:wordWrap/>
        <w:overflowPunct/>
        <w:topLinePunct w:val="0"/>
        <w:autoSpaceDE/>
        <w:autoSpaceDN/>
        <w:bidi w:val="0"/>
        <w:adjustRightInd/>
        <w:spacing w:line="600" w:lineRule="exact"/>
        <w:ind w:firstLine="601"/>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市教育科学研究所</w:t>
      </w:r>
    </w:p>
    <w:p>
      <w:pPr>
        <w:spacing w:line="600" w:lineRule="exact"/>
        <w:ind w:firstLine="640" w:firstLineChars="200"/>
        <w:rPr>
          <w:rFonts w:hint="eastAsia"/>
          <w:lang w:val="en-US" w:eastAsia="zh-CN"/>
        </w:rPr>
      </w:pPr>
      <w:r>
        <w:rPr>
          <w:rFonts w:hint="eastAsia" w:ascii="仿宋_GB2312" w:hAnsi="仿宋_GB2312" w:eastAsia="仿宋_GB2312" w:cs="仿宋_GB2312"/>
          <w:color w:val="auto"/>
          <w:kern w:val="2"/>
          <w:sz w:val="32"/>
          <w:szCs w:val="32"/>
          <w:highlight w:val="none"/>
          <w:lang w:val="en-US" w:eastAsia="zh-CN" w:bidi="ar-SA"/>
        </w:rPr>
        <w:t>2024年1月木里县教育体育和科学技术局关于到攀枝花市教科所接洽结对帮扶工作，用餐费0.14万元。</w:t>
      </w:r>
    </w:p>
    <w:p>
      <w:pPr>
        <w:spacing w:line="600" w:lineRule="exact"/>
        <w:ind w:firstLine="640" w:firstLineChars="200"/>
        <w:rPr>
          <w:rFonts w:ascii="仿宋_GB2312" w:eastAsia="仿宋_GB2312"/>
          <w:sz w:val="32"/>
          <w:szCs w:val="32"/>
        </w:rPr>
      </w:pPr>
      <w:r>
        <w:rPr>
          <w:rFonts w:hint="eastAsia" w:ascii="Times New Roman" w:hAnsi="Times New Roman" w:eastAsia="仿宋_GB2312" w:cs="仿宋_GB2312"/>
          <w:color w:val="auto"/>
          <w:kern w:val="2"/>
          <w:sz w:val="32"/>
          <w:szCs w:val="32"/>
          <w:highlight w:val="none"/>
          <w:lang w:val="en-US" w:eastAsia="zh-CN" w:bidi="ar-SA"/>
        </w:rPr>
        <w:t>外事接待支</w:t>
      </w:r>
      <w:r>
        <w:rPr>
          <w:rFonts w:hint="eastAsia" w:ascii="仿宋_GB2312" w:hAnsi="仿宋_GB2312" w:eastAsia="仿宋_GB2312" w:cs="仿宋_GB2312"/>
          <w:color w:val="auto"/>
          <w:kern w:val="2"/>
          <w:sz w:val="32"/>
          <w:szCs w:val="32"/>
          <w:highlight w:val="none"/>
          <w:lang w:val="en-US" w:eastAsia="zh-CN" w:bidi="ar-SA"/>
        </w:rPr>
        <w:t>出</w:t>
      </w:r>
      <w:bookmarkStart w:id="38" w:name="_Toc15396610"/>
      <w:bookmarkStart w:id="39" w:name="_Toc15377218"/>
      <w:r>
        <w:rPr>
          <w:rFonts w:hint="eastAsia" w:ascii="Times New Roman" w:hAnsi="Times New Roman" w:eastAsia="宋体" w:cs="Times New Roman"/>
          <w:sz w:val="32"/>
          <w:szCs w:val="32"/>
          <w:lang w:val="en-US" w:eastAsia="zh-CN"/>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outlineLvl w:val="1"/>
        <w:rPr>
          <w:rStyle w:val="29"/>
          <w:rFonts w:ascii="Times New Roman" w:hAnsi="Times New Roman" w:eastAsia="黑体"/>
          <w:color w:val="auto"/>
          <w:highlight w:val="none"/>
        </w:rPr>
      </w:pPr>
      <w:r>
        <w:rPr>
          <w:rFonts w:hint="eastAsia" w:ascii="Times New Roman" w:hAnsi="Times New Roman" w:eastAsia="黑体"/>
          <w:color w:val="auto"/>
          <w:sz w:val="32"/>
          <w:szCs w:val="32"/>
          <w:highlight w:val="none"/>
        </w:rPr>
        <w:t>八、</w:t>
      </w:r>
      <w:r>
        <w:rPr>
          <w:rStyle w:val="29"/>
          <w:rFonts w:hint="eastAsia" w:ascii="Times New Roman" w:hAnsi="Times New Roman" w:eastAsia="黑体"/>
          <w:b w:val="0"/>
          <w:color w:val="auto"/>
          <w:highlight w:val="none"/>
        </w:rPr>
        <w:t>政府性基金预算支出决算情况说明</w:t>
      </w:r>
      <w:bookmarkEnd w:id="38"/>
      <w:bookmarkEnd w:id="39"/>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2024年度政府性基金预算财政拨款支出</w:t>
      </w:r>
      <w:r>
        <w:rPr>
          <w:rFonts w:hint="eastAsia" w:ascii="仿宋_GB2312" w:hAnsi="仿宋_GB2312" w:eastAsia="仿宋_GB2312" w:cs="仿宋_GB2312"/>
          <w:sz w:val="32"/>
          <w:szCs w:val="32"/>
        </w:rPr>
        <w:t>847.7</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1.1</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。与2023年度相比，政府性基金预算财政拨款支出增加</w:t>
      </w:r>
      <w:r>
        <w:rPr>
          <w:rFonts w:hint="eastAsia" w:eastAsia="仿宋_GB2312" w:cs="仿宋_GB2312"/>
          <w:color w:val="auto"/>
          <w:kern w:val="2"/>
          <w:sz w:val="32"/>
          <w:szCs w:val="32"/>
          <w:highlight w:val="none"/>
          <w:lang w:val="en-US" w:eastAsia="zh-CN" w:bidi="ar-SA"/>
        </w:rPr>
        <w:t>7.95</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0.95</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eastAsia="仿宋_GB2312" w:cs="仿宋_GB2312"/>
          <w:color w:val="auto"/>
          <w:kern w:val="2"/>
          <w:sz w:val="32"/>
          <w:szCs w:val="32"/>
          <w:highlight w:val="none"/>
          <w:lang w:val="en-US" w:eastAsia="zh-CN" w:bidi="ar-SA"/>
        </w:rPr>
        <w:t>偿还以往年度体彩公益金欠款。</w:t>
      </w:r>
    </w:p>
    <w:p>
      <w:pPr>
        <w:numPr>
          <w:ilvl w:val="0"/>
          <w:numId w:val="0"/>
        </w:numPr>
        <w:spacing w:line="600" w:lineRule="exact"/>
        <w:ind w:left="630" w:leftChars="0"/>
        <w:outlineLvl w:val="1"/>
        <w:rPr>
          <w:rStyle w:val="29"/>
          <w:rFonts w:ascii="Times New Roman" w:hAnsi="Times New Roman" w:eastAsia="黑体"/>
          <w:b w:val="0"/>
          <w:color w:val="auto"/>
          <w:highlight w:val="none"/>
        </w:rPr>
      </w:pPr>
      <w:bookmarkStart w:id="40" w:name="_Toc15396611"/>
      <w:bookmarkStart w:id="41" w:name="_Toc15377219"/>
      <w:r>
        <w:rPr>
          <w:rStyle w:val="29"/>
          <w:rFonts w:hint="eastAsia" w:ascii="Times New Roman" w:hAnsi="Times New Roman" w:eastAsia="黑体"/>
          <w:b w:val="0"/>
          <w:color w:val="auto"/>
          <w:highlight w:val="none"/>
          <w:lang w:eastAsia="zh-CN"/>
        </w:rPr>
        <w:t>九、</w:t>
      </w:r>
      <w:r>
        <w:rPr>
          <w:rStyle w:val="29"/>
          <w:rFonts w:hint="eastAsia" w:ascii="Times New Roman" w:hAnsi="Times New Roman" w:eastAsia="黑体"/>
          <w:b w:val="0"/>
          <w:color w:val="auto"/>
          <w:highlight w:val="none"/>
        </w:rPr>
        <w:t>国有资本经营预算支出决算情况说明</w:t>
      </w:r>
      <w:bookmarkEnd w:id="40"/>
      <w:bookmarkEnd w:id="41"/>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与2023年度相比，国有资本经营预算财政拨款支出</w:t>
      </w:r>
      <w:r>
        <w:rPr>
          <w:rFonts w:hint="eastAsia" w:ascii="仿宋_GB2312" w:hAnsi="仿宋_GB2312" w:eastAsia="仿宋_GB2312" w:cs="仿宋_GB2312"/>
          <w:sz w:val="32"/>
          <w:szCs w:val="32"/>
          <w:lang w:val="en-US" w:eastAsia="zh-CN"/>
        </w:rPr>
        <w:t>与上年持平。</w:t>
      </w:r>
    </w:p>
    <w:p>
      <w:pPr>
        <w:numPr>
          <w:ilvl w:val="0"/>
          <w:numId w:val="0"/>
        </w:numPr>
        <w:spacing w:line="600" w:lineRule="exact"/>
        <w:ind w:left="630" w:leftChars="0"/>
        <w:outlineLvl w:val="1"/>
        <w:rPr>
          <w:rStyle w:val="29"/>
          <w:rFonts w:hint="eastAsia" w:ascii="Times New Roman" w:hAnsi="Times New Roman" w:eastAsia="黑体"/>
          <w:b w:val="0"/>
          <w:color w:val="auto"/>
          <w:highlight w:val="none"/>
        </w:rPr>
      </w:pPr>
      <w:bookmarkStart w:id="42" w:name="_Toc15396612"/>
      <w:bookmarkStart w:id="43" w:name="_Toc15377221"/>
      <w:r>
        <w:rPr>
          <w:rStyle w:val="29"/>
          <w:rFonts w:hint="eastAsia" w:ascii="Times New Roman" w:hAnsi="Times New Roman" w:eastAsia="黑体"/>
          <w:b w:val="0"/>
          <w:color w:val="auto"/>
          <w:highlight w:val="none"/>
          <w:lang w:eastAsia="zh-CN"/>
        </w:rPr>
        <w:t>十、</w:t>
      </w:r>
      <w:r>
        <w:rPr>
          <w:rStyle w:val="29"/>
          <w:rFonts w:hint="eastAsia" w:ascii="Times New Roman" w:hAnsi="Times New Roman" w:eastAsia="黑体"/>
          <w:b w:val="0"/>
          <w:color w:val="auto"/>
          <w:highlight w:val="none"/>
        </w:rPr>
        <w:t>其他重要事项的情况说明</w:t>
      </w:r>
      <w:bookmarkEnd w:id="42"/>
      <w:bookmarkEnd w:id="43"/>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44" w:name="_Toc15377222"/>
      <w:r>
        <w:rPr>
          <w:rFonts w:hint="eastAsia" w:ascii="Times New Roman" w:hAnsi="Times New Roman" w:eastAsia="楷体_GB2312" w:cs="楷体_GB2312"/>
          <w:b/>
          <w:color w:val="auto"/>
          <w:sz w:val="32"/>
          <w:szCs w:val="32"/>
          <w:highlight w:val="none"/>
        </w:rPr>
        <w:t>（一）机关运行经费支出情况</w:t>
      </w:r>
      <w:bookmarkEnd w:id="44"/>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rPr>
        <w:t>四川省攀枝花市教育和体育局</w:t>
      </w:r>
      <w:r>
        <w:rPr>
          <w:rFonts w:hint="eastAsia" w:ascii="仿宋_GB2312" w:hAnsi="仿宋_GB2312" w:eastAsia="仿宋_GB2312" w:cs="仿宋_GB2312"/>
          <w:color w:val="auto"/>
          <w:kern w:val="2"/>
          <w:sz w:val="32"/>
          <w:szCs w:val="32"/>
          <w:highlight w:val="none"/>
          <w:lang w:val="en-US" w:eastAsia="zh-CN" w:bidi="ar-SA"/>
        </w:rPr>
        <w:t>机关运行经费支出</w:t>
      </w:r>
      <w:r>
        <w:rPr>
          <w:rFonts w:hint="eastAsia" w:ascii="仿宋_GB2312" w:hAnsi="仿宋_GB2312" w:eastAsia="仿宋_GB2312" w:cs="仿宋_GB2312"/>
          <w:sz w:val="32"/>
          <w:szCs w:val="32"/>
        </w:rPr>
        <w:t>148.34</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元，比2023年度减少</w:t>
      </w:r>
      <w:r>
        <w:rPr>
          <w:rFonts w:hint="eastAsia" w:eastAsia="仿宋_GB2312" w:cs="仿宋_GB2312"/>
          <w:color w:val="auto"/>
          <w:kern w:val="2"/>
          <w:sz w:val="32"/>
          <w:szCs w:val="32"/>
          <w:highlight w:val="none"/>
          <w:lang w:val="en-US" w:eastAsia="zh-CN" w:bidi="ar-SA"/>
        </w:rPr>
        <w:t>22.01</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12.92</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单位</w:t>
      </w:r>
      <w:r>
        <w:rPr>
          <w:rFonts w:hint="eastAsia" w:eastAsia="仿宋_GB2312" w:cs="仿宋_GB2312"/>
          <w:color w:val="auto"/>
          <w:sz w:val="32"/>
          <w:szCs w:val="32"/>
          <w:highlight w:val="none"/>
          <w:lang w:eastAsia="zh-CN"/>
        </w:rPr>
        <w:t>厉行节约，压缩开支。</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45" w:name="_Toc15377223"/>
      <w:r>
        <w:rPr>
          <w:rFonts w:hint="eastAsia" w:ascii="Times New Roman" w:hAnsi="Times New Roman" w:eastAsia="楷体_GB2312" w:cs="楷体_GB2312"/>
          <w:b/>
          <w:color w:val="auto"/>
          <w:sz w:val="32"/>
          <w:szCs w:val="32"/>
          <w:highlight w:val="none"/>
        </w:rPr>
        <w:t>（二）政府采购支出情况</w:t>
      </w:r>
      <w:bookmarkEnd w:id="45"/>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sz w:val="32"/>
          <w:szCs w:val="32"/>
        </w:rPr>
        <w:t>四川省攀枝花市教育和体育局</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ascii="仿宋_GB2312" w:hAnsi="仿宋_GB2312" w:eastAsia="仿宋_GB2312" w:cs="仿宋_GB2312"/>
          <w:sz w:val="32"/>
          <w:szCs w:val="32"/>
        </w:rPr>
        <w:t>5854.84</w:t>
      </w:r>
      <w:r>
        <w:rPr>
          <w:rFonts w:hint="eastAsia" w:ascii="仿宋_GB2312" w:hAnsi="仿宋_GB2312" w:eastAsia="仿宋_GB2312" w:cs="仿宋_GB2312"/>
          <w:color w:val="auto"/>
          <w:kern w:val="2"/>
          <w:sz w:val="32"/>
          <w:szCs w:val="32"/>
          <w:highlight w:val="none"/>
          <w:lang w:val="en-US" w:eastAsia="zh-CN" w:bidi="ar-SA"/>
        </w:rPr>
        <w:t>万元，其中：政府采购货物支出</w:t>
      </w:r>
      <w:r>
        <w:rPr>
          <w:rFonts w:hint="eastAsia" w:ascii="仿宋_GB2312" w:hAnsi="仿宋_GB2312" w:eastAsia="仿宋_GB2312" w:cs="仿宋_GB2312"/>
          <w:sz w:val="32"/>
          <w:szCs w:val="32"/>
        </w:rPr>
        <w:t>2111.17</w:t>
      </w:r>
      <w:r>
        <w:rPr>
          <w:rFonts w:hint="eastAsia" w:ascii="仿宋_GB2312" w:hAnsi="仿宋_GB2312" w:eastAsia="仿宋_GB2312" w:cs="仿宋_GB2312"/>
          <w:color w:val="auto"/>
          <w:kern w:val="2"/>
          <w:sz w:val="32"/>
          <w:szCs w:val="32"/>
          <w:highlight w:val="none"/>
          <w:lang w:val="en-US" w:eastAsia="zh-CN" w:bidi="ar-SA"/>
        </w:rPr>
        <w:t>万元、政府采购工程支出</w:t>
      </w:r>
      <w:r>
        <w:rPr>
          <w:rFonts w:hint="eastAsia" w:ascii="仿宋_GB2312" w:hAnsi="仿宋_GB2312" w:eastAsia="仿宋_GB2312" w:cs="仿宋_GB2312"/>
          <w:sz w:val="32"/>
          <w:szCs w:val="32"/>
        </w:rPr>
        <w:t>2826.07</w:t>
      </w:r>
      <w:r>
        <w:rPr>
          <w:rFonts w:hint="eastAsia" w:ascii="仿宋_GB2312" w:hAnsi="仿宋_GB2312" w:eastAsia="仿宋_GB2312" w:cs="仿宋_GB2312"/>
          <w:color w:val="auto"/>
          <w:kern w:val="2"/>
          <w:sz w:val="32"/>
          <w:szCs w:val="32"/>
          <w:highlight w:val="none"/>
          <w:lang w:val="en-US" w:eastAsia="zh-CN" w:bidi="ar-SA"/>
        </w:rPr>
        <w:t>万元、政府采购服务支出</w:t>
      </w:r>
      <w:r>
        <w:rPr>
          <w:rFonts w:hint="eastAsia" w:ascii="仿宋_GB2312" w:hAnsi="仿宋_GB2312" w:eastAsia="仿宋_GB2312" w:cs="仿宋_GB2312"/>
          <w:sz w:val="32"/>
          <w:szCs w:val="32"/>
        </w:rPr>
        <w:t>917.6</w:t>
      </w:r>
      <w:r>
        <w:rPr>
          <w:rFonts w:hint="eastAsia" w:ascii="仿宋_GB2312" w:hAnsi="仿宋_GB2312" w:eastAsia="仿宋_GB2312" w:cs="仿宋_GB2312"/>
          <w:color w:val="auto"/>
          <w:kern w:val="2"/>
          <w:sz w:val="32"/>
          <w:szCs w:val="32"/>
          <w:highlight w:val="none"/>
          <w:lang w:val="en-US" w:eastAsia="zh-CN" w:bidi="ar-SA"/>
        </w:rPr>
        <w:t>万元。主要用于</w:t>
      </w:r>
      <w:r>
        <w:rPr>
          <w:rFonts w:hint="eastAsia" w:ascii="仿宋_GB2312" w:eastAsia="仿宋_GB2312" w:cs="仿宋_GB2312"/>
          <w:color w:val="000000" w:themeColor="text1"/>
          <w:sz w:val="32"/>
          <w:szCs w:val="32"/>
          <w14:textFill>
            <w14:solidFill>
              <w14:schemeClr w14:val="tx1"/>
            </w14:solidFill>
          </w14:textFill>
        </w:rPr>
        <w:t>电脑、桌椅、广播器材、体育用品等用品采购，</w:t>
      </w:r>
      <w:r>
        <w:rPr>
          <w:rFonts w:hint="eastAsia" w:ascii="仿宋_GB2312" w:eastAsia="仿宋_GB2312" w:cs="仿宋_GB2312"/>
          <w:color w:val="000000" w:themeColor="text1"/>
          <w:sz w:val="32"/>
          <w:szCs w:val="32"/>
          <w:lang w:eastAsia="zh-CN"/>
          <w14:textFill>
            <w14:solidFill>
              <w14:schemeClr w14:val="tx1"/>
            </w14:solidFill>
          </w14:textFill>
        </w:rPr>
        <w:t>教师培训、</w:t>
      </w:r>
      <w:r>
        <w:rPr>
          <w:rFonts w:hint="eastAsia" w:ascii="仿宋_GB2312" w:eastAsia="仿宋_GB2312" w:cs="仿宋_GB2312"/>
          <w:color w:val="000000" w:themeColor="text1"/>
          <w:sz w:val="32"/>
          <w:szCs w:val="32"/>
          <w14:textFill>
            <w14:solidFill>
              <w14:schemeClr w14:val="tx1"/>
            </w14:solidFill>
          </w14:textFill>
        </w:rPr>
        <w:t>校园监控系统、</w:t>
      </w:r>
      <w:r>
        <w:rPr>
          <w:rFonts w:hint="eastAsia" w:ascii="仿宋_GB2312" w:eastAsia="仿宋_GB2312"/>
          <w:color w:val="000000" w:themeColor="text1"/>
          <w:sz w:val="32"/>
          <w:szCs w:val="32"/>
          <w14:textFill>
            <w14:solidFill>
              <w14:schemeClr w14:val="tx1"/>
            </w14:solidFill>
          </w14:textFill>
        </w:rPr>
        <w:t>电力线路</w:t>
      </w:r>
      <w:r>
        <w:rPr>
          <w:rFonts w:hint="eastAsia" w:ascii="仿宋_GB2312" w:eastAsia="仿宋_GB2312" w:cs="仿宋_GB2312"/>
          <w:color w:val="000000" w:themeColor="text1"/>
          <w:sz w:val="32"/>
          <w:szCs w:val="32"/>
          <w14:textFill>
            <w14:solidFill>
              <w14:schemeClr w14:val="tx1"/>
            </w14:solidFill>
          </w14:textFill>
        </w:rPr>
        <w:t>、改造工程、楼房修缮等服务和工程</w:t>
      </w:r>
      <w:r>
        <w:rPr>
          <w:rFonts w:hint="eastAsia" w:ascii="仿宋_GB2312" w:hAnsi="仿宋_GB2312" w:eastAsia="仿宋_GB2312" w:cs="仿宋_GB2312"/>
          <w:color w:val="auto"/>
          <w:kern w:val="2"/>
          <w:sz w:val="32"/>
          <w:szCs w:val="32"/>
          <w:highlight w:val="none"/>
          <w:lang w:val="en-US" w:eastAsia="zh-CN" w:bidi="ar-SA"/>
        </w:rPr>
        <w:t>。授予中小企业合同金额</w:t>
      </w:r>
      <w:r>
        <w:rPr>
          <w:rFonts w:hint="eastAsia" w:ascii="仿宋_GB2312" w:hAnsi="仿宋_GB2312" w:eastAsia="仿宋_GB2312" w:cs="仿宋_GB2312"/>
          <w:sz w:val="32"/>
          <w:szCs w:val="32"/>
        </w:rPr>
        <w:t>4955.9</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84.64</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ascii="仿宋_GB2312" w:hAnsi="仿宋_GB2312" w:eastAsia="仿宋_GB2312" w:cs="仿宋_GB2312"/>
          <w:sz w:val="32"/>
          <w:szCs w:val="32"/>
        </w:rPr>
        <w:t>4206.14</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71.84</w:t>
      </w:r>
      <w:r>
        <w:rPr>
          <w:rFonts w:hint="eastAsia" w:ascii="仿宋_GB2312" w:hAnsi="仿宋_GB2312" w:eastAsia="仿宋_GB2312" w:cs="仿宋_GB2312"/>
          <w:color w:val="auto"/>
          <w:kern w:val="2"/>
          <w:sz w:val="32"/>
          <w:szCs w:val="32"/>
          <w:highlight w:val="none"/>
          <w:lang w:val="en-US" w:eastAsia="zh-CN" w:bidi="ar-SA"/>
        </w:rPr>
        <w:t>%。</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46" w:name="_Toc15377224"/>
      <w:r>
        <w:rPr>
          <w:rFonts w:hint="eastAsia" w:ascii="Times New Roman" w:hAnsi="Times New Roman" w:eastAsia="楷体_GB2312" w:cs="楷体_GB2312"/>
          <w:b/>
          <w:color w:val="auto"/>
          <w:sz w:val="32"/>
          <w:szCs w:val="32"/>
          <w:highlight w:val="none"/>
        </w:rPr>
        <w:t>（三）国有资产占有使用情况</w:t>
      </w:r>
      <w:bookmarkEnd w:id="46"/>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截至2024年12月31日，</w:t>
      </w:r>
      <w:r>
        <w:rPr>
          <w:rFonts w:hint="eastAsia" w:ascii="仿宋_GB2312" w:hAnsi="仿宋_GB2312" w:eastAsia="仿宋_GB2312" w:cs="仿宋_GB2312"/>
          <w:sz w:val="32"/>
          <w:szCs w:val="32"/>
        </w:rPr>
        <w:t>四川省攀枝花市教育和体育局</w:t>
      </w:r>
      <w:r>
        <w:rPr>
          <w:rFonts w:hint="eastAsia" w:ascii="仿宋_GB2312" w:hAnsi="仿宋_GB2312" w:eastAsia="仿宋_GB2312" w:cs="仿宋_GB2312"/>
          <w:color w:val="auto"/>
          <w:kern w:val="2"/>
          <w:sz w:val="32"/>
          <w:szCs w:val="32"/>
          <w:highlight w:val="none"/>
          <w:lang w:val="en-US" w:eastAsia="zh-CN" w:bidi="ar-SA"/>
        </w:rPr>
        <w:t>共有车辆</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color w:val="auto"/>
          <w:kern w:val="2"/>
          <w:sz w:val="32"/>
          <w:szCs w:val="32"/>
          <w:highlight w:val="none"/>
          <w:lang w:val="en-US" w:eastAsia="zh-CN" w:bidi="ar-SA"/>
        </w:rPr>
        <w:t>辆，其中：主要负责人用车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辆、机要通信用车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辆、应急保障用车</w:t>
      </w:r>
      <w:r>
        <w:rPr>
          <w:rFonts w:hint="eastAsia" w:ascii="仿宋_GB2312" w:hAnsi="仿宋_GB2312" w:eastAsia="仿宋_GB2312" w:cs="仿宋_GB2312"/>
          <w:sz w:val="32"/>
          <w:szCs w:val="32"/>
        </w:rPr>
        <w:t>1</w:t>
      </w:r>
      <w:r>
        <w:rPr>
          <w:rFonts w:hint="eastAsia" w:ascii="仿宋_GB2312" w:hAnsi="仿宋_GB2312" w:eastAsia="仿宋_GB2312" w:cs="仿宋_GB2312"/>
          <w:color w:val="auto"/>
          <w:kern w:val="2"/>
          <w:sz w:val="32"/>
          <w:szCs w:val="32"/>
          <w:highlight w:val="none"/>
          <w:lang w:val="en-US" w:eastAsia="zh-CN" w:bidi="ar-SA"/>
        </w:rPr>
        <w:t>辆、其他用车</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color w:val="auto"/>
          <w:kern w:val="2"/>
          <w:sz w:val="32"/>
          <w:szCs w:val="32"/>
          <w:highlight w:val="none"/>
          <w:lang w:val="en-US" w:eastAsia="zh-CN" w:bidi="ar-SA"/>
        </w:rPr>
        <w:t>辆，其他用车主要是用于</w:t>
      </w:r>
      <w:r>
        <w:rPr>
          <w:rFonts w:hint="eastAsia" w:ascii="仿宋_GB2312" w:eastAsia="仿宋_GB2312" w:cs="仿宋_GB2312"/>
          <w:sz w:val="32"/>
          <w:szCs w:val="32"/>
        </w:rPr>
        <w:t>单位日常公务使用，汽车专业教育教学和通勤</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万元以上设备（不含车辆）</w:t>
      </w:r>
      <w:r>
        <w:rPr>
          <w:sz w:val="32"/>
          <w:szCs w:val="32"/>
        </w:rPr>
        <w:t>1</w:t>
      </w:r>
      <w:r>
        <w:rPr>
          <w:rFonts w:hint="eastAsia" w:ascii="仿宋_GB2312" w:eastAsia="仿宋_GB2312"/>
          <w:sz w:val="32"/>
          <w:szCs w:val="32"/>
        </w:rPr>
        <w:t>台（套）。</w:t>
      </w:r>
      <w:r>
        <w:rPr>
          <w:rFonts w:hint="eastAsia" w:ascii="仿宋_GB2312" w:hAnsi="仿宋_GB2312" w:eastAsia="仿宋_GB2312" w:cs="仿宋_GB2312"/>
          <w:color w:val="auto"/>
          <w:kern w:val="2"/>
          <w:sz w:val="32"/>
          <w:szCs w:val="32"/>
          <w:highlight w:val="none"/>
          <w:lang w:val="en-US" w:eastAsia="zh-CN" w:bidi="ar-SA"/>
        </w:rPr>
        <w:t>单价100万元（含）以上设备（不含车辆）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台（套）</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根据预算绩效管理要求，</w:t>
      </w:r>
      <w:r>
        <w:rPr>
          <w:rFonts w:hint="eastAsia" w:eastAsia="仿宋_GB2312" w:cs="仿宋_GB2312"/>
          <w:color w:val="auto"/>
          <w:kern w:val="2"/>
          <w:sz w:val="32"/>
          <w:szCs w:val="32"/>
          <w:highlight w:val="none"/>
          <w:lang w:val="en-US" w:eastAsia="zh-CN" w:bidi="ar-SA"/>
        </w:rPr>
        <w:t>本部门</w:t>
      </w:r>
      <w:r>
        <w:rPr>
          <w:rFonts w:hint="eastAsia" w:ascii="Times New Roman" w:hAnsi="Times New Roman" w:eastAsia="仿宋_GB2312" w:cs="仿宋_GB2312"/>
          <w:color w:val="auto"/>
          <w:kern w:val="2"/>
          <w:sz w:val="32"/>
          <w:szCs w:val="32"/>
          <w:highlight w:val="none"/>
          <w:lang w:val="en-US" w:eastAsia="zh-CN" w:bidi="ar-SA"/>
        </w:rPr>
        <w:t>在2024年度预算编制阶段，组织对</w:t>
      </w:r>
      <w:r>
        <w:rPr>
          <w:rFonts w:hint="eastAsia" w:ascii="仿宋_GB2312" w:hAnsi="仿宋_GB2312" w:eastAsia="仿宋_GB2312" w:cs="仿宋_GB2312"/>
          <w:sz w:val="32"/>
          <w:szCs w:val="32"/>
        </w:rPr>
        <w:t>普通高中教育补助经费项目</w:t>
      </w:r>
      <w:r>
        <w:rPr>
          <w:rFonts w:hint="eastAsia" w:ascii="Times New Roman" w:hAnsi="Times New Roman" w:eastAsia="仿宋_GB2312" w:cs="仿宋_GB2312"/>
          <w:color w:val="auto"/>
          <w:kern w:val="2"/>
          <w:sz w:val="32"/>
          <w:szCs w:val="32"/>
          <w:highlight w:val="none"/>
          <w:lang w:val="en-US" w:eastAsia="zh-CN" w:bidi="ar-SA"/>
        </w:rPr>
        <w:t>等</w:t>
      </w:r>
      <w:r>
        <w:rPr>
          <w:rFonts w:hint="eastAsia" w:eastAsia="仿宋_GB2312" w:cs="仿宋_GB2312"/>
          <w:color w:val="auto"/>
          <w:kern w:val="2"/>
          <w:sz w:val="32"/>
          <w:szCs w:val="32"/>
          <w:highlight w:val="none"/>
          <w:lang w:val="en-US" w:eastAsia="zh-CN" w:bidi="ar-SA"/>
        </w:rPr>
        <w:t>11</w:t>
      </w:r>
      <w:r>
        <w:rPr>
          <w:rFonts w:hint="eastAsia" w:ascii="Times New Roman" w:hAnsi="Times New Roman" w:eastAsia="仿宋_GB2312" w:cs="仿宋_GB2312"/>
          <w:color w:val="auto"/>
          <w:kern w:val="2"/>
          <w:sz w:val="32"/>
          <w:szCs w:val="32"/>
          <w:highlight w:val="none"/>
          <w:lang w:val="en-US" w:eastAsia="zh-CN" w:bidi="ar-SA"/>
        </w:rPr>
        <w:t>个项目开展了预算事前绩效评估，对</w:t>
      </w:r>
      <w:r>
        <w:rPr>
          <w:rFonts w:hint="eastAsia" w:eastAsia="仿宋_GB2312" w:cs="仿宋_GB2312"/>
          <w:color w:val="auto"/>
          <w:kern w:val="2"/>
          <w:sz w:val="32"/>
          <w:szCs w:val="32"/>
          <w:highlight w:val="none"/>
          <w:lang w:val="en-US" w:eastAsia="zh-CN" w:bidi="ar-SA"/>
        </w:rPr>
        <w:t>287</w:t>
      </w:r>
      <w:r>
        <w:rPr>
          <w:rFonts w:hint="eastAsia" w:ascii="Times New Roman" w:hAnsi="Times New Roman" w:eastAsia="仿宋_GB2312" w:cs="仿宋_GB2312"/>
          <w:color w:val="auto"/>
          <w:kern w:val="2"/>
          <w:sz w:val="32"/>
          <w:szCs w:val="32"/>
          <w:highlight w:val="none"/>
          <w:lang w:val="en-US" w:eastAsia="zh-CN" w:bidi="ar-SA"/>
        </w:rPr>
        <w:t>个项目编制了绩效目标，预算执行过程中，选取</w:t>
      </w:r>
      <w:r>
        <w:rPr>
          <w:rFonts w:hint="eastAsia" w:eastAsia="仿宋_GB2312" w:cs="仿宋_GB2312"/>
          <w:color w:val="auto"/>
          <w:kern w:val="2"/>
          <w:sz w:val="32"/>
          <w:szCs w:val="32"/>
          <w:highlight w:val="none"/>
          <w:lang w:val="en-US" w:eastAsia="zh-CN" w:bidi="ar-SA"/>
        </w:rPr>
        <w:t>287</w:t>
      </w:r>
      <w:r>
        <w:rPr>
          <w:rFonts w:hint="eastAsia" w:ascii="Times New Roman" w:hAnsi="Times New Roman" w:eastAsia="仿宋_GB2312" w:cs="仿宋_GB2312"/>
          <w:color w:val="auto"/>
          <w:kern w:val="2"/>
          <w:sz w:val="32"/>
          <w:szCs w:val="32"/>
          <w:highlight w:val="none"/>
          <w:lang w:val="en-US" w:eastAsia="zh-CN" w:bidi="ar-SA"/>
        </w:rPr>
        <w:t>个项目开展绩效监控。</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组织对2024年度一般公共预算、政府性基金预算、国有资本经营预算、社会保险基金预算以及资本资产、债券资金等全面开展绩效自评，形成</w:t>
      </w:r>
      <w:r>
        <w:rPr>
          <w:rFonts w:hint="eastAsia" w:eastAsia="仿宋_GB2312" w:cs="仿宋_GB2312"/>
          <w:color w:val="auto"/>
          <w:kern w:val="2"/>
          <w:sz w:val="32"/>
          <w:szCs w:val="32"/>
          <w:highlight w:val="none"/>
          <w:lang w:val="en-US" w:eastAsia="zh-CN" w:bidi="ar-SA"/>
        </w:rPr>
        <w:t>市教育和体育局</w:t>
      </w:r>
      <w:r>
        <w:rPr>
          <w:rFonts w:hint="eastAsia" w:ascii="Times New Roman" w:hAnsi="Times New Roman" w:eastAsia="仿宋_GB2312" w:cs="仿宋_GB2312"/>
          <w:color w:val="auto"/>
          <w:kern w:val="2"/>
          <w:sz w:val="32"/>
          <w:szCs w:val="32"/>
          <w:highlight w:val="none"/>
          <w:lang w:val="en-US" w:eastAsia="zh-CN" w:bidi="ar-SA"/>
        </w:rPr>
        <w:t>部门整体（含部门预算项目）绩效自评报告、</w:t>
      </w:r>
      <w:r>
        <w:rPr>
          <w:rFonts w:hint="eastAsia" w:eastAsia="仿宋_GB2312" w:cs="仿宋_GB2312"/>
          <w:color w:val="auto"/>
          <w:kern w:val="2"/>
          <w:sz w:val="32"/>
          <w:szCs w:val="32"/>
          <w:highlight w:val="none"/>
          <w:lang w:val="en-US" w:eastAsia="zh-CN" w:bidi="ar-SA"/>
        </w:rPr>
        <w:t>教师培训</w:t>
      </w:r>
      <w:r>
        <w:rPr>
          <w:rFonts w:hint="eastAsia" w:ascii="Times New Roman" w:hAnsi="Times New Roman" w:eastAsia="仿宋_GB2312" w:cs="仿宋_GB2312"/>
          <w:color w:val="auto"/>
          <w:kern w:val="2"/>
          <w:sz w:val="32"/>
          <w:szCs w:val="32"/>
          <w:highlight w:val="none"/>
          <w:lang w:val="en-US" w:eastAsia="zh-CN" w:bidi="ar-SA"/>
        </w:rPr>
        <w:t>等专项预算项目绩效自评报告，其中，</w:t>
      </w:r>
      <w:r>
        <w:rPr>
          <w:rFonts w:hint="eastAsia" w:eastAsia="仿宋_GB2312" w:cs="仿宋_GB2312"/>
          <w:color w:val="auto"/>
          <w:kern w:val="2"/>
          <w:sz w:val="32"/>
          <w:szCs w:val="32"/>
          <w:highlight w:val="none"/>
          <w:lang w:val="en-US" w:eastAsia="zh-CN" w:bidi="ar-SA"/>
        </w:rPr>
        <w:t>市教育和体育局</w:t>
      </w:r>
      <w:r>
        <w:rPr>
          <w:rFonts w:hint="eastAsia" w:ascii="Times New Roman" w:hAnsi="Times New Roman" w:eastAsia="仿宋_GB2312" w:cs="仿宋_GB2312"/>
          <w:color w:val="auto"/>
          <w:kern w:val="2"/>
          <w:sz w:val="32"/>
          <w:szCs w:val="32"/>
          <w:highlight w:val="none"/>
          <w:lang w:val="en-US" w:eastAsia="zh-CN" w:bidi="ar-SA"/>
        </w:rPr>
        <w:t>部门整体（含部门预算项目）绩效自评得分为</w:t>
      </w:r>
      <w:r>
        <w:rPr>
          <w:rFonts w:hint="eastAsia" w:eastAsia="仿宋_GB2312" w:cs="仿宋_GB2312"/>
          <w:color w:val="auto"/>
          <w:kern w:val="2"/>
          <w:sz w:val="32"/>
          <w:szCs w:val="32"/>
          <w:highlight w:val="none"/>
          <w:lang w:val="en-US" w:eastAsia="zh-CN" w:bidi="ar-SA"/>
        </w:rPr>
        <w:t>98</w:t>
      </w:r>
      <w:r>
        <w:rPr>
          <w:rFonts w:hint="eastAsia" w:ascii="Times New Roman" w:hAnsi="Times New Roman" w:eastAsia="仿宋_GB2312" w:cs="仿宋_GB2312"/>
          <w:color w:val="auto"/>
          <w:kern w:val="2"/>
          <w:sz w:val="32"/>
          <w:szCs w:val="32"/>
          <w:highlight w:val="none"/>
          <w:lang w:val="en-US" w:eastAsia="zh-CN" w:bidi="ar-SA"/>
        </w:rPr>
        <w:t>分，绩效自评综述</w:t>
      </w:r>
      <w:r>
        <w:rPr>
          <w:rFonts w:hint="eastAsia" w:eastAsia="仿宋_GB2312" w:cs="仿宋_GB2312"/>
          <w:color w:val="auto"/>
          <w:kern w:val="2"/>
          <w:sz w:val="32"/>
          <w:szCs w:val="32"/>
          <w:highlight w:val="none"/>
          <w:lang w:val="en-US" w:eastAsia="zh-CN" w:bidi="ar-SA"/>
        </w:rPr>
        <w:t>良好</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国培计划市州统筹实施</w:t>
      </w:r>
      <w:r>
        <w:rPr>
          <w:rFonts w:hint="eastAsia" w:ascii="Times New Roman" w:hAnsi="Times New Roman" w:eastAsia="仿宋_GB2312" w:cs="仿宋_GB2312"/>
          <w:color w:val="auto"/>
          <w:kern w:val="2"/>
          <w:sz w:val="32"/>
          <w:szCs w:val="32"/>
          <w:highlight w:val="none"/>
          <w:lang w:val="en-US" w:eastAsia="zh-CN" w:bidi="ar-SA"/>
        </w:rPr>
        <w:t>专项预算项目绩效自评得分为</w:t>
      </w:r>
      <w:r>
        <w:rPr>
          <w:rFonts w:hint="eastAsia" w:eastAsia="仿宋_GB2312" w:cs="仿宋_GB2312"/>
          <w:color w:val="auto"/>
          <w:kern w:val="2"/>
          <w:sz w:val="32"/>
          <w:szCs w:val="32"/>
          <w:highlight w:val="none"/>
          <w:lang w:val="en-US" w:eastAsia="zh-CN" w:bidi="ar-SA"/>
        </w:rPr>
        <w:t>93</w:t>
      </w:r>
      <w:r>
        <w:rPr>
          <w:rFonts w:hint="eastAsia" w:ascii="Times New Roman" w:hAnsi="Times New Roman" w:eastAsia="仿宋_GB2312" w:cs="仿宋_GB2312"/>
          <w:color w:val="auto"/>
          <w:kern w:val="2"/>
          <w:sz w:val="32"/>
          <w:szCs w:val="32"/>
          <w:highlight w:val="none"/>
          <w:lang w:val="en-US" w:eastAsia="zh-CN" w:bidi="ar-SA"/>
        </w:rPr>
        <w:t>分，绩效自评综述</w:t>
      </w:r>
      <w:r>
        <w:rPr>
          <w:rFonts w:hint="eastAsia" w:eastAsia="仿宋_GB2312" w:cs="仿宋_GB2312"/>
          <w:color w:val="auto"/>
          <w:kern w:val="2"/>
          <w:sz w:val="32"/>
          <w:szCs w:val="32"/>
          <w:highlight w:val="none"/>
          <w:lang w:val="en-US" w:eastAsia="zh-CN" w:bidi="ar-SA"/>
        </w:rPr>
        <w:t>良好</w:t>
      </w:r>
      <w:r>
        <w:rPr>
          <w:rFonts w:hint="eastAsia" w:ascii="Times New Roman" w:hAnsi="Times New Roman" w:eastAsia="仿宋_GB2312" w:cs="仿宋_GB2312"/>
          <w:color w:val="auto"/>
          <w:kern w:val="2"/>
          <w:sz w:val="32"/>
          <w:szCs w:val="32"/>
          <w:highlight w:val="none"/>
          <w:lang w:val="en-US" w:eastAsia="zh-CN" w:bidi="ar-SA"/>
        </w:rPr>
        <w:t>。绩效自评报告详见附件。</w:t>
      </w:r>
    </w:p>
    <w:p>
      <w:pPr>
        <w:pStyle w:val="8"/>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47" w:name="_Toc15396613"/>
      <w:bookmarkStart w:id="48" w:name="_Toc15377225"/>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47"/>
      <w:bookmarkEnd w:id="48"/>
    </w:p>
    <w:p>
      <w:pPr>
        <w:spacing w:line="600" w:lineRule="exact"/>
        <w:jc w:val="left"/>
        <w:rPr>
          <w:rFonts w:ascii="Times New Roman" w:hAnsi="Times New Roman"/>
          <w:b/>
          <w:color w:val="auto"/>
          <w:sz w:val="44"/>
          <w:szCs w:val="44"/>
          <w:highlight w:val="none"/>
        </w:rPr>
      </w:pPr>
    </w:p>
    <w:p>
      <w:bookmarkStart w:id="49" w:name="_Toc15377226"/>
    </w:p>
    <w:p>
      <w:pPr>
        <w:widowControl/>
        <w:spacing w:line="560" w:lineRule="exact"/>
        <w:ind w:firstLine="66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财政拨款收入：指单位从同级财政部门取得的财政预算资金。</w:t>
      </w:r>
    </w:p>
    <w:p>
      <w:pPr>
        <w:widowControl/>
        <w:spacing w:line="560" w:lineRule="exact"/>
        <w:ind w:firstLine="660"/>
        <w:rPr>
          <w:rFonts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其他收入：指单位取得的除上述收入以外的各项收入。主要是利息收入、除财政外其他相关单位拨款等。</w:t>
      </w:r>
      <w:r>
        <w:rPr>
          <w:rFonts w:ascii="仿宋_GB2312" w:eastAsia="仿宋_GB2312" w:cs="仿宋_GB2312"/>
          <w:sz w:val="32"/>
          <w:szCs w:val="32"/>
        </w:rPr>
        <w:t xml:space="preserve"> </w:t>
      </w:r>
    </w:p>
    <w:p>
      <w:pPr>
        <w:widowControl/>
        <w:spacing w:line="560" w:lineRule="exact"/>
        <w:ind w:firstLine="660"/>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年初结转和结余：指以前年度尚未完成、结转到本年按有关规定继续使用的资金。</w:t>
      </w:r>
    </w:p>
    <w:p>
      <w:pPr>
        <w:widowControl/>
        <w:spacing w:line="560" w:lineRule="exact"/>
        <w:ind w:firstLine="660"/>
        <w:rPr>
          <w:rFonts w:ascii="仿宋_GB2312" w:eastAsia="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年末结转和结余：指单位按有关规定结转到下年或以后年度继续使用的资金。</w:t>
      </w:r>
    </w:p>
    <w:p>
      <w:pPr>
        <w:widowControl/>
        <w:spacing w:line="560" w:lineRule="exact"/>
        <w:ind w:firstLine="660"/>
        <w:rPr>
          <w:rFonts w:ascii="仿宋_GB2312" w:eastAsia="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一般公共服务（类）发展与改革事务（款）战略规划与实施（项）：指反应拟定并组织实施国民经济和社会发展战略、中长期规划和年度计划，实施宏观管理与调控等方面的支出。一般公共服务（类）组织事务（款）其他组织事务支出（项）：指其他用于中国共产党组织部门的事业支出。</w:t>
      </w:r>
    </w:p>
    <w:p>
      <w:pPr>
        <w:widowControl/>
        <w:spacing w:line="560" w:lineRule="exact"/>
        <w:ind w:firstLine="660"/>
        <w:rPr>
          <w:rFonts w:ascii="仿宋_GB2312" w:eastAsia="仿宋_GB2312"/>
          <w:sz w:val="32"/>
          <w:szCs w:val="32"/>
        </w:rPr>
      </w:pPr>
      <w:r>
        <w:rPr>
          <w:rFonts w:ascii="仿宋_GB2312" w:eastAsia="仿宋_GB2312" w:cs="仿宋_GB2312"/>
          <w:sz w:val="32"/>
          <w:szCs w:val="32"/>
        </w:rPr>
        <w:t>6.</w:t>
      </w:r>
      <w:r>
        <w:rPr>
          <w:rFonts w:hint="eastAsia" w:ascii="仿宋_GB2312" w:eastAsia="仿宋_GB2312" w:cs="仿宋_GB2312"/>
          <w:sz w:val="32"/>
          <w:szCs w:val="32"/>
        </w:rPr>
        <w:t>教育（类）教育管理事务（款）行政运行（项）：指反映行政单位（包括实行公务员管理的事业单位）教育方面的基本支出。教育（类）教育管理事务（款）一般行政管理事务（项）：指反映行政单位（包括实行公务员管理的事业单位）未单独设置项级科目的其他项目支出。教育（类）教育管理事务（款）其他教育管理事务支出（项）：指其他用于教育管理事务方面的支出。教育（类）普通教育（款）学前教育（项）：指各部门举办的学前教育支出。教育（类）普通教育（款）初中教育（项）指</w:t>
      </w:r>
      <w:r>
        <w:rPr>
          <w:rFonts w:ascii="仿宋_GB2312" w:eastAsia="仿宋_GB2312" w:cs="仿宋_GB2312"/>
          <w:sz w:val="32"/>
          <w:szCs w:val="32"/>
        </w:rPr>
        <w:t xml:space="preserve">: </w:t>
      </w:r>
      <w:r>
        <w:rPr>
          <w:rFonts w:hint="eastAsia" w:ascii="仿宋_GB2312" w:eastAsia="仿宋_GB2312" w:cs="仿宋_GB2312"/>
          <w:sz w:val="32"/>
          <w:szCs w:val="32"/>
        </w:rPr>
        <w:t>教育类普通教育款初中教育支出项。教育（类）普通教育（款）高中教育（项）：反映各部门举办的高级中学教育支出。政府各部门对社会中介组织等举办的高级中学的资助，如捐赠、补贴等，也在本科目中反映。教育（类）普通教育（款）其他普通教育支出（项）：其他用于普通教育方面的支出。教育支出（类）职业教育（款）中专教育（项）：反映各部门中等专业学校的支出。教育支出（类）职业教育（款）其他职业教育支出（项）：指其他用于职业教育方面的支出。教育支出（类）广播电视教育（款）广播电视学校（项）：反映各部门举办广播电视学校的支出。教育（类）特殊教育（款）特殊学校教育（项）：反映举办盲童学校、聋哑学校、智力落后儿童学校、其他生理缺陷儿童学校的支出。教育（类）特殊教育（款）其他特殊教育支出（项）：反映除举办盲童学校、聋哑学校、智力落后儿童学校、其他生理缺陷儿童学校及工读学校外其他用于特殊教育方面的支出。教育（类）教育附加安排的支出（款）其他教育附加安排的支出（项）</w:t>
      </w:r>
      <w:r>
        <w:rPr>
          <w:rFonts w:ascii="仿宋_GB2312" w:eastAsia="仿宋_GB2312" w:cs="仿宋_GB2312"/>
          <w:sz w:val="32"/>
          <w:szCs w:val="32"/>
        </w:rPr>
        <w:t>:</w:t>
      </w:r>
      <w:r>
        <w:rPr>
          <w:rFonts w:hint="eastAsia" w:ascii="仿宋_GB2312" w:eastAsia="仿宋_GB2312" w:cs="仿宋_GB2312"/>
          <w:sz w:val="32"/>
          <w:szCs w:val="32"/>
        </w:rPr>
        <w:t>反映除农村中小学校舍建设、农村中小学教学设施、城市中小学校舍建设、城市中小学教学设施、中等职业学校教学设施以外的教育费附加支出。教育（类）其他教育支出（款）其他教育支出（项）：其他用于教育方面的支出。</w:t>
      </w:r>
    </w:p>
    <w:p>
      <w:pPr>
        <w:widowControl/>
        <w:spacing w:line="560" w:lineRule="exact"/>
        <w:ind w:firstLine="660"/>
        <w:rPr>
          <w:rFonts w:ascii="仿宋_GB2312" w:eastAsia="仿宋_GB2312"/>
          <w:sz w:val="32"/>
          <w:szCs w:val="32"/>
        </w:rPr>
      </w:pPr>
      <w:r>
        <w:rPr>
          <w:rFonts w:ascii="仿宋_GB2312" w:eastAsia="仿宋_GB2312" w:cs="仿宋_GB2312"/>
          <w:sz w:val="32"/>
          <w:szCs w:val="32"/>
        </w:rPr>
        <w:t>7.</w:t>
      </w:r>
      <w:r>
        <w:rPr>
          <w:rFonts w:hint="eastAsia" w:ascii="仿宋_GB2312" w:eastAsia="仿宋_GB2312" w:cs="仿宋_GB2312"/>
          <w:sz w:val="32"/>
          <w:szCs w:val="32"/>
        </w:rPr>
        <w:t>文化体育与传媒（类）体育（款）行政运行（项）：指反映行政单位（包括实行公务员管理的事业单位）体育方面的基本支出。文化体育与传媒（类）体育（款）一般行政管理事务（项）：指反映行政单位（包括实行公务员管理的事业单位）未单独设置项级科目的其他项目支出。文化体育与传媒（类）体育（款）体育竞赛（项）：反映综合性运动会及单项体育比赛支出。文化体育与传媒（类）体育（款）体育训练（项）：反映各级体育运动队训练补助及器材购置等方面的支出。文化体育与传媒（类）体育（款）体育场馆（项）：指反映体育场馆建设及维护等方面的支出。文化体育与传媒（类）体育（款）群众体育（项）：反映业余体校和全民健身等群众体育活动方面的支出。文化体育与传媒（类）体育（款）其他体育支出（项）：指反映除上述项目以外的其他体育方面的支出。文化体育与传媒（类）其他文化体育与传媒支出（款）其他文化体育与传媒支出（项）：指反映除上述项目以外的其他文化体育与传媒方面的支出。</w:t>
      </w:r>
    </w:p>
    <w:p>
      <w:pPr>
        <w:widowControl/>
        <w:spacing w:line="560" w:lineRule="exact"/>
        <w:ind w:firstLine="660"/>
        <w:rPr>
          <w:rFonts w:ascii="仿宋_GB2312" w:eastAsia="仿宋_GB2312"/>
          <w:sz w:val="32"/>
          <w:szCs w:val="32"/>
        </w:rPr>
      </w:pPr>
      <w:r>
        <w:rPr>
          <w:rFonts w:ascii="仿宋_GB2312" w:eastAsia="仿宋_GB2312" w:cs="仿宋_GB2312"/>
          <w:sz w:val="32"/>
          <w:szCs w:val="32"/>
        </w:rPr>
        <w:t>8.</w:t>
      </w:r>
      <w:r>
        <w:rPr>
          <w:rFonts w:hint="eastAsia" w:ascii="仿宋_GB2312" w:eastAsia="仿宋_GB2312" w:cs="仿宋_GB2312"/>
          <w:sz w:val="32"/>
          <w:szCs w:val="32"/>
        </w:rPr>
        <w:t>社会保障和就业（类）人力资源和社会保障管理事务（款）其他人力资源和社会保障管理事务支出（项）</w:t>
      </w:r>
      <w:r>
        <w:rPr>
          <w:rFonts w:ascii="仿宋_GB2312" w:eastAsia="仿宋_GB2312" w:cs="仿宋_GB2312"/>
          <w:sz w:val="32"/>
          <w:szCs w:val="32"/>
        </w:rPr>
        <w:t>:</w:t>
      </w:r>
      <w:r>
        <w:rPr>
          <w:rFonts w:hint="eastAsia" w:ascii="仿宋_GB2312" w:eastAsia="仿宋_GB2312" w:cs="仿宋_GB2312"/>
          <w:sz w:val="32"/>
          <w:szCs w:val="32"/>
        </w:rPr>
        <w:t>其他用于人力资源和社会保障管理事务方面的支出。社会保障和就业（类）行政事业单位离退休（款）未归口管理的行政事业单位离退休（项）</w:t>
      </w:r>
      <w:r>
        <w:rPr>
          <w:rFonts w:ascii="仿宋_GB2312" w:eastAsia="仿宋_GB2312" w:cs="仿宋_GB2312"/>
          <w:sz w:val="32"/>
          <w:szCs w:val="32"/>
        </w:rPr>
        <w:t>:</w:t>
      </w:r>
      <w:r>
        <w:rPr>
          <w:rFonts w:hint="eastAsia" w:ascii="仿宋_GB2312" w:eastAsia="仿宋_GB2312" w:cs="仿宋_GB2312"/>
          <w:sz w:val="32"/>
          <w:szCs w:val="32"/>
        </w:rPr>
        <w:t>反映未实行归口管理的行政单位（包括实行公务员管理的事业单位）开支的离退休支出。社会保障和就业（类）行政事业单位离退休（款）机关事业单位基本养老保险缴费支出（项）：反映机关事业单位实施养老保险制度由单位缴纳的基本养老保险费支出。社会保障和就业（类）抚恤（款）死亡抚恤（项）：反映按规定用于烈士和牺牲、病故人员家属的一次性和定期抚恤金以及丧葬补助费。社会保障和就业（类）社会福利（款）儿童福利（项）：反映对儿童提供福利服务方面的支出。社会保障和就业（类）残疾人事业（款）残疾人就业和扶贫（项）：反映残疾人联合会用于残疾人就业和扶贫等方面的工作。</w:t>
      </w:r>
    </w:p>
    <w:p>
      <w:pPr>
        <w:widowControl/>
        <w:spacing w:line="560" w:lineRule="exact"/>
        <w:ind w:firstLine="660"/>
        <w:rPr>
          <w:rFonts w:ascii="仿宋_GB2312" w:eastAsia="仿宋_GB2312"/>
          <w:sz w:val="32"/>
          <w:szCs w:val="32"/>
        </w:rPr>
      </w:pPr>
      <w:r>
        <w:rPr>
          <w:rFonts w:ascii="仿宋_GB2312" w:eastAsia="仿宋_GB2312" w:cs="仿宋_GB2312"/>
          <w:sz w:val="32"/>
          <w:szCs w:val="32"/>
        </w:rPr>
        <w:t>9.</w:t>
      </w:r>
      <w:r>
        <w:rPr>
          <w:rFonts w:hint="eastAsia" w:ascii="仿宋_GB2312" w:eastAsia="仿宋_GB2312" w:cs="仿宋_GB2312"/>
          <w:sz w:val="32"/>
          <w:szCs w:val="32"/>
        </w:rPr>
        <w:t>医疗卫生与计划生育支出（类）公共卫生（款）重大公共卫生专项（项）：反映重大疾病预防控制等重大公共卫生服务项目支出。医疗卫生与计划生育支出（类）医疗保障（款）其他医疗保障支出（项）：其他用于医疗保障方面的支出。</w:t>
      </w:r>
    </w:p>
    <w:p>
      <w:pPr>
        <w:widowControl/>
        <w:spacing w:line="560" w:lineRule="exact"/>
        <w:ind w:firstLine="660"/>
        <w:rPr>
          <w:rFonts w:ascii="仿宋_GB2312" w:eastAsia="仿宋_GB2312"/>
          <w:sz w:val="32"/>
          <w:szCs w:val="32"/>
        </w:rPr>
      </w:pPr>
      <w:r>
        <w:rPr>
          <w:rFonts w:ascii="仿宋_GB2312" w:eastAsia="仿宋_GB2312" w:cs="仿宋_GB2312"/>
          <w:sz w:val="32"/>
          <w:szCs w:val="32"/>
        </w:rPr>
        <w:t>10.</w:t>
      </w:r>
      <w:r>
        <w:rPr>
          <w:rFonts w:hint="eastAsia" w:ascii="仿宋_GB2312" w:eastAsia="仿宋_GB2312" w:cs="仿宋_GB2312"/>
          <w:sz w:val="32"/>
          <w:szCs w:val="32"/>
        </w:rPr>
        <w:t>城乡社区支出（类）国有土地使用权出让收入及对应专项债务收入安排的支出（款）城市建设支出（项）：反映土地出让收入用于完善国有土地使用功能的配套设施建设和城市基础设施建设支出。</w:t>
      </w:r>
    </w:p>
    <w:p>
      <w:pPr>
        <w:widowControl/>
        <w:spacing w:line="560" w:lineRule="exact"/>
        <w:ind w:firstLine="660"/>
        <w:rPr>
          <w:rFonts w:ascii="仿宋_GB2312" w:eastAsia="仿宋_GB2312"/>
          <w:sz w:val="32"/>
          <w:szCs w:val="32"/>
        </w:rPr>
      </w:pPr>
      <w:r>
        <w:rPr>
          <w:rFonts w:ascii="仿宋_GB2312" w:eastAsia="仿宋_GB2312" w:cs="仿宋_GB2312"/>
          <w:sz w:val="32"/>
          <w:szCs w:val="32"/>
        </w:rPr>
        <w:t>11.</w:t>
      </w:r>
      <w:r>
        <w:rPr>
          <w:rFonts w:hint="eastAsia" w:ascii="仿宋_GB2312" w:eastAsia="仿宋_GB2312" w:cs="仿宋_GB2312"/>
          <w:sz w:val="32"/>
          <w:szCs w:val="32"/>
        </w:rPr>
        <w:t>住房保障（类）保障性安居工程支出（款）公共租赁住房（项）：反映用于新建、改建、购买、租赁公共租赁住房支出。住房保障（类）住房改革支出（款）住房公积金（项）：指反映行政事业单位按人力资源和社会保障部、财政部规定的基本工资和津贴补贴以及规定比列为职工缴纳的住房公积金</w:t>
      </w:r>
    </w:p>
    <w:p>
      <w:pPr>
        <w:widowControl/>
        <w:spacing w:line="560" w:lineRule="exact"/>
        <w:ind w:firstLine="660"/>
        <w:rPr>
          <w:rFonts w:ascii="仿宋_GB2312" w:eastAsia="仿宋_GB2312"/>
          <w:sz w:val="32"/>
          <w:szCs w:val="32"/>
        </w:rPr>
      </w:pPr>
      <w:r>
        <w:rPr>
          <w:rFonts w:ascii="仿宋_GB2312" w:eastAsia="仿宋_GB2312" w:cs="仿宋_GB2312"/>
          <w:sz w:val="32"/>
          <w:szCs w:val="32"/>
        </w:rPr>
        <w:t>12.</w:t>
      </w:r>
      <w:r>
        <w:rPr>
          <w:rFonts w:hint="eastAsia" w:ascii="仿宋_GB2312" w:eastAsia="仿宋_GB2312" w:cs="仿宋_GB2312"/>
          <w:sz w:val="32"/>
          <w:szCs w:val="32"/>
        </w:rPr>
        <w:t>其他支出（类）彩票公益金及对应专项债务收入安排的支出（款）用于体育事业的彩票公益金支出（项）：反映用于体育事业的彩票公益金支出。</w:t>
      </w:r>
    </w:p>
    <w:p>
      <w:pPr>
        <w:widowControl/>
        <w:spacing w:line="560" w:lineRule="exact"/>
        <w:ind w:firstLine="660"/>
        <w:rPr>
          <w:rFonts w:ascii="仿宋_GB2312" w:eastAsia="仿宋_GB2312"/>
          <w:sz w:val="32"/>
          <w:szCs w:val="32"/>
        </w:rPr>
      </w:pPr>
      <w:r>
        <w:rPr>
          <w:rFonts w:ascii="仿宋_GB2312" w:eastAsia="仿宋_GB2312" w:cs="仿宋_GB2312"/>
          <w:sz w:val="32"/>
          <w:szCs w:val="32"/>
        </w:rPr>
        <w:t>13.</w:t>
      </w:r>
      <w:r>
        <w:rPr>
          <w:rFonts w:hint="eastAsia" w:ascii="仿宋_GB2312" w:eastAsia="仿宋_GB2312" w:cs="仿宋_GB2312"/>
          <w:sz w:val="32"/>
          <w:szCs w:val="32"/>
        </w:rPr>
        <w:t>年末结转和结余指单位按有关规定结转到下年或以后年度继续使用的资金。</w:t>
      </w:r>
    </w:p>
    <w:p>
      <w:pPr>
        <w:widowControl/>
        <w:spacing w:line="560" w:lineRule="exact"/>
        <w:ind w:firstLine="660"/>
        <w:rPr>
          <w:rFonts w:ascii="仿宋_GB2312" w:eastAsia="仿宋_GB2312"/>
          <w:sz w:val="32"/>
          <w:szCs w:val="32"/>
        </w:rPr>
      </w:pPr>
      <w:r>
        <w:rPr>
          <w:rFonts w:ascii="仿宋_GB2312" w:eastAsia="仿宋_GB2312" w:cs="仿宋_GB2312"/>
          <w:sz w:val="32"/>
          <w:szCs w:val="32"/>
        </w:rPr>
        <w:t>14.</w:t>
      </w:r>
      <w:r>
        <w:rPr>
          <w:rFonts w:hint="eastAsia" w:ascii="仿宋_GB2312" w:eastAsia="仿宋_GB2312" w:cs="仿宋_GB2312"/>
          <w:sz w:val="32"/>
          <w:szCs w:val="32"/>
        </w:rPr>
        <w:t>基本支出：指为保障机构正常运转、完成日常工作任务而发生的人员支出和公用支出。</w:t>
      </w:r>
    </w:p>
    <w:p>
      <w:pPr>
        <w:widowControl/>
        <w:spacing w:line="560" w:lineRule="exact"/>
        <w:ind w:firstLine="660"/>
        <w:rPr>
          <w:rFonts w:ascii="仿宋_GB2312" w:eastAsia="仿宋_GB2312" w:cs="仿宋_GB2312"/>
          <w:sz w:val="32"/>
          <w:szCs w:val="32"/>
        </w:rPr>
      </w:pPr>
      <w:r>
        <w:rPr>
          <w:rFonts w:ascii="仿宋_GB2312" w:eastAsia="仿宋_GB2312" w:cs="仿宋_GB2312"/>
          <w:sz w:val="32"/>
          <w:szCs w:val="32"/>
        </w:rPr>
        <w:t>15.</w:t>
      </w:r>
      <w:r>
        <w:rPr>
          <w:rFonts w:hint="eastAsia" w:ascii="仿宋_GB2312" w:eastAsia="仿宋_GB2312" w:cs="仿宋_GB2312"/>
          <w:sz w:val="32"/>
          <w:szCs w:val="32"/>
        </w:rPr>
        <w:t>项目支出：指在基本支出之外为完成特定行政任务和事业发展目标所发生的支出。</w:t>
      </w:r>
      <w:r>
        <w:rPr>
          <w:rFonts w:ascii="仿宋_GB2312" w:eastAsia="仿宋_GB2312" w:cs="仿宋_GB2312"/>
          <w:sz w:val="32"/>
          <w:szCs w:val="32"/>
        </w:rPr>
        <w:t xml:space="preserve"> </w:t>
      </w:r>
    </w:p>
    <w:p>
      <w:pPr>
        <w:widowControl/>
        <w:spacing w:line="560" w:lineRule="exact"/>
        <w:ind w:firstLine="660"/>
        <w:rPr>
          <w:rFonts w:ascii="仿宋_GB2312" w:eastAsia="仿宋_GB2312"/>
          <w:sz w:val="32"/>
          <w:szCs w:val="32"/>
        </w:rPr>
      </w:pPr>
      <w:r>
        <w:rPr>
          <w:rFonts w:ascii="仿宋_GB2312" w:eastAsia="仿宋_GB2312" w:cs="仿宋_GB2312"/>
          <w:sz w:val="32"/>
          <w:szCs w:val="32"/>
        </w:rPr>
        <w:t>16.</w:t>
      </w:r>
      <w:r>
        <w:rPr>
          <w:rFonts w:ascii="仿宋_GB2312" w:eastAsia="仿宋_GB2312"/>
          <w:sz w:val="32"/>
          <w:szCs w:val="32"/>
        </w:rPr>
        <w:t>“</w:t>
      </w:r>
      <w:r>
        <w:rPr>
          <w:rFonts w:hint="eastAsia" w:ascii="仿宋_GB2312" w:eastAsia="仿宋_GB2312" w:cs="仿宋_GB2312"/>
          <w:sz w:val="32"/>
          <w:szCs w:val="32"/>
        </w:rPr>
        <w:t>三公</w:t>
      </w:r>
      <w:r>
        <w:rPr>
          <w:rFonts w:ascii="仿宋_GB2312" w:eastAsia="仿宋_GB2312"/>
          <w:sz w:val="32"/>
          <w:szCs w:val="32"/>
        </w:rPr>
        <w:t>”</w:t>
      </w:r>
      <w:r>
        <w:rPr>
          <w:rFonts w:hint="eastAsia" w:ascii="仿宋_GB2312" w:eastAsia="仿宋_GB2312" w:cs="仿宋_GB2312"/>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widowControl/>
        <w:spacing w:line="560" w:lineRule="exact"/>
        <w:ind w:firstLine="660"/>
        <w:rPr>
          <w:rFonts w:ascii="仿宋" w:hAnsi="仿宋" w:eastAsia="仿宋"/>
          <w:b/>
          <w:sz w:val="32"/>
          <w:szCs w:val="32"/>
        </w:rPr>
      </w:pPr>
      <w:r>
        <w:rPr>
          <w:rFonts w:ascii="仿宋_GB2312" w:eastAsia="仿宋_GB2312" w:cs="仿宋_GB2312"/>
          <w:sz w:val="32"/>
          <w:szCs w:val="32"/>
        </w:rPr>
        <w:t>17.</w:t>
      </w:r>
      <w:r>
        <w:rPr>
          <w:rFonts w:hint="eastAsia" w:ascii="仿宋_GB2312" w:eastAsia="仿宋_GB2312" w:cs="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420" w:firstLineChars="200"/>
      </w:pPr>
    </w:p>
    <w:p>
      <w:pPr>
        <w:spacing w:line="600" w:lineRule="exact"/>
        <w:jc w:val="center"/>
        <w:rPr>
          <w:rStyle w:val="28"/>
          <w:rFonts w:hint="eastAsia" w:ascii="Times New Roman" w:hAnsi="Times New Roman" w:eastAsia="黑体"/>
          <w:b w:val="0"/>
          <w:color w:val="auto"/>
          <w:highlight w:val="none"/>
          <w:lang w:eastAsia="zh-CN"/>
        </w:rPr>
      </w:pPr>
      <w:r>
        <w:rPr>
          <w:rFonts w:hint="eastAsia" w:ascii="Times New Roman" w:hAnsi="Times New Roman" w:eastAsia="仿宋_GB2312" w:cs="仿宋_GB2312"/>
          <w:color w:val="auto"/>
          <w:kern w:val="2"/>
          <w:sz w:val="32"/>
          <w:szCs w:val="32"/>
          <w:highlight w:val="none"/>
          <w:lang w:val="en-US" w:eastAsia="zh-CN" w:bidi="ar-SA"/>
        </w:rPr>
        <w:br w:type="page"/>
      </w:r>
      <w:bookmarkStart w:id="50" w:name="_Toc15396614"/>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50"/>
    </w:p>
    <w:p>
      <w:pPr>
        <w:spacing w:line="600" w:lineRule="exact"/>
        <w:jc w:val="center"/>
        <w:outlineLvl w:val="0"/>
        <w:rPr>
          <w:rFonts w:ascii="黑体" w:hAnsi="黑体" w:eastAsia="黑体"/>
          <w:color w:val="FF0000"/>
          <w:sz w:val="44"/>
          <w:szCs w:val="44"/>
        </w:rPr>
      </w:pPr>
      <w:r>
        <w:rPr>
          <w:rFonts w:hint="eastAsia"/>
          <w:sz w:val="32"/>
          <w:szCs w:val="32"/>
        </w:rPr>
        <w:t>部门预算项目支出绩效自评表（202</w:t>
      </w:r>
      <w:r>
        <w:rPr>
          <w:rFonts w:hint="eastAsia"/>
          <w:sz w:val="32"/>
          <w:szCs w:val="32"/>
          <w:lang w:val="en-US" w:eastAsia="zh-CN"/>
        </w:rPr>
        <w:t>4</w:t>
      </w:r>
      <w:r>
        <w:rPr>
          <w:rFonts w:hint="eastAsia"/>
          <w:sz w:val="32"/>
          <w:szCs w:val="32"/>
        </w:rPr>
        <w:t>年度）</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bookmarkStart w:id="51" w:name="_Toc15396618"/>
      <w:r>
        <w:rPr>
          <w:rFonts w:hint="eastAsia" w:ascii="Times New Roman" w:hAnsi="Times New Roman" w:eastAsia="仿宋_GB2312" w:cs="仿宋_GB2312"/>
          <w:b w:val="0"/>
          <w:bCs w:val="0"/>
          <w:kern w:val="0"/>
          <w:position w:val="0"/>
          <w:sz w:val="32"/>
          <w:szCs w:val="32"/>
          <w:highlight w:val="none"/>
          <w:lang w:val="en-US" w:eastAsia="zh-CN" w:bidi="ar-SA"/>
        </w:rPr>
        <w:br w:type="page"/>
      </w:r>
    </w:p>
    <w:p>
      <w:pPr>
        <w:widowControl/>
        <w:jc w:val="center"/>
        <w:rPr>
          <w:rFonts w:hint="eastAsia" w:ascii="Times New Roman" w:hAnsi="Times New Roman" w:eastAsia="仿宋"/>
          <w:b w:val="0"/>
          <w:color w:val="auto"/>
          <w:highlight w:val="none"/>
        </w:rPr>
      </w:pPr>
      <w:r>
        <w:rPr>
          <w:rFonts w:hint="eastAsia" w:ascii="Times New Roman" w:hAnsi="Times New Roman" w:eastAsia="黑体"/>
          <w:color w:val="auto"/>
          <w:sz w:val="44"/>
          <w:szCs w:val="44"/>
          <w:highlight w:val="none"/>
        </w:rPr>
        <w:t>第</w:t>
      </w:r>
      <w:r>
        <w:rPr>
          <w:rStyle w:val="28"/>
          <w:rFonts w:hint="eastAsia" w:ascii="Times New Roman" w:hAnsi="Times New Roman" w:eastAsia="黑体"/>
          <w:b w:val="0"/>
          <w:color w:val="auto"/>
          <w:highlight w:val="none"/>
        </w:rPr>
        <w:t>五部分 附表</w:t>
      </w:r>
      <w:bookmarkEnd w:id="49"/>
      <w:bookmarkEnd w:id="51"/>
      <w:bookmarkStart w:id="52" w:name="_Toc15396619"/>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bookmarkEnd w:id="52"/>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3" w:name="_Toc15396620"/>
      <w:r>
        <w:rPr>
          <w:rFonts w:hint="eastAsia" w:ascii="Times New Roman" w:hAnsi="Times New Roman" w:eastAsia="仿宋_GB2312" w:cs="仿宋_GB2312"/>
          <w:color w:val="auto"/>
          <w:sz w:val="32"/>
          <w:szCs w:val="32"/>
          <w:highlight w:val="none"/>
        </w:rPr>
        <w:t>二、收入决算表</w:t>
      </w:r>
      <w:bookmarkEnd w:id="53"/>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4" w:name="_Toc15396621"/>
      <w:r>
        <w:rPr>
          <w:rFonts w:hint="eastAsia" w:ascii="Times New Roman" w:hAnsi="Times New Roman" w:eastAsia="仿宋_GB2312" w:cs="仿宋_GB2312"/>
          <w:color w:val="auto"/>
          <w:sz w:val="32"/>
          <w:szCs w:val="32"/>
          <w:highlight w:val="none"/>
        </w:rPr>
        <w:t>三、支出决算表</w:t>
      </w:r>
      <w:bookmarkEnd w:id="54"/>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5" w:name="_Toc15396622"/>
      <w:r>
        <w:rPr>
          <w:rFonts w:hint="eastAsia" w:ascii="Times New Roman" w:hAnsi="Times New Roman" w:eastAsia="仿宋_GB2312" w:cs="仿宋_GB2312"/>
          <w:color w:val="auto"/>
          <w:sz w:val="32"/>
          <w:szCs w:val="32"/>
          <w:highlight w:val="none"/>
        </w:rPr>
        <w:t>四、财政拨款收入支出决算总表</w:t>
      </w:r>
      <w:bookmarkEnd w:id="55"/>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6" w:name="_Toc15396623"/>
      <w:r>
        <w:rPr>
          <w:rFonts w:hint="eastAsia" w:ascii="Times New Roman" w:hAnsi="Times New Roman" w:eastAsia="仿宋_GB2312" w:cs="仿宋_GB2312"/>
          <w:color w:val="auto"/>
          <w:sz w:val="32"/>
          <w:szCs w:val="32"/>
          <w:highlight w:val="none"/>
        </w:rPr>
        <w:t>五、财政拨款支出决算明细表</w:t>
      </w:r>
      <w:bookmarkEnd w:id="56"/>
      <w:bookmarkStart w:id="57" w:name="_Toc15396624"/>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bookmarkEnd w:id="57"/>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8" w:name="_Toc15396625"/>
      <w:r>
        <w:rPr>
          <w:rFonts w:hint="eastAsia" w:ascii="Times New Roman" w:hAnsi="Times New Roman" w:eastAsia="仿宋_GB2312" w:cs="仿宋_GB2312"/>
          <w:color w:val="auto"/>
          <w:sz w:val="32"/>
          <w:szCs w:val="32"/>
          <w:highlight w:val="none"/>
        </w:rPr>
        <w:t>七、一般公共预算财政拨款支出决算明细表</w:t>
      </w:r>
      <w:bookmarkEnd w:id="58"/>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9" w:name="_Toc15396626"/>
      <w:r>
        <w:rPr>
          <w:rFonts w:hint="eastAsia" w:ascii="Times New Roman" w:hAnsi="Times New Roman" w:eastAsia="仿宋_GB2312" w:cs="仿宋_GB2312"/>
          <w:color w:val="auto"/>
          <w:sz w:val="32"/>
          <w:szCs w:val="32"/>
          <w:highlight w:val="none"/>
        </w:rPr>
        <w:t>八、一般公共预算财政拨款基本支出决算表</w:t>
      </w:r>
      <w:bookmarkEnd w:id="59"/>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0" w:name="_Toc15396627"/>
      <w:r>
        <w:rPr>
          <w:rFonts w:hint="eastAsia" w:ascii="Times New Roman" w:hAnsi="Times New Roman" w:eastAsia="仿宋_GB2312" w:cs="仿宋_GB2312"/>
          <w:color w:val="auto"/>
          <w:sz w:val="32"/>
          <w:szCs w:val="32"/>
          <w:highlight w:val="none"/>
        </w:rPr>
        <w:t>九、一般公共预算财政拨款项目支出决算表</w:t>
      </w:r>
      <w:bookmarkEnd w:id="60"/>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1" w:name="_Toc15396628"/>
      <w:r>
        <w:rPr>
          <w:rFonts w:hint="eastAsia" w:ascii="Times New Roman" w:hAnsi="Times New Roman" w:eastAsia="仿宋_GB2312" w:cs="仿宋_GB2312"/>
          <w:color w:val="auto"/>
          <w:sz w:val="32"/>
          <w:szCs w:val="32"/>
          <w:highlight w:val="none"/>
        </w:rPr>
        <w:t>十、</w:t>
      </w:r>
      <w:bookmarkEnd w:id="61"/>
      <w:r>
        <w:rPr>
          <w:rFonts w:hint="eastAsia" w:ascii="Times New Roman" w:hAnsi="Times New Roman" w:eastAsia="仿宋_GB2312" w:cs="仿宋_GB2312"/>
          <w:color w:val="auto"/>
          <w:sz w:val="32"/>
          <w:szCs w:val="32"/>
          <w:highlight w:val="none"/>
        </w:rPr>
        <w:t>政府性基金预算财政拨款收入支出决算表</w:t>
      </w: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62" w:name="_Toc15396629"/>
      <w:r>
        <w:rPr>
          <w:rFonts w:hint="eastAsia" w:ascii="Times New Roman" w:hAnsi="Times New Roman" w:eastAsia="仿宋_GB2312" w:cs="仿宋_GB2312"/>
          <w:color w:val="auto"/>
          <w:sz w:val="32"/>
          <w:szCs w:val="32"/>
          <w:highlight w:val="none"/>
        </w:rPr>
        <w:t>十一、</w:t>
      </w:r>
      <w:bookmarkEnd w:id="62"/>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r>
        <w:rPr>
          <w:rFonts w:hint="eastAsia" w:eastAsia="仿宋_GB2312" w:cs="仿宋_GB2312"/>
          <w:color w:val="auto"/>
          <w:sz w:val="32"/>
          <w:szCs w:val="32"/>
          <w:highlight w:val="none"/>
          <w:lang w:eastAsia="zh-CN"/>
        </w:rPr>
        <w:t>（此表无数据）</w:t>
      </w: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3" w:name="_Toc15396630"/>
      <w:r>
        <w:rPr>
          <w:rFonts w:hint="eastAsia" w:ascii="Times New Roman" w:hAnsi="Times New Roman" w:eastAsia="仿宋_GB2312" w:cs="仿宋_GB2312"/>
          <w:color w:val="auto"/>
          <w:sz w:val="32"/>
          <w:szCs w:val="32"/>
          <w:highlight w:val="none"/>
        </w:rPr>
        <w:t>十二、</w:t>
      </w:r>
      <w:bookmarkEnd w:id="63"/>
      <w:r>
        <w:rPr>
          <w:rFonts w:hint="eastAsia" w:ascii="Times New Roman" w:hAnsi="Times New Roman" w:eastAsia="仿宋_GB2312" w:cs="仿宋_GB2312"/>
          <w:color w:val="auto"/>
          <w:sz w:val="32"/>
          <w:szCs w:val="32"/>
          <w:highlight w:val="none"/>
          <w:lang w:eastAsia="zh-CN"/>
        </w:rPr>
        <w:t>国有资本经营预算财政拨款支出决算表</w:t>
      </w:r>
      <w:r>
        <w:rPr>
          <w:rFonts w:hint="eastAsia" w:eastAsia="仿宋_GB2312" w:cs="仿宋_GB2312"/>
          <w:color w:val="auto"/>
          <w:sz w:val="32"/>
          <w:szCs w:val="32"/>
          <w:highlight w:val="none"/>
          <w:lang w:eastAsia="zh-CN"/>
        </w:rPr>
        <w:t>（此表无数据）</w:t>
      </w: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64" w:name="_Toc15396631"/>
      <w:r>
        <w:rPr>
          <w:rFonts w:hint="eastAsia" w:ascii="Times New Roman" w:hAnsi="Times New Roman" w:eastAsia="仿宋_GB2312" w:cs="仿宋_GB2312"/>
          <w:color w:val="auto"/>
          <w:sz w:val="32"/>
          <w:szCs w:val="32"/>
          <w:highlight w:val="none"/>
        </w:rPr>
        <w:t>十三、</w:t>
      </w:r>
      <w:bookmarkEnd w:id="64"/>
      <w:r>
        <w:rPr>
          <w:rFonts w:hint="eastAsia" w:ascii="Times New Roman" w:hAnsi="Times New Roman" w:eastAsia="仿宋_GB2312" w:cs="仿宋_GB2312"/>
          <w:color w:val="auto"/>
          <w:sz w:val="32"/>
          <w:szCs w:val="32"/>
          <w:highlight w:val="none"/>
          <w:lang w:eastAsia="zh-CN"/>
        </w:rPr>
        <w:t>财政拨款“三公”经费支出决算表</w:t>
      </w:r>
    </w:p>
    <w:p>
      <w:pPr>
        <w:rPr>
          <w:rFonts w:hint="eastAsia" w:ascii="Times New Roman" w:hAnsi="Times New Roman"/>
          <w:lang w:eastAsia="zh-CN"/>
        </w:rPr>
      </w:pPr>
    </w:p>
    <w:sectPr>
      <w:footerReference r:id="rId7" w:type="first"/>
      <w:footerReference r:id="rId6" w:type="default"/>
      <w:pgSz w:w="11906" w:h="16838"/>
      <w:pgMar w:top="1440" w:right="1800" w:bottom="1440" w:left="1800" w:header="851" w:footer="992" w:gutter="0"/>
      <w:pgNumType w:fmt="numberInDash"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
    <w:altName w:val="C059"/>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- 1 -</w:t>
                    </w:r>
                    <w:r>
                      <w:fldChar w:fldCharType="end"/>
                    </w: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MIkSXjECAABhBAAADgAAAAAAAAABACAAAAA1&#10;AQAAZHJzL2Uyb0RvYy54bWxQSwUGAAAAAAYABgBZAQAA2A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lSD0MgIAAGE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AKVIPQyAgAAYQQAAA4AAAAAAAAAAQAgAAAA&#10;NQEAAGRycy9lMm9Eb2MueG1sUEsFBgAAAAAGAAYAWQEAANk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- 2 -</w:t>
                    </w:r>
                    <w:r>
                      <w:fldChar w:fldCharType="end"/>
                    </w:r>
                  </w:p>
                </w:txbxContent>
              </v:textbox>
            </v:shape>
          </w:pict>
        </mc:Fallback>
      </mc:AlternateContent>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qK+V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qaivlTECAABjBAAADgAAAAAAAAABACAAAAA1&#10;AQAAZHJzL2Uyb0RvYy54bWxQSwUGAAAAAAYABgBZAQAA2A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3FF7AE"/>
    <w:multiLevelType w:val="singleLevel"/>
    <w:tmpl w:val="DE3FF7AE"/>
    <w:lvl w:ilvl="0" w:tentative="0">
      <w:start w:val="1"/>
      <w:numFmt w:val="chineseCounting"/>
      <w:suff w:val="nothing"/>
      <w:lvlText w:val="%1、"/>
      <w:lvlJc w:val="left"/>
      <w:rPr>
        <w:rFonts w:hint="eastAsia"/>
      </w:rPr>
    </w:lvl>
  </w:abstractNum>
  <w:abstractNum w:abstractNumId="1">
    <w:nsid w:val="FF4B2253"/>
    <w:multiLevelType w:val="singleLevel"/>
    <w:tmpl w:val="FF4B2253"/>
    <w:lvl w:ilvl="0" w:tentative="0">
      <w:start w:val="1"/>
      <w:numFmt w:val="decimal"/>
      <w:lvlText w:val="%1."/>
      <w:lvlJc w:val="left"/>
      <w:pPr>
        <w:tabs>
          <w:tab w:val="left" w:pos="312"/>
        </w:tabs>
      </w:pPr>
    </w:lvl>
  </w:abstractNum>
  <w:abstractNum w:abstractNumId="2">
    <w:nsid w:val="5CB35F14"/>
    <w:multiLevelType w:val="singleLevel"/>
    <w:tmpl w:val="5CB35F14"/>
    <w:lvl w:ilvl="0" w:tentative="0">
      <w:start w:val="1"/>
      <w:numFmt w:val="decimal"/>
      <w:suff w:val="nothing"/>
      <w:lvlText w:val="%1．"/>
      <w:lvlJc w:val="left"/>
      <w:pPr>
        <w:ind w:left="0" w:firstLine="4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5085205"/>
    <w:rsid w:val="165E0673"/>
    <w:rsid w:val="16B831D5"/>
    <w:rsid w:val="16BB723D"/>
    <w:rsid w:val="17E50567"/>
    <w:rsid w:val="186504BB"/>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9943C95"/>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14D6ED5"/>
    <w:rsid w:val="537E6D0A"/>
    <w:rsid w:val="53DE8897"/>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850F98"/>
    <w:rsid w:val="5DAE1B18"/>
    <w:rsid w:val="5DE7D9E5"/>
    <w:rsid w:val="5ECEC941"/>
    <w:rsid w:val="5FBF9FF3"/>
    <w:rsid w:val="5FCD4E2C"/>
    <w:rsid w:val="5FEF394A"/>
    <w:rsid w:val="5FF67715"/>
    <w:rsid w:val="62BF3928"/>
    <w:rsid w:val="63B3701E"/>
    <w:rsid w:val="647F5392"/>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780DE5"/>
    <w:rsid w:val="74BBD01D"/>
    <w:rsid w:val="74ED5379"/>
    <w:rsid w:val="759E4965"/>
    <w:rsid w:val="75DEEEC2"/>
    <w:rsid w:val="75E32345"/>
    <w:rsid w:val="76E3355F"/>
    <w:rsid w:val="76FF5125"/>
    <w:rsid w:val="7725380A"/>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DFFD50D"/>
    <w:rsid w:val="7E8ADEBF"/>
    <w:rsid w:val="7EAFA6C7"/>
    <w:rsid w:val="7EEAE1CE"/>
    <w:rsid w:val="7EEF11D3"/>
    <w:rsid w:val="7EFE4840"/>
    <w:rsid w:val="7F0971A6"/>
    <w:rsid w:val="7F1D62E7"/>
    <w:rsid w:val="7F3F679B"/>
    <w:rsid w:val="7F4FC4EF"/>
    <w:rsid w:val="7F5E4D54"/>
    <w:rsid w:val="7F6E0135"/>
    <w:rsid w:val="7F6EFE1E"/>
    <w:rsid w:val="7F79F205"/>
    <w:rsid w:val="7FA30C79"/>
    <w:rsid w:val="7FA79C44"/>
    <w:rsid w:val="7FAF8ABF"/>
    <w:rsid w:val="7FB7269E"/>
    <w:rsid w:val="7FC96657"/>
    <w:rsid w:val="7FDA9588"/>
    <w:rsid w:val="7FDF220F"/>
    <w:rsid w:val="7FEDC5F7"/>
    <w:rsid w:val="7FEDD9DE"/>
    <w:rsid w:val="7FF5890D"/>
    <w:rsid w:val="7FF93490"/>
    <w:rsid w:val="99FF2014"/>
    <w:rsid w:val="A6DD0D7F"/>
    <w:rsid w:val="A7FAF8B7"/>
    <w:rsid w:val="ACFF4FBB"/>
    <w:rsid w:val="ADC6F725"/>
    <w:rsid w:val="AFE7F044"/>
    <w:rsid w:val="B7CF06AB"/>
    <w:rsid w:val="B7CFA926"/>
    <w:rsid w:val="B7F8786B"/>
    <w:rsid w:val="BABB6AA1"/>
    <w:rsid w:val="BB2F4199"/>
    <w:rsid w:val="BCFFB442"/>
    <w:rsid w:val="BD079C78"/>
    <w:rsid w:val="BD733540"/>
    <w:rsid w:val="BF3735D5"/>
    <w:rsid w:val="BF7F09AC"/>
    <w:rsid w:val="BF7F921E"/>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27D1D8D"/>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A7FD84E"/>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B3A1C"/>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8">
    <w:name w:val="Body Text"/>
    <w:basedOn w:val="1"/>
    <w:next w:val="9"/>
    <w:link w:val="25"/>
    <w:qFormat/>
    <w:uiPriority w:val="99"/>
    <w:pPr>
      <w:spacing w:beforeLines="30"/>
    </w:pPr>
    <w:rPr>
      <w:rFonts w:ascii="仿宋_GB2312" w:eastAsia="仿宋_GB2312"/>
      <w:kern w:val="0"/>
      <w:sz w:val="30"/>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0">
    <w:name w:val="toc 3"/>
    <w:basedOn w:val="1"/>
    <w:next w:val="1"/>
    <w:unhideWhenUsed/>
    <w:qFormat/>
    <w:uiPriority w:val="39"/>
    <w:pPr>
      <w:tabs>
        <w:tab w:val="right" w:leader="dot" w:pos="8296"/>
      </w:tabs>
      <w:ind w:left="840" w:leftChars="400"/>
    </w:pPr>
  </w:style>
  <w:style w:type="paragraph" w:styleId="11">
    <w:name w:val="Balloon Text"/>
    <w:basedOn w:val="1"/>
    <w:link w:val="31"/>
    <w:semiHidden/>
    <w:unhideWhenUsed/>
    <w:qFormat/>
    <w:uiPriority w:val="99"/>
    <w:rPr>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9"/>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8"/>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5"/>
    <w:qFormat/>
    <w:uiPriority w:val="9"/>
    <w:rPr>
      <w:rFonts w:ascii="Times New Roman" w:hAnsi="Times New Roman"/>
      <w:b/>
      <w:bCs/>
      <w:kern w:val="44"/>
      <w:sz w:val="44"/>
      <w:szCs w:val="44"/>
    </w:rPr>
  </w:style>
  <w:style w:type="character" w:customStyle="1" w:styleId="29">
    <w:name w:val="标题 2 Char"/>
    <w:basedOn w:val="16"/>
    <w:link w:val="6"/>
    <w:qFormat/>
    <w:uiPriority w:val="9"/>
    <w:rPr>
      <w:rFonts w:asciiTheme="majorHAnsi" w:hAnsiTheme="majorHAnsi" w:eastAsiaTheme="majorEastAsia" w:cstheme="majorBidi"/>
      <w:b/>
      <w:bCs/>
      <w:kern w:val="2"/>
      <w:sz w:val="32"/>
      <w:szCs w:val="32"/>
    </w:rPr>
  </w:style>
  <w:style w:type="paragraph" w:customStyle="1" w:styleId="30">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11"/>
    <w:semiHidden/>
    <w:qFormat/>
    <w:uiPriority w:val="99"/>
    <w:rPr>
      <w:rFonts w:ascii="Times New Roman" w:hAnsi="Times New Roman"/>
      <w:kern w:val="2"/>
      <w:sz w:val="18"/>
      <w:szCs w:val="18"/>
    </w:rPr>
  </w:style>
  <w:style w:type="character" w:customStyle="1" w:styleId="32">
    <w:name w:val="标题 3 Char"/>
    <w:basedOn w:val="16"/>
    <w:link w:val="7"/>
    <w:qFormat/>
    <w:uiPriority w:val="9"/>
    <w:rPr>
      <w:rFonts w:ascii="Times New Roman" w:hAnsi="Times New Roman"/>
      <w:b/>
      <w:bCs/>
      <w:kern w:val="2"/>
      <w:sz w:val="32"/>
      <w:szCs w:val="32"/>
    </w:rPr>
  </w:style>
  <w:style w:type="paragraph" w:customStyle="1" w:styleId="33">
    <w:name w:val="TOC Heading"/>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2024年</c:v>
                </c:pt>
                <c:pt idx="1">
                  <c:v>2023年</c:v>
                </c:pt>
              </c:strCache>
            </c:strRef>
          </c:cat>
          <c:val>
            <c:numRef>
              <c:f>Sheet1!$B$2:$B$3</c:f>
              <c:numCache>
                <c:formatCode>General</c:formatCode>
                <c:ptCount val="2"/>
                <c:pt idx="0">
                  <c:v>77790.63</c:v>
                </c:pt>
                <c:pt idx="1">
                  <c:v>77313.05</c:v>
                </c:pt>
              </c:numCache>
            </c:numRef>
          </c:val>
        </c:ser>
        <c:ser>
          <c:idx val="1"/>
          <c:order val="1"/>
          <c:tx>
            <c:strRef>
              <c:f>Sheet1!$C$1</c:f>
              <c:strCache>
                <c:ptCount val="1"/>
                <c:pt idx="0">
                  <c:v>支出</c:v>
                </c:pt>
              </c:strCache>
            </c:strRef>
          </c:tx>
          <c:invertIfNegative val="0"/>
          <c:dLbls>
            <c:delete val="1"/>
          </c:dLbls>
          <c:cat>
            <c:strRef>
              <c:f>Sheet1!$A$2:$A$3</c:f>
              <c:strCache>
                <c:ptCount val="2"/>
                <c:pt idx="0">
                  <c:v>2024年</c:v>
                </c:pt>
                <c:pt idx="1">
                  <c:v>2023年</c:v>
                </c:pt>
              </c:strCache>
            </c:strRef>
          </c:cat>
          <c:val>
            <c:numRef>
              <c:f>Sheet1!$C$2:$C$3</c:f>
              <c:numCache>
                <c:formatCode>General</c:formatCode>
                <c:ptCount val="2"/>
                <c:pt idx="0">
                  <c:v>77790.63</c:v>
                </c:pt>
                <c:pt idx="1">
                  <c:v>77313.05</c:v>
                </c:pt>
              </c:numCache>
            </c:numRef>
          </c:val>
        </c:ser>
        <c:dLbls>
          <c:showLegendKey val="0"/>
          <c:showVal val="0"/>
          <c:showCatName val="0"/>
          <c:showSerName val="0"/>
          <c:showPercent val="0"/>
          <c:showBubbleSize val="0"/>
        </c:dLbls>
        <c:gapWidth val="150"/>
        <c:axId val="61114624"/>
        <c:axId val="61120896"/>
      </c:barChart>
      <c:catAx>
        <c:axId val="6111462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1120896"/>
        <c:crosses val="autoZero"/>
        <c:auto val="1"/>
        <c:lblAlgn val="ctr"/>
        <c:lblOffset val="100"/>
        <c:noMultiLvlLbl val="0"/>
      </c:catAx>
      <c:valAx>
        <c:axId val="61120896"/>
        <c:scaling>
          <c:orientation val="minMax"/>
          <c:max val="80000"/>
          <c:min val="70000"/>
        </c:scaling>
        <c:delete val="0"/>
        <c:axPos val="l"/>
        <c:majorGridlines/>
        <c:minorGridlines/>
        <c:numFmt formatCode="General" sourceLinked="1"/>
        <c:majorTickMark val="out"/>
        <c:minorTickMark val="none"/>
        <c:tickLblPos val="nextTo"/>
        <c:spPr>
          <a:noFill/>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1114624"/>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各项收入占比</c:v>
                </c:pt>
              </c:strCache>
            </c:strRef>
          </c:tx>
          <c:explosion val="25"/>
          <c:dPt>
            <c:idx val="0"/>
            <c:bubble3D val="0"/>
          </c:dPt>
          <c:dPt>
            <c:idx val="1"/>
            <c:bubble3D val="0"/>
          </c:dPt>
          <c:dPt>
            <c:idx val="2"/>
            <c:bubble3D val="0"/>
          </c:dPt>
          <c:dPt>
            <c:idx val="3"/>
            <c:bubble3D val="0"/>
          </c:dPt>
          <c:dLbls>
            <c:dLbl>
              <c:idx val="1"/>
              <c:layout>
                <c:manualLayout>
                  <c:x val="-0.156516117121955"/>
                  <c:y val="-0.010137074286793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101474312220931"/>
                  <c:y val="0.0078229330798487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70614923654711"/>
                  <c:y val="-0.03424490697766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4"/>
                <c:pt idx="0">
                  <c:v>一般公共预算财政拨款收入</c:v>
                </c:pt>
                <c:pt idx="1">
                  <c:v>政府性基金预算财政拨款收入</c:v>
                </c:pt>
                <c:pt idx="2">
                  <c:v>其他收入</c:v>
                </c:pt>
                <c:pt idx="3">
                  <c:v>事业收入</c:v>
                </c:pt>
              </c:strCache>
            </c:strRef>
          </c:cat>
          <c:val>
            <c:numRef>
              <c:f>Sheet1!$B$2:$B$5</c:f>
              <c:numCache>
                <c:formatCode>General</c:formatCode>
                <c:ptCount val="4"/>
                <c:pt idx="0">
                  <c:v>70549.98</c:v>
                </c:pt>
                <c:pt idx="1">
                  <c:v>847.7</c:v>
                </c:pt>
                <c:pt idx="2">
                  <c:v>2431.28</c:v>
                </c:pt>
                <c:pt idx="3">
                  <c:v>2873.31</c:v>
                </c:pt>
              </c:numCache>
            </c:numRef>
          </c:val>
        </c:ser>
        <c:dLbls>
          <c:showLegendKey val="0"/>
          <c:showVal val="0"/>
          <c:showCatName val="0"/>
          <c:showSerName val="0"/>
          <c:showPercent val="1"/>
          <c:showBubbleSize val="0"/>
          <c:showLeaderLines val="1"/>
        </c:dLbls>
        <c:firstSliceAng val="15"/>
      </c:pieChart>
      <c:spPr>
        <a:noFill/>
        <a:ln w="25400">
          <a:noFill/>
        </a:ln>
        <a:effectLst/>
      </c:spPr>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各项支出占比</c:v>
                </c:pt>
              </c:strCache>
            </c:strRef>
          </c:tx>
          <c:explosion val="25"/>
          <c:dPt>
            <c:idx val="0"/>
            <c:bubble3D val="0"/>
          </c:dPt>
          <c:dPt>
            <c:idx val="1"/>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60896.22</c:v>
                </c:pt>
                <c:pt idx="1">
                  <c:v>15924.77</c:v>
                </c:pt>
              </c:numCache>
            </c:numRef>
          </c:val>
        </c:ser>
        <c:dLbls>
          <c:showLegendKey val="0"/>
          <c:showVal val="0"/>
          <c:showCatName val="0"/>
          <c:showSerName val="0"/>
          <c:showPercent val="1"/>
          <c:showBubbleSize val="0"/>
          <c:showLeaderLines val="1"/>
        </c:dLbls>
        <c:firstSliceAng val="15"/>
      </c:pieChart>
      <c:spPr>
        <a:noFill/>
        <a:ln w="25400">
          <a:noFill/>
        </a:ln>
        <a:effectLst/>
      </c:spPr>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
                </c:pt>
              </c:strCache>
            </c:strRef>
          </c:tx>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2024年财政拨款收支</c:v>
                </c:pt>
                <c:pt idx="1">
                  <c:v>2023年财政拨款收支</c:v>
                </c:pt>
              </c:strCache>
            </c:strRef>
          </c:cat>
          <c:val>
            <c:numRef>
              <c:f>Sheet1!$B$2:$B$3</c:f>
              <c:numCache>
                <c:formatCode>General</c:formatCode>
                <c:ptCount val="2"/>
                <c:pt idx="0">
                  <c:v>71397.68</c:v>
                </c:pt>
                <c:pt idx="1">
                  <c:v>70663.83</c:v>
                </c:pt>
              </c:numCache>
            </c:numRef>
          </c:val>
        </c:ser>
        <c:ser>
          <c:idx val="1"/>
          <c:order val="1"/>
          <c:tx>
            <c:strRef>
              <c:f>Sheet1!$C$1</c:f>
              <c:strCache>
                <c:ptCount val="1"/>
                <c:pt idx="0">
                  <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2024年财政拨款收支</c:v>
                </c:pt>
                <c:pt idx="1">
                  <c:v>2023年财政拨款收支</c:v>
                </c:pt>
              </c:strCache>
            </c:strRef>
          </c:cat>
          <c:val>
            <c:numRef>
              <c:f>Sheet1!$C$2:$C$3</c:f>
              <c:numCache>
                <c:formatCode>General</c:formatCode>
                <c:ptCount val="2"/>
              </c:numCache>
            </c:numRef>
          </c:val>
        </c:ser>
        <c:ser>
          <c:idx val="2"/>
          <c:order val="2"/>
          <c:tx>
            <c:strRef>
              <c:f>Sheet1!$D$1</c:f>
              <c:strCache>
                <c:ptCount val="1"/>
                <c:pt idx="0">
                  <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2024年财政拨款收支</c:v>
                </c:pt>
                <c:pt idx="1">
                  <c:v>2023年财政拨款收支</c:v>
                </c:pt>
              </c:strCache>
            </c:strRef>
          </c:cat>
          <c:val>
            <c:numRef>
              <c:f>Sheet1!$D$2:$D$3</c:f>
              <c:numCache>
                <c:formatCode>General</c:formatCode>
                <c:ptCount val="2"/>
              </c:numCache>
            </c:numRef>
          </c:val>
        </c:ser>
        <c:dLbls>
          <c:showLegendKey val="0"/>
          <c:showVal val="1"/>
          <c:showCatName val="0"/>
          <c:showSerName val="0"/>
          <c:showPercent val="0"/>
          <c:showBubbleSize val="0"/>
        </c:dLbls>
        <c:gapWidth val="180"/>
        <c:axId val="109363968"/>
        <c:axId val="124956672"/>
      </c:barChart>
      <c:catAx>
        <c:axId val="10936396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4956672"/>
        <c:crosses val="autoZero"/>
        <c:auto val="1"/>
        <c:lblAlgn val="ctr"/>
        <c:lblOffset val="100"/>
        <c:noMultiLvlLbl val="0"/>
      </c:catAx>
      <c:valAx>
        <c:axId val="124956672"/>
        <c:scaling>
          <c:orientation val="minMax"/>
          <c:max val="76000"/>
          <c:min val="67000"/>
        </c:scaling>
        <c:delete val="0"/>
        <c:axPos val="l"/>
        <c:majorGridlines>
          <c:spPr>
            <a:ln w="9525" cap="flat" cmpd="sng" algn="ct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prstDash val="solid"/>
              <a:round/>
            </a:ln>
          </c:spPr>
        </c:majorGridlines>
        <c:min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9363968"/>
        <c:crosses val="autoZero"/>
        <c:crossBetween val="between"/>
        <c:majorUnit val="500"/>
        <c:minorUnit val="200"/>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stacked"/>
        <c:varyColors val="0"/>
        <c:ser>
          <c:idx val="0"/>
          <c:order val="0"/>
          <c:tx>
            <c:strRef>
              <c:f>Sheet1!$B$1</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Sheet1!$A$2:$A$3</c:f>
              <c:strCache>
                <c:ptCount val="2"/>
                <c:pt idx="0">
                  <c:v>2024年一般公共预算财政拨款支出</c:v>
                </c:pt>
                <c:pt idx="1">
                  <c:v>2023年一般公共预算财政拨款支出</c:v>
                </c:pt>
              </c:strCache>
            </c:strRef>
          </c:cat>
          <c:val>
            <c:numRef>
              <c:f>Sheet1!$B$2:$B$3</c:f>
              <c:numCache>
                <c:formatCode>General</c:formatCode>
                <c:ptCount val="2"/>
                <c:pt idx="0">
                  <c:v>70549.98</c:v>
                </c:pt>
                <c:pt idx="1">
                  <c:v>69800.72</c:v>
                </c:pt>
              </c:numCache>
            </c:numRef>
          </c:val>
        </c:ser>
        <c:dLbls>
          <c:showLegendKey val="0"/>
          <c:showVal val="1"/>
          <c:showCatName val="0"/>
          <c:showSerName val="0"/>
          <c:showPercent val="0"/>
          <c:showBubbleSize val="0"/>
        </c:dLbls>
        <c:gapWidth val="150"/>
        <c:overlap val="100"/>
        <c:axId val="145163008"/>
        <c:axId val="145164544"/>
      </c:barChart>
      <c:catAx>
        <c:axId val="145163008"/>
        <c:scaling>
          <c:orientation val="minMax"/>
        </c:scaling>
        <c:delete val="0"/>
        <c:axPos val="b"/>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5164544"/>
        <c:crosses val="autoZero"/>
        <c:auto val="1"/>
        <c:lblAlgn val="ctr"/>
        <c:lblOffset val="100"/>
        <c:noMultiLvlLbl val="0"/>
      </c:catAx>
      <c:valAx>
        <c:axId val="145164544"/>
        <c:scaling>
          <c:orientation val="minMax"/>
          <c:max val="70000"/>
          <c:min val="60000"/>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5163008"/>
        <c:crosses val="autoZero"/>
        <c:crossBetween val="between"/>
      </c:valAx>
      <c:spPr>
        <a:solidFill>
          <a:schemeClr val="bg1"/>
        </a:solidFill>
        <a:ln>
          <a:noFill/>
        </a:ln>
        <a:effectLst/>
      </c:spPr>
    </c:plotArea>
    <c:legend>
      <c:legendPos val="r"/>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66265350349145"/>
          <c:y val="0.00619195046439629"/>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view3D>
      <c:rotX val="75"/>
      <c:rotY val="15"/>
      <c:depthPercent val="100"/>
      <c:rAngAx val="0"/>
      <c:perspective val="30"/>
    </c:view3D>
    <c:floor>
      <c:thickness val="0"/>
    </c:floor>
    <c:sideWall>
      <c:thickness val="0"/>
      <c:spPr>
        <a:noFill/>
        <a:ln>
          <a:noFill/>
        </a:ln>
        <a:effectLst/>
      </c:spPr>
    </c:sideWall>
    <c:backWall>
      <c:thickness val="0"/>
      <c:spPr>
        <a:noFill/>
        <a:ln>
          <a:noFill/>
        </a:ln>
        <a:effectLst/>
      </c:spPr>
    </c:backWall>
    <c:plotArea>
      <c:layout>
        <c:manualLayout>
          <c:layoutTarget val="inner"/>
          <c:xMode val="edge"/>
          <c:yMode val="edge"/>
          <c:x val="0.0385263664820612"/>
          <c:y val="0.179153766769866"/>
          <c:w val="0.674971133664879"/>
          <c:h val="0.775438596491228"/>
        </c:manualLayout>
      </c:layout>
      <c:pie3DChart>
        <c:varyColors val="1"/>
        <c:ser>
          <c:idx val="0"/>
          <c:order val="0"/>
          <c:tx>
            <c:strRef>
              <c:f>Sheet1!$B$1</c:f>
              <c:strCache>
                <c:ptCount val="1"/>
                <c:pt idx="0">
                  <c:v>一般公共预算财政拨款支出结构情况</c:v>
                </c:pt>
              </c:strCache>
            </c:strRef>
          </c:tx>
          <c:explosion val="25"/>
          <c:dPt>
            <c:idx val="0"/>
            <c:bubble3D val="0"/>
          </c:dPt>
          <c:dPt>
            <c:idx val="1"/>
            <c:bubble3D val="0"/>
          </c:dPt>
          <c:dPt>
            <c:idx val="2"/>
            <c:bubble3D val="0"/>
          </c:dPt>
          <c:dPt>
            <c:idx val="3"/>
            <c:bubble3D val="0"/>
          </c:dPt>
          <c:dPt>
            <c:idx val="4"/>
            <c:bubble3D val="0"/>
          </c:dPt>
          <c:dPt>
            <c:idx val="5"/>
            <c:bubble3D val="0"/>
          </c:dPt>
          <c:dLbls>
            <c:dLbl>
              <c:idx val="2"/>
              <c:layout>
                <c:manualLayout>
                  <c:x val="-0.149891644594269"/>
                  <c:y val="-0.018575851393188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70888514326993"/>
                  <c:y val="-0.0061919504643962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104743558873104"/>
                  <c:y val="0.089783281733746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884902480134842"/>
                  <c:y val="0"/>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Sheet1!$A$2:$A$7</c:f>
              <c:strCache>
                <c:ptCount val="6"/>
                <c:pt idx="0">
                  <c:v>教育支出</c:v>
                </c:pt>
                <c:pt idx="1">
                  <c:v>社会保障和就业支出</c:v>
                </c:pt>
                <c:pt idx="2">
                  <c:v>住房保障支出</c:v>
                </c:pt>
                <c:pt idx="3">
                  <c:v>文化旅游体育与传媒支出</c:v>
                </c:pt>
                <c:pt idx="4">
                  <c:v>一般公共服务支出</c:v>
                </c:pt>
                <c:pt idx="5">
                  <c:v>卫生健康支出</c:v>
                </c:pt>
              </c:strCache>
            </c:strRef>
          </c:cat>
          <c:val>
            <c:numRef>
              <c:f>Sheet1!$B$2:$B$7</c:f>
              <c:numCache>
                <c:formatCode>General</c:formatCode>
                <c:ptCount val="6"/>
                <c:pt idx="0">
                  <c:v>53042.11</c:v>
                </c:pt>
                <c:pt idx="1">
                  <c:v>9251.93</c:v>
                </c:pt>
                <c:pt idx="2">
                  <c:v>4175.4</c:v>
                </c:pt>
                <c:pt idx="3">
                  <c:v>1088.6</c:v>
                </c:pt>
                <c:pt idx="4">
                  <c:v>45.39</c:v>
                </c:pt>
                <c:pt idx="5">
                  <c:v>2946.55</c:v>
                </c:pt>
              </c:numCache>
            </c:numRef>
          </c:val>
        </c:ser>
        <c:ser>
          <c:idx val="1"/>
          <c:order val="1"/>
          <c:tx>
            <c:strRef>
              <c:f>Sheet1!$C$1</c:f>
              <c:strCache>
                <c:ptCount val="1"/>
                <c:pt idx="0">
                  <c:v>列1</c:v>
                </c:pt>
              </c:strCache>
            </c:strRef>
          </c:tx>
          <c:explosion val="25"/>
          <c:dPt>
            <c:idx val="0"/>
            <c:bubble3D val="0"/>
          </c:dPt>
          <c:dPt>
            <c:idx val="1"/>
            <c:bubble3D val="0"/>
          </c:dPt>
          <c:dPt>
            <c:idx val="2"/>
            <c:bubble3D val="0"/>
          </c:dPt>
          <c:dPt>
            <c:idx val="3"/>
            <c:bubble3D val="0"/>
          </c:dPt>
          <c:dPt>
            <c:idx val="4"/>
            <c:bubble3D val="0"/>
          </c:dPt>
          <c:dPt>
            <c:idx val="5"/>
            <c:bubble3D val="0"/>
          </c:dPt>
          <c:dLbls>
            <c:delete val="1"/>
          </c:dLbls>
          <c:cat>
            <c:strRef>
              <c:f>Sheet1!$A$2:$A$7</c:f>
              <c:strCache>
                <c:ptCount val="6"/>
                <c:pt idx="0">
                  <c:v>教育支出</c:v>
                </c:pt>
                <c:pt idx="1">
                  <c:v>社会保障和就业支出</c:v>
                </c:pt>
                <c:pt idx="2">
                  <c:v>住房保障支出</c:v>
                </c:pt>
                <c:pt idx="3">
                  <c:v>文化旅游体育与传媒支出</c:v>
                </c:pt>
                <c:pt idx="4">
                  <c:v>一般公共服务支出</c:v>
                </c:pt>
                <c:pt idx="5">
                  <c:v>卫生健康支出</c:v>
                </c:pt>
              </c:strCache>
            </c:strRef>
          </c:cat>
          <c:val>
            <c:numRef>
              <c:f>Sheet1!$C$2:$C$7</c:f>
              <c:numCache>
                <c:formatCode>0.00%</c:formatCode>
                <c:ptCount val="6"/>
                <c:pt idx="0">
                  <c:v>0.751837349918455</c:v>
                </c:pt>
                <c:pt idx="1">
                  <c:v>0.131140079699527</c:v>
                </c:pt>
                <c:pt idx="2">
                  <c:v>0.059183574538221</c:v>
                </c:pt>
                <c:pt idx="3">
                  <c:v>0.0154301957279081</c:v>
                </c:pt>
                <c:pt idx="4">
                  <c:v>0.000643373676363905</c:v>
                </c:pt>
                <c:pt idx="5">
                  <c:v>0.0417654264395256</c:v>
                </c:pt>
              </c:numCache>
            </c:numRef>
          </c:val>
        </c:ser>
        <c:dLbls>
          <c:showLegendKey val="0"/>
          <c:showVal val="0"/>
          <c:showCatName val="0"/>
          <c:showSerName val="0"/>
          <c:showPercent val="0"/>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“三公”经费财政拨款决算具体情况</c:v>
                </c:pt>
              </c:strCache>
            </c:strRef>
          </c:tx>
          <c:explosion val="25"/>
          <c:dPt>
            <c:idx val="0"/>
            <c:bubble3D val="0"/>
          </c:dPt>
          <c:dPt>
            <c:idx val="1"/>
            <c:bubble3D val="0"/>
          </c:dPt>
          <c:dPt>
            <c:idx val="2"/>
            <c:bubble3D val="0"/>
          </c:dPt>
          <c:dLbls>
            <c:dLbl>
              <c:idx val="1"/>
              <c:layout>
                <c:manualLayout>
                  <c:x val="0.0879845601447006"/>
                  <c:y val="-0.0075945381177182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861292736406649"/>
                  <c:y val="0.013786491770717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因公出国（境）费用</c:v>
                </c:pt>
                <c:pt idx="1">
                  <c:v>公务用车购置及运行维护费</c:v>
                </c:pt>
                <c:pt idx="2">
                  <c:v>公务接待费支出</c:v>
                </c:pt>
              </c:strCache>
            </c:strRef>
          </c:cat>
          <c:val>
            <c:numRef>
              <c:f>Sheet1!$B$2:$B$4</c:f>
              <c:numCache>
                <c:formatCode>General</c:formatCode>
                <c:ptCount val="3"/>
                <c:pt idx="0">
                  <c:v>0</c:v>
                </c:pt>
                <c:pt idx="1">
                  <c:v>9.14</c:v>
                </c:pt>
                <c:pt idx="2">
                  <c:v>1.91</c:v>
                </c:pt>
              </c:numCache>
            </c:numRef>
          </c:val>
        </c:ser>
        <c:dLbls>
          <c:showLegendKey val="0"/>
          <c:showVal val="1"/>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28</Pages>
  <Words>10003</Words>
  <Characters>10905</Characters>
  <Lines>61</Lines>
  <Paragraphs>17</Paragraphs>
  <TotalTime>12</TotalTime>
  <ScaleCrop>false</ScaleCrop>
  <LinksUpToDate>false</LinksUpToDate>
  <CharactersWithSpaces>10974</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2020-08-11T01:49:00Z</dcterms:created>
  <dc:creator>曹颖</dc:creator>
  <cp:lastModifiedBy>user</cp:lastModifiedBy>
  <cp:lastPrinted>2025-08-08T09:34:00Z</cp:lastPrinted>
  <dcterms:modified xsi:type="dcterms:W3CDTF">2025-09-15T16:44:52Z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04787F2533EB45DC91BCDE4AB213247F</vt:lpwstr>
  </property>
  <property fmtid="{D5CDD505-2E9C-101B-9397-08002B2CF9AE}" pid="4" name="KSOTemplateDocerSaveRecord">
    <vt:lpwstr>eyJoZGlkIjoiNTYzYTI5NTUzOTA1ZDcyNTM5NGE4YTVkNTkyZDU1NmMiLCJ1c2VySWQiOiIxMDA3NzIxMTI5In0=</vt:lpwstr>
  </property>
</Properties>
</file>