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6A35A">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96475"/>
      <w:bookmarkStart w:id="2" w:name="_Toc15377193"/>
      <w:bookmarkStart w:id="3" w:name="_Toc15378441"/>
      <w:bookmarkStart w:id="4" w:name="_Toc15377425"/>
      <w:bookmarkStart w:id="5" w:name="_Toc15306267"/>
    </w:p>
    <w:p w14:paraId="0DB73427">
      <w:pPr>
        <w:pStyle w:val="8"/>
        <w:rPr>
          <w:rFonts w:hint="eastAsia" w:ascii="Times New Roman" w:hAnsi="Times New Roman" w:eastAsia="方正小标宋简体" w:cs="Times New Roman"/>
          <w:color w:val="auto"/>
          <w:kern w:val="2"/>
          <w:sz w:val="72"/>
          <w:szCs w:val="72"/>
          <w:highlight w:val="none"/>
          <w:lang w:val="en-US" w:eastAsia="zh-CN" w:bidi="ar-SA"/>
        </w:rPr>
      </w:pPr>
    </w:p>
    <w:p w14:paraId="4ED03E46">
      <w:pPr>
        <w:pStyle w:val="8"/>
        <w:rPr>
          <w:rFonts w:hint="eastAsia" w:ascii="Times New Roman" w:hAnsi="Times New Roman" w:eastAsia="方正小标宋简体" w:cs="Times New Roman"/>
          <w:color w:val="auto"/>
          <w:kern w:val="2"/>
          <w:sz w:val="72"/>
          <w:szCs w:val="72"/>
          <w:highlight w:val="none"/>
          <w:lang w:val="en-US" w:eastAsia="zh-CN" w:bidi="ar-SA"/>
        </w:rPr>
      </w:pPr>
    </w:p>
    <w:p w14:paraId="2157C322">
      <w:pPr>
        <w:pStyle w:val="8"/>
        <w:rPr>
          <w:rFonts w:hint="eastAsia" w:ascii="Times New Roman" w:hAnsi="Times New Roman" w:eastAsia="方正小标宋简体" w:cs="Times New Roman"/>
          <w:color w:val="auto"/>
          <w:kern w:val="2"/>
          <w:sz w:val="72"/>
          <w:szCs w:val="72"/>
          <w:highlight w:val="none"/>
          <w:lang w:val="en-US" w:eastAsia="zh-CN" w:bidi="ar-SA"/>
        </w:rPr>
      </w:pPr>
    </w:p>
    <w:p w14:paraId="769ED8CA">
      <w:pPr>
        <w:pStyle w:val="8"/>
        <w:jc w:val="both"/>
        <w:rPr>
          <w:rFonts w:hint="eastAsia" w:ascii="Times New Roman" w:hAnsi="Times New Roman" w:eastAsia="方正小标宋简体" w:cs="Times New Roman"/>
          <w:color w:val="auto"/>
          <w:kern w:val="2"/>
          <w:sz w:val="44"/>
          <w:szCs w:val="44"/>
          <w:highlight w:val="none"/>
          <w:lang w:val="en-US" w:eastAsia="zh-CN" w:bidi="ar-SA"/>
        </w:rPr>
      </w:pPr>
    </w:p>
    <w:p w14:paraId="3B4293A7">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8456C73">
      <w:pPr>
        <w:pStyle w:val="8"/>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8442"/>
      <w:bookmarkStart w:id="7" w:name="_Toc15396476"/>
      <w:bookmarkStart w:id="8" w:name="_Toc15396598"/>
      <w:bookmarkStart w:id="9" w:name="_Toc15377194"/>
      <w:bookmarkStart w:id="10" w:name="_Toc15377426"/>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p>
    <w:p w14:paraId="7A5EE95C">
      <w:pPr>
        <w:pStyle w:val="8"/>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攀枝花市经贸旅游学校</w:t>
      </w:r>
    </w:p>
    <w:p w14:paraId="76C7B679">
      <w:pPr>
        <w:pStyle w:val="8"/>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r>
        <w:rPr>
          <w:rFonts w:hint="eastAsia" w:ascii="Times New Roman" w:eastAsia="方正小标宋简体" w:cs="Times New Roman"/>
          <w:color w:val="auto"/>
          <w:kern w:val="2"/>
          <w:sz w:val="44"/>
          <w:szCs w:val="44"/>
          <w:highlight w:val="none"/>
          <w:lang w:val="en-US" w:eastAsia="zh-CN" w:bidi="ar-SA"/>
        </w:rPr>
        <w:t>公开编制说明</w:t>
      </w:r>
    </w:p>
    <w:p w14:paraId="2944F61C">
      <w:pPr>
        <w:widowControl/>
        <w:jc w:val="center"/>
      </w:pPr>
      <w:r>
        <w:rPr>
          <w:rFonts w:ascii="Times New Roman" w:hAnsi="Times New Roman" w:eastAsia="方正小标宋简体"/>
          <w:color w:val="auto"/>
          <w:sz w:val="36"/>
          <w:szCs w:val="36"/>
          <w:highlight w:val="none"/>
        </w:rPr>
        <w:br w:type="page"/>
      </w:r>
    </w:p>
    <w:sdt>
      <w:sdtPr>
        <w:rPr>
          <w:rFonts w:ascii="宋体" w:hAnsi="宋体" w:eastAsia="宋体" w:cs="Times New Roman"/>
          <w:kern w:val="2"/>
          <w:sz w:val="44"/>
          <w:szCs w:val="44"/>
          <w:lang w:val="en-US" w:eastAsia="zh-CN" w:bidi="ar-SA"/>
        </w:rPr>
        <w:id w:val="147460298"/>
        <w15:color w:val="DBDBDB"/>
        <w:docPartObj>
          <w:docPartGallery w:val="Table of Contents"/>
          <w:docPartUnique/>
        </w:docPartObj>
      </w:sdtPr>
      <w:sdtEndPr>
        <w:rPr>
          <w:rFonts w:hint="eastAsia" w:ascii="Times New Roman" w:hAnsi="Times New Roman" w:eastAsia="宋体" w:cs="Times New Roman"/>
          <w:kern w:val="2"/>
          <w:sz w:val="18"/>
          <w:szCs w:val="18"/>
          <w:lang w:val="en-US" w:eastAsia="zh-CN" w:bidi="ar-SA"/>
        </w:rPr>
      </w:sdtEndPr>
      <w:sdtContent>
        <w:p w14:paraId="2491C113">
          <w:pPr>
            <w:jc w:val="center"/>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目录</w:t>
          </w:r>
        </w:p>
        <w:p w14:paraId="6569CBB1">
          <w:pPr>
            <w:pStyle w:val="3"/>
            <w:rPr>
              <w:rFonts w:hint="eastAsia"/>
            </w:rPr>
          </w:pPr>
        </w:p>
        <w:p w14:paraId="156E89A6">
          <w:pPr>
            <w:pStyle w:val="2"/>
            <w:jc w:val="center"/>
            <w:rPr>
              <w:rFonts w:hint="eastAsia" w:ascii="宋体" w:hAnsi="宋体" w:eastAsia="宋体" w:cs="宋体"/>
              <w:sz w:val="28"/>
              <w:szCs w:val="28"/>
            </w:rPr>
          </w:pPr>
          <w:r>
            <w:rPr>
              <w:rFonts w:hint="eastAsia" w:ascii="宋体" w:hAnsi="宋体" w:eastAsia="宋体" w:cs="宋体"/>
              <w:color w:val="auto"/>
              <w:sz w:val="28"/>
              <w:szCs w:val="28"/>
              <w:highlight w:val="none"/>
            </w:rPr>
            <w:t>公开时间：20</w:t>
          </w: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09</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10 </w:t>
          </w:r>
          <w:r>
            <w:rPr>
              <w:rFonts w:hint="eastAsia" w:ascii="宋体" w:hAnsi="宋体" w:eastAsia="宋体" w:cs="宋体"/>
              <w:color w:val="auto"/>
              <w:sz w:val="28"/>
              <w:szCs w:val="28"/>
              <w:highlight w:val="none"/>
            </w:rPr>
            <w:t>日</w:t>
          </w:r>
        </w:p>
        <w:p w14:paraId="12C01AEB">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_Toc6183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部门概况</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_Toc6183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- 3 -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EE972BD">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_Toc21671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一、 部门职责</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_Toc21671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- 3 -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490232">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_Toc24731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二、机构设置</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_Toc24731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- 4 -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FC536C5">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_Toc1812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2024年度</w:t>
          </w:r>
          <w:r>
            <w:rPr>
              <w:rFonts w:hint="eastAsia" w:ascii="宋体" w:hAnsi="宋体" w:eastAsia="宋体" w:cs="宋体"/>
              <w:color w:val="auto"/>
              <w:sz w:val="28"/>
              <w:szCs w:val="28"/>
              <w:highlight w:val="none"/>
            </w:rPr>
            <w:t>部门决算情况说明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_Toc1812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- 5 -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4DD3636">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_Toc18588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一、</w:t>
          </w:r>
          <w:r>
            <w:rPr>
              <w:rFonts w:hint="eastAsia" w:ascii="宋体" w:hAnsi="宋体" w:eastAsia="宋体" w:cs="宋体"/>
              <w:color w:val="auto"/>
              <w:sz w:val="28"/>
              <w:szCs w:val="28"/>
              <w:highlight w:val="none"/>
            </w:rPr>
            <w:t>收入支出决算总体情况说明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_Toc18588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- 5 -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D0C4BBC">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_Toc26971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二、收入决算情况说明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_Toc26971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- 5 -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44EF28B">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_Toc16991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三、</w:t>
          </w:r>
          <w:r>
            <w:rPr>
              <w:rFonts w:hint="eastAsia" w:ascii="宋体" w:hAnsi="宋体" w:eastAsia="宋体" w:cs="宋体"/>
              <w:color w:val="auto"/>
              <w:sz w:val="28"/>
              <w:szCs w:val="28"/>
              <w:highlight w:val="none"/>
            </w:rPr>
            <w:t>支出决算情况说明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_Toc16991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- 6 -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34805F8">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_Toc29914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四、财政拨款收入支出决算总体情况说明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_Toc29914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- 7 -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B41D4E7">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五、一般公共预算财政拨款支出决算情况说明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- 7 -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231BF9E">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_Toc9116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六、一般公共预算财政拨款基本支出决算情况说明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_Toc9116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- 10 -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CD53703">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_Toc15777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七、财政拨款“三公”经费支出决算情况说明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_Toc15777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- 10 -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B063A33">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_Toc9461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八、政府性基金预算支出决算情况说明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_Toc9461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- 12 -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EECEC80">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_Toc6208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九、</w:t>
          </w:r>
          <w:r>
            <w:rPr>
              <w:rFonts w:hint="eastAsia" w:ascii="宋体" w:hAnsi="宋体" w:eastAsia="宋体" w:cs="宋体"/>
              <w:color w:val="auto"/>
              <w:sz w:val="28"/>
              <w:szCs w:val="28"/>
              <w:highlight w:val="none"/>
            </w:rPr>
            <w:t>国有资本经营预算支出决算情况说明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_Toc6208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- 12 -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67E8EF0">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_Toc9791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十、</w:t>
          </w:r>
          <w:r>
            <w:rPr>
              <w:rFonts w:hint="eastAsia" w:ascii="宋体" w:hAnsi="宋体" w:eastAsia="宋体" w:cs="宋体"/>
              <w:color w:val="auto"/>
              <w:sz w:val="28"/>
              <w:szCs w:val="28"/>
              <w:highlight w:val="none"/>
            </w:rPr>
            <w:t>其他重要事项的情况说明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_Toc9791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- 12 -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C0A4E8C">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_Toc22928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三</w:t>
          </w:r>
          <w:r>
            <w:rPr>
              <w:rFonts w:hint="eastAsia" w:ascii="宋体" w:hAnsi="宋体" w:eastAsia="宋体" w:cs="宋体"/>
              <w:color w:val="auto"/>
              <w:sz w:val="28"/>
              <w:szCs w:val="28"/>
              <w:highlight w:val="none"/>
            </w:rPr>
            <w:t>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名词解释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_Toc22928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- 14 -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E2F74D">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_Toc3138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第四部分 附件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_Toc3138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- 17 -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B3BA510">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_Toc8143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w:t>
          </w:r>
          <w:r>
            <w:rPr>
              <w:rFonts w:hint="eastAsia" w:ascii="宋体" w:hAnsi="宋体" w:eastAsia="宋体" w:cs="宋体"/>
              <w:color w:val="auto"/>
              <w:sz w:val="28"/>
              <w:szCs w:val="28"/>
              <w:highlight w:val="none"/>
              <w:lang w:val="en-US" w:eastAsia="zh-CN"/>
            </w:rPr>
            <w:t>部分</w:t>
          </w:r>
          <w:r>
            <w:rPr>
              <w:rFonts w:hint="eastAsia" w:ascii="宋体" w:hAnsi="宋体" w:eastAsia="宋体" w:cs="宋体"/>
              <w:color w:val="auto"/>
              <w:sz w:val="28"/>
              <w:szCs w:val="28"/>
              <w:highlight w:val="none"/>
            </w:rPr>
            <w:t xml:space="preserve"> 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_Toc8143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- 18 -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BD5C867">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_Toc16001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一、收</w:t>
          </w:r>
          <w:r>
            <w:rPr>
              <w:rFonts w:hint="eastAsia" w:ascii="宋体" w:hAnsi="宋体" w:eastAsia="宋体" w:cs="宋体"/>
              <w:bCs w:val="0"/>
              <w:sz w:val="28"/>
              <w:szCs w:val="28"/>
              <w:highlight w:val="none"/>
            </w:rPr>
            <w:t>入支出决算总表</w:t>
          </w:r>
          <w:r>
            <w:rPr>
              <w:rFonts w:hint="eastAsia" w:ascii="宋体" w:hAnsi="宋体" w:eastAsia="宋体" w:cs="宋体"/>
              <w:sz w:val="28"/>
              <w:szCs w:val="28"/>
            </w:rPr>
            <w:tab/>
          </w:r>
          <w:r>
            <w:rPr>
              <w:rFonts w:hint="eastAsia" w:ascii="宋体" w:hAnsi="宋体" w:eastAsia="宋体" w:cs="宋体"/>
              <w:b/>
              <w:sz w:val="28"/>
              <w:szCs w:val="28"/>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0AFD2308">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_Toc32749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二、收</w:t>
          </w:r>
          <w:r>
            <w:rPr>
              <w:rFonts w:hint="eastAsia" w:ascii="宋体" w:hAnsi="宋体" w:eastAsia="宋体" w:cs="宋体"/>
              <w:bCs w:val="0"/>
              <w:sz w:val="28"/>
              <w:szCs w:val="28"/>
              <w:highlight w:val="none"/>
            </w:rPr>
            <w:t>入决算表</w:t>
          </w:r>
          <w:r>
            <w:rPr>
              <w:rFonts w:hint="eastAsia" w:ascii="宋体" w:hAnsi="宋体" w:eastAsia="宋体" w:cs="宋体"/>
              <w:sz w:val="28"/>
              <w:szCs w:val="28"/>
            </w:rPr>
            <w:tab/>
          </w:r>
          <w:r>
            <w:rPr>
              <w:rFonts w:hint="eastAsia" w:ascii="宋体" w:hAnsi="宋体" w:eastAsia="宋体" w:cs="宋体"/>
              <w:b/>
              <w:sz w:val="28"/>
              <w:szCs w:val="28"/>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175ACDF4">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_Toc19452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三、</w:t>
          </w:r>
          <w:r>
            <w:rPr>
              <w:rFonts w:hint="eastAsia" w:ascii="宋体" w:hAnsi="宋体" w:eastAsia="宋体" w:cs="宋体"/>
              <w:sz w:val="28"/>
              <w:szCs w:val="28"/>
              <w:highlight w:val="none"/>
            </w:rPr>
            <w:t>支</w:t>
          </w:r>
          <w:r>
            <w:rPr>
              <w:rFonts w:hint="eastAsia" w:ascii="宋体" w:hAnsi="宋体" w:eastAsia="宋体" w:cs="宋体"/>
              <w:bCs w:val="0"/>
              <w:sz w:val="28"/>
              <w:szCs w:val="28"/>
              <w:highlight w:val="none"/>
            </w:rPr>
            <w:t>出决算表</w:t>
          </w:r>
          <w:r>
            <w:rPr>
              <w:rFonts w:hint="eastAsia" w:ascii="宋体" w:hAnsi="宋体" w:eastAsia="宋体" w:cs="宋体"/>
              <w:sz w:val="28"/>
              <w:szCs w:val="28"/>
            </w:rPr>
            <w:tab/>
          </w:r>
          <w:r>
            <w:rPr>
              <w:rFonts w:hint="eastAsia" w:ascii="宋体" w:hAnsi="宋体" w:eastAsia="宋体" w:cs="宋体"/>
              <w:b/>
              <w:sz w:val="28"/>
              <w:szCs w:val="28"/>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11817973">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_Toc25800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四、</w:t>
          </w:r>
          <w:r>
            <w:rPr>
              <w:rFonts w:hint="eastAsia" w:ascii="宋体" w:hAnsi="宋体" w:eastAsia="宋体" w:cs="宋体"/>
              <w:sz w:val="28"/>
              <w:szCs w:val="28"/>
              <w:highlight w:val="none"/>
            </w:rPr>
            <w:t>财</w:t>
          </w:r>
          <w:r>
            <w:rPr>
              <w:rFonts w:hint="eastAsia" w:ascii="宋体" w:hAnsi="宋体" w:eastAsia="宋体" w:cs="宋体"/>
              <w:bCs w:val="0"/>
              <w:sz w:val="28"/>
              <w:szCs w:val="28"/>
              <w:highlight w:val="none"/>
            </w:rPr>
            <w:t>政拨款收入支出决算总表</w:t>
          </w:r>
          <w:r>
            <w:rPr>
              <w:rFonts w:hint="eastAsia" w:ascii="宋体" w:hAnsi="宋体" w:eastAsia="宋体" w:cs="宋体"/>
              <w:sz w:val="28"/>
              <w:szCs w:val="28"/>
            </w:rPr>
            <w:tab/>
          </w:r>
          <w:r>
            <w:rPr>
              <w:rFonts w:hint="eastAsia" w:ascii="宋体" w:hAnsi="宋体" w:eastAsia="宋体" w:cs="宋体"/>
              <w:b/>
              <w:sz w:val="28"/>
              <w:szCs w:val="28"/>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1727C2B9">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_Toc22955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五、</w:t>
          </w:r>
          <w:r>
            <w:rPr>
              <w:rFonts w:hint="eastAsia" w:ascii="宋体" w:hAnsi="宋体" w:eastAsia="宋体" w:cs="宋体"/>
              <w:sz w:val="28"/>
              <w:szCs w:val="28"/>
              <w:highlight w:val="none"/>
            </w:rPr>
            <w:t>财</w:t>
          </w:r>
          <w:r>
            <w:rPr>
              <w:rFonts w:hint="eastAsia" w:ascii="宋体" w:hAnsi="宋体" w:eastAsia="宋体" w:cs="宋体"/>
              <w:bCs w:val="0"/>
              <w:sz w:val="28"/>
              <w:szCs w:val="28"/>
              <w:highlight w:val="none"/>
            </w:rPr>
            <w:t>政拨款支出决算明细表</w:t>
          </w:r>
          <w:r>
            <w:rPr>
              <w:rFonts w:hint="eastAsia" w:ascii="宋体" w:hAnsi="宋体" w:eastAsia="宋体" w:cs="宋体"/>
              <w:sz w:val="28"/>
              <w:szCs w:val="28"/>
            </w:rPr>
            <w:tab/>
          </w:r>
          <w:r>
            <w:rPr>
              <w:rFonts w:hint="eastAsia" w:ascii="宋体" w:hAnsi="宋体" w:eastAsia="宋体" w:cs="宋体"/>
              <w:b/>
              <w:sz w:val="28"/>
              <w:szCs w:val="28"/>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7EAB8DF2">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_Toc23193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六、</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般公共预算财政拨款支出决算表</w:t>
          </w:r>
          <w:r>
            <w:rPr>
              <w:rFonts w:hint="eastAsia" w:ascii="宋体" w:hAnsi="宋体" w:eastAsia="宋体" w:cs="宋体"/>
              <w:sz w:val="28"/>
              <w:szCs w:val="28"/>
            </w:rPr>
            <w:tab/>
          </w:r>
          <w:r>
            <w:rPr>
              <w:rFonts w:hint="eastAsia" w:ascii="宋体" w:hAnsi="宋体" w:eastAsia="宋体" w:cs="宋体"/>
              <w:b/>
              <w:sz w:val="28"/>
              <w:szCs w:val="28"/>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5C7AB144">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_Toc8381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七、</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般公共预算财政拨款支出决算明细表</w:t>
          </w:r>
          <w:r>
            <w:rPr>
              <w:rFonts w:hint="eastAsia" w:ascii="宋体" w:hAnsi="宋体" w:eastAsia="宋体" w:cs="宋体"/>
              <w:sz w:val="28"/>
              <w:szCs w:val="28"/>
            </w:rPr>
            <w:tab/>
          </w:r>
          <w:r>
            <w:rPr>
              <w:rFonts w:hint="eastAsia" w:ascii="宋体" w:hAnsi="宋体" w:eastAsia="宋体" w:cs="宋体"/>
              <w:b/>
              <w:sz w:val="28"/>
              <w:szCs w:val="28"/>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66B166B6">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_Toc31866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八、</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般公共预算财政拨款基本支出决算表</w:t>
          </w:r>
          <w:r>
            <w:rPr>
              <w:rFonts w:hint="eastAsia" w:ascii="宋体" w:hAnsi="宋体" w:eastAsia="宋体" w:cs="宋体"/>
              <w:sz w:val="28"/>
              <w:szCs w:val="28"/>
            </w:rPr>
            <w:tab/>
          </w:r>
          <w:r>
            <w:rPr>
              <w:rFonts w:hint="eastAsia" w:ascii="宋体" w:hAnsi="宋体" w:eastAsia="宋体" w:cs="宋体"/>
              <w:b/>
              <w:sz w:val="28"/>
              <w:szCs w:val="28"/>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01A5D390">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_Toc1019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九、</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般公共预算财政拨款项目支出决算表</w:t>
          </w:r>
          <w:r>
            <w:rPr>
              <w:rFonts w:hint="eastAsia" w:ascii="宋体" w:hAnsi="宋体" w:eastAsia="宋体" w:cs="宋体"/>
              <w:sz w:val="28"/>
              <w:szCs w:val="28"/>
            </w:rPr>
            <w:tab/>
          </w:r>
          <w:r>
            <w:rPr>
              <w:rFonts w:hint="eastAsia" w:ascii="宋体" w:hAnsi="宋体" w:eastAsia="宋体" w:cs="宋体"/>
              <w:b/>
              <w:sz w:val="28"/>
              <w:szCs w:val="28"/>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6377F9BD">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_Toc32353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十一、</w:t>
          </w:r>
          <w:r>
            <w:rPr>
              <w:rFonts w:hint="eastAsia" w:ascii="宋体" w:hAnsi="宋体" w:eastAsia="宋体" w:cs="宋体"/>
              <w:sz w:val="28"/>
              <w:szCs w:val="28"/>
              <w:highlight w:val="none"/>
            </w:rPr>
            <w:t>国</w:t>
          </w:r>
          <w:r>
            <w:rPr>
              <w:rFonts w:hint="eastAsia" w:ascii="宋体" w:hAnsi="宋体" w:eastAsia="宋体" w:cs="宋体"/>
              <w:bCs w:val="0"/>
              <w:sz w:val="28"/>
              <w:szCs w:val="28"/>
              <w:highlight w:val="none"/>
            </w:rPr>
            <w:t>有资本经营预算</w:t>
          </w:r>
          <w:r>
            <w:rPr>
              <w:rFonts w:hint="eastAsia" w:ascii="宋体" w:hAnsi="宋体" w:eastAsia="宋体" w:cs="宋体"/>
              <w:bCs w:val="0"/>
              <w:sz w:val="28"/>
              <w:szCs w:val="28"/>
              <w:highlight w:val="none"/>
              <w:lang w:eastAsia="zh-CN"/>
            </w:rPr>
            <w:t>财政拨款收入</w:t>
          </w:r>
          <w:r>
            <w:rPr>
              <w:rFonts w:hint="eastAsia" w:ascii="宋体" w:hAnsi="宋体" w:eastAsia="宋体" w:cs="宋体"/>
              <w:bCs w:val="0"/>
              <w:sz w:val="28"/>
              <w:szCs w:val="28"/>
              <w:highlight w:val="none"/>
            </w:rPr>
            <w:t>支出决算表</w:t>
          </w:r>
          <w:r>
            <w:rPr>
              <w:rFonts w:hint="eastAsia" w:ascii="宋体" w:hAnsi="宋体" w:eastAsia="宋体" w:cs="宋体"/>
              <w:sz w:val="28"/>
              <w:szCs w:val="28"/>
            </w:rPr>
            <w:tab/>
          </w:r>
          <w:r>
            <w:rPr>
              <w:rFonts w:hint="eastAsia" w:ascii="宋体" w:hAnsi="宋体" w:eastAsia="宋体" w:cs="宋体"/>
              <w:b/>
              <w:sz w:val="28"/>
              <w:szCs w:val="28"/>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1D96F2E2">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_Toc14001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十二、</w:t>
          </w:r>
          <w:r>
            <w:rPr>
              <w:rFonts w:hint="eastAsia" w:ascii="宋体" w:hAnsi="宋体" w:eastAsia="宋体" w:cs="宋体"/>
              <w:bCs w:val="0"/>
              <w:sz w:val="28"/>
              <w:szCs w:val="28"/>
              <w:highlight w:val="none"/>
              <w:lang w:eastAsia="zh-CN"/>
            </w:rPr>
            <w:t>国有资本经营预算财政拨款支出决算表</w:t>
          </w:r>
          <w:r>
            <w:rPr>
              <w:rFonts w:hint="eastAsia" w:ascii="宋体" w:hAnsi="宋体" w:eastAsia="宋体" w:cs="宋体"/>
              <w:sz w:val="28"/>
              <w:szCs w:val="28"/>
            </w:rPr>
            <w:tab/>
          </w:r>
          <w:r>
            <w:rPr>
              <w:rFonts w:hint="eastAsia" w:ascii="宋体" w:hAnsi="宋体" w:eastAsia="宋体" w:cs="宋体"/>
              <w:b/>
              <w:sz w:val="28"/>
              <w:szCs w:val="28"/>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5E552F31">
          <w:pPr>
            <w:pStyle w:val="2"/>
            <w:ind w:firstLine="280" w:firstLineChars="100"/>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_Toc4902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十三、</w:t>
          </w:r>
          <w:r>
            <w:rPr>
              <w:rFonts w:hint="eastAsia" w:ascii="宋体" w:hAnsi="宋体" w:eastAsia="宋体" w:cs="宋体"/>
              <w:bCs w:val="0"/>
              <w:sz w:val="28"/>
              <w:szCs w:val="28"/>
              <w:highlight w:val="none"/>
              <w:lang w:eastAsia="zh-CN"/>
            </w:rPr>
            <w:t>财政拨款“三公”经费支出决算表</w:t>
          </w:r>
          <w:r>
            <w:rPr>
              <w:rFonts w:hint="eastAsia" w:ascii="宋体" w:hAnsi="宋体" w:eastAsia="宋体" w:cs="宋体"/>
              <w:sz w:val="28"/>
              <w:szCs w:val="28"/>
            </w:rPr>
            <w:tab/>
          </w:r>
          <w:r>
            <w:rPr>
              <w:rFonts w:hint="eastAsia" w:ascii="宋体" w:hAnsi="宋体" w:eastAsia="宋体" w:cs="宋体"/>
              <w:sz w:val="28"/>
              <w:szCs w:val="28"/>
              <w:lang w:val="en-US" w:eastAsia="zh-CN"/>
            </w:rPr>
            <w:t>..................</w:t>
          </w:r>
          <w:r>
            <w:rPr>
              <w:rFonts w:hint="eastAsia" w:ascii="宋体" w:hAnsi="宋体" w:eastAsia="宋体" w:cs="宋体"/>
              <w:b/>
              <w:sz w:val="28"/>
              <w:szCs w:val="28"/>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5265028A">
          <w:pPr>
            <w:pStyle w:val="2"/>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28"/>
              <w:szCs w:val="28"/>
            </w:rPr>
            <w:fldChar w:fldCharType="end"/>
          </w:r>
        </w:p>
      </w:sdtContent>
    </w:sdt>
    <w:p w14:paraId="79EBED15">
      <w:pPr>
        <w:pStyle w:val="3"/>
        <w:rPr>
          <w:rFonts w:hint="eastAsia"/>
        </w:rPr>
      </w:pPr>
    </w:p>
    <w:p w14:paraId="7B466121">
      <w:pPr>
        <w:rPr>
          <w:rFonts w:hint="eastAsia"/>
        </w:rPr>
      </w:pPr>
    </w:p>
    <w:p w14:paraId="60C42C64">
      <w:pPr>
        <w:pStyle w:val="5"/>
        <w:jc w:val="center"/>
        <w:rPr>
          <w:rStyle w:val="28"/>
          <w:rFonts w:hint="eastAsia" w:ascii="Times New Roman" w:hAnsi="Times New Roman" w:eastAsia="方正小标宋简体" w:cs="方正小标宋简体"/>
          <w:b/>
          <w:bCs w:val="0"/>
          <w:color w:val="auto"/>
          <w:highlight w:val="none"/>
        </w:rPr>
      </w:pPr>
      <w:bookmarkStart w:id="12" w:name="_Toc15396599"/>
      <w:bookmarkStart w:id="13" w:name="_Toc15377196"/>
      <w:bookmarkStart w:id="14" w:name="_Toc6183"/>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2"/>
      <w:bookmarkEnd w:id="13"/>
      <w:bookmarkEnd w:id="14"/>
    </w:p>
    <w:p w14:paraId="6CFFBEFE">
      <w:pPr>
        <w:widowControl/>
        <w:jc w:val="left"/>
        <w:rPr>
          <w:rFonts w:ascii="Times New Roman" w:hAnsi="Times New Roman" w:eastAsia="黑体"/>
          <w:color w:val="auto"/>
          <w:sz w:val="32"/>
          <w:szCs w:val="32"/>
          <w:highlight w:val="none"/>
        </w:rPr>
      </w:pPr>
    </w:p>
    <w:p w14:paraId="6EA80729">
      <w:pPr>
        <w:pStyle w:val="6"/>
        <w:numPr>
          <w:ilvl w:val="0"/>
          <w:numId w:val="1"/>
        </w:numPr>
        <w:rPr>
          <w:rFonts w:hint="eastAsia" w:ascii="Times New Roman" w:hAnsi="Times New Roman" w:eastAsia="黑体"/>
          <w:b w:val="0"/>
          <w:color w:val="auto"/>
          <w:highlight w:val="none"/>
          <w:lang w:eastAsia="zh-CN"/>
        </w:rPr>
      </w:pPr>
      <w:bookmarkStart w:id="15" w:name="_Toc21671"/>
      <w:r>
        <w:rPr>
          <w:rFonts w:hint="eastAsia" w:ascii="Times New Roman" w:hAnsi="Times New Roman" w:eastAsia="黑体"/>
          <w:b w:val="0"/>
          <w:color w:val="auto"/>
          <w:highlight w:val="none"/>
          <w:lang w:eastAsia="zh-CN"/>
        </w:rPr>
        <w:t>部门职责</w:t>
      </w:r>
      <w:bookmarkEnd w:id="15"/>
    </w:p>
    <w:p w14:paraId="28ADDC11">
      <w:pPr>
        <w:widowControl/>
        <w:spacing w:line="600" w:lineRule="exact"/>
        <w:ind w:firstLine="420" w:firstLineChars="200"/>
        <w:rPr>
          <w:rFonts w:ascii="仿宋_GB2312" w:hAnsi="仿宋" w:eastAsia="仿宋_GB2312"/>
          <w:sz w:val="32"/>
          <w:szCs w:val="32"/>
        </w:rPr>
      </w:pPr>
      <w:r>
        <w:rPr>
          <w:rFonts w:hint="eastAsia"/>
          <w:lang w:val="en-US" w:eastAsia="zh-CN"/>
        </w:rPr>
        <w:t xml:space="preserve">  </w:t>
      </w:r>
      <w:r>
        <w:rPr>
          <w:rFonts w:hint="eastAsia" w:ascii="仿宋_GB2312" w:hAnsi="仿宋_GB2312" w:eastAsia="仿宋_GB2312" w:cs="仿宋_GB2312"/>
          <w:color w:val="auto"/>
          <w:sz w:val="32"/>
          <w:szCs w:val="32"/>
          <w:highlight w:val="none"/>
        </w:rPr>
        <w:t>四川省攀枝花市经贸旅游学校</w:t>
      </w:r>
      <w:r>
        <w:rPr>
          <w:rFonts w:hint="eastAsia" w:ascii="仿宋_GB2312" w:hAnsi="仿宋" w:eastAsia="仿宋_GB2312"/>
          <w:sz w:val="32"/>
          <w:szCs w:val="32"/>
        </w:rPr>
        <w:t>是一所国家级重点中等职业学校，</w:t>
      </w:r>
      <w:r>
        <w:rPr>
          <w:rFonts w:hint="eastAsia" w:ascii="仿宋_GB2312" w:hAnsi="仿宋_GB2312" w:eastAsia="仿宋_GB2312" w:cs="仿宋_GB2312"/>
          <w:color w:val="000000"/>
          <w:kern w:val="2"/>
          <w:sz w:val="32"/>
          <w:szCs w:val="32"/>
        </w:rPr>
        <w:t>2022年</w:t>
      </w:r>
      <w:r>
        <w:rPr>
          <w:rFonts w:hint="eastAsia" w:ascii="仿宋_GB2312" w:hAnsi="仿宋_GB2312" w:eastAsia="仿宋_GB2312" w:cs="仿宋_GB2312"/>
          <w:color w:val="000000"/>
          <w:kern w:val="2"/>
          <w:sz w:val="32"/>
          <w:szCs w:val="32"/>
          <w:lang w:val="en-US" w:eastAsia="zh-CN"/>
        </w:rPr>
        <w:t>度</w:t>
      </w:r>
      <w:r>
        <w:rPr>
          <w:rFonts w:hint="eastAsia" w:ascii="仿宋_GB2312" w:hAnsi="仿宋_GB2312" w:eastAsia="仿宋_GB2312" w:cs="仿宋_GB2312"/>
          <w:color w:val="000000"/>
          <w:kern w:val="2"/>
          <w:sz w:val="32"/>
          <w:szCs w:val="32"/>
        </w:rPr>
        <w:t>被省教育厅、省人社厅、省财政厅确立为四川省中职教育“三名工程”工程、五星名中职学校的首批立项建设单位，2</w:t>
      </w:r>
      <w:r>
        <w:rPr>
          <w:rFonts w:ascii="仿宋_GB2312" w:hAnsi="仿宋_GB2312" w:eastAsia="仿宋_GB2312" w:cs="仿宋_GB2312"/>
          <w:color w:val="000000"/>
          <w:kern w:val="2"/>
          <w:sz w:val="32"/>
          <w:szCs w:val="32"/>
        </w:rPr>
        <w:t>023</w:t>
      </w:r>
      <w:r>
        <w:rPr>
          <w:rFonts w:hint="eastAsia" w:ascii="仿宋_GB2312" w:hAnsi="仿宋_GB2312" w:eastAsia="仿宋_GB2312" w:cs="仿宋_GB2312"/>
          <w:color w:val="000000"/>
          <w:kern w:val="2"/>
          <w:sz w:val="32"/>
          <w:szCs w:val="32"/>
        </w:rPr>
        <w:t>年8月被省教育厅、省人社厅授予四川省教育工作先进集体称号。</w:t>
      </w:r>
      <w:r>
        <w:rPr>
          <w:rFonts w:hint="eastAsia" w:ascii="仿宋_GB2312" w:hAnsi="仿宋_GB2312" w:eastAsia="仿宋_GB2312" w:cs="仿宋_GB2312"/>
          <w:color w:val="000000"/>
          <w:kern w:val="2"/>
          <w:sz w:val="32"/>
          <w:szCs w:val="32"/>
          <w:lang w:val="en-US" w:eastAsia="zh-CN"/>
        </w:rPr>
        <w:t>学</w:t>
      </w:r>
      <w:r>
        <w:rPr>
          <w:rFonts w:hint="eastAsia" w:ascii="仿宋_GB2312" w:hAnsi="仿宋" w:eastAsia="仿宋_GB2312"/>
          <w:sz w:val="32"/>
          <w:szCs w:val="32"/>
        </w:rPr>
        <w:t>校始建于1981年</w:t>
      </w:r>
      <w:r>
        <w:rPr>
          <w:rFonts w:hint="eastAsia" w:ascii="仿宋_GB2312" w:hAnsi="仿宋" w:eastAsia="仿宋_GB2312"/>
          <w:sz w:val="32"/>
          <w:szCs w:val="32"/>
          <w:lang w:val="en-US" w:eastAsia="zh-CN"/>
        </w:rPr>
        <w:t>度</w:t>
      </w:r>
      <w:r>
        <w:rPr>
          <w:rFonts w:hint="eastAsia" w:ascii="仿宋_GB2312" w:hAnsi="仿宋" w:eastAsia="仿宋_GB2312"/>
          <w:sz w:val="32"/>
          <w:szCs w:val="32"/>
        </w:rPr>
        <w:t>，原名“渡口市汽车运输职工技校”，隶属于渡口市汽车运输公司，1991年</w:t>
      </w:r>
      <w:r>
        <w:rPr>
          <w:rFonts w:hint="eastAsia" w:ascii="仿宋_GB2312" w:hAnsi="仿宋" w:eastAsia="仿宋_GB2312"/>
          <w:sz w:val="32"/>
          <w:szCs w:val="32"/>
          <w:lang w:val="en-US" w:eastAsia="zh-CN"/>
        </w:rPr>
        <w:t>度</w:t>
      </w:r>
      <w:r>
        <w:rPr>
          <w:rFonts w:hint="eastAsia" w:ascii="仿宋_GB2312" w:hAnsi="仿宋" w:eastAsia="仿宋_GB2312"/>
          <w:sz w:val="32"/>
          <w:szCs w:val="32"/>
        </w:rPr>
        <w:t>更名为“攀枝花市经济学校”，2000年</w:t>
      </w:r>
      <w:r>
        <w:rPr>
          <w:rFonts w:hint="eastAsia" w:ascii="仿宋_GB2312" w:hAnsi="仿宋" w:eastAsia="仿宋_GB2312"/>
          <w:sz w:val="32"/>
          <w:szCs w:val="32"/>
          <w:lang w:val="en-US" w:eastAsia="zh-CN"/>
        </w:rPr>
        <w:t>度</w:t>
      </w:r>
      <w:r>
        <w:rPr>
          <w:rFonts w:hint="eastAsia" w:ascii="仿宋_GB2312" w:hAnsi="仿宋" w:eastAsia="仿宋_GB2312"/>
          <w:sz w:val="32"/>
          <w:szCs w:val="32"/>
        </w:rPr>
        <w:t>移交给攀枝花市教育局管理。2001年</w:t>
      </w:r>
      <w:r>
        <w:rPr>
          <w:rFonts w:hint="eastAsia" w:ascii="仿宋_GB2312" w:hAnsi="仿宋" w:eastAsia="仿宋_GB2312"/>
          <w:sz w:val="32"/>
          <w:szCs w:val="32"/>
          <w:lang w:val="en-US" w:eastAsia="zh-CN"/>
        </w:rPr>
        <w:t>度</w:t>
      </w:r>
      <w:r>
        <w:rPr>
          <w:rFonts w:hint="eastAsia" w:ascii="仿宋_GB2312" w:hAnsi="仿宋" w:eastAsia="仿宋_GB2312"/>
          <w:sz w:val="32"/>
          <w:szCs w:val="32"/>
        </w:rPr>
        <w:t>与“攀枝花市第一职业中学”合并更名为“攀枝花市经贸旅游学校”，2012年</w:t>
      </w:r>
      <w:r>
        <w:rPr>
          <w:rFonts w:hint="eastAsia" w:ascii="仿宋_GB2312" w:hAnsi="仿宋" w:eastAsia="仿宋_GB2312"/>
          <w:sz w:val="32"/>
          <w:szCs w:val="32"/>
          <w:lang w:val="en-US" w:eastAsia="zh-CN"/>
        </w:rPr>
        <w:t>度</w:t>
      </w:r>
      <w:r>
        <w:rPr>
          <w:rFonts w:hint="eastAsia" w:ascii="仿宋_GB2312" w:hAnsi="仿宋" w:eastAsia="仿宋_GB2312"/>
          <w:sz w:val="32"/>
          <w:szCs w:val="32"/>
        </w:rPr>
        <w:t>“攀枝花市信息职业技术学校”并入我校。社会信用代码：12510300450960973Y。住所：攀枝花市仁和区攀枝花大道南段322号；经费来源：核定收支、定额（定项）补助；开办资金：人民币13442.2万元。举办单位：攀枝花市教育和体育局。</w:t>
      </w:r>
    </w:p>
    <w:p w14:paraId="4F790C04">
      <w:pPr>
        <w:widowControl/>
        <w:snapToGrid/>
        <w:spacing w:line="600" w:lineRule="exact"/>
        <w:ind w:firstLine="640" w:firstLineChars="200"/>
        <w:rPr>
          <w:rFonts w:hint="default"/>
          <w:lang w:val="en-US" w:eastAsia="zh-CN"/>
        </w:rPr>
      </w:pPr>
      <w:r>
        <w:rPr>
          <w:rFonts w:hint="eastAsia" w:ascii="仿宋_GB2312" w:hAnsi="仿宋" w:eastAsia="仿宋_GB2312"/>
          <w:sz w:val="32"/>
          <w:szCs w:val="32"/>
        </w:rPr>
        <w:t>学校主要职能是培养中专学历技术应用人才，提高社会职业素质。开办了高星级饭店运营与管理、旅游服务与管理、中餐烹饪与营养膳食、航空服务、会计、市场营销、物流服务与管理、计算机应用、电子技术应用、机电技术应用、机械加工技术、汽车制造及检修、铁道运输管理、学前教育、现代农艺技术等专业学历教育；相关职业培训。</w:t>
      </w:r>
    </w:p>
    <w:p w14:paraId="4F264DF8">
      <w:pPr>
        <w:pStyle w:val="6"/>
        <w:rPr>
          <w:rStyle w:val="29"/>
          <w:rFonts w:ascii="Times New Roman" w:hAnsi="Times New Roman"/>
          <w:b w:val="0"/>
          <w:bCs w:val="0"/>
          <w:color w:val="auto"/>
          <w:highlight w:val="none"/>
        </w:rPr>
      </w:pPr>
      <w:bookmarkStart w:id="16" w:name="_Toc15396601"/>
      <w:bookmarkStart w:id="17" w:name="_Toc15377200"/>
      <w:bookmarkStart w:id="18" w:name="_Toc2473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6"/>
      <w:bookmarkEnd w:id="17"/>
      <w:bookmarkEnd w:id="18"/>
    </w:p>
    <w:p w14:paraId="69FADC78">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四川省攀枝花市经贸旅游学校</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43ADA464">
      <w:pPr>
        <w:pStyle w:val="8"/>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eastAsia="zh-CN"/>
        </w:rPr>
      </w:pPr>
      <w:r>
        <w:rPr>
          <w:rFonts w:hint="eastAsia" w:ascii="Times New Roman" w:cs="仿宋_GB2312"/>
          <w:color w:val="auto"/>
          <w:sz w:val="32"/>
          <w:szCs w:val="32"/>
          <w:highlight w:val="none"/>
          <w:lang w:val="en-US" w:eastAsia="zh-CN"/>
        </w:rPr>
        <w:t>无</w:t>
      </w:r>
      <w:r>
        <w:rPr>
          <w:rFonts w:hint="eastAsia" w:ascii="Times New Roman" w:hAnsi="Times New Roman" w:eastAsia="仿宋_GB2312" w:cs="仿宋_GB2312"/>
          <w:color w:val="auto"/>
          <w:sz w:val="32"/>
          <w:szCs w:val="32"/>
          <w:highlight w:val="none"/>
        </w:rPr>
        <w:t>纳入</w:t>
      </w:r>
      <w:r>
        <w:rPr>
          <w:sz w:val="32"/>
          <w:szCs w:val="32"/>
        </w:rPr>
        <w:t>四川省攀枝花市经贸旅游学校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w:t>
      </w:r>
      <w:r>
        <w:rPr>
          <w:rFonts w:hint="eastAsia" w:ascii="Times New Roman" w:cs="仿宋_GB2312"/>
          <w:color w:val="auto"/>
          <w:sz w:val="32"/>
          <w:szCs w:val="32"/>
          <w:highlight w:val="none"/>
          <w:lang w:eastAsia="zh-CN"/>
        </w:rPr>
        <w:t>。</w:t>
      </w:r>
    </w:p>
    <w:p w14:paraId="3DAB0F51">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6FD10CBF">
      <w:pPr>
        <w:pStyle w:val="5"/>
        <w:jc w:val="center"/>
        <w:rPr>
          <w:rFonts w:hint="eastAsia" w:ascii="Times New Roman" w:hAnsi="Times New Roman" w:eastAsia="方正小标宋简体" w:cs="方正小标宋简体"/>
          <w:b w:val="0"/>
          <w:color w:val="auto"/>
          <w:highlight w:val="none"/>
        </w:rPr>
      </w:pPr>
      <w:bookmarkStart w:id="19" w:name="_Toc15396602"/>
      <w:bookmarkStart w:id="20" w:name="_Toc15377204"/>
      <w:bookmarkStart w:id="21" w:name="_Toc181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9"/>
      <w:bookmarkEnd w:id="20"/>
      <w:bookmarkEnd w:id="21"/>
    </w:p>
    <w:p w14:paraId="6D8F2414">
      <w:pPr>
        <w:rPr>
          <w:rFonts w:ascii="Times New Roman" w:hAnsi="Times New Roman"/>
          <w:color w:val="auto"/>
          <w:highlight w:val="none"/>
        </w:rPr>
      </w:pPr>
    </w:p>
    <w:p w14:paraId="60CBC53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77205"/>
      <w:bookmarkStart w:id="23" w:name="_Toc15396603"/>
      <w:bookmarkStart w:id="24" w:name="_Toc18588"/>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2"/>
      <w:bookmarkEnd w:id="23"/>
      <w:bookmarkEnd w:id="24"/>
    </w:p>
    <w:p w14:paraId="7FBA4C63">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9140.46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457.98</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5.01</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sz w:val="32"/>
          <w:szCs w:val="32"/>
          <w:lang w:val="en-US" w:eastAsia="zh-CN"/>
        </w:rPr>
        <w:t>职业</w:t>
      </w:r>
      <w:r>
        <w:rPr>
          <w:rFonts w:hint="eastAsia" w:ascii="仿宋" w:hAnsi="仿宋" w:eastAsia="仿宋" w:cs="Times New Roman"/>
          <w:sz w:val="32"/>
          <w:szCs w:val="32"/>
        </w:rPr>
        <w:t>学生招生规模</w:t>
      </w:r>
      <w:r>
        <w:rPr>
          <w:rFonts w:hint="eastAsia" w:ascii="仿宋" w:hAnsi="仿宋" w:eastAsia="仿宋" w:cs="Times New Roman"/>
          <w:sz w:val="32"/>
          <w:szCs w:val="32"/>
          <w:lang w:val="en-US" w:eastAsia="zh-CN"/>
        </w:rPr>
        <w:t>比去年减少，</w:t>
      </w:r>
      <w:r>
        <w:rPr>
          <w:rFonts w:hint="eastAsia" w:ascii="仿宋" w:hAnsi="仿宋" w:eastAsia="仿宋" w:cs="Times New Roman"/>
          <w:sz w:val="32"/>
          <w:szCs w:val="32"/>
        </w:rPr>
        <w:t>新生入学人数下降，在校生总数减少，导致收入降低</w:t>
      </w:r>
      <w:r>
        <w:rPr>
          <w:rFonts w:hint="eastAsia" w:ascii="仿宋" w:hAnsi="仿宋" w:eastAsia="仿宋" w:cs="Times New Roman"/>
          <w:sz w:val="32"/>
          <w:szCs w:val="32"/>
          <w:lang w:eastAsia="zh-CN"/>
        </w:rPr>
        <w:t>；</w:t>
      </w:r>
      <w:r>
        <w:rPr>
          <w:rFonts w:hint="eastAsia" w:ascii="仿宋" w:hAnsi="仿宋" w:eastAsia="仿宋"/>
          <w:sz w:val="32"/>
          <w:szCs w:val="32"/>
          <w:lang w:val="en-US" w:eastAsia="zh-CN"/>
        </w:rPr>
        <w:t>学校运行成本下降，减少不必要的支出。</w:t>
      </w:r>
    </w:p>
    <w:p w14:paraId="67F198B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572000" cy="4105275"/>
            <wp:effectExtent l="4445" t="4445" r="14605" b="5080"/>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C42E4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5" w:name="_Toc15396604"/>
      <w:bookmarkStart w:id="26" w:name="_Toc15377206"/>
      <w:bookmarkStart w:id="27" w:name="_Toc26971"/>
      <w:r>
        <w:rPr>
          <w:rFonts w:hint="eastAsia" w:ascii="Times New Roman" w:hAnsi="Times New Roman" w:eastAsia="黑体"/>
          <w:color w:val="auto"/>
          <w:sz w:val="32"/>
          <w:szCs w:val="32"/>
          <w:highlight w:val="none"/>
          <w:lang w:eastAsia="zh-CN"/>
        </w:rPr>
        <w:t>二、收入决算情况说明</w:t>
      </w:r>
      <w:bookmarkEnd w:id="25"/>
      <w:bookmarkEnd w:id="26"/>
      <w:bookmarkEnd w:id="27"/>
    </w:p>
    <w:p w14:paraId="0DE73B1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28" w:name="_Toc11355"/>
      <w:bookmarkStart w:id="29" w:name="_Toc2700"/>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9096.51万元，其中：一般公共预算财政拨款收入8743.23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96.11</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104.3</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1.14</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248.91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2.73</w:t>
      </w:r>
      <w:r>
        <w:rPr>
          <w:rFonts w:hint="eastAsia" w:ascii="仿宋_GB2312" w:hAnsi="仿宋_GB2312" w:eastAsia="仿宋_GB2312" w:cs="仿宋_GB2312"/>
          <w:color w:val="auto"/>
          <w:sz w:val="32"/>
          <w:szCs w:val="32"/>
          <w:highlight w:val="none"/>
          <w:lang w:eastAsia="zh-CN"/>
        </w:rPr>
        <w:t>%。</w:t>
      </w:r>
      <w:bookmarkEnd w:id="28"/>
      <w:bookmarkEnd w:id="29"/>
    </w:p>
    <w:p w14:paraId="7FC1CEF6">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6350" t="6350" r="12700" b="1270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6BDAA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30" w:name="_Toc15396605"/>
      <w:bookmarkStart w:id="31" w:name="_Toc15377207"/>
      <w:bookmarkStart w:id="32" w:name="_Toc16991"/>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30"/>
      <w:bookmarkEnd w:id="31"/>
      <w:bookmarkEnd w:id="32"/>
    </w:p>
    <w:p w14:paraId="3069AB7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33" w:name="_Toc7979"/>
      <w:bookmarkStart w:id="34" w:name="_Toc6049"/>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9096.51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7802.55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85.77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1293.96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14.22</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bookmarkEnd w:id="33"/>
      <w:bookmarkEnd w:id="34"/>
    </w:p>
    <w:p w14:paraId="1D04078D">
      <w:pPr>
        <w:ind w:firstLine="525" w:firstLineChars="250"/>
        <w:rPr>
          <w:rFonts w:hint="eastAsia"/>
          <w:lang w:eastAsia="zh-CN"/>
        </w:rPr>
      </w:pPr>
      <w:r>
        <w:drawing>
          <wp:inline distT="0" distB="0" distL="114300" distR="114300">
            <wp:extent cx="4429125" cy="2477135"/>
            <wp:effectExtent l="4445" t="4445" r="5080" b="1397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AB5CBB">
      <w:pPr>
        <w:spacing w:line="600" w:lineRule="exact"/>
        <w:ind w:firstLine="640" w:firstLineChars="200"/>
        <w:outlineLvl w:val="1"/>
        <w:rPr>
          <w:rStyle w:val="29"/>
          <w:rFonts w:ascii="Times New Roman" w:hAnsi="Times New Roman" w:eastAsia="黑体"/>
          <w:b w:val="0"/>
          <w:color w:val="auto"/>
          <w:highlight w:val="none"/>
        </w:rPr>
      </w:pPr>
      <w:bookmarkStart w:id="35" w:name="_Toc15396606"/>
      <w:bookmarkStart w:id="36" w:name="_Toc15377208"/>
      <w:bookmarkStart w:id="37" w:name="_Toc29914"/>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35"/>
      <w:bookmarkEnd w:id="36"/>
      <w:bookmarkEnd w:id="37"/>
    </w:p>
    <w:p w14:paraId="2865F3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8743.23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475.85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5.44</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sz w:val="32"/>
          <w:szCs w:val="32"/>
          <w:lang w:val="en-US" w:eastAsia="zh-CN"/>
        </w:rPr>
        <w:t>职业</w:t>
      </w:r>
      <w:r>
        <w:rPr>
          <w:rFonts w:hint="eastAsia" w:ascii="仿宋" w:hAnsi="仿宋" w:eastAsia="仿宋" w:cs="Times New Roman"/>
          <w:sz w:val="32"/>
          <w:szCs w:val="32"/>
        </w:rPr>
        <w:t>学生招生规模</w:t>
      </w:r>
      <w:r>
        <w:rPr>
          <w:rFonts w:hint="eastAsia" w:ascii="仿宋" w:hAnsi="仿宋" w:eastAsia="仿宋" w:cs="Times New Roman"/>
          <w:sz w:val="32"/>
          <w:szCs w:val="32"/>
          <w:lang w:val="en-US" w:eastAsia="zh-CN"/>
        </w:rPr>
        <w:t>比去年减少，</w:t>
      </w:r>
      <w:r>
        <w:rPr>
          <w:rFonts w:hint="eastAsia" w:ascii="仿宋" w:hAnsi="仿宋" w:eastAsia="仿宋" w:cs="Times New Roman"/>
          <w:sz w:val="32"/>
          <w:szCs w:val="32"/>
        </w:rPr>
        <w:t>新生入学人数下降，在校生总数减少，导致收入降低</w:t>
      </w:r>
      <w:r>
        <w:rPr>
          <w:rFonts w:hint="eastAsia" w:ascii="仿宋" w:hAnsi="仿宋" w:eastAsia="仿宋" w:cs="Times New Roman"/>
          <w:sz w:val="32"/>
          <w:szCs w:val="32"/>
          <w:lang w:eastAsia="zh-CN"/>
        </w:rPr>
        <w:t>；</w:t>
      </w:r>
      <w:r>
        <w:rPr>
          <w:rFonts w:hint="eastAsia" w:ascii="仿宋" w:hAnsi="仿宋" w:eastAsia="仿宋"/>
          <w:sz w:val="32"/>
          <w:szCs w:val="32"/>
          <w:lang w:val="en-US" w:eastAsia="zh-CN"/>
        </w:rPr>
        <w:t>学校运行成本下降，减少不必要的支出。</w:t>
      </w:r>
    </w:p>
    <w:p w14:paraId="72A4AAD7">
      <w:pPr>
        <w:pStyle w:val="3"/>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8BB62E">
      <w:pPr>
        <w:pStyle w:val="2"/>
        <w:rPr>
          <w:rFonts w:hint="eastAsia"/>
          <w:lang w:val="en-US" w:eastAsia="zh-CN"/>
        </w:rPr>
      </w:pPr>
    </w:p>
    <w:p w14:paraId="4CF521A8">
      <w:pPr>
        <w:spacing w:line="600" w:lineRule="exact"/>
        <w:ind w:firstLine="640" w:firstLineChars="200"/>
        <w:outlineLvl w:val="1"/>
        <w:rPr>
          <w:rStyle w:val="29"/>
          <w:rFonts w:ascii="Times New Roman" w:hAnsi="Times New Roman" w:eastAsia="黑体"/>
          <w:b w:val="0"/>
          <w:color w:val="auto"/>
          <w:highlight w:val="none"/>
        </w:rPr>
      </w:pPr>
      <w:bookmarkStart w:id="38" w:name="_Toc15396607"/>
      <w:bookmarkStart w:id="39" w:name="_Toc15377209"/>
      <w:bookmarkStart w:id="40" w:name="_Toc3235"/>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8"/>
      <w:bookmarkEnd w:id="39"/>
      <w:bookmarkEnd w:id="40"/>
    </w:p>
    <w:p w14:paraId="13A8BAAB">
      <w:pPr>
        <w:spacing w:line="600" w:lineRule="exact"/>
        <w:ind w:firstLine="640" w:firstLineChars="200"/>
        <w:outlineLvl w:val="2"/>
        <w:rPr>
          <w:rFonts w:hint="eastAsia" w:ascii="Times New Roman" w:hAnsi="Times New Roman" w:eastAsia="楷体_GB2312" w:cs="楷体_GB2312"/>
          <w:b/>
          <w:color w:val="auto"/>
          <w:sz w:val="32"/>
          <w:szCs w:val="32"/>
          <w:highlight w:val="none"/>
        </w:rPr>
      </w:pPr>
      <w:bookmarkStart w:id="4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1"/>
    </w:p>
    <w:p w14:paraId="1DAC57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8743.23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96.11</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%。与2023年度相比，一般公共预算财政拨款支出减少474.85万元，下降5.44%。主要变动原因是</w:t>
      </w:r>
      <w:r>
        <w:rPr>
          <w:rFonts w:hint="eastAsia" w:ascii="仿宋" w:hAnsi="仿宋" w:eastAsia="仿宋"/>
          <w:sz w:val="32"/>
          <w:szCs w:val="32"/>
          <w:lang w:val="en-US" w:eastAsia="zh-CN"/>
        </w:rPr>
        <w:t>职业</w:t>
      </w:r>
      <w:r>
        <w:rPr>
          <w:rFonts w:hint="eastAsia" w:ascii="仿宋" w:hAnsi="仿宋" w:eastAsia="仿宋" w:cs="Times New Roman"/>
          <w:sz w:val="32"/>
          <w:szCs w:val="32"/>
        </w:rPr>
        <w:t>学生招生规模</w:t>
      </w:r>
      <w:r>
        <w:rPr>
          <w:rFonts w:hint="eastAsia" w:ascii="仿宋" w:hAnsi="仿宋" w:eastAsia="仿宋" w:cs="Times New Roman"/>
          <w:sz w:val="32"/>
          <w:szCs w:val="32"/>
          <w:lang w:val="en-US" w:eastAsia="zh-CN"/>
        </w:rPr>
        <w:t>比去年减少，</w:t>
      </w:r>
      <w:r>
        <w:rPr>
          <w:rFonts w:hint="eastAsia" w:ascii="仿宋" w:hAnsi="仿宋" w:eastAsia="仿宋" w:cs="Times New Roman"/>
          <w:sz w:val="32"/>
          <w:szCs w:val="32"/>
        </w:rPr>
        <w:t>新生入学人数下降，在校生总数减少，导致收入降低</w:t>
      </w:r>
      <w:r>
        <w:rPr>
          <w:rFonts w:hint="eastAsia" w:ascii="仿宋" w:hAnsi="仿宋" w:eastAsia="仿宋" w:cs="Times New Roman"/>
          <w:sz w:val="32"/>
          <w:szCs w:val="32"/>
          <w:lang w:eastAsia="zh-CN"/>
        </w:rPr>
        <w:t>；</w:t>
      </w:r>
      <w:r>
        <w:rPr>
          <w:rFonts w:hint="eastAsia" w:ascii="仿宋" w:hAnsi="仿宋" w:eastAsia="仿宋"/>
          <w:sz w:val="32"/>
          <w:szCs w:val="32"/>
          <w:lang w:val="en-US" w:eastAsia="zh-CN"/>
        </w:rPr>
        <w:t>学校运行成本下降，减少不必要的支出。</w:t>
      </w:r>
    </w:p>
    <w:p w14:paraId="1B4FE3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1E32FB2">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2743200"/>
            <wp:effectExtent l="4445" t="4445" r="14605" b="14605"/>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C19E98">
      <w:pPr>
        <w:pStyle w:val="3"/>
        <w:rPr>
          <w:rFonts w:hint="eastAsia"/>
          <w:lang w:val="en-US" w:eastAsia="zh-CN"/>
        </w:rPr>
      </w:pPr>
    </w:p>
    <w:p w14:paraId="469A2B5A">
      <w:pPr>
        <w:spacing w:line="600" w:lineRule="exact"/>
        <w:ind w:firstLine="640" w:firstLineChars="200"/>
        <w:outlineLvl w:val="2"/>
        <w:rPr>
          <w:rFonts w:hint="eastAsia" w:ascii="Times New Roman" w:hAnsi="Times New Roman" w:eastAsia="楷体_GB2312" w:cs="楷体_GB2312"/>
          <w:b/>
          <w:color w:val="auto"/>
          <w:sz w:val="32"/>
          <w:szCs w:val="32"/>
          <w:highlight w:val="none"/>
        </w:rPr>
      </w:pPr>
      <w:bookmarkStart w:id="4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2"/>
    </w:p>
    <w:p w14:paraId="00B1A1C6">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8743.23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0.01</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6436.67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73.62</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1411.96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16.15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370.68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4.24</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522.41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5.98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BE14F8C">
      <w:pPr>
        <w:pStyle w:val="3"/>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95800" cy="272415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9392D3">
      <w:pPr>
        <w:spacing w:line="600" w:lineRule="exact"/>
        <w:ind w:firstLine="640" w:firstLineChars="200"/>
        <w:outlineLvl w:val="2"/>
        <w:rPr>
          <w:rFonts w:hint="eastAsia" w:ascii="Times New Roman" w:hAnsi="Times New Roman" w:eastAsia="楷体_GB2312" w:cs="楷体_GB2312"/>
          <w:b/>
          <w:color w:val="auto"/>
          <w:sz w:val="32"/>
          <w:szCs w:val="32"/>
          <w:highlight w:val="none"/>
        </w:rPr>
      </w:pPr>
      <w:bookmarkStart w:id="4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3"/>
    </w:p>
    <w:p w14:paraId="3B92A2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4" w:name="_Toc15377444"/>
      <w:bookmarkStart w:id="45" w:name="_Toc15378460"/>
      <w:bookmarkStart w:id="46"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8743.23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44"/>
      <w:bookmarkEnd w:id="45"/>
      <w:bookmarkEnd w:id="46"/>
    </w:p>
    <w:p w14:paraId="10758B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一般公共服务（类）组织事务（款）其他组织事务支出（项）：支出决算为1.50万元，完成预算100%。</w:t>
      </w:r>
    </w:p>
    <w:p w14:paraId="01AF74D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2.教育（类）职业教育（款）中等职业教育（项）: 支出决算为6411.56万元，完成预算100%。</w:t>
      </w:r>
    </w:p>
    <w:p w14:paraId="6BCE3A4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 教育（类）教育费附加安排的支出（款）其他教育费附加安排的支出（项）: 支出决算为25.12万元，完成预算100%。</w:t>
      </w:r>
    </w:p>
    <w:p w14:paraId="1DEFF49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3.社会保障和就业支出（类）行政事业单位养老支出（款）事业单位离退休（项）: 支出决算为653.73万元，完成预算100%。</w:t>
      </w:r>
    </w:p>
    <w:p w14:paraId="2CB955B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社会保障和就业支出（类）行政事业单位养老支出（款）机关事业单位基本养老保险缴费支出（项）: 支出决算为690.21万元，完成预算100%。</w:t>
      </w:r>
    </w:p>
    <w:p w14:paraId="482FB0C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社会保障和就业支出（类）行政事业单位养老支出（款）机关事业单位职业年金缴费支出（项）: 支出决算为9.72万元，完成预算100%。</w:t>
      </w:r>
    </w:p>
    <w:p w14:paraId="31DB335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社会保障和就业支出（类）抚恤（款）死亡抚恤（项）: 支出决算为58.29万元，完成预算100%。</w:t>
      </w:r>
    </w:p>
    <w:p w14:paraId="2405BD4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4.卫生健康支出（类）行政事业单位医疗（款）事业单位医疗（项）：支出决算为332.16万元，完成预算100%。</w:t>
      </w:r>
    </w:p>
    <w:p w14:paraId="6214B21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卫生健康支出（类）行政事业单位医疗（款）公务员医疗补助（项）：支出决算为38.52万元，完成预算100%。</w:t>
      </w:r>
    </w:p>
    <w:p w14:paraId="4E29F1E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5.住房保障支出（类）住房改革支出（款）住房公积金（项）: 支出决算为522.41万元，完成预算100%。</w:t>
      </w:r>
    </w:p>
    <w:p w14:paraId="38A3E94D">
      <w:pPr>
        <w:tabs>
          <w:tab w:val="right" w:pos="8306"/>
        </w:tabs>
        <w:spacing w:line="600" w:lineRule="exact"/>
        <w:ind w:firstLine="640"/>
        <w:outlineLvl w:val="1"/>
        <w:rPr>
          <w:rStyle w:val="29"/>
          <w:rFonts w:ascii="Times New Roman" w:hAnsi="Times New Roman"/>
          <w:color w:val="auto"/>
          <w:highlight w:val="none"/>
        </w:rPr>
      </w:pPr>
      <w:bookmarkStart w:id="47" w:name="_Toc15377214"/>
      <w:bookmarkStart w:id="48" w:name="_Toc15396608"/>
      <w:bookmarkStart w:id="49" w:name="_Toc9116"/>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47"/>
      <w:bookmarkEnd w:id="48"/>
      <w:bookmarkEnd w:id="49"/>
      <w:r>
        <w:rPr>
          <w:rStyle w:val="29"/>
          <w:rFonts w:ascii="Times New Roman" w:hAnsi="Times New Roman" w:eastAsia="黑体"/>
          <w:b w:val="0"/>
          <w:color w:val="auto"/>
          <w:highlight w:val="none"/>
        </w:rPr>
        <w:tab/>
      </w:r>
    </w:p>
    <w:p w14:paraId="081F86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7449.26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0E51D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7385.17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其他社会保障缴费、其他工资福利支出、离休费、抚恤金、生活补助、医疗费补助、奖励金、住房公积金等。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64.1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元，主要包括：办公费、差旅费、培训费、工会经费、其他商品和服务支出等。</w:t>
      </w:r>
    </w:p>
    <w:p w14:paraId="51B09EED">
      <w:pPr>
        <w:spacing w:line="600" w:lineRule="exact"/>
        <w:ind w:firstLine="640"/>
        <w:outlineLvl w:val="1"/>
        <w:rPr>
          <w:rStyle w:val="29"/>
          <w:rFonts w:ascii="Times New Roman" w:hAnsi="Times New Roman" w:eastAsia="黑体"/>
          <w:b w:val="0"/>
          <w:color w:val="auto"/>
          <w:highlight w:val="none"/>
        </w:rPr>
      </w:pPr>
      <w:bookmarkStart w:id="50" w:name="_Toc15377215"/>
      <w:bookmarkStart w:id="51" w:name="_Toc15396609"/>
      <w:bookmarkStart w:id="52" w:name="_Toc15777"/>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50"/>
      <w:bookmarkEnd w:id="51"/>
      <w:bookmarkEnd w:id="52"/>
    </w:p>
    <w:p w14:paraId="252DE202">
      <w:pPr>
        <w:spacing w:line="600" w:lineRule="exact"/>
        <w:ind w:firstLine="640" w:firstLineChars="200"/>
        <w:outlineLvl w:val="2"/>
        <w:rPr>
          <w:rFonts w:hint="eastAsia" w:ascii="Times New Roman" w:hAnsi="Times New Roman" w:eastAsia="楷体_GB2312" w:cs="楷体_GB2312"/>
          <w:b/>
          <w:color w:val="auto"/>
          <w:sz w:val="32"/>
          <w:szCs w:val="32"/>
          <w:highlight w:val="none"/>
        </w:rPr>
      </w:pPr>
      <w:bookmarkStart w:id="5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3"/>
    </w:p>
    <w:p w14:paraId="1244DA33">
      <w:pPr>
        <w:spacing w:line="600" w:lineRule="exact"/>
        <w:ind w:firstLine="645"/>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 w:hAnsi="仿宋" w:eastAsia="仿宋" w:cs="Times New Roman"/>
          <w:color w:val="auto"/>
          <w:sz w:val="32"/>
          <w:szCs w:val="32"/>
          <w:highlight w:val="none"/>
          <w:lang w:eastAsia="zh-CN"/>
        </w:rPr>
        <w:t>较上年度</w:t>
      </w:r>
      <w:r>
        <w:rPr>
          <w:rFonts w:hint="eastAsia" w:ascii="仿宋" w:hAnsi="仿宋" w:eastAsia="仿宋" w:cs="Times New Roman"/>
          <w:color w:val="auto"/>
          <w:sz w:val="32"/>
          <w:szCs w:val="32"/>
          <w:highlight w:val="none"/>
          <w:lang w:val="en-US" w:eastAsia="zh-CN"/>
        </w:rPr>
        <w:t>无变化</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Times New Roman"/>
          <w:color w:val="auto"/>
          <w:sz w:val="32"/>
          <w:szCs w:val="32"/>
          <w:highlight w:val="none"/>
          <w:lang w:val="en-US" w:eastAsia="zh-CN"/>
        </w:rPr>
        <w:t>用事业收入安排2024年度</w:t>
      </w:r>
      <w:r>
        <w:rPr>
          <w:rFonts w:hint="eastAsia" w:ascii="仿宋" w:hAnsi="仿宋" w:eastAsia="仿宋" w:cs="Times New Roman"/>
          <w:color w:val="auto"/>
          <w:sz w:val="32"/>
          <w:szCs w:val="32"/>
          <w:highlight w:val="none"/>
        </w:rPr>
        <w:t>“三公”经费。</w:t>
      </w:r>
    </w:p>
    <w:p w14:paraId="77866EA4">
      <w:pPr>
        <w:spacing w:line="600" w:lineRule="exact"/>
        <w:ind w:firstLine="640" w:firstLineChars="200"/>
        <w:outlineLvl w:val="2"/>
        <w:rPr>
          <w:rFonts w:hint="eastAsia" w:ascii="Times New Roman" w:hAnsi="Times New Roman" w:eastAsia="楷体_GB2312" w:cs="楷体_GB2312"/>
          <w:b/>
          <w:color w:val="auto"/>
          <w:sz w:val="32"/>
          <w:szCs w:val="32"/>
          <w:highlight w:val="none"/>
        </w:rPr>
      </w:pPr>
      <w:bookmarkStart w:id="5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4"/>
    </w:p>
    <w:p w14:paraId="606C40A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5235E5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7FFAB61A">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819650" cy="2743200"/>
            <wp:effectExtent l="4445" t="4445" r="14605" b="1460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E09C0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无变化。</w:t>
      </w:r>
    </w:p>
    <w:p w14:paraId="6B18E27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无变化。</w:t>
      </w:r>
    </w:p>
    <w:p w14:paraId="0F77AF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w:t>
      </w:r>
    </w:p>
    <w:p w14:paraId="2ED5FE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505DD096">
      <w:pPr>
        <w:numPr>
          <w:ilvl w:val="0"/>
          <w:numId w:val="2"/>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无变化</w:t>
      </w:r>
      <w:r>
        <w:rPr>
          <w:rFonts w:hint="eastAsia" w:ascii="Times New Roman" w:hAnsi="Times New Roman" w:eastAsia="仿宋_GB2312" w:cs="仿宋_GB2312"/>
          <w:color w:val="auto"/>
          <w:kern w:val="2"/>
          <w:sz w:val="32"/>
          <w:szCs w:val="32"/>
          <w:highlight w:val="none"/>
          <w:lang w:val="en-US" w:eastAsia="zh-CN" w:bidi="ar-SA"/>
        </w:rPr>
        <w:t>。其中：</w:t>
      </w:r>
    </w:p>
    <w:p w14:paraId="60F1C8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w:t>
      </w:r>
      <w:r>
        <w:rPr>
          <w:rFonts w:hint="eastAsia" w:eastAsia="仿宋_GB2312" w:cs="仿宋_GB2312"/>
          <w:color w:val="auto"/>
          <w:kern w:val="2"/>
          <w:sz w:val="32"/>
          <w:szCs w:val="32"/>
          <w:highlight w:val="none"/>
          <w:lang w:val="en-US" w:eastAsia="zh-CN" w:bidi="ar-SA"/>
        </w:rPr>
        <w:t>。</w:t>
      </w:r>
    </w:p>
    <w:p w14:paraId="7CD35B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w:t>
      </w:r>
      <w:r>
        <w:rPr>
          <w:rFonts w:hint="eastAsia" w:ascii="Times New Roman" w:hAnsi="Times New Roman" w:eastAsia="仿宋_GB2312" w:cs="仿宋_GB2312"/>
          <w:color w:val="auto"/>
          <w:kern w:val="2"/>
          <w:sz w:val="32"/>
          <w:szCs w:val="32"/>
          <w:highlight w:val="none"/>
          <w:lang w:val="en-US" w:eastAsia="zh-CN" w:bidi="ar-SA"/>
        </w:rPr>
        <w:t>。</w:t>
      </w:r>
      <w:bookmarkStart w:id="55" w:name="_Toc15396610"/>
      <w:bookmarkStart w:id="56" w:name="_Toc15377218"/>
    </w:p>
    <w:p w14:paraId="46FCDF50">
      <w:pPr>
        <w:spacing w:line="600" w:lineRule="exact"/>
        <w:ind w:firstLine="640"/>
        <w:outlineLvl w:val="1"/>
        <w:rPr>
          <w:rStyle w:val="29"/>
          <w:rFonts w:ascii="Times New Roman" w:hAnsi="Times New Roman" w:eastAsia="黑体"/>
          <w:color w:val="auto"/>
          <w:highlight w:val="none"/>
        </w:rPr>
      </w:pPr>
      <w:bookmarkStart w:id="57" w:name="_Toc9461"/>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55"/>
      <w:bookmarkEnd w:id="56"/>
      <w:bookmarkEnd w:id="57"/>
    </w:p>
    <w:p w14:paraId="5CB4E8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与上年持平</w:t>
      </w:r>
      <w:r>
        <w:rPr>
          <w:rFonts w:hint="eastAsia" w:eastAsia="仿宋_GB2312" w:cs="仿宋_GB2312"/>
          <w:b w:val="0"/>
          <w:bCs w:val="0"/>
          <w:color w:val="auto"/>
          <w:kern w:val="2"/>
          <w:sz w:val="32"/>
          <w:szCs w:val="32"/>
          <w:highlight w:val="none"/>
          <w:lang w:val="en-US" w:eastAsia="zh-CN" w:bidi="ar-SA"/>
        </w:rPr>
        <w:t>。</w:t>
      </w:r>
    </w:p>
    <w:p w14:paraId="30911376">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58" w:name="_Toc15396611"/>
      <w:bookmarkStart w:id="59" w:name="_Toc15377219"/>
      <w:bookmarkStart w:id="60" w:name="_Toc6208"/>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58"/>
      <w:bookmarkEnd w:id="59"/>
      <w:bookmarkEnd w:id="60"/>
    </w:p>
    <w:p w14:paraId="2326EB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与上年持平</w:t>
      </w:r>
      <w:r>
        <w:rPr>
          <w:rFonts w:hint="eastAsia" w:eastAsia="仿宋_GB2312" w:cs="仿宋_GB2312"/>
          <w:b w:val="0"/>
          <w:bCs w:val="0"/>
          <w:color w:val="auto"/>
          <w:kern w:val="2"/>
          <w:sz w:val="32"/>
          <w:szCs w:val="32"/>
          <w:highlight w:val="none"/>
          <w:lang w:val="en-US" w:eastAsia="zh-CN" w:bidi="ar-SA"/>
        </w:rPr>
        <w:t>。</w:t>
      </w:r>
    </w:p>
    <w:p w14:paraId="22199F9B">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61" w:name="_Toc15396612"/>
      <w:bookmarkStart w:id="62" w:name="_Toc15377221"/>
      <w:bookmarkStart w:id="63" w:name="_Toc979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61"/>
      <w:bookmarkEnd w:id="62"/>
      <w:bookmarkEnd w:id="63"/>
    </w:p>
    <w:p w14:paraId="150486D5">
      <w:pPr>
        <w:spacing w:line="600" w:lineRule="exact"/>
        <w:ind w:firstLine="640" w:firstLineChars="200"/>
        <w:outlineLvl w:val="2"/>
        <w:rPr>
          <w:rFonts w:hint="eastAsia" w:ascii="Times New Roman" w:hAnsi="Times New Roman" w:eastAsia="楷体_GB2312" w:cs="楷体_GB2312"/>
          <w:b/>
          <w:color w:val="auto"/>
          <w:sz w:val="32"/>
          <w:szCs w:val="32"/>
          <w:highlight w:val="none"/>
        </w:rPr>
      </w:pPr>
      <w:bookmarkStart w:id="64" w:name="_Toc15377222"/>
      <w:r>
        <w:rPr>
          <w:rFonts w:hint="eastAsia" w:ascii="Times New Roman" w:hAnsi="Times New Roman" w:eastAsia="楷体_GB2312" w:cs="楷体_GB2312"/>
          <w:b/>
          <w:color w:val="auto"/>
          <w:sz w:val="32"/>
          <w:szCs w:val="32"/>
          <w:highlight w:val="none"/>
        </w:rPr>
        <w:t>（一）机关运行经费支出情况</w:t>
      </w:r>
      <w:bookmarkEnd w:id="64"/>
    </w:p>
    <w:p w14:paraId="2A54A5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四川省攀枝花市经贸旅游学校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Times New Roman" w:hAnsi="Times New Roman" w:eastAsia="仿宋_GB2312" w:cs="仿宋_GB2312"/>
          <w:b w:val="0"/>
          <w:bCs w:val="0"/>
          <w:color w:val="auto"/>
          <w:kern w:val="2"/>
          <w:sz w:val="32"/>
          <w:szCs w:val="32"/>
          <w:highlight w:val="none"/>
          <w:lang w:val="en-US" w:eastAsia="zh-CN" w:bidi="ar-SA"/>
        </w:rPr>
        <w:t>与上年持平</w:t>
      </w:r>
      <w:r>
        <w:rPr>
          <w:rFonts w:hint="eastAsia" w:eastAsia="仿宋_GB2312" w:cs="仿宋_GB2312"/>
          <w:b w:val="0"/>
          <w:bCs w:val="0"/>
          <w:color w:val="auto"/>
          <w:kern w:val="2"/>
          <w:sz w:val="32"/>
          <w:szCs w:val="32"/>
          <w:highlight w:val="none"/>
          <w:lang w:val="en-US" w:eastAsia="zh-CN" w:bidi="ar-SA"/>
        </w:rPr>
        <w:t>。</w:t>
      </w:r>
    </w:p>
    <w:p w14:paraId="0B3C508D">
      <w:pPr>
        <w:spacing w:line="600" w:lineRule="exact"/>
        <w:ind w:firstLine="640" w:firstLineChars="200"/>
        <w:outlineLvl w:val="2"/>
        <w:rPr>
          <w:rFonts w:hint="eastAsia" w:ascii="Times New Roman" w:hAnsi="Times New Roman" w:eastAsia="楷体_GB2312" w:cs="楷体_GB2312"/>
          <w:b/>
          <w:color w:val="auto"/>
          <w:sz w:val="32"/>
          <w:szCs w:val="32"/>
          <w:highlight w:val="none"/>
        </w:rPr>
      </w:pPr>
      <w:bookmarkStart w:id="65" w:name="_Toc15377223"/>
      <w:r>
        <w:rPr>
          <w:rFonts w:hint="eastAsia" w:ascii="Times New Roman" w:hAnsi="Times New Roman" w:eastAsia="楷体_GB2312" w:cs="楷体_GB2312"/>
          <w:b/>
          <w:color w:val="auto"/>
          <w:sz w:val="32"/>
          <w:szCs w:val="32"/>
          <w:highlight w:val="none"/>
        </w:rPr>
        <w:t>（二）政府采购支出情况</w:t>
      </w:r>
      <w:bookmarkEnd w:id="65"/>
    </w:p>
    <w:p w14:paraId="23C00C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四川省攀枝花市经贸旅游学校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238.51</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183.84</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54.67</w:t>
      </w:r>
      <w:r>
        <w:rPr>
          <w:rFonts w:hint="eastAsia" w:ascii="仿宋_GB2312" w:hAnsi="仿宋_GB2312" w:eastAsia="仿宋_GB2312" w:cs="仿宋_GB2312"/>
          <w:color w:val="auto"/>
          <w:kern w:val="2"/>
          <w:sz w:val="32"/>
          <w:szCs w:val="32"/>
          <w:highlight w:val="none"/>
          <w:lang w:val="en-US" w:eastAsia="zh-CN" w:bidi="ar-SA"/>
        </w:rPr>
        <w:t>万元。主要用于教学设备购置。授予中小企业合同金额</w:t>
      </w:r>
      <w:r>
        <w:rPr>
          <w:rFonts w:hint="eastAsia" w:ascii="仿宋_GB2312" w:hAnsi="仿宋_GB2312" w:eastAsia="仿宋_GB2312" w:cs="仿宋_GB2312"/>
          <w:sz w:val="32"/>
          <w:szCs w:val="32"/>
        </w:rPr>
        <w:t>236.39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99.11</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192.43</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80.68</w:t>
      </w:r>
      <w:r>
        <w:rPr>
          <w:rFonts w:hint="eastAsia" w:ascii="仿宋_GB2312" w:hAnsi="仿宋_GB2312" w:eastAsia="仿宋_GB2312" w:cs="仿宋_GB2312"/>
          <w:color w:val="auto"/>
          <w:kern w:val="2"/>
          <w:sz w:val="32"/>
          <w:szCs w:val="32"/>
          <w:highlight w:val="none"/>
          <w:lang w:val="en-US" w:eastAsia="zh-CN" w:bidi="ar-SA"/>
        </w:rPr>
        <w:t>%。</w:t>
      </w:r>
    </w:p>
    <w:p w14:paraId="39185A4C">
      <w:pPr>
        <w:spacing w:line="600" w:lineRule="exact"/>
        <w:ind w:firstLine="640" w:firstLineChars="200"/>
        <w:outlineLvl w:val="2"/>
        <w:rPr>
          <w:rFonts w:hint="eastAsia" w:ascii="Times New Roman" w:hAnsi="Times New Roman" w:eastAsia="楷体_GB2312" w:cs="楷体_GB2312"/>
          <w:b/>
          <w:color w:val="auto"/>
          <w:sz w:val="32"/>
          <w:szCs w:val="32"/>
          <w:highlight w:val="none"/>
        </w:rPr>
      </w:pPr>
      <w:bookmarkStart w:id="66" w:name="_Toc15377224"/>
      <w:r>
        <w:rPr>
          <w:rFonts w:hint="eastAsia" w:ascii="Times New Roman" w:hAnsi="Times New Roman" w:eastAsia="楷体_GB2312" w:cs="楷体_GB2312"/>
          <w:b/>
          <w:color w:val="auto"/>
          <w:sz w:val="32"/>
          <w:szCs w:val="32"/>
          <w:highlight w:val="none"/>
        </w:rPr>
        <w:t>（三）国有资产占有使用情况</w:t>
      </w:r>
      <w:bookmarkEnd w:id="66"/>
    </w:p>
    <w:p w14:paraId="3C96B7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四川省攀枝花市经贸旅游学校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eastAsia="仿宋_GB2312"/>
          <w:color w:val="auto"/>
          <w:sz w:val="32"/>
          <w:szCs w:val="32"/>
          <w:highlight w:val="none"/>
        </w:rPr>
        <w:t>用于</w:t>
      </w:r>
      <w:r>
        <w:rPr>
          <w:rFonts w:hint="eastAsia" w:ascii="仿宋_GB2312" w:eastAsia="仿宋_GB2312"/>
          <w:color w:val="auto"/>
          <w:sz w:val="32"/>
          <w:szCs w:val="32"/>
          <w:highlight w:val="none"/>
          <w:lang w:val="en-US" w:eastAsia="zh-CN"/>
        </w:rPr>
        <w:t>教学管理、接送藏区学生等</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E036805">
      <w:pPr>
        <w:spacing w:line="600" w:lineRule="exact"/>
        <w:ind w:firstLine="640"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F1DF0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攀枝花市经贸旅游学校</w:t>
      </w:r>
      <w:r>
        <w:rPr>
          <w:rFonts w:hint="eastAsia" w:ascii="Times New Roman" w:hAnsi="Times New Roman" w:eastAsia="仿宋_GB2312" w:cs="仿宋_GB2312"/>
          <w:color w:val="auto"/>
          <w:kern w:val="2"/>
          <w:sz w:val="32"/>
          <w:szCs w:val="32"/>
          <w:highlight w:val="none"/>
          <w:lang w:val="en-US" w:eastAsia="zh-CN" w:bidi="ar-SA"/>
        </w:rPr>
        <w:t>在2024年度预算编制阶段，组织对中职教育学生资助-农村、涉农专业和家庭经济困难学生免学费（中央</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7E251203">
      <w:pPr>
        <w:pStyle w:val="2"/>
        <w:rPr>
          <w:rFonts w:hint="eastAsia" w:ascii="Times New Roman" w:hAnsi="Times New Roman" w:eastAsia="仿宋_GB2312" w:cs="仿宋_GB2312"/>
          <w:color w:val="auto"/>
          <w:kern w:val="2"/>
          <w:sz w:val="32"/>
          <w:szCs w:val="32"/>
          <w:highlight w:val="none"/>
          <w:lang w:val="en-US" w:eastAsia="zh-CN" w:bidi="ar-SA"/>
        </w:rPr>
      </w:pPr>
    </w:p>
    <w:p w14:paraId="30A4F002">
      <w:pPr>
        <w:pStyle w:val="3"/>
        <w:rPr>
          <w:rFonts w:hint="eastAsia" w:ascii="Times New Roman" w:hAnsi="Times New Roman" w:eastAsia="仿宋_GB2312" w:cs="仿宋_GB2312"/>
          <w:color w:val="auto"/>
          <w:kern w:val="2"/>
          <w:sz w:val="32"/>
          <w:szCs w:val="32"/>
          <w:highlight w:val="none"/>
          <w:lang w:val="en-US" w:eastAsia="zh-CN" w:bidi="ar-SA"/>
        </w:rPr>
      </w:pPr>
    </w:p>
    <w:p w14:paraId="778D8CEF">
      <w:pPr>
        <w:pStyle w:val="3"/>
        <w:rPr>
          <w:rFonts w:hint="eastAsia" w:ascii="Times New Roman" w:hAnsi="Times New Roman" w:eastAsia="仿宋_GB2312" w:cs="仿宋_GB2312"/>
          <w:color w:val="auto"/>
          <w:kern w:val="2"/>
          <w:sz w:val="32"/>
          <w:szCs w:val="32"/>
          <w:highlight w:val="none"/>
          <w:lang w:val="en-US" w:eastAsia="zh-CN" w:bidi="ar-SA"/>
        </w:rPr>
      </w:pPr>
    </w:p>
    <w:p w14:paraId="3206C6F1">
      <w:pPr>
        <w:pStyle w:val="3"/>
        <w:rPr>
          <w:rFonts w:hint="eastAsia" w:ascii="Times New Roman" w:hAnsi="Times New Roman" w:eastAsia="仿宋_GB2312" w:cs="仿宋_GB2312"/>
          <w:color w:val="auto"/>
          <w:kern w:val="2"/>
          <w:sz w:val="32"/>
          <w:szCs w:val="32"/>
          <w:highlight w:val="none"/>
          <w:lang w:val="en-US" w:eastAsia="zh-CN" w:bidi="ar-SA"/>
        </w:rPr>
      </w:pPr>
    </w:p>
    <w:p w14:paraId="3C3A03DD">
      <w:pPr>
        <w:pStyle w:val="3"/>
        <w:rPr>
          <w:rFonts w:hint="eastAsia" w:ascii="Times New Roman" w:hAnsi="Times New Roman" w:eastAsia="仿宋_GB2312" w:cs="仿宋_GB2312"/>
          <w:color w:val="auto"/>
          <w:kern w:val="2"/>
          <w:sz w:val="32"/>
          <w:szCs w:val="32"/>
          <w:highlight w:val="none"/>
          <w:lang w:val="en-US" w:eastAsia="zh-CN" w:bidi="ar-SA"/>
        </w:rPr>
      </w:pPr>
    </w:p>
    <w:p w14:paraId="3744F8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CB72AA4">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7" w:name="_Toc15377225"/>
      <w:bookmarkStart w:id="68" w:name="_Toc15396613"/>
      <w:bookmarkStart w:id="69" w:name="_Toc22928"/>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7"/>
      <w:bookmarkEnd w:id="68"/>
      <w:bookmarkEnd w:id="69"/>
    </w:p>
    <w:p w14:paraId="2D512BBE">
      <w:pPr>
        <w:spacing w:line="600" w:lineRule="exact"/>
        <w:jc w:val="left"/>
        <w:rPr>
          <w:rFonts w:ascii="Times New Roman" w:hAnsi="Times New Roman"/>
          <w:b/>
          <w:color w:val="auto"/>
          <w:sz w:val="44"/>
          <w:szCs w:val="44"/>
          <w:highlight w:val="none"/>
        </w:rPr>
      </w:pPr>
    </w:p>
    <w:p w14:paraId="3621B2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A8957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w:t>
      </w:r>
      <w:r>
        <w:rPr>
          <w:rFonts w:hint="eastAsia" w:ascii="仿宋_GB2312" w:eastAsia="仿宋_GB2312"/>
          <w:color w:val="auto"/>
          <w:sz w:val="32"/>
          <w:szCs w:val="32"/>
        </w:rPr>
        <w:t>如</w:t>
      </w:r>
      <w:r>
        <w:rPr>
          <w:rFonts w:hint="eastAsia" w:ascii="仿宋_GB2312" w:eastAsia="仿宋_GB2312"/>
          <w:color w:val="auto"/>
          <w:sz w:val="32"/>
          <w:szCs w:val="32"/>
          <w:lang w:val="en-US" w:eastAsia="zh-CN"/>
        </w:rPr>
        <w:t>中职学生住宿费</w:t>
      </w:r>
      <w:r>
        <w:rPr>
          <w:rFonts w:hint="eastAsia" w:ascii="Times New Roman" w:hAnsi="Times New Roman" w:eastAsia="仿宋_GB2312" w:cs="仿宋_GB2312"/>
          <w:color w:val="auto"/>
          <w:kern w:val="2"/>
          <w:sz w:val="32"/>
          <w:szCs w:val="32"/>
          <w:highlight w:val="none"/>
          <w:lang w:val="en-US" w:eastAsia="zh-CN" w:bidi="ar-SA"/>
        </w:rPr>
        <w:t>等。</w:t>
      </w:r>
    </w:p>
    <w:p w14:paraId="5D250D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.其他收入：指单位取得的除上述收入以外的各项收入。主要是</w:t>
      </w:r>
      <w:r>
        <w:rPr>
          <w:rFonts w:hint="eastAsia" w:ascii="仿宋_GB2312" w:eastAsia="仿宋_GB2312"/>
          <w:color w:val="auto"/>
          <w:sz w:val="32"/>
          <w:szCs w:val="32"/>
          <w:highlight w:val="none"/>
          <w:lang w:val="en-US" w:eastAsia="zh-CN"/>
        </w:rPr>
        <w:t>区县教体局拨来少数民族学生免杂费补助资</w:t>
      </w:r>
      <w:r>
        <w:rPr>
          <w:rFonts w:hint="eastAsia" w:ascii="Times New Roman" w:hAnsi="Times New Roman" w:eastAsia="仿宋_GB2312" w:cs="仿宋_GB2312"/>
          <w:color w:val="auto"/>
          <w:kern w:val="2"/>
          <w:sz w:val="32"/>
          <w:szCs w:val="32"/>
          <w:highlight w:val="none"/>
          <w:lang w:val="en-US" w:eastAsia="zh-CN" w:bidi="ar-SA"/>
        </w:rPr>
        <w:t xml:space="preserve">等。 </w:t>
      </w:r>
    </w:p>
    <w:p w14:paraId="3E1B4F53">
      <w:pPr>
        <w:pStyle w:val="26"/>
        <w:spacing w:line="560" w:lineRule="exact"/>
        <w:ind w:firstLine="640" w:firstLineChars="200"/>
        <w:outlineLvl w:val="1"/>
        <w:rPr>
          <w:rFonts w:hint="default" w:ascii="仿宋_GB2312" w:eastAsia="仿宋_GB2312"/>
          <w:color w:val="auto"/>
          <w:sz w:val="32"/>
          <w:szCs w:val="32"/>
          <w:highlight w:val="none"/>
          <w:lang w:val="en-US" w:eastAsia="zh-CN"/>
        </w:rPr>
      </w:pPr>
      <w:bookmarkStart w:id="70" w:name="_Toc17750"/>
      <w:bookmarkStart w:id="71" w:name="_Toc10464"/>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教育支出（类）职业教育（款）中等职业教育（项）反映各部门（不含人力资源和社会保障部门）举办的中等职业教育支出。政府各部门对社会组织举办的中等职业学校的资助，如捐赠、补贴等，也在本科目反映</w:t>
      </w:r>
      <w:r>
        <w:rPr>
          <w:rFonts w:hint="eastAsia" w:ascii="仿宋_GB2312" w:eastAsia="仿宋_GB2312"/>
          <w:color w:val="auto"/>
          <w:sz w:val="32"/>
          <w:szCs w:val="32"/>
          <w:highlight w:val="none"/>
        </w:rPr>
        <w:t>。</w:t>
      </w:r>
      <w:bookmarkEnd w:id="70"/>
      <w:bookmarkEnd w:id="71"/>
    </w:p>
    <w:p w14:paraId="202FC244">
      <w:pPr>
        <w:pStyle w:val="26"/>
        <w:spacing w:line="560" w:lineRule="exact"/>
        <w:ind w:firstLine="640" w:firstLineChars="200"/>
        <w:outlineLvl w:val="1"/>
        <w:rPr>
          <w:rFonts w:hint="eastAsia" w:ascii="仿宋_GB2312" w:eastAsia="仿宋_GB2312"/>
          <w:color w:val="auto"/>
          <w:sz w:val="32"/>
          <w:szCs w:val="32"/>
          <w:highlight w:val="none"/>
          <w:lang w:val="en-US" w:eastAsia="zh-CN"/>
        </w:rPr>
      </w:pPr>
      <w:bookmarkStart w:id="72" w:name="_Toc9925"/>
      <w:bookmarkStart w:id="73" w:name="_Toc15251"/>
      <w:r>
        <w:rPr>
          <w:rFonts w:hint="eastAsia" w:ascii="仿宋_GB2312" w:eastAsia="仿宋_GB2312"/>
          <w:color w:val="auto"/>
          <w:sz w:val="32"/>
          <w:szCs w:val="32"/>
          <w:highlight w:val="none"/>
          <w:lang w:val="en-US" w:eastAsia="zh-CN"/>
        </w:rPr>
        <w:t>5.教育（类）教育费附加安排的支出（款）其他教育费附加安排的支出（项）：指除农村中小学校舍建设、农村中小学教学设施、城市中小学校舍建设、城市中小学教学设施、中等职业学校教学设施以外的教育费附加支出.教育支出（类）其他教育支出（款）其他教育支出（项）：指教育管理方面的其他支出。</w:t>
      </w:r>
      <w:bookmarkEnd w:id="72"/>
      <w:bookmarkEnd w:id="73"/>
    </w:p>
    <w:p w14:paraId="6EF3D2C8">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hAnsi="Calibri" w:eastAsia="仿宋_GB2312" w:cs="仿宋"/>
          <w:color w:val="auto"/>
          <w:kern w:val="0"/>
          <w:sz w:val="32"/>
          <w:szCs w:val="32"/>
          <w:highlight w:val="none"/>
          <w:lang w:val="en-US" w:eastAsia="zh-CN" w:bidi="ar-SA"/>
        </w:rPr>
        <w:t>社会保障和就业支出（类）行政事业单位养老支出（款）机关事业单位基本养老保险缴费支出(项)：指机关事业单位用于实施养老保险制度由单位缴纳基本养老保险缴费支出。</w:t>
      </w:r>
    </w:p>
    <w:p w14:paraId="3E2FDD6A">
      <w:pPr>
        <w:pStyle w:val="2"/>
        <w:ind w:firstLine="640" w:firstLineChars="200"/>
        <w:rPr>
          <w:rFonts w:hint="eastAsia"/>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社会保障和就业（类）行政事业单位养老支出（款）机关事业单位职业年金缴费支出（项）反映机关事业单位实施养老保险制度由单位缴纳的职业年金支出（含职业年金补记支出）</w:t>
      </w:r>
    </w:p>
    <w:p w14:paraId="0C3325F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社会保障和就业支出（类）抚恤（款</w:t>
      </w:r>
      <w:r>
        <w:rPr>
          <w:rFonts w:ascii="仿宋_GB2312" w:eastAsia="仿宋_GB2312"/>
          <w:sz w:val="32"/>
          <w:szCs w:val="32"/>
        </w:rPr>
        <w:t>）</w:t>
      </w:r>
      <w:r>
        <w:rPr>
          <w:rFonts w:hint="eastAsia" w:ascii="仿宋_GB2312" w:eastAsia="仿宋_GB2312"/>
          <w:sz w:val="32"/>
          <w:szCs w:val="32"/>
        </w:rPr>
        <w:t>死亡抚恤(项)：反映按规定用于烈士和牺牲、病故人员家属一次性和定期抚恤金以及丧葬补助费</w:t>
      </w:r>
      <w:r>
        <w:rPr>
          <w:rFonts w:hint="eastAsia" w:ascii="仿宋_GB2312" w:eastAsia="仿宋_GB2312"/>
          <w:sz w:val="32"/>
          <w:szCs w:val="32"/>
          <w:lang w:val="en-US" w:eastAsia="zh-CN"/>
        </w:rPr>
        <w:t>以及烈士褒扬金</w:t>
      </w:r>
      <w:r>
        <w:rPr>
          <w:rFonts w:hint="eastAsia" w:ascii="仿宋_GB2312" w:eastAsia="仿宋_GB2312"/>
          <w:sz w:val="32"/>
          <w:szCs w:val="32"/>
        </w:rPr>
        <w:t>。</w:t>
      </w:r>
    </w:p>
    <w:p w14:paraId="707B7EA9">
      <w:pPr>
        <w:spacing w:line="600" w:lineRule="exact"/>
        <w:ind w:firstLine="640" w:firstLineChars="200"/>
        <w:rPr>
          <w:rFonts w:ascii="仿宋_GB2312" w:eastAsia="仿宋_GB2312"/>
          <w:sz w:val="32"/>
          <w:szCs w:val="32"/>
        </w:rPr>
      </w:pPr>
      <w:r>
        <w:rPr>
          <w:rFonts w:hint="eastAsia" w:ascii="仿宋_GB2312" w:eastAsia="仿宋_GB2312" w:cs="仿宋"/>
          <w:color w:val="auto"/>
          <w:kern w:val="0"/>
          <w:sz w:val="32"/>
          <w:szCs w:val="32"/>
          <w:highlight w:val="none"/>
          <w:lang w:val="en-US" w:eastAsia="zh-CN" w:bidi="ar-SA"/>
        </w:rPr>
        <w:t>9</w:t>
      </w:r>
      <w:r>
        <w:rPr>
          <w:rFonts w:hint="eastAsia" w:ascii="仿宋_GB2312" w:hAnsi="Calibri" w:eastAsia="仿宋_GB2312" w:cs="仿宋"/>
          <w:color w:val="auto"/>
          <w:kern w:val="0"/>
          <w:sz w:val="32"/>
          <w:szCs w:val="32"/>
          <w:highlight w:val="none"/>
          <w:lang w:val="en-US" w:eastAsia="zh-CN" w:bidi="ar-SA"/>
        </w:rPr>
        <w:t>.住房保障支出（类）住房改革支出（款）住房公积金 (项)：反映行政事业单位按人力资源和社会保障部、财政部规定的基本工资和津贴补贴以及规定比例为职工缴纳的住房公积金。</w:t>
      </w:r>
    </w:p>
    <w:p w14:paraId="17A0C1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10877A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221B73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bookmarkStart w:id="93" w:name="_GoBack"/>
      <w:bookmarkEnd w:id="93"/>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B8998B">
      <w:pPr>
        <w:spacing w:line="600" w:lineRule="exact"/>
        <w:jc w:val="center"/>
        <w:outlineLvl w:val="0"/>
        <w:rPr>
          <w:rStyle w:val="28"/>
          <w:rFonts w:ascii="黑体" w:hAnsi="黑体" w:eastAsia="黑体"/>
          <w:b w:val="0"/>
          <w:color w:val="auto"/>
          <w:highlight w:val="none"/>
        </w:rPr>
      </w:pPr>
      <w:bookmarkStart w:id="74"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75" w:name="_Toc6987"/>
      <w:bookmarkStart w:id="76" w:name="_Toc7552"/>
      <w:bookmarkStart w:id="77" w:name="_Toc3138"/>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75"/>
      <w:bookmarkEnd w:id="76"/>
      <w:bookmarkEnd w:id="77"/>
    </w:p>
    <w:p w14:paraId="2E1FBC96">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none"/>
        </w:rPr>
      </w:pPr>
    </w:p>
    <w:p w14:paraId="5F7F3DF8">
      <w:pPr>
        <w:spacing w:line="600" w:lineRule="exact"/>
        <w:jc w:val="center"/>
        <w:rPr>
          <w:rFonts w:hint="eastAsia" w:ascii="Times New Roman" w:hAnsi="Times New Roman" w:cs="Times New Roman"/>
          <w:sz w:val="32"/>
          <w:szCs w:val="32"/>
          <w:highlight w:val="yellow"/>
          <w:lang w:val="zh-CN" w:eastAsia="zh-CN"/>
        </w:rPr>
      </w:pPr>
      <w:r>
        <w:rPr>
          <w:rFonts w:hint="eastAsia" w:ascii="仿宋_GB2312" w:eastAsia="仿宋_GB2312" w:cs="Times New Roman"/>
          <w:color w:val="auto"/>
          <w:sz w:val="32"/>
          <w:szCs w:val="32"/>
          <w:highlight w:val="none"/>
          <w:lang w:val="en-US" w:eastAsia="zh-CN"/>
        </w:rPr>
        <w:t>部门预算项目支出绩效自评表（2024年度）</w:t>
      </w:r>
    </w:p>
    <w:p w14:paraId="17312B66">
      <w:pPr>
        <w:pStyle w:val="8"/>
        <w:jc w:val="center"/>
        <w:rPr>
          <w:rFonts w:hint="eastAsia" w:ascii="Times New Roman" w:hAnsi="Times New Roman" w:cs="宋体"/>
          <w:color w:val="FF0000"/>
          <w:kern w:val="0"/>
          <w:sz w:val="32"/>
          <w:szCs w:val="32"/>
          <w:highlight w:val="yellow"/>
          <w:shd w:val="clear" w:color="auto" w:fill="FFFFFF"/>
          <w:lang w:val="zh-CN"/>
        </w:rPr>
      </w:pPr>
    </w:p>
    <w:p w14:paraId="12BD1FA1">
      <w:pPr>
        <w:rPr>
          <w:rFonts w:hint="eastAsia" w:ascii="Times New Roman" w:hAnsi="Times New Roman" w:eastAsia="仿宋_GB2312" w:cs="仿宋_GB2312"/>
          <w:b w:val="0"/>
          <w:bCs w:val="0"/>
          <w:kern w:val="0"/>
          <w:position w:val="0"/>
          <w:sz w:val="32"/>
          <w:szCs w:val="32"/>
          <w:highlight w:val="none"/>
          <w:lang w:val="en-US" w:eastAsia="zh-CN" w:bidi="ar-SA"/>
        </w:rPr>
      </w:pPr>
      <w:bookmarkStart w:id="78"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0BBC7863">
      <w:pPr>
        <w:spacing w:line="600" w:lineRule="exact"/>
        <w:jc w:val="center"/>
        <w:outlineLvl w:val="0"/>
        <w:rPr>
          <w:rFonts w:hint="eastAsia" w:ascii="黑体" w:hAnsi="黑体" w:eastAsia="黑体"/>
          <w:color w:val="auto"/>
          <w:sz w:val="44"/>
          <w:szCs w:val="44"/>
          <w:highlight w:val="none"/>
        </w:rPr>
      </w:pPr>
      <w:bookmarkStart w:id="79" w:name="_Toc8143"/>
      <w:r>
        <w:rPr>
          <w:rFonts w:hint="eastAsia" w:ascii="黑体" w:hAnsi="黑体" w:eastAsia="黑体"/>
          <w:color w:val="auto"/>
          <w:sz w:val="44"/>
          <w:szCs w:val="44"/>
          <w:highlight w:val="none"/>
        </w:rPr>
        <w:t>第五</w:t>
      </w:r>
      <w:r>
        <w:rPr>
          <w:rFonts w:hint="eastAsia" w:ascii="黑体" w:hAnsi="黑体" w:eastAsia="黑体"/>
          <w:color w:val="auto"/>
          <w:sz w:val="44"/>
          <w:szCs w:val="44"/>
          <w:highlight w:val="none"/>
          <w:lang w:val="en-US" w:eastAsia="zh-CN"/>
        </w:rPr>
        <w:t>部分</w:t>
      </w:r>
      <w:r>
        <w:rPr>
          <w:rFonts w:hint="eastAsia" w:ascii="黑体" w:hAnsi="黑体" w:eastAsia="黑体"/>
          <w:color w:val="auto"/>
          <w:sz w:val="44"/>
          <w:szCs w:val="44"/>
          <w:highlight w:val="none"/>
        </w:rPr>
        <w:t xml:space="preserve"> 附表</w:t>
      </w:r>
      <w:bookmarkEnd w:id="74"/>
      <w:bookmarkEnd w:id="78"/>
      <w:bookmarkEnd w:id="79"/>
      <w:bookmarkStart w:id="80" w:name="_Toc15396619"/>
    </w:p>
    <w:p w14:paraId="53F15036">
      <w:pPr>
        <w:spacing w:line="600" w:lineRule="exact"/>
        <w:jc w:val="center"/>
        <w:outlineLvl w:val="0"/>
        <w:rPr>
          <w:rFonts w:hint="eastAsia" w:ascii="黑体" w:hAnsi="黑体" w:eastAsia="黑体"/>
          <w:color w:val="auto"/>
          <w:sz w:val="44"/>
          <w:szCs w:val="44"/>
          <w:highlight w:val="none"/>
        </w:rPr>
      </w:pPr>
    </w:p>
    <w:p w14:paraId="1BCB60C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一、收入支出决算总表</w:t>
      </w:r>
      <w:bookmarkEnd w:id="80"/>
    </w:p>
    <w:p w14:paraId="12BD6C9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Times New Roman"/>
          <w:color w:val="auto"/>
          <w:kern w:val="2"/>
          <w:sz w:val="32"/>
          <w:szCs w:val="32"/>
          <w:highlight w:val="none"/>
          <w:lang w:val="en-US" w:eastAsia="zh-CN" w:bidi="ar-SA"/>
        </w:rPr>
      </w:pPr>
      <w:bookmarkStart w:id="81" w:name="_Toc15396620"/>
      <w:r>
        <w:rPr>
          <w:rFonts w:hint="eastAsia" w:ascii="黑体" w:hAnsi="黑体" w:eastAsia="黑体" w:cs="Times New Roman"/>
          <w:color w:val="auto"/>
          <w:kern w:val="2"/>
          <w:sz w:val="32"/>
          <w:szCs w:val="32"/>
          <w:highlight w:val="none"/>
          <w:lang w:val="en-US" w:eastAsia="zh-CN" w:bidi="ar-SA"/>
        </w:rPr>
        <w:t>二、收入决算表</w:t>
      </w:r>
      <w:bookmarkEnd w:id="81"/>
    </w:p>
    <w:p w14:paraId="210E484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Times New Roman"/>
          <w:color w:val="auto"/>
          <w:kern w:val="2"/>
          <w:sz w:val="32"/>
          <w:szCs w:val="32"/>
          <w:highlight w:val="none"/>
          <w:lang w:val="en-US" w:eastAsia="zh-CN" w:bidi="ar-SA"/>
        </w:rPr>
      </w:pPr>
      <w:bookmarkStart w:id="82" w:name="_Toc15396621"/>
      <w:r>
        <w:rPr>
          <w:rFonts w:hint="eastAsia" w:ascii="黑体" w:hAnsi="黑体" w:eastAsia="黑体" w:cs="Times New Roman"/>
          <w:color w:val="auto"/>
          <w:kern w:val="2"/>
          <w:sz w:val="32"/>
          <w:szCs w:val="32"/>
          <w:highlight w:val="none"/>
          <w:lang w:val="en-US" w:eastAsia="zh-CN" w:bidi="ar-SA"/>
        </w:rPr>
        <w:t>三、支出决算表</w:t>
      </w:r>
      <w:bookmarkEnd w:id="82"/>
    </w:p>
    <w:p w14:paraId="20EEA49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Times New Roman"/>
          <w:color w:val="auto"/>
          <w:kern w:val="2"/>
          <w:sz w:val="32"/>
          <w:szCs w:val="32"/>
          <w:highlight w:val="none"/>
          <w:lang w:val="en-US" w:eastAsia="zh-CN" w:bidi="ar-SA"/>
        </w:rPr>
      </w:pPr>
      <w:bookmarkStart w:id="83" w:name="_Toc15396622"/>
      <w:r>
        <w:rPr>
          <w:rFonts w:hint="eastAsia" w:ascii="黑体" w:hAnsi="黑体" w:eastAsia="黑体" w:cs="Times New Roman"/>
          <w:color w:val="auto"/>
          <w:kern w:val="2"/>
          <w:sz w:val="32"/>
          <w:szCs w:val="32"/>
          <w:highlight w:val="none"/>
          <w:lang w:val="en-US" w:eastAsia="zh-CN" w:bidi="ar-SA"/>
        </w:rPr>
        <w:t>四、财政拨款收入支出决算总表</w:t>
      </w:r>
      <w:bookmarkEnd w:id="83"/>
    </w:p>
    <w:p w14:paraId="63B93A6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Times New Roman"/>
          <w:color w:val="auto"/>
          <w:kern w:val="2"/>
          <w:sz w:val="32"/>
          <w:szCs w:val="32"/>
          <w:highlight w:val="none"/>
          <w:lang w:val="en-US" w:eastAsia="zh-CN" w:bidi="ar-SA"/>
        </w:rPr>
      </w:pPr>
      <w:bookmarkStart w:id="84" w:name="_Toc15396623"/>
      <w:r>
        <w:rPr>
          <w:rFonts w:hint="eastAsia" w:ascii="黑体" w:hAnsi="黑体" w:eastAsia="黑体" w:cs="Times New Roman"/>
          <w:color w:val="auto"/>
          <w:kern w:val="2"/>
          <w:sz w:val="32"/>
          <w:szCs w:val="32"/>
          <w:highlight w:val="none"/>
          <w:lang w:val="en-US" w:eastAsia="zh-CN" w:bidi="ar-SA"/>
        </w:rPr>
        <w:t>五、财政拨款支出决算明细表</w:t>
      </w:r>
      <w:bookmarkEnd w:id="84"/>
      <w:bookmarkStart w:id="85" w:name="_Toc15396624"/>
    </w:p>
    <w:p w14:paraId="3B9787A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六、一般公共预算财政拨款支出决算表</w:t>
      </w:r>
      <w:bookmarkEnd w:id="85"/>
    </w:p>
    <w:p w14:paraId="17F3BC3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Times New Roman"/>
          <w:color w:val="auto"/>
          <w:kern w:val="2"/>
          <w:sz w:val="32"/>
          <w:szCs w:val="32"/>
          <w:highlight w:val="none"/>
          <w:lang w:val="en-US" w:eastAsia="zh-CN" w:bidi="ar-SA"/>
        </w:rPr>
      </w:pPr>
      <w:bookmarkStart w:id="86" w:name="_Toc15396625"/>
      <w:r>
        <w:rPr>
          <w:rFonts w:hint="eastAsia" w:ascii="黑体" w:hAnsi="黑体" w:eastAsia="黑体" w:cs="Times New Roman"/>
          <w:color w:val="auto"/>
          <w:kern w:val="2"/>
          <w:sz w:val="32"/>
          <w:szCs w:val="32"/>
          <w:highlight w:val="none"/>
          <w:lang w:val="en-US" w:eastAsia="zh-CN" w:bidi="ar-SA"/>
        </w:rPr>
        <w:t>七、一般公共预算财政拨款支出决算明细表</w:t>
      </w:r>
      <w:bookmarkEnd w:id="86"/>
    </w:p>
    <w:p w14:paraId="45E54E9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Times New Roman"/>
          <w:color w:val="auto"/>
          <w:kern w:val="2"/>
          <w:sz w:val="32"/>
          <w:szCs w:val="32"/>
          <w:highlight w:val="none"/>
          <w:lang w:val="en-US" w:eastAsia="zh-CN" w:bidi="ar-SA"/>
        </w:rPr>
      </w:pPr>
      <w:bookmarkStart w:id="87" w:name="_Toc15396626"/>
      <w:r>
        <w:rPr>
          <w:rFonts w:hint="eastAsia" w:ascii="黑体" w:hAnsi="黑体" w:eastAsia="黑体" w:cs="Times New Roman"/>
          <w:color w:val="auto"/>
          <w:kern w:val="2"/>
          <w:sz w:val="32"/>
          <w:szCs w:val="32"/>
          <w:highlight w:val="none"/>
          <w:lang w:val="en-US" w:eastAsia="zh-CN" w:bidi="ar-SA"/>
        </w:rPr>
        <w:t>八、一般公共预算财政拨款基本支出决算表</w:t>
      </w:r>
      <w:bookmarkEnd w:id="87"/>
    </w:p>
    <w:p w14:paraId="150AEB9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Times New Roman"/>
          <w:color w:val="auto"/>
          <w:kern w:val="2"/>
          <w:sz w:val="32"/>
          <w:szCs w:val="32"/>
          <w:highlight w:val="none"/>
          <w:lang w:val="en-US" w:eastAsia="zh-CN" w:bidi="ar-SA"/>
        </w:rPr>
      </w:pPr>
      <w:bookmarkStart w:id="88" w:name="_Toc15396627"/>
      <w:r>
        <w:rPr>
          <w:rFonts w:hint="eastAsia" w:ascii="黑体" w:hAnsi="黑体" w:eastAsia="黑体" w:cs="Times New Roman"/>
          <w:color w:val="auto"/>
          <w:kern w:val="2"/>
          <w:sz w:val="32"/>
          <w:szCs w:val="32"/>
          <w:highlight w:val="none"/>
          <w:lang w:val="en-US" w:eastAsia="zh-CN" w:bidi="ar-SA"/>
        </w:rPr>
        <w:t>九、一般公共预算财政拨款项目支出决算表</w:t>
      </w:r>
      <w:bookmarkEnd w:id="88"/>
    </w:p>
    <w:p w14:paraId="5EE77B3C">
      <w:pPr>
        <w:pStyle w:val="14"/>
        <w:keepNext w:val="0"/>
        <w:keepLines w:val="0"/>
        <w:pageBreakBefore w:val="0"/>
        <w:kinsoku/>
        <w:wordWrap/>
        <w:overflowPunct/>
        <w:topLinePunct w:val="0"/>
        <w:autoSpaceDE/>
        <w:autoSpaceDN/>
        <w:bidi w:val="0"/>
        <w:adjustRightInd w:val="0"/>
        <w:snapToGrid w:val="0"/>
        <w:spacing w:line="560" w:lineRule="exact"/>
        <w:ind w:left="1060" w:hanging="640" w:hangingChars="200"/>
        <w:jc w:val="left"/>
        <w:textAlignment w:val="auto"/>
        <w:rPr>
          <w:rFonts w:hint="default" w:ascii="黑体" w:hAnsi="黑体" w:eastAsia="黑体" w:cs="Times New Roman"/>
          <w:color w:val="auto"/>
          <w:kern w:val="2"/>
          <w:sz w:val="32"/>
          <w:szCs w:val="32"/>
          <w:highlight w:val="none"/>
          <w:lang w:val="en-US" w:eastAsia="zh-CN" w:bidi="ar-SA"/>
        </w:rPr>
      </w:pPr>
      <w:bookmarkStart w:id="89" w:name="_Toc15396628"/>
      <w:r>
        <w:rPr>
          <w:rFonts w:hint="eastAsia" w:ascii="黑体" w:hAnsi="黑体" w:eastAsia="黑体" w:cs="Times New Roman"/>
          <w:color w:val="auto"/>
          <w:kern w:val="2"/>
          <w:sz w:val="32"/>
          <w:szCs w:val="32"/>
          <w:highlight w:val="none"/>
          <w:lang w:val="en-US" w:eastAsia="zh-CN" w:bidi="ar-SA"/>
        </w:rPr>
        <w:t>十、</w:t>
      </w:r>
      <w:bookmarkEnd w:id="89"/>
      <w:r>
        <w:rPr>
          <w:rFonts w:hint="eastAsia" w:ascii="黑体" w:hAnsi="黑体" w:eastAsia="黑体" w:cs="Times New Roman"/>
          <w:color w:val="auto"/>
          <w:kern w:val="2"/>
          <w:sz w:val="32"/>
          <w:szCs w:val="32"/>
          <w:highlight w:val="none"/>
          <w:lang w:val="en-US" w:eastAsia="zh-CN" w:bidi="ar-SA"/>
        </w:rPr>
        <w:t>政府性基金预算财政拨款收入支出决算表（本表无数据）</w:t>
      </w:r>
    </w:p>
    <w:p w14:paraId="05E31A25">
      <w:pPr>
        <w:pStyle w:val="14"/>
        <w:keepNext w:val="0"/>
        <w:keepLines w:val="0"/>
        <w:pageBreakBefore w:val="0"/>
        <w:kinsoku/>
        <w:wordWrap/>
        <w:overflowPunct/>
        <w:topLinePunct w:val="0"/>
        <w:autoSpaceDE/>
        <w:autoSpaceDN/>
        <w:bidi w:val="0"/>
        <w:adjustRightInd w:val="0"/>
        <w:snapToGrid w:val="0"/>
        <w:spacing w:line="560" w:lineRule="exact"/>
        <w:ind w:left="1380" w:hanging="960" w:hangingChars="300"/>
        <w:jc w:val="left"/>
        <w:textAlignment w:val="auto"/>
        <w:rPr>
          <w:rFonts w:hint="default" w:ascii="黑体" w:hAnsi="黑体" w:eastAsia="黑体" w:cs="Times New Roman"/>
          <w:color w:val="auto"/>
          <w:kern w:val="2"/>
          <w:sz w:val="32"/>
          <w:szCs w:val="32"/>
          <w:highlight w:val="none"/>
          <w:lang w:val="en-US" w:eastAsia="zh-CN" w:bidi="ar-SA"/>
        </w:rPr>
      </w:pPr>
      <w:bookmarkStart w:id="90" w:name="_Toc15396629"/>
      <w:r>
        <w:rPr>
          <w:rFonts w:hint="eastAsia" w:ascii="黑体" w:hAnsi="黑体" w:eastAsia="黑体" w:cs="Times New Roman"/>
          <w:color w:val="auto"/>
          <w:kern w:val="2"/>
          <w:sz w:val="32"/>
          <w:szCs w:val="32"/>
          <w:highlight w:val="none"/>
          <w:lang w:val="en-US" w:eastAsia="zh-CN" w:bidi="ar-SA"/>
        </w:rPr>
        <w:t>十一、</w:t>
      </w:r>
      <w:bookmarkEnd w:id="90"/>
      <w:r>
        <w:rPr>
          <w:rFonts w:hint="eastAsia" w:ascii="黑体" w:hAnsi="黑体" w:eastAsia="黑体" w:cs="Times New Roman"/>
          <w:color w:val="auto"/>
          <w:kern w:val="2"/>
          <w:sz w:val="32"/>
          <w:szCs w:val="32"/>
          <w:highlight w:val="none"/>
          <w:lang w:val="en-US" w:eastAsia="zh-CN" w:bidi="ar-SA"/>
        </w:rPr>
        <w:t>国有资本经营预算财政拨款收入支出决算表（本表无数据）</w:t>
      </w:r>
    </w:p>
    <w:p w14:paraId="7E2359D1">
      <w:pPr>
        <w:pStyle w:val="14"/>
        <w:keepNext w:val="0"/>
        <w:keepLines w:val="0"/>
        <w:pageBreakBefore w:val="0"/>
        <w:kinsoku/>
        <w:wordWrap/>
        <w:overflowPunct/>
        <w:topLinePunct w:val="0"/>
        <w:autoSpaceDE/>
        <w:autoSpaceDN/>
        <w:bidi w:val="0"/>
        <w:adjustRightInd w:val="0"/>
        <w:snapToGrid w:val="0"/>
        <w:spacing w:line="560" w:lineRule="exact"/>
        <w:ind w:left="1380" w:hanging="960" w:hangingChars="300"/>
        <w:jc w:val="left"/>
        <w:textAlignment w:val="auto"/>
        <w:rPr>
          <w:rFonts w:hint="default" w:ascii="黑体" w:hAnsi="黑体" w:eastAsia="黑体" w:cs="Times New Roman"/>
          <w:color w:val="auto"/>
          <w:kern w:val="2"/>
          <w:sz w:val="32"/>
          <w:szCs w:val="32"/>
          <w:highlight w:val="none"/>
          <w:lang w:val="en-US" w:eastAsia="zh-CN" w:bidi="ar-SA"/>
        </w:rPr>
      </w:pPr>
      <w:bookmarkStart w:id="91" w:name="_Toc15396630"/>
      <w:r>
        <w:rPr>
          <w:rFonts w:hint="eastAsia" w:ascii="黑体" w:hAnsi="黑体" w:eastAsia="黑体" w:cs="Times New Roman"/>
          <w:color w:val="auto"/>
          <w:kern w:val="2"/>
          <w:sz w:val="32"/>
          <w:szCs w:val="32"/>
          <w:highlight w:val="none"/>
          <w:lang w:val="en-US" w:eastAsia="zh-CN" w:bidi="ar-SA"/>
        </w:rPr>
        <w:t>十二、</w:t>
      </w:r>
      <w:bookmarkEnd w:id="91"/>
      <w:r>
        <w:rPr>
          <w:rFonts w:hint="eastAsia" w:ascii="黑体" w:hAnsi="黑体" w:eastAsia="黑体" w:cs="Times New Roman"/>
          <w:color w:val="auto"/>
          <w:kern w:val="2"/>
          <w:sz w:val="32"/>
          <w:szCs w:val="32"/>
          <w:highlight w:val="none"/>
          <w:lang w:val="en-US" w:eastAsia="zh-CN" w:bidi="ar-SA"/>
        </w:rPr>
        <w:t>国有资本经营预算财政拨款支出决算表（本表无数据）</w:t>
      </w:r>
    </w:p>
    <w:p w14:paraId="1A048DA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Times New Roman"/>
          <w:color w:val="auto"/>
          <w:kern w:val="2"/>
          <w:sz w:val="32"/>
          <w:szCs w:val="32"/>
          <w:highlight w:val="none"/>
          <w:lang w:val="en-US" w:eastAsia="zh-CN" w:bidi="ar-SA"/>
        </w:rPr>
      </w:pPr>
      <w:bookmarkStart w:id="92" w:name="_Toc15396631"/>
      <w:r>
        <w:rPr>
          <w:rFonts w:hint="eastAsia" w:ascii="黑体" w:hAnsi="黑体" w:eastAsia="黑体" w:cs="Times New Roman"/>
          <w:color w:val="auto"/>
          <w:kern w:val="2"/>
          <w:sz w:val="32"/>
          <w:szCs w:val="32"/>
          <w:highlight w:val="none"/>
          <w:lang w:val="en-US" w:eastAsia="zh-CN" w:bidi="ar-SA"/>
        </w:rPr>
        <w:t>十三、</w:t>
      </w:r>
      <w:bookmarkEnd w:id="92"/>
      <w:r>
        <w:rPr>
          <w:rFonts w:hint="eastAsia" w:ascii="黑体" w:hAnsi="黑体" w:eastAsia="黑体" w:cs="Times New Roman"/>
          <w:color w:val="auto"/>
          <w:kern w:val="2"/>
          <w:sz w:val="32"/>
          <w:szCs w:val="32"/>
          <w:highlight w:val="none"/>
          <w:lang w:val="en-US" w:eastAsia="zh-CN" w:bidi="ar-SA"/>
        </w:rPr>
        <w:t>财政拨款“三公”经费支出决算表（本表无数据）</w:t>
      </w:r>
    </w:p>
    <w:p w14:paraId="66186ED9">
      <w:pPr>
        <w:rPr>
          <w:rFonts w:hint="eastAsia" w:ascii="黑体" w:hAnsi="黑体" w:eastAsia="黑体" w:cs="Times New Roman"/>
          <w:color w:val="auto"/>
          <w:kern w:val="2"/>
          <w:sz w:val="44"/>
          <w:szCs w:val="44"/>
          <w:highlight w:val="none"/>
          <w:lang w:val="en-US" w:eastAsia="zh-CN" w:bidi="ar-SA"/>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微软雅黑"/>
    <w:panose1 w:val="02010609030101010101"/>
    <w:charset w:val="86"/>
    <w:family w:val="auto"/>
    <w:pitch w:val="default"/>
    <w:sig w:usb0="00000000" w:usb1="00000000" w:usb2="00000000" w:usb3="00000000" w:csb0="00040000" w:csb1="00000000"/>
  </w:font>
  <w:font w:name="楷体">
    <w:altName w:val="宋体"/>
    <w:panose1 w:val="02010609060101010101"/>
    <w:charset w:val="86"/>
    <w:family w:val="auto"/>
    <w:pitch w:val="default"/>
    <w:sig w:usb0="00000000" w:usb1="00000000"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A761">
    <w:pPr>
      <w:pStyle w:val="11"/>
      <w:jc w:val="center"/>
    </w:pPr>
  </w:p>
  <w:p w14:paraId="5938202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B07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3A9C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364DD"/>
    <w:multiLevelType w:val="singleLevel"/>
    <w:tmpl w:val="951364DD"/>
    <w:lvl w:ilvl="0" w:tentative="0">
      <w:start w:val="1"/>
      <w:numFmt w:val="chineseCounting"/>
      <w:suff w:val="nothing"/>
      <w:lvlText w:val="%1、"/>
      <w:lvlJc w:val="left"/>
      <w:rPr>
        <w:rFonts w:hint="eastAsia"/>
      </w:rPr>
    </w:lvl>
  </w:abstractNum>
  <w:abstractNum w:abstractNumId="1">
    <w:nsid w:val="181175CF"/>
    <w:multiLevelType w:val="singleLevel"/>
    <w:tmpl w:val="181175CF"/>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YzkwOWExOTM4MWY1OGQ4NzBmNTljZjNiNWUzZG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3EA5"/>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645F8"/>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3510"/>
    <w:rsid w:val="00F754A1"/>
    <w:rsid w:val="00F81FD9"/>
    <w:rsid w:val="00F841AA"/>
    <w:rsid w:val="00F84A94"/>
    <w:rsid w:val="00F87E96"/>
    <w:rsid w:val="00FA23E8"/>
    <w:rsid w:val="00FD3CC1"/>
    <w:rsid w:val="00FF1E02"/>
    <w:rsid w:val="00FF30B4"/>
    <w:rsid w:val="01011CF7"/>
    <w:rsid w:val="01193185"/>
    <w:rsid w:val="012A5EC2"/>
    <w:rsid w:val="015975B8"/>
    <w:rsid w:val="015F054F"/>
    <w:rsid w:val="02793A4F"/>
    <w:rsid w:val="02E01C47"/>
    <w:rsid w:val="02FEBE30"/>
    <w:rsid w:val="04151ED5"/>
    <w:rsid w:val="047D6F45"/>
    <w:rsid w:val="04916F1E"/>
    <w:rsid w:val="061E35DE"/>
    <w:rsid w:val="066E0107"/>
    <w:rsid w:val="06BF7033"/>
    <w:rsid w:val="070665F3"/>
    <w:rsid w:val="07996F6E"/>
    <w:rsid w:val="07DFD8BA"/>
    <w:rsid w:val="08094A76"/>
    <w:rsid w:val="08240AFC"/>
    <w:rsid w:val="083A7FBE"/>
    <w:rsid w:val="087526E4"/>
    <w:rsid w:val="09867E8F"/>
    <w:rsid w:val="0A2032A3"/>
    <w:rsid w:val="0AA25A34"/>
    <w:rsid w:val="0AA34D2A"/>
    <w:rsid w:val="0CA8290A"/>
    <w:rsid w:val="0D35B1ED"/>
    <w:rsid w:val="0E254B6B"/>
    <w:rsid w:val="0F98263C"/>
    <w:rsid w:val="101860EC"/>
    <w:rsid w:val="101F47CC"/>
    <w:rsid w:val="104B63DE"/>
    <w:rsid w:val="107E1395"/>
    <w:rsid w:val="10C055FF"/>
    <w:rsid w:val="10CF6E57"/>
    <w:rsid w:val="11126856"/>
    <w:rsid w:val="11694EBD"/>
    <w:rsid w:val="11772AA4"/>
    <w:rsid w:val="118107EC"/>
    <w:rsid w:val="12E24EE2"/>
    <w:rsid w:val="13AC7809"/>
    <w:rsid w:val="13D50BC4"/>
    <w:rsid w:val="14036267"/>
    <w:rsid w:val="14B17F78"/>
    <w:rsid w:val="1613234C"/>
    <w:rsid w:val="165E0673"/>
    <w:rsid w:val="16AA2B94"/>
    <w:rsid w:val="16B831D5"/>
    <w:rsid w:val="16BB723D"/>
    <w:rsid w:val="17E50567"/>
    <w:rsid w:val="186504BB"/>
    <w:rsid w:val="187C3D68"/>
    <w:rsid w:val="190C4A87"/>
    <w:rsid w:val="19A445FC"/>
    <w:rsid w:val="1BE8440E"/>
    <w:rsid w:val="1C996BA9"/>
    <w:rsid w:val="1D155CEE"/>
    <w:rsid w:val="1D1638FE"/>
    <w:rsid w:val="1E312DEB"/>
    <w:rsid w:val="1E4C1AE7"/>
    <w:rsid w:val="1E740ACF"/>
    <w:rsid w:val="1FF35744"/>
    <w:rsid w:val="1FF6BC77"/>
    <w:rsid w:val="20E42BAA"/>
    <w:rsid w:val="2186353C"/>
    <w:rsid w:val="21CD73E2"/>
    <w:rsid w:val="22C00630"/>
    <w:rsid w:val="22FB1D2D"/>
    <w:rsid w:val="231F2F79"/>
    <w:rsid w:val="23860B96"/>
    <w:rsid w:val="240371BF"/>
    <w:rsid w:val="244F3473"/>
    <w:rsid w:val="24C97D99"/>
    <w:rsid w:val="258C2939"/>
    <w:rsid w:val="2591653C"/>
    <w:rsid w:val="25A718F0"/>
    <w:rsid w:val="25BB59F6"/>
    <w:rsid w:val="260F557C"/>
    <w:rsid w:val="26970054"/>
    <w:rsid w:val="273A48D6"/>
    <w:rsid w:val="281408E2"/>
    <w:rsid w:val="291C7A80"/>
    <w:rsid w:val="297A6289"/>
    <w:rsid w:val="29C71CC2"/>
    <w:rsid w:val="29FD04D3"/>
    <w:rsid w:val="2A4B02FA"/>
    <w:rsid w:val="2BFF7BC6"/>
    <w:rsid w:val="2C8A61B5"/>
    <w:rsid w:val="2DF04E50"/>
    <w:rsid w:val="2DF126AA"/>
    <w:rsid w:val="2E473D47"/>
    <w:rsid w:val="2E586DFA"/>
    <w:rsid w:val="2F040D46"/>
    <w:rsid w:val="2F6B035B"/>
    <w:rsid w:val="2FA107AB"/>
    <w:rsid w:val="2FAE5751"/>
    <w:rsid w:val="2FB1A395"/>
    <w:rsid w:val="2FD9A7D8"/>
    <w:rsid w:val="2FDBF714"/>
    <w:rsid w:val="304A3AB2"/>
    <w:rsid w:val="30AB6865"/>
    <w:rsid w:val="31123A9C"/>
    <w:rsid w:val="3163674A"/>
    <w:rsid w:val="316801F3"/>
    <w:rsid w:val="319F7F4E"/>
    <w:rsid w:val="32853C02"/>
    <w:rsid w:val="32BD1EF1"/>
    <w:rsid w:val="3304709D"/>
    <w:rsid w:val="332733AB"/>
    <w:rsid w:val="334F6734"/>
    <w:rsid w:val="33687500"/>
    <w:rsid w:val="33A773CB"/>
    <w:rsid w:val="33B70E94"/>
    <w:rsid w:val="349D6851"/>
    <w:rsid w:val="353A1578"/>
    <w:rsid w:val="35AD5AF3"/>
    <w:rsid w:val="36AA5135"/>
    <w:rsid w:val="36BE0DA7"/>
    <w:rsid w:val="37135440"/>
    <w:rsid w:val="376B6AA6"/>
    <w:rsid w:val="376D39B2"/>
    <w:rsid w:val="379504F3"/>
    <w:rsid w:val="37E16F03"/>
    <w:rsid w:val="37F53A3B"/>
    <w:rsid w:val="3828316D"/>
    <w:rsid w:val="38981421"/>
    <w:rsid w:val="389B6C89"/>
    <w:rsid w:val="38D469F0"/>
    <w:rsid w:val="395E1EC2"/>
    <w:rsid w:val="39627CCD"/>
    <w:rsid w:val="397BAF1F"/>
    <w:rsid w:val="3A565A92"/>
    <w:rsid w:val="3AB79AF3"/>
    <w:rsid w:val="3AE834C0"/>
    <w:rsid w:val="3B093F20"/>
    <w:rsid w:val="3B135A82"/>
    <w:rsid w:val="3B7EF35A"/>
    <w:rsid w:val="3B9FDB6C"/>
    <w:rsid w:val="3BEE6060"/>
    <w:rsid w:val="3BF5BC2F"/>
    <w:rsid w:val="3C4C4616"/>
    <w:rsid w:val="3CEBA265"/>
    <w:rsid w:val="3D98207C"/>
    <w:rsid w:val="3DDB62D4"/>
    <w:rsid w:val="3DEE7CF3"/>
    <w:rsid w:val="3E740A63"/>
    <w:rsid w:val="3E78745D"/>
    <w:rsid w:val="3EE17838"/>
    <w:rsid w:val="3F1D036C"/>
    <w:rsid w:val="3F55381A"/>
    <w:rsid w:val="3F7F7599"/>
    <w:rsid w:val="3FF4CAE0"/>
    <w:rsid w:val="3FF7B227"/>
    <w:rsid w:val="42135EC8"/>
    <w:rsid w:val="42452E8B"/>
    <w:rsid w:val="425F073A"/>
    <w:rsid w:val="44E268DA"/>
    <w:rsid w:val="450D13D7"/>
    <w:rsid w:val="452F200B"/>
    <w:rsid w:val="45506656"/>
    <w:rsid w:val="45B354AB"/>
    <w:rsid w:val="45C864B7"/>
    <w:rsid w:val="469A7219"/>
    <w:rsid w:val="46AA5D18"/>
    <w:rsid w:val="475F7374"/>
    <w:rsid w:val="482D7856"/>
    <w:rsid w:val="486A6C7A"/>
    <w:rsid w:val="4A1E24DE"/>
    <w:rsid w:val="4A20156E"/>
    <w:rsid w:val="4A627F82"/>
    <w:rsid w:val="4AF8657F"/>
    <w:rsid w:val="4B0B5621"/>
    <w:rsid w:val="4B0E749A"/>
    <w:rsid w:val="4B2477C4"/>
    <w:rsid w:val="4B272E10"/>
    <w:rsid w:val="4B4F25DA"/>
    <w:rsid w:val="4BE068DB"/>
    <w:rsid w:val="4D577224"/>
    <w:rsid w:val="4DBF1CEB"/>
    <w:rsid w:val="4DF0007C"/>
    <w:rsid w:val="4EAB630A"/>
    <w:rsid w:val="4ECE2238"/>
    <w:rsid w:val="4F0D27A7"/>
    <w:rsid w:val="4F833267"/>
    <w:rsid w:val="4FD81654"/>
    <w:rsid w:val="4FE9BD67"/>
    <w:rsid w:val="4FFB052F"/>
    <w:rsid w:val="50C64E79"/>
    <w:rsid w:val="510B2A8A"/>
    <w:rsid w:val="52DD6F98"/>
    <w:rsid w:val="537E6D0A"/>
    <w:rsid w:val="53F74C96"/>
    <w:rsid w:val="55085AF2"/>
    <w:rsid w:val="55170BA8"/>
    <w:rsid w:val="553218C9"/>
    <w:rsid w:val="567E1AA5"/>
    <w:rsid w:val="56E47B74"/>
    <w:rsid w:val="57175D52"/>
    <w:rsid w:val="575B1B9D"/>
    <w:rsid w:val="579E63A3"/>
    <w:rsid w:val="57BD3DD4"/>
    <w:rsid w:val="57DE5C36"/>
    <w:rsid w:val="59217096"/>
    <w:rsid w:val="595B331F"/>
    <w:rsid w:val="5AF92295"/>
    <w:rsid w:val="5B250254"/>
    <w:rsid w:val="5BDC7C1A"/>
    <w:rsid w:val="5BDD79E6"/>
    <w:rsid w:val="5BF561CA"/>
    <w:rsid w:val="5BFF5DFC"/>
    <w:rsid w:val="5C4A2E02"/>
    <w:rsid w:val="5CD71FC4"/>
    <w:rsid w:val="5D1F11B5"/>
    <w:rsid w:val="5D695134"/>
    <w:rsid w:val="5DAE1B18"/>
    <w:rsid w:val="5DE7D9E5"/>
    <w:rsid w:val="5E3653EC"/>
    <w:rsid w:val="5E47584B"/>
    <w:rsid w:val="5ECEC941"/>
    <w:rsid w:val="5F9526A1"/>
    <w:rsid w:val="5FBF9FF3"/>
    <w:rsid w:val="5FCD4E2C"/>
    <w:rsid w:val="5FEF394A"/>
    <w:rsid w:val="5FF67715"/>
    <w:rsid w:val="60F10C31"/>
    <w:rsid w:val="60FF41BB"/>
    <w:rsid w:val="61032B93"/>
    <w:rsid w:val="61862EAC"/>
    <w:rsid w:val="61D90EB0"/>
    <w:rsid w:val="62BF3928"/>
    <w:rsid w:val="633D7B1C"/>
    <w:rsid w:val="63B3701E"/>
    <w:rsid w:val="640D4E41"/>
    <w:rsid w:val="647F5392"/>
    <w:rsid w:val="65891892"/>
    <w:rsid w:val="65E66580"/>
    <w:rsid w:val="65EA7C3D"/>
    <w:rsid w:val="664B1D71"/>
    <w:rsid w:val="664B4E8E"/>
    <w:rsid w:val="67277B67"/>
    <w:rsid w:val="67370D26"/>
    <w:rsid w:val="67AA3209"/>
    <w:rsid w:val="68A41EE3"/>
    <w:rsid w:val="698D0931"/>
    <w:rsid w:val="69CB0C71"/>
    <w:rsid w:val="6A694D9B"/>
    <w:rsid w:val="6A7FE5F3"/>
    <w:rsid w:val="6B053271"/>
    <w:rsid w:val="6BDD78B3"/>
    <w:rsid w:val="6C4A05C8"/>
    <w:rsid w:val="6C8742B8"/>
    <w:rsid w:val="6CB00545"/>
    <w:rsid w:val="6D9D3C67"/>
    <w:rsid w:val="6DBF5E93"/>
    <w:rsid w:val="6DFF077E"/>
    <w:rsid w:val="6E714EF0"/>
    <w:rsid w:val="6E7E3605"/>
    <w:rsid w:val="6E7FDCC7"/>
    <w:rsid w:val="6E8B3532"/>
    <w:rsid w:val="6EC34D2F"/>
    <w:rsid w:val="6ED6A62E"/>
    <w:rsid w:val="6EE00B15"/>
    <w:rsid w:val="6F6FB3EB"/>
    <w:rsid w:val="6F8731EA"/>
    <w:rsid w:val="6FCE6052"/>
    <w:rsid w:val="6FD5385D"/>
    <w:rsid w:val="6FD57C00"/>
    <w:rsid w:val="6FEFFFD8"/>
    <w:rsid w:val="6FF5CC65"/>
    <w:rsid w:val="6FFB47EC"/>
    <w:rsid w:val="6FFF034A"/>
    <w:rsid w:val="70484440"/>
    <w:rsid w:val="712A28F1"/>
    <w:rsid w:val="715C0E4B"/>
    <w:rsid w:val="71992E7C"/>
    <w:rsid w:val="71E125AB"/>
    <w:rsid w:val="72233669"/>
    <w:rsid w:val="72734D90"/>
    <w:rsid w:val="73160E6D"/>
    <w:rsid w:val="7332FE48"/>
    <w:rsid w:val="73AB61DA"/>
    <w:rsid w:val="73AD73D5"/>
    <w:rsid w:val="73B6EB34"/>
    <w:rsid w:val="73FA497D"/>
    <w:rsid w:val="74255625"/>
    <w:rsid w:val="744731E5"/>
    <w:rsid w:val="747D0D73"/>
    <w:rsid w:val="74BBD01D"/>
    <w:rsid w:val="74ED5379"/>
    <w:rsid w:val="75CB690A"/>
    <w:rsid w:val="75DEEEC2"/>
    <w:rsid w:val="75E32345"/>
    <w:rsid w:val="75F37CB7"/>
    <w:rsid w:val="76E3355F"/>
    <w:rsid w:val="76FF5125"/>
    <w:rsid w:val="77211A3F"/>
    <w:rsid w:val="776668EA"/>
    <w:rsid w:val="776F6FFA"/>
    <w:rsid w:val="778769C8"/>
    <w:rsid w:val="77A75DCA"/>
    <w:rsid w:val="77DC22F5"/>
    <w:rsid w:val="77E25752"/>
    <w:rsid w:val="783E271A"/>
    <w:rsid w:val="78616DE9"/>
    <w:rsid w:val="786C7041"/>
    <w:rsid w:val="78E33F6B"/>
    <w:rsid w:val="78E875D7"/>
    <w:rsid w:val="78FD28DC"/>
    <w:rsid w:val="79086DAD"/>
    <w:rsid w:val="790B77C1"/>
    <w:rsid w:val="796B468C"/>
    <w:rsid w:val="79D7FD79"/>
    <w:rsid w:val="79EE5BA4"/>
    <w:rsid w:val="79FA5A10"/>
    <w:rsid w:val="7A894339"/>
    <w:rsid w:val="7A9B2D4F"/>
    <w:rsid w:val="7AD284E8"/>
    <w:rsid w:val="7AFF7572"/>
    <w:rsid w:val="7B6C7DFB"/>
    <w:rsid w:val="7BBFBED0"/>
    <w:rsid w:val="7BC3E394"/>
    <w:rsid w:val="7C1F3737"/>
    <w:rsid w:val="7C9E08D4"/>
    <w:rsid w:val="7CBFC87B"/>
    <w:rsid w:val="7CFE0F48"/>
    <w:rsid w:val="7D272ABC"/>
    <w:rsid w:val="7D7EC23E"/>
    <w:rsid w:val="7E8ADEBF"/>
    <w:rsid w:val="7EBC2075"/>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pPr>
      <w:ind w:leftChars="0"/>
    </w:pPr>
    <w:rPr>
      <w:sz w:val="20"/>
      <w:szCs w:val="20"/>
    </w:rPr>
  </w:style>
  <w:style w:type="paragraph" w:customStyle="1" w:styleId="36">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1407;&#32852;&#24819;&#19978;&#30340;&#25968;&#25454;\&#24037;&#20316;\&#20915;&#31639;\&#20915;&#31639;&#20844;&#24320;\2023&#24180;&#24230;&#22235;&#24029;&#30465;&#25856;&#26525;&#33457;&#24066;&#32463;&#36152;&#26053;&#28216;&#23398;&#26657;&#20915;&#31639;&#20844;&#24320;\&#26609;&#29366;&#2227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1407;&#32852;&#24819;&#19978;&#30340;&#25968;&#25454;\&#24037;&#20316;\&#20915;&#31639;\&#20915;&#31639;&#20844;&#24320;\2024\&#33609;&#31295;.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1407;&#32852;&#24819;&#19978;&#30340;&#25968;&#25454;\&#24037;&#20316;\&#20915;&#31639;\&#20915;&#31639;&#20844;&#24320;\2024\&#33609;&#31295;.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1407;&#32852;&#24819;&#19978;&#30340;&#25968;&#25454;\&#24037;&#20316;\&#20915;&#31639;\&#20915;&#31639;&#20844;&#24320;\2024\&#33609;&#31295;.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1407;&#32852;&#24819;&#19978;&#30340;&#25968;&#25454;\&#24037;&#20316;\&#20915;&#31639;\&#20915;&#31639;&#20844;&#24320;\2024\&#33609;&#31295;.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1407;&#32852;&#24819;&#19978;&#30340;&#25968;&#25454;\&#24037;&#20316;\&#20915;&#31639;\&#20915;&#31639;&#20844;&#24320;\2024\&#33609;&#31295;.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（图1：收入、支出决算总计变动情况图）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[柱状图.xls]Sheet1!$A$19</c:f>
              <c:strCache>
                <c:ptCount val="1"/>
                <c:pt idx="0">
                  <c:v>2023年</c:v>
                </c:pt>
              </c:strCache>
            </c:strRef>
          </c:tx>
          <c:spPr>
            <a:solidFill>
              <a:schemeClr val="accent1"/>
            </a:solidFill>
            <a:ln>
              <a:noFill/>
            </a:ln>
            <a:effectLst/>
          </c:spPr>
          <c:invertIfNegative val="0"/>
          <c:dLbls>
            <c:delete val="1"/>
          </c:dLbls>
          <c:cat>
            <c:strRef>
              <c:f>[柱状图.xls]Sheet1!$B$18:$C$18</c:f>
              <c:strCache>
                <c:ptCount val="2"/>
                <c:pt idx="0">
                  <c:v>收入决算</c:v>
                </c:pt>
                <c:pt idx="1">
                  <c:v>支出决算</c:v>
                </c:pt>
              </c:strCache>
            </c:strRef>
          </c:cat>
          <c:val>
            <c:numRef>
              <c:f>[柱状图.xls]Sheet1!$B$19:$C$19</c:f>
              <c:numCache>
                <c:formatCode>General</c:formatCode>
                <c:ptCount val="2"/>
                <c:pt idx="0">
                  <c:v>9598.44</c:v>
                </c:pt>
                <c:pt idx="1">
                  <c:v>9598.44</c:v>
                </c:pt>
              </c:numCache>
            </c:numRef>
          </c:val>
        </c:ser>
        <c:ser>
          <c:idx val="1"/>
          <c:order val="1"/>
          <c:tx>
            <c:strRef>
              <c:f>[柱状图.xls]Sheet1!$A$20</c:f>
              <c:strCache>
                <c:ptCount val="1"/>
                <c:pt idx="0">
                  <c:v>2024年</c:v>
                </c:pt>
              </c:strCache>
            </c:strRef>
          </c:tx>
          <c:spPr>
            <a:solidFill>
              <a:schemeClr val="accent2"/>
            </a:solidFill>
            <a:ln>
              <a:noFill/>
            </a:ln>
            <a:effectLst/>
          </c:spPr>
          <c:invertIfNegative val="0"/>
          <c:dLbls>
            <c:delete val="1"/>
          </c:dLbls>
          <c:cat>
            <c:strRef>
              <c:f>[柱状图.xls]Sheet1!$B$18:$C$18</c:f>
              <c:strCache>
                <c:ptCount val="2"/>
                <c:pt idx="0">
                  <c:v>收入决算</c:v>
                </c:pt>
                <c:pt idx="1">
                  <c:v>支出决算</c:v>
                </c:pt>
              </c:strCache>
            </c:strRef>
          </c:cat>
          <c:val>
            <c:numRef>
              <c:f>[柱状图.xls]Sheet1!$B$20:$C$20</c:f>
              <c:numCache>
                <c:formatCode>General</c:formatCode>
                <c:ptCount val="2"/>
                <c:pt idx="0">
                  <c:v>9140.46</c:v>
                </c:pt>
                <c:pt idx="1">
                  <c:v>9140.46</c:v>
                </c:pt>
              </c:numCache>
            </c:numRef>
          </c:val>
        </c:ser>
        <c:dLbls>
          <c:showLegendKey val="0"/>
          <c:showVal val="0"/>
          <c:showCatName val="0"/>
          <c:showSerName val="0"/>
          <c:showPercent val="0"/>
          <c:showBubbleSize val="0"/>
        </c:dLbls>
        <c:gapWidth val="219"/>
        <c:overlap val="-27"/>
        <c:axId val="746610881"/>
        <c:axId val="426539366"/>
      </c:barChart>
      <c:catAx>
        <c:axId val="7466108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6539366"/>
        <c:crosses val="autoZero"/>
        <c:auto val="1"/>
        <c:lblAlgn val="ctr"/>
        <c:lblOffset val="100"/>
        <c:noMultiLvlLbl val="0"/>
      </c:catAx>
      <c:valAx>
        <c:axId val="4265393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66108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532e6fd-cdf8-4f40-b89f-46ae9692501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dk1"/>
                </a:solidFill>
                <a:latin typeface="+mn-lt"/>
                <a:ea typeface="+mn-ea"/>
                <a:cs typeface="+mn-cs"/>
              </a:defRPr>
            </a:pPr>
            <a:r>
              <a:rPr>
                <a:solidFill>
                  <a:schemeClr val="dk1"/>
                </a:solidFill>
                <a:latin typeface="+mn-lt"/>
                <a:ea typeface="+mn-ea"/>
                <a:cs typeface="+mn-cs"/>
              </a:rPr>
              <a:t>（图2：收入决算结构图）</a:t>
            </a:r>
            <a:endParaRPr>
              <a:solidFill>
                <a:schemeClr val="dk1"/>
              </a:solidFill>
              <a:latin typeface="+mn-lt"/>
              <a:ea typeface="+mn-ea"/>
              <a:cs typeface="+mn-cs"/>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[草稿.xls]Sheet1!$A$1:$A$3</c:f>
              <c:strCache>
                <c:ptCount val="3"/>
                <c:pt idx="0" c:formatCode="#,##0.000000">
                  <c:v>财政拨款收入</c:v>
                </c:pt>
                <c:pt idx="1" c:formatCode="#,##0.000000">
                  <c:v>事业收入</c:v>
                </c:pt>
                <c:pt idx="2" c:formatCode="#,##0.000000">
                  <c:v>其他收入</c:v>
                </c:pt>
              </c:strCache>
            </c:strRef>
          </c:cat>
          <c:val>
            <c:numRef>
              <c:f>[草稿.xls]Sheet1!$B$1:$B$3</c:f>
              <c:numCache>
                <c:formatCode>_ * #,##0.00_ ;_ * \-#,##0.00_ ;_ * "-"??_ ;_ @_ </c:formatCode>
                <c:ptCount val="3"/>
                <c:pt idx="0">
                  <c:v>8743.23</c:v>
                </c:pt>
                <c:pt idx="1">
                  <c:v>104.38</c:v>
                </c:pt>
                <c:pt idx="2">
                  <c:v>248.91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ac446667-833e-40d0-b49e-b4378eab54a7}"/>
      </c:ext>
    </c:extLst>
  </c:chart>
  <c:spPr>
    <a:solidFill>
      <a:schemeClr val="lt1"/>
    </a:solidFill>
    <a:ln w="12700" cap="flat" cmpd="sng" algn="ctr">
      <a:gradFill>
        <a:gsLst>
          <a:gs pos="0">
            <a:srgbClr val="7B32B2"/>
          </a:gs>
          <a:gs pos="100000">
            <a:srgbClr val="401A5D"/>
          </a:gs>
        </a:gsLst>
      </a:gradFill>
      <a:prstDash val="solid"/>
      <a:miter lim="800000"/>
    </a:ln>
    <a:effectLst/>
    <a:sp3d>
      <a:extrusionClr>
        <a:srgbClr val="FFFFFF"/>
      </a:extrusionClr>
      <a:contourClr>
        <a:srgbClr val="FFFFFF"/>
      </a:contourClr>
    </a:sp3d>
  </c:spPr>
  <c:txPr>
    <a:bodyPr/>
    <a:lstStyle/>
    <a:p>
      <a:pPr>
        <a:defRPr lang="zh-CN">
          <a:solidFill>
            <a:schemeClr val="dk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（图3：支出决算结构图）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[草稿.xls]Sheet1!$A$20:$A$21</c:f>
              <c:strCache>
                <c:ptCount val="2"/>
                <c:pt idx="0">
                  <c:v>基本支出</c:v>
                </c:pt>
                <c:pt idx="1">
                  <c:v>项目支出</c:v>
                </c:pt>
              </c:strCache>
            </c:strRef>
          </c:cat>
          <c:val>
            <c:numRef>
              <c:f>[草稿.xls]Sheet1!$B$20:$B$21</c:f>
              <c:numCache>
                <c:formatCode>_ * #,##0.00_ ;_ * \-#,##0.00_ ;_ * "-"??_ ;_ @_ </c:formatCode>
                <c:ptCount val="2"/>
                <c:pt idx="0">
                  <c:v>7802.55</c:v>
                </c:pt>
                <c:pt idx="1">
                  <c:v>1293.96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ea36bb3-5004-45f7-ae4f-8b8e5100ee5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（图4：财政拨款收、支决算总计变动情况）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[草稿.xls]Sheet1!$A$2</c:f>
              <c:strCache>
                <c:ptCount val="1"/>
                <c:pt idx="0">
                  <c:v>2023年</c:v>
                </c:pt>
              </c:strCache>
            </c:strRef>
          </c:tx>
          <c:spPr>
            <a:solidFill>
              <a:schemeClr val="accent1"/>
            </a:solidFill>
            <a:ln>
              <a:noFill/>
            </a:ln>
            <a:effectLst/>
          </c:spPr>
          <c:invertIfNegative val="0"/>
          <c:dLbls>
            <c:delete val="1"/>
          </c:dLbls>
          <c:cat>
            <c:strRef>
              <c:f>[草稿.xls]Sheet1!$B$1:$C$1</c:f>
              <c:strCache>
                <c:ptCount val="2"/>
                <c:pt idx="0">
                  <c:v>财政拨款收入</c:v>
                </c:pt>
                <c:pt idx="1">
                  <c:v>财政拨款支出</c:v>
                </c:pt>
              </c:strCache>
            </c:strRef>
          </c:cat>
          <c:val>
            <c:numRef>
              <c:f>[草稿.xls]Sheet1!$B$2:$C$2</c:f>
              <c:numCache>
                <c:formatCode>General</c:formatCode>
                <c:ptCount val="2"/>
                <c:pt idx="0">
                  <c:v>9218.08</c:v>
                </c:pt>
                <c:pt idx="1">
                  <c:v>9218.08</c:v>
                </c:pt>
              </c:numCache>
            </c:numRef>
          </c:val>
        </c:ser>
        <c:ser>
          <c:idx val="1"/>
          <c:order val="1"/>
          <c:tx>
            <c:strRef>
              <c:f>[草稿.xls]Sheet1!$A$3</c:f>
              <c:strCache>
                <c:ptCount val="1"/>
                <c:pt idx="0">
                  <c:v>2024年</c:v>
                </c:pt>
              </c:strCache>
            </c:strRef>
          </c:tx>
          <c:spPr>
            <a:solidFill>
              <a:schemeClr val="accent2"/>
            </a:solidFill>
            <a:ln>
              <a:noFill/>
            </a:ln>
            <a:effectLst/>
          </c:spPr>
          <c:invertIfNegative val="0"/>
          <c:dLbls>
            <c:delete val="1"/>
          </c:dLbls>
          <c:cat>
            <c:strRef>
              <c:f>[草稿.xls]Sheet1!$B$1:$C$1</c:f>
              <c:strCache>
                <c:ptCount val="2"/>
                <c:pt idx="0">
                  <c:v>财政拨款收入</c:v>
                </c:pt>
                <c:pt idx="1">
                  <c:v>财政拨款支出</c:v>
                </c:pt>
              </c:strCache>
            </c:strRef>
          </c:cat>
          <c:val>
            <c:numRef>
              <c:f>[草稿.xls]Sheet1!$B$3:$C$3</c:f>
              <c:numCache>
                <c:formatCode>General</c:formatCode>
                <c:ptCount val="2"/>
                <c:pt idx="0">
                  <c:v>8743.23</c:v>
                </c:pt>
                <c:pt idx="1">
                  <c:v>8743.23</c:v>
                </c:pt>
              </c:numCache>
            </c:numRef>
          </c:val>
        </c:ser>
        <c:dLbls>
          <c:showLegendKey val="0"/>
          <c:showVal val="0"/>
          <c:showCatName val="0"/>
          <c:showSerName val="0"/>
          <c:showPercent val="0"/>
          <c:showBubbleSize val="0"/>
        </c:dLbls>
        <c:gapWidth val="219"/>
        <c:overlap val="-27"/>
        <c:axId val="431769640"/>
        <c:axId val="361086708"/>
      </c:barChart>
      <c:catAx>
        <c:axId val="4317696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1086708"/>
        <c:crosses val="autoZero"/>
        <c:auto val="1"/>
        <c:lblAlgn val="ctr"/>
        <c:lblOffset val="100"/>
        <c:noMultiLvlLbl val="0"/>
      </c:catAx>
      <c:valAx>
        <c:axId val="3610867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17696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d41ca20-797d-4bcb-9e52-f9b7c6babbc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（图5：一般公共预算财政拨款支出决算变动情况）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[草稿.xls]Sheet1!$A$2</c:f>
              <c:strCache>
                <c:ptCount val="1"/>
                <c:pt idx="0">
                  <c:v>2023年</c:v>
                </c:pt>
              </c:strCache>
            </c:strRef>
          </c:tx>
          <c:spPr>
            <a:solidFill>
              <a:schemeClr val="accent1"/>
            </a:solidFill>
            <a:ln>
              <a:noFill/>
            </a:ln>
            <a:effectLst/>
          </c:spPr>
          <c:invertIfNegative val="0"/>
          <c:dLbls>
            <c:delete val="1"/>
          </c:dLbls>
          <c:cat>
            <c:strRef>
              <c:f>[草稿.xls]Sheet1!$B$1</c:f>
              <c:strCache>
                <c:ptCount val="1"/>
                <c:pt idx="0">
                  <c:v>一般公共预算财政拨款支出</c:v>
                </c:pt>
              </c:strCache>
            </c:strRef>
          </c:cat>
          <c:val>
            <c:numRef>
              <c:f>[草稿.xls]Sheet1!$B$2</c:f>
              <c:numCache>
                <c:formatCode>General</c:formatCode>
                <c:ptCount val="1"/>
                <c:pt idx="0">
                  <c:v>9218.08</c:v>
                </c:pt>
              </c:numCache>
            </c:numRef>
          </c:val>
        </c:ser>
        <c:ser>
          <c:idx val="1"/>
          <c:order val="1"/>
          <c:tx>
            <c:strRef>
              <c:f>[草稿.xls]Sheet1!$A$3</c:f>
              <c:strCache>
                <c:ptCount val="1"/>
                <c:pt idx="0">
                  <c:v>2024年</c:v>
                </c:pt>
              </c:strCache>
            </c:strRef>
          </c:tx>
          <c:spPr>
            <a:solidFill>
              <a:schemeClr val="accent2"/>
            </a:solidFill>
            <a:ln>
              <a:noFill/>
            </a:ln>
            <a:effectLst/>
          </c:spPr>
          <c:invertIfNegative val="0"/>
          <c:dLbls>
            <c:delete val="1"/>
          </c:dLbls>
          <c:cat>
            <c:strRef>
              <c:f>[草稿.xls]Sheet1!$B$1</c:f>
              <c:strCache>
                <c:ptCount val="1"/>
                <c:pt idx="0">
                  <c:v>一般公共预算财政拨款支出</c:v>
                </c:pt>
              </c:strCache>
            </c:strRef>
          </c:cat>
          <c:val>
            <c:numRef>
              <c:f>[草稿.xls]Sheet1!$B$3</c:f>
              <c:numCache>
                <c:formatCode>General</c:formatCode>
                <c:ptCount val="1"/>
                <c:pt idx="0">
                  <c:v>8743.23</c:v>
                </c:pt>
              </c:numCache>
            </c:numRef>
          </c:val>
        </c:ser>
        <c:dLbls>
          <c:showLegendKey val="0"/>
          <c:showVal val="0"/>
          <c:showCatName val="0"/>
          <c:showSerName val="0"/>
          <c:showPercent val="0"/>
          <c:showBubbleSize val="0"/>
        </c:dLbls>
        <c:gapWidth val="219"/>
        <c:overlap val="-27"/>
        <c:axId val="431769640"/>
        <c:axId val="361086708"/>
      </c:barChart>
      <c:catAx>
        <c:axId val="4317696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1086708"/>
        <c:crosses val="autoZero"/>
        <c:auto val="1"/>
        <c:lblAlgn val="ctr"/>
        <c:lblOffset val="100"/>
        <c:noMultiLvlLbl val="0"/>
      </c:catAx>
      <c:valAx>
        <c:axId val="3610867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17696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f58d4cf-3c29-4a61-95fa-cd0f785d7b3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[草稿.xls]Sheet1!$B$1:$B$5</c:f>
              <c:strCache>
                <c:ptCount val="5"/>
                <c:pt idx="0">
                  <c:v>一般公共服务支出</c:v>
                </c:pt>
                <c:pt idx="1">
                  <c:v>教育支出</c:v>
                </c:pt>
                <c:pt idx="2">
                  <c:v>社会保障和就业支出</c:v>
                </c:pt>
                <c:pt idx="3">
                  <c:v>卫生健康支出</c:v>
                </c:pt>
                <c:pt idx="4">
                  <c:v>住房保障支出</c:v>
                </c:pt>
              </c:strCache>
            </c:strRef>
          </c:cat>
          <c:val>
            <c:numRef>
              <c:f>[草稿.xls]Sheet1!$C$1:$C$5</c:f>
              <c:numCache>
                <c:formatCode>_ * #,##0.00_ ;_ * \-#,##0.00_ ;_ * "-"??_ ;_ @_ </c:formatCode>
                <c:ptCount val="5"/>
                <c:pt idx="0">
                  <c:v>1.5</c:v>
                </c:pt>
                <c:pt idx="1">
                  <c:v>6436.67</c:v>
                </c:pt>
                <c:pt idx="2">
                  <c:v>1411.96</c:v>
                </c:pt>
                <c:pt idx="3">
                  <c:v>370.68</c:v>
                </c:pt>
                <c:pt idx="4">
                  <c:v>522.41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e277c03-27f7-4260-8074-164dbf3a0cd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Lbls>
            <c:delete val="1"/>
          </c:dLbls>
          <c:cat>
            <c:strRef>
              <c:f>[工作簿1]Sheet1!$A$5:$A$7</c:f>
              <c:strCache>
                <c:ptCount val="3"/>
                <c:pt idx="0">
                  <c:v>因公出国（境）经费支出</c:v>
                </c:pt>
                <c:pt idx="1">
                  <c:v>公务用车购置及运行维护费支出</c:v>
                </c:pt>
                <c:pt idx="2">
                  <c:v>公务接待费支出</c:v>
                </c:pt>
              </c:strCache>
            </c:strRef>
          </c:cat>
          <c:val>
            <c:numRef>
              <c:f>[工作簿1]Sheet1!$B$5:$B$7</c:f>
              <c:numCache>
                <c:formatCode>General</c:formatCode>
                <c:ptCount val="3"/>
                <c:pt idx="0">
                  <c:v>1</c:v>
                </c:pt>
                <c:pt idx="1">
                  <c:v>1</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043fd06b-839b-4723-bef0-44f4a10627be}"/>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5067</Words>
  <Characters>5567</Characters>
  <Lines>61</Lines>
  <Paragraphs>17</Paragraphs>
  <TotalTime>8</TotalTime>
  <ScaleCrop>false</ScaleCrop>
  <LinksUpToDate>false</LinksUpToDate>
  <CharactersWithSpaces>5601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云渺渺</cp:lastModifiedBy>
  <cp:lastPrinted>2025-08-06T17:34:00Z</cp:lastPrinted>
  <dcterms:modified xsi:type="dcterms:W3CDTF">2025-09-08T01:38:52Z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201E0F0533A940C9A14F1229739FD275</vt:lpwstr>
  </property>
  <property fmtid="{D5CDD505-2E9C-101B-9397-08002B2CF9AE}" pid="4" name="KSOTemplateDocerSaveRecord">
    <vt:lpwstr>eyJoZGlkIjoiMTliOGJlYjAzMjdlMjI3MTc3MGY4MzU4NDE4NmFjMTkiLCJ1c2VySWQiOiI5MzI3NjgwMjUifQ==</vt:lpwstr>
  </property>
</Properties>
</file>