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77193"/>
      <w:bookmarkStart w:id="1" w:name="_Toc15377425"/>
      <w:bookmarkStart w:id="2" w:name="_Toc15306267"/>
      <w:bookmarkStart w:id="3" w:name="_Toc15396475"/>
      <w:bookmarkStart w:id="4" w:name="_Toc15378441"/>
      <w:bookmarkStart w:id="5" w:name="_Toc15396597"/>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Pr>
        <w:pStyle w:val="8"/>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2024年度</w:t>
      </w:r>
      <w:bookmarkEnd w:id="0"/>
      <w:bookmarkEnd w:id="1"/>
      <w:bookmarkEnd w:id="2"/>
      <w:bookmarkEnd w:id="3"/>
      <w:bookmarkEnd w:id="4"/>
      <w:bookmarkEnd w:id="5"/>
    </w:p>
    <w:p>
      <w:pPr>
        <w:pStyle w:val="8"/>
        <w:spacing w:before="93"/>
        <w:jc w:val="center"/>
        <w:rPr>
          <w:rFonts w:hint="eastAsia" w:eastAsia="方正小标宋简体"/>
          <w:kern w:val="2"/>
          <w:sz w:val="44"/>
          <w:szCs w:val="44"/>
          <w:lang w:eastAsia="zh-CN"/>
        </w:rPr>
      </w:pPr>
      <w:r>
        <w:rPr>
          <w:rFonts w:hint="eastAsia" w:eastAsia="方正小标宋简体"/>
          <w:kern w:val="2"/>
          <w:sz w:val="44"/>
          <w:szCs w:val="44"/>
          <w:lang w:eastAsia="zh-CN"/>
        </w:rPr>
        <w:t>四川省</w:t>
      </w:r>
      <w:bookmarkStart w:id="63" w:name="_GoBack"/>
      <w:bookmarkEnd w:id="63"/>
      <w:r>
        <w:rPr>
          <w:rFonts w:hint="eastAsia" w:eastAsia="方正小标宋简体"/>
          <w:kern w:val="2"/>
          <w:sz w:val="44"/>
          <w:szCs w:val="44"/>
          <w:lang w:eastAsia="zh-CN"/>
        </w:rPr>
        <w:t>攀枝花市特殊教育学校</w:t>
      </w:r>
    </w:p>
    <w:p>
      <w:pPr>
        <w:pStyle w:val="8"/>
        <w:spacing w:before="93"/>
        <w:jc w:val="center"/>
        <w:rPr>
          <w:rFonts w:eastAsia="黑体"/>
          <w:sz w:val="48"/>
          <w:szCs w:val="48"/>
        </w:rPr>
      </w:pPr>
      <w:r>
        <w:rPr>
          <w:rFonts w:hint="eastAsia" w:eastAsia="方正小标宋简体"/>
          <w:kern w:val="2"/>
          <w:sz w:val="44"/>
          <w:szCs w:val="44"/>
          <w:lang w:eastAsia="zh-CN"/>
        </w:rPr>
        <w:t>单位决算</w:t>
      </w: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公开时间：2024年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w:t>
      </w:r>
    </w:p>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 xml:space="preserve">第一部分 </w:t>
      </w:r>
      <w:r>
        <w:rPr>
          <w:rFonts w:hint="eastAsia" w:ascii="Times New Roman" w:hAnsi="Times New Roman" w:eastAsia="黑体" w:cs="黑体"/>
          <w:sz w:val="32"/>
          <w:szCs w:val="32"/>
          <w:lang w:eastAsia="zh-CN"/>
        </w:rPr>
        <w:t>单位</w:t>
      </w:r>
      <w:r>
        <w:rPr>
          <w:rFonts w:hint="eastAsia" w:ascii="Times New Roman" w:hAnsi="Times New Roman" w:eastAsia="黑体" w:cs="黑体"/>
          <w:sz w:val="32"/>
          <w:szCs w:val="32"/>
        </w:rPr>
        <w:t>概况</w:t>
      </w:r>
      <w:r>
        <w:rPr>
          <w:rFonts w:hint="eastAsia" w:ascii="Times New Roman" w:hAnsi="Times New Roman" w:eastAsia="黑体" w:cs="黑体"/>
          <w:sz w:val="32"/>
          <w:szCs w:val="32"/>
          <w:lang w:val="en-US" w:eastAsia="zh-CN"/>
        </w:rPr>
        <w:tab/>
      </w:r>
      <w:r>
        <w:rPr>
          <w:rFonts w:hint="eastAsia" w:ascii="Times New Roman" w:hAnsi="Times New Roman" w:eastAsia="黑体" w:cs="黑体"/>
          <w:sz w:val="32"/>
          <w:szCs w:val="32"/>
          <w:lang w:val="en-US" w:eastAsia="zh-CN"/>
        </w:rPr>
        <w:t>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w:t>
      </w:r>
      <w:r>
        <w:rPr>
          <w:rFonts w:hint="eastAsia" w:eastAsia="仿宋_GB2312" w:cs="仿宋_GB2312"/>
          <w:sz w:val="32"/>
          <w:szCs w:val="32"/>
          <w:lang w:eastAsia="zh-CN"/>
        </w:rPr>
        <w:t>主要</w:t>
      </w:r>
      <w:r>
        <w:rPr>
          <w:rFonts w:hint="eastAsia" w:eastAsia="仿宋_GB2312" w:cs="仿宋_GB2312"/>
          <w:sz w:val="32"/>
          <w:szCs w:val="32"/>
        </w:rPr>
        <w:t>职责</w:t>
      </w:r>
      <w:r>
        <w:rPr>
          <w:rFonts w:hint="eastAsia" w:eastAsia="仿宋_GB2312" w:cs="仿宋_GB2312"/>
          <w:sz w:val="32"/>
          <w:szCs w:val="32"/>
          <w:lang w:val="en-US" w:eastAsia="zh-CN"/>
        </w:rPr>
        <w:tab/>
      </w:r>
      <w:r>
        <w:rPr>
          <w:rFonts w:hint="eastAsia" w:eastAsia="仿宋_GB2312" w:cs="仿宋_GB2312"/>
          <w:sz w:val="32"/>
          <w:szCs w:val="32"/>
          <w:lang w:val="en-US" w:eastAsia="zh-CN"/>
        </w:rPr>
        <w:t>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二、机构设置</w:t>
      </w:r>
      <w:r>
        <w:rPr>
          <w:rFonts w:hint="eastAsia" w:eastAsia="仿宋_GB2312" w:cs="仿宋_GB2312"/>
          <w:sz w:val="32"/>
          <w:szCs w:val="32"/>
          <w:lang w:val="en-US" w:eastAsia="zh-CN"/>
        </w:rPr>
        <w:tab/>
      </w:r>
      <w:r>
        <w:rPr>
          <w:rFonts w:hint="eastAsia" w:eastAsia="仿宋_GB2312" w:cs="仿宋_GB2312"/>
          <w:sz w:val="32"/>
          <w:szCs w:val="32"/>
          <w:lang w:val="en-US" w:eastAsia="zh-CN"/>
        </w:rPr>
        <w:t>4</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第二部分 2024年度部门决算情况说明</w:t>
      </w:r>
      <w:r>
        <w:rPr>
          <w:rFonts w:hint="eastAsia" w:ascii="Times New Roman" w:hAnsi="Times New Roman" w:eastAsia="黑体" w:cs="黑体"/>
          <w:sz w:val="32"/>
          <w:szCs w:val="32"/>
          <w:lang w:val="en-US" w:eastAsia="zh-CN"/>
        </w:rPr>
        <w:tab/>
      </w:r>
      <w:r>
        <w:rPr>
          <w:rFonts w:hint="eastAsia" w:ascii="Times New Roman" w:hAnsi="Times New Roman" w:eastAsia="黑体" w:cs="黑体"/>
          <w:sz w:val="32"/>
          <w:szCs w:val="32"/>
          <w:lang w:val="en-US" w:eastAsia="zh-CN"/>
        </w:rPr>
        <w:t>5</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一、收入支出决算总体情况说明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5</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5</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6</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四、财政拨款收入支出决算总体情况说明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五、一般公共预算财政拨款支出决算情况说明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六、一般公共预算财政拨款基本支出决算情况说明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10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七、财政拨款“三公”经费支出决算情况说明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10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八、政府性基金预算支出决算情况说明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12</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九、国有资本经营预算支出决算情况说明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12</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十、其他重要事项的情况说明</w:t>
      </w:r>
      <w:r>
        <w:rPr>
          <w:rFonts w:hint="eastAsia" w:eastAsia="仿宋_GB2312" w:cs="仿宋_GB2312"/>
          <w:sz w:val="32"/>
          <w:szCs w:val="32"/>
          <w:lang w:val="en-US" w:eastAsia="zh-CN"/>
        </w:rPr>
        <w:tab/>
      </w:r>
      <w:r>
        <w:rPr>
          <w:rFonts w:hint="eastAsia" w:eastAsia="仿宋_GB2312" w:cs="仿宋_GB2312"/>
          <w:sz w:val="32"/>
          <w:szCs w:val="32"/>
          <w:lang w:val="en-US" w:eastAsia="zh-CN"/>
        </w:rPr>
        <w:t>13</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lang w:val="en-US" w:eastAsia="zh-CN"/>
        </w:rPr>
        <w:tab/>
      </w:r>
      <w:r>
        <w:rPr>
          <w:rFonts w:hint="eastAsia" w:ascii="Times New Roman" w:hAnsi="Times New Roman" w:eastAsia="黑体" w:cs="黑体"/>
          <w:sz w:val="32"/>
          <w:szCs w:val="32"/>
          <w:lang w:val="en-US" w:eastAsia="zh-CN"/>
        </w:rPr>
        <w:t>16</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lang w:val="en-US" w:eastAsia="zh-CN"/>
        </w:rPr>
        <w:tab/>
      </w:r>
      <w:r>
        <w:rPr>
          <w:rFonts w:hint="eastAsia" w:ascii="Times New Roman" w:hAnsi="Times New Roman" w:eastAsia="黑体" w:cs="黑体"/>
          <w:sz w:val="32"/>
          <w:szCs w:val="32"/>
          <w:lang w:val="en-US" w:eastAsia="zh-CN"/>
        </w:rPr>
        <w:t>19</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lang w:val="en-US" w:eastAsia="zh-CN"/>
        </w:rPr>
        <w:tab/>
      </w:r>
      <w:r>
        <w:rPr>
          <w:rFonts w:hint="eastAsia" w:ascii="Times New Roman" w:hAnsi="Times New Roman" w:eastAsia="黑体" w:cs="黑体"/>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五、财政拨款支出决算明细表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七、一般公共预算财政拨款支出决算明细表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八、一般公共预算财政拨款基本支出决算明细表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九、一般公共预算财政拨款项目支出决算表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十、政府性基金预算财政拨款收入支出决算表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十一、国有资本经营预算财政拨款收入支出决算表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十二、国有资本经营预算财政拨款支出决算表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十三、财政拨款“三公”经费支出决算表</w:t>
      </w:r>
      <w:r>
        <w:rPr>
          <w:rFonts w:hint="eastAsia" w:eastAsia="仿宋_GB2312" w:cs="仿宋_GB2312"/>
          <w:sz w:val="32"/>
          <w:szCs w:val="32"/>
          <w:lang w:val="en-US" w:eastAsia="zh-CN"/>
        </w:rPr>
        <w:tab/>
      </w:r>
      <w:r>
        <w:rPr>
          <w:rFonts w:hint="eastAsia" w:eastAsia="仿宋_GB2312" w:cs="仿宋_GB2312"/>
          <w:sz w:val="32"/>
          <w:szCs w:val="32"/>
          <w:lang w:val="en-US" w:eastAsia="zh-CN"/>
        </w:rPr>
        <w:t>20</w:t>
      </w:r>
    </w:p>
    <w:p>
      <w:pPr>
        <w:widowControl/>
        <w:spacing w:line="560" w:lineRule="exact"/>
        <w:jc w:val="left"/>
        <w:rPr>
          <w:rFonts w:eastAsia="仿宋_GB2312" w:cs="仿宋_GB2312"/>
          <w:bCs/>
          <w:kern w:val="44"/>
          <w:sz w:val="32"/>
          <w:szCs w:val="32"/>
        </w:rPr>
      </w:pPr>
      <w:bookmarkStart w:id="6" w:name="_Toc15377196"/>
      <w:bookmarkStart w:id="7" w:name="_Toc15396599"/>
      <w:r>
        <w:rPr>
          <w:rFonts w:hint="eastAsia" w:eastAsia="仿宋_GB2312" w:cs="仿宋_GB2312"/>
          <w:b/>
          <w:sz w:val="32"/>
          <w:szCs w:val="32"/>
        </w:rPr>
        <w:br w:type="page"/>
      </w:r>
    </w:p>
    <w:p>
      <w:pPr>
        <w:pStyle w:val="5"/>
        <w:jc w:val="center"/>
        <w:rPr>
          <w:rStyle w:val="28"/>
          <w:rFonts w:eastAsia="方正小标宋简体" w:cs="方正小标宋简体"/>
          <w:b/>
          <w:bCs w:val="0"/>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8"/>
          <w:rFonts w:hint="eastAsia" w:eastAsia="方正小标宋简体" w:cs="方正小标宋简体"/>
          <w:b w:val="0"/>
          <w:bCs w:val="0"/>
          <w:lang w:eastAsia="zh-CN"/>
        </w:rPr>
        <w:t>单位</w:t>
      </w:r>
      <w:r>
        <w:rPr>
          <w:rStyle w:val="28"/>
          <w:rFonts w:hint="eastAsia" w:eastAsia="方正小标宋简体" w:cs="方正小标宋简体"/>
          <w:b w:val="0"/>
          <w:bCs w:val="0"/>
        </w:rPr>
        <w:t>概况</w:t>
      </w:r>
      <w:bookmarkEnd w:id="6"/>
      <w:bookmarkEnd w:id="7"/>
    </w:p>
    <w:p>
      <w:pPr>
        <w:widowControl/>
        <w:jc w:val="left"/>
        <w:rPr>
          <w:rFonts w:eastAsia="黑体"/>
          <w:sz w:val="32"/>
          <w:szCs w:val="32"/>
        </w:rPr>
      </w:pPr>
    </w:p>
    <w:p>
      <w:pPr>
        <w:pStyle w:val="6"/>
        <w:rPr>
          <w:rStyle w:val="29"/>
          <w:rFonts w:ascii="Times New Roman" w:hAnsi="Times New Roman" w:eastAsia="黑体"/>
          <w:b w:val="0"/>
          <w:bCs w:val="0"/>
        </w:rPr>
      </w:pPr>
      <w:bookmarkStart w:id="8" w:name="_Toc15377197"/>
      <w:bookmarkStart w:id="9" w:name="_Toc15396600"/>
      <w:r>
        <w:rPr>
          <w:rFonts w:hint="eastAsia" w:ascii="Times New Roman" w:hAnsi="Times New Roman" w:eastAsia="黑体"/>
          <w:b w:val="0"/>
        </w:rPr>
        <w:t>一、</w:t>
      </w:r>
      <w:bookmarkEnd w:id="8"/>
      <w:bookmarkEnd w:id="9"/>
      <w:r>
        <w:rPr>
          <w:rFonts w:hint="eastAsia" w:ascii="Times New Roman" w:hAnsi="Times New Roman" w:eastAsia="黑体"/>
          <w:b w:val="0"/>
          <w:lang w:eastAsia="zh-CN"/>
        </w:rPr>
        <w:t>主要</w:t>
      </w:r>
      <w:r>
        <w:rPr>
          <w:rFonts w:hint="eastAsia" w:ascii="Times New Roman" w:hAnsi="Times New Roman" w:eastAsia="黑体"/>
          <w:b w:val="0"/>
        </w:rPr>
        <w:t>职责</w:t>
      </w:r>
    </w:p>
    <w:p>
      <w:pPr>
        <w:pStyle w:val="6"/>
        <w:ind w:firstLine="640" w:firstLineChars="200"/>
        <w:rPr>
          <w:rFonts w:hint="eastAsia" w:ascii="Times New Roman" w:hAnsi="Times New Roman" w:eastAsia="黑体"/>
          <w:b w:val="0"/>
        </w:rPr>
      </w:pPr>
      <w:bookmarkStart w:id="10" w:name="_Toc15396601"/>
      <w:bookmarkStart w:id="11" w:name="_Toc15377200"/>
      <w:r>
        <w:rPr>
          <w:rFonts w:hint="eastAsia" w:ascii="仿宋_GB2312" w:hAnsi="仿宋_GB2312" w:eastAsia="仿宋_GB2312" w:cs="仿宋_GB2312"/>
          <w:b w:val="0"/>
          <w:bCs w:val="0"/>
          <w:kern w:val="2"/>
          <w:sz w:val="32"/>
          <w:szCs w:val="32"/>
          <w:lang w:val="en-US" w:eastAsia="zh-CN" w:bidi="ar-SA"/>
        </w:rPr>
        <w:t>攀枝花市特殊教育学校校本部位于西区河石坝春风巷2号，学校创办于1982年，是一所为聋哑盲、智力障碍等残疾学生提供教育教学的九年义务教育学校；分校区位于仁和区市康复中心大楼内，于2021年2月起办学，职责是为智力障碍学生提供教学及康复训练。</w:t>
      </w:r>
    </w:p>
    <w:p>
      <w:pPr>
        <w:pStyle w:val="6"/>
        <w:rPr>
          <w:rStyle w:val="29"/>
          <w:rFonts w:ascii="Times New Roman" w:hAnsi="Times New Roman"/>
          <w:b w:val="0"/>
          <w:bCs w:val="0"/>
        </w:rPr>
      </w:pPr>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0"/>
      <w:bookmarkEnd w:id="11"/>
    </w:p>
    <w:p>
      <w:pPr>
        <w:ind w:firstLine="800" w:firstLineChars="25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四川省攀枝花市特殊教育学校是财务独立财政全额拨款事业单位，机构数9个。2024年我校有47名教职工，当年新增1人，相比2023年46人增加了1人。</w:t>
      </w:r>
    </w:p>
    <w:p>
      <w:pPr>
        <w:widowControl/>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四川省攀枝花市特殊教育学校是四川省攀枝花市下属二级预算单位0个，其中行政单位0个，参照公务员法管理的事业单位0个，其他事业单位0个。</w:t>
      </w:r>
    </w:p>
    <w:p>
      <w:pPr>
        <w:pStyle w:val="5"/>
        <w:jc w:val="center"/>
        <w:rPr>
          <w:rFonts w:hint="eastAsia" w:eastAsia="方正小标宋简体" w:cs="方正小标宋简体"/>
          <w:b w:val="0"/>
        </w:rPr>
      </w:pPr>
      <w:bookmarkStart w:id="12" w:name="_Toc15377204"/>
      <w:bookmarkStart w:id="13" w:name="_Toc15396602"/>
    </w:p>
    <w:p>
      <w:pPr>
        <w:pStyle w:val="5"/>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第二部分</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2024年度部门决算情况说明</w:t>
      </w:r>
      <w:bookmarkEnd w:id="12"/>
      <w:bookmarkEnd w:id="13"/>
    </w:p>
    <w:p/>
    <w:p>
      <w:pPr>
        <w:pStyle w:val="27"/>
        <w:spacing w:line="600" w:lineRule="exact"/>
        <w:ind w:firstLine="640"/>
        <w:outlineLvl w:val="1"/>
        <w:rPr>
          <w:rStyle w:val="29"/>
          <w:rFonts w:ascii="Times New Roman" w:hAnsi="Times New Roman" w:eastAsia="黑体"/>
          <w:b w:val="0"/>
        </w:rPr>
      </w:pPr>
      <w:bookmarkStart w:id="14" w:name="_Toc15377205"/>
      <w:bookmarkStart w:id="15"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4"/>
      <w:bookmarkEnd w:id="15"/>
    </w:p>
    <w:p>
      <w:pPr>
        <w:ind w:firstLine="640" w:firstLineChars="200"/>
        <w:rPr>
          <w:rFonts w:eastAsia="仿宋_GB2312" w:cs="仿宋_GB2312"/>
          <w:sz w:val="32"/>
          <w:szCs w:val="32"/>
        </w:rPr>
      </w:pPr>
      <w:r>
        <w:rPr>
          <w:rFonts w:hint="eastAsia" w:eastAsia="仿宋_GB2312" w:cs="仿宋_GB2312"/>
          <w:sz w:val="32"/>
          <w:szCs w:val="32"/>
        </w:rPr>
        <w:t>2024年度收入、支出总计均为1214.6万元。与2023年度相比，收入、支出总计各增加39.47万元，增长3.36%。主要变动原因是2024年新进1人的增人增资以及收到的2024年的专项资金。</w:t>
      </w:r>
    </w:p>
    <w:p>
      <w:pPr>
        <w:ind w:firstLine="640" w:firstLineChars="200"/>
        <w:rPr>
          <w:rFonts w:hint="eastAsia" w:eastAsia="仿宋_GB2312" w:cs="仿宋_GB2312"/>
          <w:sz w:val="32"/>
          <w:szCs w:val="32"/>
        </w:rPr>
      </w:pPr>
      <w:r>
        <w:rPr>
          <w:rFonts w:hint="eastAsia" w:eastAsia="仿宋_GB2312" w:cs="仿宋_GB2312"/>
          <w:sz w:val="32"/>
          <w:szCs w:val="32"/>
        </w:rPr>
        <w:t>（图1：收、支决算总计变动情况图）（柱状图）</w:t>
      </w:r>
    </w:p>
    <w:p>
      <w:pPr>
        <w:ind w:firstLine="420" w:firstLineChars="200"/>
        <w:rPr>
          <w:rFonts w:hint="eastAsia" w:eastAsia="黑体"/>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6" w:name="_Toc15377206"/>
      <w:bookmarkStart w:id="17" w:name="_Toc15396604"/>
    </w:p>
    <w:p>
      <w:pPr>
        <w:pStyle w:val="27"/>
        <w:spacing w:line="600" w:lineRule="exact"/>
        <w:ind w:firstLine="640"/>
        <w:outlineLvl w:val="1"/>
        <w:rPr>
          <w:rFonts w:eastAsia="黑体"/>
          <w:sz w:val="32"/>
          <w:szCs w:val="32"/>
        </w:rPr>
      </w:pPr>
      <w:r>
        <w:rPr>
          <w:rFonts w:hint="eastAsia" w:eastAsia="黑体"/>
          <w:sz w:val="32"/>
          <w:szCs w:val="32"/>
        </w:rPr>
        <w:t>二、收入决算情况说明</w:t>
      </w:r>
      <w:bookmarkEnd w:id="16"/>
      <w:bookmarkEnd w:id="17"/>
    </w:p>
    <w:p>
      <w:pPr>
        <w:pStyle w:val="27"/>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1214.6万元，其中：一般公共预算财政拨款收入1172.08万元，占96.49%；政府性基金预算财政拨款收入40.53万元，占3.33%%；国有资本经营预算财政拨款收入0万元，占0%；上级补助收入0万元，占0%；事业收入0万元，占0%；经营收入0万元，占0%；附属单位上缴收入0万元，占0%；其他收入2万元，占0.16%。</w:t>
      </w:r>
    </w:p>
    <w:p>
      <w:pPr>
        <w:ind w:firstLine="800" w:firstLineChars="250"/>
        <w:rPr>
          <w:rFonts w:eastAsia="仿宋_GB2312" w:cs="仿宋_GB2312"/>
          <w:sz w:val="32"/>
          <w:szCs w:val="32"/>
        </w:rPr>
      </w:pPr>
      <w:r>
        <w:rPr>
          <w:rFonts w:hint="eastAsia" w:eastAsia="仿宋_GB2312" w:cs="仿宋_GB2312"/>
          <w:sz w:val="32"/>
          <w:szCs w:val="32"/>
        </w:rPr>
        <w:t>（图2：收入决算结构图）（饼状图）</w:t>
      </w:r>
    </w:p>
    <w:p>
      <w:pPr>
        <w:ind w:firstLine="525" w:firstLineChars="250"/>
        <w:rPr>
          <w:rFonts w:eastAsia="仿宋_GB2312" w:cs="仿宋_GB2312"/>
          <w:sz w:val="32"/>
          <w:szCs w:val="32"/>
        </w:rPr>
      </w:pPr>
      <w:r>
        <w:drawing>
          <wp:inline distT="0" distB="0" distL="114300" distR="114300">
            <wp:extent cx="4826000" cy="2743200"/>
            <wp:effectExtent l="4445" t="4445" r="8255" b="14605"/>
            <wp:docPr id="5"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7"/>
        <w:spacing w:line="600" w:lineRule="exact"/>
        <w:ind w:firstLine="640"/>
        <w:outlineLvl w:val="1"/>
        <w:rPr>
          <w:rStyle w:val="29"/>
          <w:rFonts w:ascii="Times New Roman" w:hAnsi="Times New Roman" w:eastAsia="黑体"/>
          <w:b w:val="0"/>
        </w:rPr>
      </w:pPr>
      <w:bookmarkStart w:id="18" w:name="_Toc15377207"/>
      <w:bookmarkStart w:id="19" w:name="_Toc15396605"/>
      <w:r>
        <w:rPr>
          <w:rFonts w:hint="eastAsia" w:eastAsia="黑体"/>
          <w:sz w:val="32"/>
          <w:szCs w:val="32"/>
        </w:rPr>
        <w:t>三、支</w:t>
      </w:r>
      <w:r>
        <w:rPr>
          <w:rStyle w:val="29"/>
          <w:rFonts w:hint="eastAsia" w:ascii="Times New Roman" w:hAnsi="Times New Roman" w:eastAsia="黑体"/>
          <w:b w:val="0"/>
        </w:rPr>
        <w:t>出决算情况说明</w:t>
      </w:r>
      <w:bookmarkEnd w:id="18"/>
      <w:bookmarkEnd w:id="19"/>
    </w:p>
    <w:p>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2024年度本年支出合计1213.97万元，其中：基本支出1035.63万元，占85.3%；项目支出178.35万元，占14.69%；上缴上级支出0万元，占0%；经营支出0万元，占0%；对附属单位补助支出0万元，占0%。</w:t>
      </w:r>
    </w:p>
    <w:p>
      <w:pPr>
        <w:ind w:firstLine="525" w:firstLineChars="250"/>
        <w:rPr>
          <w:rFonts w:eastAsia="仿宋_GB2312" w:cs="仿宋_GB2312"/>
          <w:sz w:val="32"/>
          <w:szCs w:val="32"/>
        </w:rPr>
      </w:pPr>
      <w:r>
        <w:drawing>
          <wp:anchor distT="0" distB="0" distL="114300" distR="114300" simplePos="0" relativeHeight="251661312" behindDoc="1" locked="0" layoutInCell="1" allowOverlap="1">
            <wp:simplePos x="0" y="0"/>
            <wp:positionH relativeFrom="column">
              <wp:posOffset>223520</wp:posOffset>
            </wp:positionH>
            <wp:positionV relativeFrom="paragraph">
              <wp:posOffset>364490</wp:posOffset>
            </wp:positionV>
            <wp:extent cx="4587875" cy="2514600"/>
            <wp:effectExtent l="4445" t="5080" r="17780" b="13970"/>
            <wp:wrapNone/>
            <wp:docPr id="7" name="图表 6"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仿宋_GB2312" w:cs="仿宋_GB2312"/>
          <w:sz w:val="32"/>
          <w:szCs w:val="32"/>
        </w:rPr>
        <w:t>（图3：支出决算结构图）（饼状图）</w:t>
      </w:r>
    </w:p>
    <w:p>
      <w:pPr>
        <w:ind w:firstLine="800" w:firstLineChars="250"/>
        <w:rPr>
          <w:rFonts w:eastAsia="仿宋_GB2312" w:cs="仿宋_GB2312"/>
          <w:sz w:val="32"/>
          <w:szCs w:val="32"/>
        </w:rPr>
      </w:pPr>
    </w:p>
    <w:p>
      <w:pPr>
        <w:pStyle w:val="2"/>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spacing w:line="600" w:lineRule="exact"/>
        <w:ind w:firstLine="640" w:firstLineChars="200"/>
        <w:outlineLvl w:val="1"/>
        <w:rPr>
          <w:rStyle w:val="29"/>
          <w:rFonts w:ascii="Times New Roman" w:hAnsi="Times New Roman" w:eastAsia="黑体"/>
          <w:b w:val="0"/>
        </w:rPr>
      </w:pPr>
      <w:bookmarkStart w:id="20" w:name="_Toc15377208"/>
      <w:bookmarkStart w:id="21"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20"/>
      <w:bookmarkEnd w:id="21"/>
    </w:p>
    <w:p>
      <w:pPr>
        <w:spacing w:line="600" w:lineRule="exact"/>
        <w:ind w:firstLine="640"/>
        <w:rPr>
          <w:rFonts w:hint="eastAsia"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1212.6</w:t>
      </w:r>
      <w:r>
        <w:rPr>
          <w:rFonts w:hint="eastAsia" w:eastAsia="仿宋_GB2312" w:cs="仿宋_GB2312"/>
          <w:sz w:val="32"/>
          <w:szCs w:val="32"/>
        </w:rPr>
        <w:t>万元。与2023年度相比，财政拨款收入总计、支出总计各增加</w:t>
      </w:r>
      <w:r>
        <w:rPr>
          <w:rFonts w:hint="eastAsia" w:eastAsia="仿宋_GB2312" w:cs="仿宋_GB2312"/>
          <w:sz w:val="32"/>
          <w:szCs w:val="32"/>
          <w:lang w:val="en-US" w:eastAsia="zh-CN"/>
        </w:rPr>
        <w:t>37.47</w:t>
      </w:r>
      <w:r>
        <w:rPr>
          <w:rFonts w:hint="eastAsia" w:eastAsia="仿宋_GB2312" w:cs="仿宋_GB2312"/>
          <w:sz w:val="32"/>
          <w:szCs w:val="32"/>
        </w:rPr>
        <w:t>万元。主要变动原因是202</w:t>
      </w:r>
      <w:r>
        <w:rPr>
          <w:rFonts w:hint="eastAsia" w:eastAsia="仿宋_GB2312" w:cs="仿宋_GB2312"/>
          <w:sz w:val="32"/>
          <w:szCs w:val="32"/>
          <w:lang w:val="en-US" w:eastAsia="zh-CN"/>
        </w:rPr>
        <w:t>4</w:t>
      </w:r>
      <w:r>
        <w:rPr>
          <w:rFonts w:hint="eastAsia" w:eastAsia="仿宋_GB2312" w:cs="仿宋_GB2312"/>
          <w:sz w:val="32"/>
          <w:szCs w:val="32"/>
        </w:rPr>
        <w:t>年新进</w:t>
      </w:r>
      <w:r>
        <w:rPr>
          <w:rFonts w:hint="eastAsia" w:eastAsia="仿宋_GB2312" w:cs="仿宋_GB2312"/>
          <w:sz w:val="32"/>
          <w:szCs w:val="32"/>
          <w:lang w:val="en-US" w:eastAsia="zh-CN"/>
        </w:rPr>
        <w:t>1</w:t>
      </w:r>
      <w:r>
        <w:rPr>
          <w:rFonts w:hint="eastAsia" w:eastAsia="仿宋_GB2312" w:cs="仿宋_GB2312"/>
          <w:sz w:val="32"/>
          <w:szCs w:val="32"/>
        </w:rPr>
        <w:t>人的增人增资以及收到的202</w:t>
      </w:r>
      <w:r>
        <w:rPr>
          <w:rFonts w:hint="eastAsia" w:eastAsia="仿宋_GB2312" w:cs="仿宋_GB2312"/>
          <w:sz w:val="32"/>
          <w:szCs w:val="32"/>
          <w:lang w:val="en-US" w:eastAsia="zh-CN"/>
        </w:rPr>
        <w:t>4</w:t>
      </w:r>
      <w:r>
        <w:rPr>
          <w:rFonts w:hint="eastAsia" w:eastAsia="仿宋_GB2312" w:cs="仿宋_GB2312"/>
          <w:sz w:val="32"/>
          <w:szCs w:val="32"/>
        </w:rPr>
        <w:t>年的专项资金。</w:t>
      </w: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（图4：财政拨款收、支决算总计变动情况）（柱状图）</w:t>
      </w:r>
    </w:p>
    <w:p>
      <w:pPr>
        <w:pStyle w:val="2"/>
        <w:rPr>
          <w:rFonts w:hint="eastAsia"/>
          <w:lang w:val="en-US" w:eastAsia="zh-CN"/>
        </w:rPr>
      </w:pPr>
      <w:r>
        <w:rPr>
          <w:rFonts w:hint="eastAsia"/>
          <w:lang w:val="en-US" w:eastAsia="zh-CN"/>
        </w:rPr>
        <w:t xml:space="preserve">  </w:t>
      </w:r>
    </w:p>
    <w:p>
      <w:pPr>
        <w:pStyle w:val="2"/>
        <w:rPr>
          <w:rFonts w:hint="eastAsia" w:eastAsia="黑体"/>
          <w:sz w:val="32"/>
          <w:szCs w:val="32"/>
        </w:rPr>
      </w:pPr>
      <w:r>
        <w:rPr>
          <w:rFonts w:hint="eastAsia"/>
          <w:lang w:val="en-US" w:eastAsia="zh-CN"/>
        </w:rPr>
        <w:t xml:space="preserve">      </w:t>
      </w:r>
      <w: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22" w:name="_Toc15396607"/>
      <w:bookmarkStart w:id="23" w:name="_Toc15377209"/>
    </w:p>
    <w:p>
      <w:pPr>
        <w:spacing w:line="600" w:lineRule="exact"/>
        <w:ind w:firstLine="640" w:firstLineChars="200"/>
        <w:outlineLvl w:val="1"/>
        <w:rPr>
          <w:rStyle w:val="29"/>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2"/>
      <w:bookmarkEnd w:id="23"/>
    </w:p>
    <w:p>
      <w:pPr>
        <w:spacing w:line="600" w:lineRule="exact"/>
        <w:ind w:firstLine="642" w:firstLineChars="200"/>
        <w:outlineLvl w:val="2"/>
        <w:rPr>
          <w:rFonts w:eastAsia="楷体_GB2312" w:cs="楷体_GB2312"/>
          <w:b/>
          <w:sz w:val="32"/>
          <w:szCs w:val="32"/>
        </w:rPr>
      </w:pPr>
      <w:bookmarkStart w:id="24" w:name="_Toc15377210"/>
      <w:r>
        <w:rPr>
          <w:rFonts w:hint="eastAsia" w:eastAsia="楷体_GB2312" w:cs="楷体_GB2312"/>
          <w:b/>
          <w:sz w:val="32"/>
          <w:szCs w:val="32"/>
        </w:rPr>
        <w:t>（一）一般公共预算财政拨款支出决算总体情况</w:t>
      </w:r>
      <w:bookmarkEnd w:id="24"/>
    </w:p>
    <w:p>
      <w:pPr>
        <w:spacing w:line="600" w:lineRule="exact"/>
        <w:ind w:firstLine="640"/>
        <w:rPr>
          <w:rFonts w:hint="eastAsia" w:eastAsia="仿宋_GB2312" w:cs="仿宋_GB2312"/>
          <w:sz w:val="32"/>
          <w:szCs w:val="32"/>
          <w:lang w:eastAsia="zh-CN"/>
        </w:rPr>
      </w:pPr>
      <w:r>
        <w:rPr>
          <w:rFonts w:hint="eastAsia" w:ascii="仿宋_GB2312" w:hAnsi="仿宋_GB2312" w:eastAsia="仿宋_GB2312" w:cs="仿宋_GB2312"/>
          <w:sz w:val="32"/>
          <w:szCs w:val="32"/>
        </w:rPr>
        <w:t>2024年度一般公共预算财政拨款支出1172.08万元，占本年支出合计的96.54%。与2023年度相比，一般公共预算财政拨款支出减少</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教育附加项目资金较上年下降。</w:t>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pPr>
        <w:spacing w:line="600" w:lineRule="exact"/>
        <w:ind w:firstLine="640"/>
        <w:rPr>
          <w:rFonts w:eastAsia="仿宋_GB2312" w:cs="仿宋_GB2312"/>
          <w:sz w:val="32"/>
          <w:szCs w:val="32"/>
        </w:rPr>
      </w:pPr>
    </w:p>
    <w:p>
      <w:pPr>
        <w:spacing w:line="600" w:lineRule="exact"/>
        <w:ind w:firstLine="420" w:firstLineChars="200"/>
        <w:outlineLvl w:val="2"/>
        <w:rPr>
          <w:rFonts w:hint="eastAsia" w:eastAsia="楷体_GB2312" w:cs="楷体_GB2312"/>
          <w:b/>
          <w:sz w:val="32"/>
          <w:szCs w:val="32"/>
        </w:rPr>
      </w:pPr>
      <w:bookmarkStart w:id="25" w:name="_Toc15377211"/>
      <w:r>
        <w:drawing>
          <wp:anchor distT="0" distB="0" distL="114300" distR="114300" simplePos="0" relativeHeight="251661312" behindDoc="1" locked="0" layoutInCell="1" allowOverlap="1">
            <wp:simplePos x="0" y="0"/>
            <wp:positionH relativeFrom="column">
              <wp:posOffset>175895</wp:posOffset>
            </wp:positionH>
            <wp:positionV relativeFrom="paragraph">
              <wp:posOffset>-386080</wp:posOffset>
            </wp:positionV>
            <wp:extent cx="4826000" cy="2743200"/>
            <wp:effectExtent l="4445" t="4445" r="825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2" w:firstLineChars="200"/>
        <w:outlineLvl w:val="2"/>
        <w:rPr>
          <w:rFonts w:hint="eastAsia" w:eastAsia="楷体_GB2312" w:cs="楷体_GB2312"/>
          <w:b/>
          <w:sz w:val="32"/>
          <w:szCs w:val="32"/>
        </w:rPr>
      </w:pPr>
    </w:p>
    <w:p>
      <w:pPr>
        <w:spacing w:line="600" w:lineRule="exact"/>
        <w:ind w:firstLine="642" w:firstLineChars="200"/>
        <w:outlineLvl w:val="2"/>
        <w:rPr>
          <w:rFonts w:hint="eastAsia" w:eastAsia="楷体_GB2312" w:cs="楷体_GB2312"/>
          <w:b/>
          <w:sz w:val="32"/>
          <w:szCs w:val="32"/>
        </w:rPr>
      </w:pPr>
    </w:p>
    <w:p>
      <w:pPr>
        <w:spacing w:line="600" w:lineRule="exact"/>
        <w:ind w:firstLine="642" w:firstLineChars="200"/>
        <w:outlineLvl w:val="2"/>
        <w:rPr>
          <w:rFonts w:hint="eastAsia" w:eastAsia="楷体_GB2312" w:cs="楷体_GB2312"/>
          <w:b/>
          <w:sz w:val="32"/>
          <w:szCs w:val="32"/>
        </w:rPr>
      </w:pPr>
    </w:p>
    <w:p>
      <w:pPr>
        <w:spacing w:line="600" w:lineRule="exact"/>
        <w:ind w:firstLine="642" w:firstLineChars="200"/>
        <w:outlineLvl w:val="2"/>
        <w:rPr>
          <w:rFonts w:hint="eastAsia" w:eastAsia="楷体_GB2312" w:cs="楷体_GB2312"/>
          <w:b/>
          <w:sz w:val="32"/>
          <w:szCs w:val="32"/>
        </w:rPr>
      </w:pPr>
    </w:p>
    <w:p>
      <w:pPr>
        <w:spacing w:line="600" w:lineRule="exact"/>
        <w:outlineLvl w:val="2"/>
        <w:rPr>
          <w:rFonts w:hint="eastAsia" w:eastAsia="楷体_GB2312" w:cs="楷体_GB2312"/>
          <w:b/>
          <w:sz w:val="32"/>
          <w:szCs w:val="32"/>
        </w:rPr>
      </w:pP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25"/>
    </w:p>
    <w:p>
      <w:pPr>
        <w:spacing w:line="600" w:lineRule="exact"/>
        <w:ind w:firstLine="640"/>
        <w:rPr>
          <w:rFonts w:hint="eastAsia" w:eastAsia="仿宋_GB2312" w:cs="仿宋_GB2312"/>
          <w:b/>
          <w:bCs/>
          <w:sz w:val="32"/>
          <w:szCs w:val="32"/>
          <w:lang w:val="en-US"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1172.08万元</w:t>
      </w:r>
      <w:r>
        <w:rPr>
          <w:rFonts w:hint="eastAsia" w:eastAsia="仿宋_GB2312" w:cs="仿宋_GB2312"/>
          <w:sz w:val="32"/>
          <w:szCs w:val="32"/>
        </w:rPr>
        <w:t>，主要用于以下方面：教育支出</w:t>
      </w:r>
      <w:r>
        <w:rPr>
          <w:rFonts w:hint="eastAsia" w:eastAsia="仿宋_GB2312" w:cs="仿宋_GB2312"/>
          <w:sz w:val="32"/>
          <w:szCs w:val="32"/>
          <w:lang w:val="en-US" w:eastAsia="zh-CN"/>
        </w:rPr>
        <w:t>866.88</w:t>
      </w:r>
      <w:r>
        <w:rPr>
          <w:rFonts w:hint="eastAsia" w:eastAsia="仿宋_GB2312" w:cs="仿宋_GB2312"/>
          <w:sz w:val="32"/>
          <w:szCs w:val="32"/>
        </w:rPr>
        <w:t>万元，占</w:t>
      </w:r>
      <w:r>
        <w:rPr>
          <w:rFonts w:hint="eastAsia" w:eastAsia="仿宋_GB2312" w:cs="仿宋_GB2312"/>
          <w:sz w:val="32"/>
          <w:szCs w:val="32"/>
          <w:lang w:val="en-US" w:eastAsia="zh-CN"/>
        </w:rPr>
        <w:t>73.96</w:t>
      </w:r>
      <w:r>
        <w:rPr>
          <w:rFonts w:hint="eastAsia" w:eastAsia="仿宋_GB2312" w:cs="仿宋_GB2312"/>
          <w:sz w:val="32"/>
          <w:szCs w:val="32"/>
        </w:rPr>
        <w:t>%；社会保障和就业支出</w:t>
      </w:r>
      <w:r>
        <w:rPr>
          <w:rFonts w:hint="eastAsia" w:eastAsia="仿宋_GB2312" w:cs="仿宋_GB2312"/>
          <w:sz w:val="32"/>
          <w:szCs w:val="32"/>
          <w:lang w:val="en-US" w:eastAsia="zh-CN"/>
        </w:rPr>
        <w:t>173.2</w:t>
      </w:r>
      <w:r>
        <w:rPr>
          <w:rFonts w:hint="eastAsia" w:eastAsia="仿宋_GB2312" w:cs="仿宋_GB2312"/>
          <w:sz w:val="32"/>
          <w:szCs w:val="32"/>
        </w:rPr>
        <w:t>万元，占</w:t>
      </w:r>
      <w:r>
        <w:rPr>
          <w:rFonts w:hint="eastAsia" w:eastAsia="仿宋_GB2312" w:cs="仿宋_GB2312"/>
          <w:sz w:val="32"/>
          <w:szCs w:val="32"/>
          <w:lang w:val="en-US" w:eastAsia="zh-CN"/>
        </w:rPr>
        <w:t>14.78</w:t>
      </w:r>
      <w:r>
        <w:rPr>
          <w:rFonts w:hint="eastAsia" w:eastAsia="仿宋_GB2312" w:cs="仿宋_GB2312"/>
          <w:sz w:val="32"/>
          <w:szCs w:val="32"/>
        </w:rPr>
        <w:t>%；卫生健康支出</w:t>
      </w:r>
      <w:r>
        <w:rPr>
          <w:rFonts w:hint="eastAsia" w:eastAsia="仿宋_GB2312" w:cs="仿宋_GB2312"/>
          <w:sz w:val="32"/>
          <w:szCs w:val="32"/>
          <w:lang w:val="en-US" w:eastAsia="zh-CN"/>
        </w:rPr>
        <w:t>55.37</w:t>
      </w:r>
      <w:r>
        <w:rPr>
          <w:rFonts w:hint="eastAsia" w:eastAsia="仿宋_GB2312" w:cs="仿宋_GB2312"/>
          <w:sz w:val="32"/>
          <w:szCs w:val="32"/>
        </w:rPr>
        <w:t>万元，占</w:t>
      </w:r>
      <w:r>
        <w:rPr>
          <w:rFonts w:hint="eastAsia" w:eastAsia="仿宋_GB2312" w:cs="仿宋_GB2312"/>
          <w:sz w:val="32"/>
          <w:szCs w:val="32"/>
          <w:lang w:val="en-US" w:eastAsia="zh-CN"/>
        </w:rPr>
        <w:t>4.72</w:t>
      </w:r>
      <w:r>
        <w:rPr>
          <w:rFonts w:hint="eastAsia" w:eastAsia="仿宋_GB2312" w:cs="仿宋_GB2312"/>
          <w:sz w:val="32"/>
          <w:szCs w:val="32"/>
        </w:rPr>
        <w:t>%；住房保障支出</w:t>
      </w:r>
      <w:r>
        <w:rPr>
          <w:rFonts w:hint="eastAsia" w:eastAsia="仿宋_GB2312" w:cs="仿宋_GB2312"/>
          <w:sz w:val="32"/>
          <w:szCs w:val="32"/>
          <w:lang w:val="en-US" w:eastAsia="zh-CN"/>
        </w:rPr>
        <w:t>76.63</w:t>
      </w:r>
      <w:r>
        <w:rPr>
          <w:rFonts w:hint="eastAsia" w:eastAsia="仿宋_GB2312" w:cs="仿宋_GB2312"/>
          <w:sz w:val="32"/>
          <w:szCs w:val="32"/>
        </w:rPr>
        <w:t>万元，占</w:t>
      </w:r>
      <w:r>
        <w:rPr>
          <w:rFonts w:hint="eastAsia" w:eastAsia="仿宋_GB2312" w:cs="仿宋_GB2312"/>
          <w:sz w:val="32"/>
          <w:szCs w:val="32"/>
          <w:lang w:val="en-US" w:eastAsia="zh-CN"/>
        </w:rPr>
        <w:t>6.54</w:t>
      </w:r>
      <w:r>
        <w:rPr>
          <w:rFonts w:hint="eastAsia" w:eastAsia="仿宋_GB2312" w:cs="仿宋_GB2312"/>
          <w:sz w:val="32"/>
          <w:szCs w:val="32"/>
        </w:rPr>
        <w:t>%</w:t>
      </w:r>
      <w:r>
        <w:rPr>
          <w:rFonts w:hint="eastAsia" w:eastAsia="仿宋_GB2312" w:cs="仿宋_GB2312"/>
          <w:sz w:val="32"/>
          <w:szCs w:val="32"/>
          <w:lang w:eastAsia="zh-CN"/>
        </w:rPr>
        <w:t>。</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pPr>
        <w:spacing w:line="600" w:lineRule="exact"/>
        <w:ind w:firstLine="640"/>
        <w:rPr>
          <w:rFonts w:eastAsia="仿宋_GB2312" w:cs="仿宋_GB2312"/>
          <w:sz w:val="32"/>
          <w:szCs w:val="32"/>
        </w:rPr>
      </w:pPr>
      <w:r>
        <w:drawing>
          <wp:anchor distT="0" distB="0" distL="114300" distR="114300" simplePos="0" relativeHeight="251662336" behindDoc="0" locked="0" layoutInCell="1" allowOverlap="1">
            <wp:simplePos x="0" y="0"/>
            <wp:positionH relativeFrom="column">
              <wp:posOffset>356870</wp:posOffset>
            </wp:positionH>
            <wp:positionV relativeFrom="paragraph">
              <wp:posOffset>176530</wp:posOffset>
            </wp:positionV>
            <wp:extent cx="4730750" cy="2733675"/>
            <wp:effectExtent l="4445" t="5080" r="8255" b="4445"/>
            <wp:wrapNone/>
            <wp:docPr id="3"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pStyle w:val="3"/>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26" w:name="_Toc15377212"/>
      <w:r>
        <w:rPr>
          <w:rFonts w:hint="eastAsia" w:eastAsia="楷体_GB2312" w:cs="楷体_GB2312"/>
          <w:b/>
          <w:sz w:val="32"/>
          <w:szCs w:val="32"/>
        </w:rPr>
        <w:t>（三）一般公共预算财政拨款支出决算具体情况</w:t>
      </w:r>
      <w:bookmarkEnd w:id="26"/>
    </w:p>
    <w:p>
      <w:pPr>
        <w:spacing w:line="600" w:lineRule="exact"/>
        <w:ind w:firstLine="640"/>
        <w:rPr>
          <w:rFonts w:eastAsia="仿宋_GB2312" w:cs="仿宋_GB2312"/>
          <w:sz w:val="32"/>
          <w:szCs w:val="32"/>
        </w:rPr>
      </w:pPr>
      <w:bookmarkStart w:id="27" w:name="_Toc15378460"/>
      <w:bookmarkStart w:id="28" w:name="_Toc15377444"/>
      <w:bookmarkStart w:id="29"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1172.08，</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7"/>
      <w:bookmarkEnd w:id="28"/>
      <w:bookmarkEnd w:id="29"/>
    </w:p>
    <w:p>
      <w:pPr>
        <w:numPr>
          <w:ilvl w:val="0"/>
          <w:numId w:val="0"/>
        </w:numPr>
        <w:spacing w:line="600" w:lineRule="exact"/>
        <w:ind w:firstLine="640" w:firstLineChars="200"/>
        <w:rPr>
          <w:rFonts w:hint="eastAsia"/>
        </w:rPr>
      </w:pPr>
      <w:r>
        <w:rPr>
          <w:rFonts w:hint="eastAsia" w:eastAsia="仿宋_GB2312" w:cs="仿宋_GB2312"/>
          <w:sz w:val="32"/>
          <w:szCs w:val="32"/>
          <w:lang w:val="en-US" w:eastAsia="zh-CN"/>
        </w:rPr>
        <w:t>1.</w:t>
      </w:r>
      <w:r>
        <w:rPr>
          <w:rFonts w:hint="eastAsia" w:eastAsia="仿宋_GB2312" w:cs="仿宋_GB2312"/>
          <w:sz w:val="32"/>
          <w:szCs w:val="32"/>
        </w:rPr>
        <w:t>教育支出（类）特殊教育（款）特殊学校教育（项）： 支出决算为</w:t>
      </w:r>
      <w:r>
        <w:rPr>
          <w:rFonts w:hint="eastAsia" w:eastAsia="仿宋_GB2312" w:cs="仿宋_GB2312"/>
          <w:sz w:val="32"/>
          <w:szCs w:val="32"/>
          <w:lang w:val="en-US" w:eastAsia="zh-CN"/>
        </w:rPr>
        <w:t>832.11</w:t>
      </w:r>
      <w:r>
        <w:rPr>
          <w:rFonts w:hint="eastAsia" w:eastAsia="仿宋_GB2312" w:cs="仿宋_GB2312"/>
          <w:sz w:val="32"/>
          <w:szCs w:val="32"/>
        </w:rPr>
        <w:t>万元，完成预算100%，决算数与预算数持平。</w:t>
      </w:r>
    </w:p>
    <w:p>
      <w:pPr>
        <w:numPr>
          <w:ilvl w:val="0"/>
          <w:numId w:val="0"/>
        </w:numPr>
        <w:spacing w:line="600" w:lineRule="exact"/>
        <w:ind w:firstLine="640" w:firstLineChars="200"/>
        <w:rPr>
          <w:rFonts w:hint="eastAsia" w:eastAsia="仿宋_GB2312" w:cs="仿宋_GB2312"/>
          <w:sz w:val="32"/>
          <w:szCs w:val="32"/>
          <w:lang w:val="en-US" w:eastAsia="zh-CN"/>
        </w:rPr>
      </w:pPr>
      <w:r>
        <w:rPr>
          <w:rFonts w:hint="eastAsia" w:eastAsia="仿宋_GB2312" w:cs="仿宋_GB2312"/>
          <w:sz w:val="32"/>
          <w:szCs w:val="32"/>
        </w:rPr>
        <w:t>教育支出（类）教育费附加安排的支出（款）其他教育费附加安排的支出（项）：支出决算为</w:t>
      </w:r>
      <w:r>
        <w:rPr>
          <w:rFonts w:hint="eastAsia" w:eastAsia="仿宋_GB2312" w:cs="仿宋_GB2312"/>
          <w:sz w:val="32"/>
          <w:szCs w:val="32"/>
          <w:lang w:val="en-US" w:eastAsia="zh-CN"/>
        </w:rPr>
        <w:t>34.77</w:t>
      </w:r>
      <w:r>
        <w:rPr>
          <w:rFonts w:hint="eastAsia" w:eastAsia="仿宋_GB2312" w:cs="仿宋_GB2312"/>
          <w:sz w:val="32"/>
          <w:szCs w:val="32"/>
        </w:rPr>
        <w:t>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.社会保障和就业支出（类）行政事业单位养老支出（款）事业单位离退休（项）：支出决算为</w:t>
      </w:r>
      <w:r>
        <w:rPr>
          <w:rFonts w:hint="eastAsia" w:eastAsia="仿宋_GB2312" w:cs="仿宋_GB2312"/>
          <w:sz w:val="32"/>
          <w:szCs w:val="32"/>
          <w:lang w:val="en-US" w:eastAsia="zh-CN"/>
        </w:rPr>
        <w:t>60.75</w:t>
      </w:r>
      <w:r>
        <w:rPr>
          <w:rFonts w:hint="eastAsia" w:eastAsia="仿宋_GB2312" w:cs="仿宋_GB2312"/>
          <w:sz w:val="32"/>
          <w:szCs w:val="32"/>
        </w:rPr>
        <w:t>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社会保障和就业支出（类）行政事业单位养老支出（款）机关事业单位基本养老保险缴费支出（项）：支出决算为10</w:t>
      </w:r>
      <w:r>
        <w:rPr>
          <w:rFonts w:hint="eastAsia" w:eastAsia="仿宋_GB2312" w:cs="仿宋_GB2312"/>
          <w:sz w:val="32"/>
          <w:szCs w:val="32"/>
          <w:lang w:val="en-US" w:eastAsia="zh-CN"/>
        </w:rPr>
        <w:t>5.93</w:t>
      </w:r>
      <w:r>
        <w:rPr>
          <w:rFonts w:hint="eastAsia" w:eastAsia="仿宋_GB2312" w:cs="仿宋_GB2312"/>
          <w:sz w:val="32"/>
          <w:szCs w:val="32"/>
        </w:rPr>
        <w:t>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社会保障和就业支出（类）抚恤（款）死亡抚恤（项）：支出决算为</w:t>
      </w:r>
      <w:r>
        <w:rPr>
          <w:rFonts w:hint="eastAsia" w:eastAsia="仿宋_GB2312" w:cs="仿宋_GB2312"/>
          <w:sz w:val="32"/>
          <w:szCs w:val="32"/>
          <w:lang w:val="en-US" w:eastAsia="zh-CN"/>
        </w:rPr>
        <w:t>6.52</w:t>
      </w:r>
      <w:r>
        <w:rPr>
          <w:rFonts w:hint="eastAsia" w:eastAsia="仿宋_GB2312" w:cs="仿宋_GB2312"/>
          <w:sz w:val="32"/>
          <w:szCs w:val="32"/>
        </w:rPr>
        <w:t>万元，完成预算100%，决算数与预算数持平。</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lang w:val="en-US" w:eastAsia="zh-CN"/>
        </w:rPr>
        <w:t>3.卫生健康支出</w:t>
      </w:r>
      <w:r>
        <w:rPr>
          <w:rFonts w:hint="eastAsia" w:eastAsia="仿宋_GB2312" w:cs="仿宋_GB2312"/>
          <w:sz w:val="32"/>
          <w:szCs w:val="32"/>
        </w:rPr>
        <w:t>（类）行政事业单位医疗（款）事业单位医疗（项）</w:t>
      </w:r>
      <w:r>
        <w:rPr>
          <w:rFonts w:hint="eastAsia" w:eastAsia="仿宋_GB2312" w:cs="仿宋_GB2312"/>
          <w:sz w:val="32"/>
          <w:szCs w:val="32"/>
          <w:lang w:eastAsia="zh-CN"/>
        </w:rPr>
        <w:t>：</w:t>
      </w:r>
      <w:r>
        <w:rPr>
          <w:rFonts w:hint="eastAsia" w:eastAsia="仿宋_GB2312" w:cs="仿宋_GB2312"/>
          <w:sz w:val="32"/>
          <w:szCs w:val="32"/>
        </w:rPr>
        <w:t>支出决算为</w:t>
      </w:r>
      <w:r>
        <w:rPr>
          <w:rFonts w:hint="eastAsia" w:eastAsia="仿宋_GB2312" w:cs="仿宋_GB2312"/>
          <w:sz w:val="32"/>
          <w:szCs w:val="32"/>
          <w:lang w:val="en-US" w:eastAsia="zh-CN"/>
        </w:rPr>
        <w:t>50.13</w:t>
      </w:r>
      <w:r>
        <w:rPr>
          <w:rFonts w:hint="eastAsia" w:eastAsia="仿宋_GB2312" w:cs="仿宋_GB2312"/>
          <w:sz w:val="32"/>
          <w:szCs w:val="32"/>
        </w:rPr>
        <w:t>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卫生健康支出</w:t>
      </w:r>
      <w:r>
        <w:rPr>
          <w:rFonts w:hint="eastAsia" w:eastAsia="仿宋_GB2312" w:cs="仿宋_GB2312"/>
          <w:sz w:val="32"/>
          <w:szCs w:val="32"/>
        </w:rPr>
        <w:t>（类）行政事业单位医疗（款）公务员医疗补助（项）</w:t>
      </w:r>
      <w:r>
        <w:rPr>
          <w:rFonts w:hint="eastAsia" w:eastAsia="仿宋_GB2312" w:cs="仿宋_GB2312"/>
          <w:sz w:val="32"/>
          <w:szCs w:val="32"/>
          <w:lang w:eastAsia="zh-CN"/>
        </w:rPr>
        <w:t>：</w:t>
      </w:r>
      <w:r>
        <w:rPr>
          <w:rFonts w:hint="eastAsia" w:eastAsia="仿宋_GB2312" w:cs="仿宋_GB2312"/>
          <w:sz w:val="32"/>
          <w:szCs w:val="32"/>
        </w:rPr>
        <w:t>支出决算为</w:t>
      </w:r>
      <w:r>
        <w:rPr>
          <w:rFonts w:hint="eastAsia" w:eastAsia="仿宋_GB2312" w:cs="仿宋_GB2312"/>
          <w:sz w:val="32"/>
          <w:szCs w:val="32"/>
          <w:lang w:val="en-US" w:eastAsia="zh-CN"/>
        </w:rPr>
        <w:t>5.24</w:t>
      </w:r>
      <w:r>
        <w:rPr>
          <w:rFonts w:hint="eastAsia" w:eastAsia="仿宋_GB2312" w:cs="仿宋_GB2312"/>
          <w:sz w:val="32"/>
          <w:szCs w:val="32"/>
        </w:rPr>
        <w:t>万元，完成预算100%，决算数与预算数持平。</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4.住房保障支出（类）住房改革支出（款）住房公积金（项）： 支出决算为76.63万元，完成预算100%，决算数与预算数持平。</w:t>
      </w:r>
    </w:p>
    <w:p>
      <w:pPr>
        <w:tabs>
          <w:tab w:val="right" w:pos="8306"/>
        </w:tabs>
        <w:spacing w:line="600" w:lineRule="exact"/>
        <w:ind w:firstLine="640"/>
        <w:outlineLvl w:val="1"/>
        <w:rPr>
          <w:rStyle w:val="29"/>
          <w:rFonts w:ascii="Times New Roman" w:hAnsi="Times New Roman"/>
        </w:rPr>
      </w:pPr>
      <w:bookmarkStart w:id="30" w:name="_Toc15396608"/>
      <w:bookmarkStart w:id="31" w:name="_Toc15377214"/>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0"/>
      <w:bookmarkEnd w:id="31"/>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1035.63万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974.39万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61.23万</w:t>
      </w:r>
      <w:r>
        <w:rPr>
          <w:rFonts w:hint="eastAsia" w:eastAsia="仿宋_GB2312" w:cs="仿宋_GB2312"/>
          <w:sz w:val="32"/>
          <w:szCs w:val="32"/>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rPr>
      </w:pPr>
      <w:bookmarkStart w:id="32" w:name="_Toc15396609"/>
      <w:bookmarkStart w:id="33"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2"/>
      <w:bookmarkEnd w:id="33"/>
    </w:p>
    <w:p>
      <w:pPr>
        <w:spacing w:line="600" w:lineRule="exact"/>
        <w:ind w:firstLine="642" w:firstLineChars="200"/>
        <w:outlineLvl w:val="2"/>
        <w:rPr>
          <w:rFonts w:eastAsia="楷体_GB2312" w:cs="楷体_GB2312"/>
          <w:b/>
          <w:sz w:val="32"/>
          <w:szCs w:val="32"/>
        </w:rPr>
      </w:pPr>
      <w:bookmarkStart w:id="34" w:name="_Toc15377216"/>
      <w:r>
        <w:rPr>
          <w:rFonts w:hint="eastAsia" w:eastAsia="楷体_GB2312" w:cs="楷体_GB2312"/>
          <w:b/>
          <w:sz w:val="32"/>
          <w:szCs w:val="32"/>
        </w:rPr>
        <w:t>（一）“三公”经费财政拨款支出决算总体情况说明</w:t>
      </w:r>
      <w:bookmarkEnd w:id="34"/>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0.83万元，完成预算100%，</w:t>
      </w:r>
      <w:r>
        <w:rPr>
          <w:rFonts w:hint="eastAsia" w:eastAsia="仿宋_GB2312" w:cs="仿宋_GB2312"/>
          <w:sz w:val="32"/>
          <w:szCs w:val="32"/>
        </w:rPr>
        <w:t>较上年度增加</w:t>
      </w:r>
      <w:r>
        <w:rPr>
          <w:rFonts w:hint="eastAsia" w:eastAsia="仿宋_GB2312" w:cs="仿宋_GB2312"/>
          <w:sz w:val="32"/>
          <w:szCs w:val="32"/>
          <w:lang w:val="en-US" w:eastAsia="zh-CN"/>
        </w:rPr>
        <w:t>0.36</w:t>
      </w:r>
      <w:r>
        <w:rPr>
          <w:rFonts w:hint="eastAsia" w:eastAsia="仿宋_GB2312" w:cs="仿宋_GB2312"/>
          <w:sz w:val="32"/>
          <w:szCs w:val="32"/>
        </w:rPr>
        <w:t>万元，增长</w:t>
      </w:r>
      <w:r>
        <w:rPr>
          <w:rFonts w:hint="eastAsia" w:eastAsia="仿宋_GB2312" w:cs="仿宋_GB2312"/>
          <w:sz w:val="32"/>
          <w:szCs w:val="32"/>
          <w:lang w:val="en-US" w:eastAsia="zh-CN"/>
        </w:rPr>
        <w:t>76.6</w:t>
      </w:r>
      <w:r>
        <w:rPr>
          <w:rFonts w:hint="eastAsia" w:eastAsia="仿宋_GB2312" w:cs="仿宋_GB2312"/>
          <w:sz w:val="32"/>
          <w:szCs w:val="32"/>
        </w:rPr>
        <w:t>%。决算数与预算数持平。</w:t>
      </w:r>
    </w:p>
    <w:p>
      <w:pPr>
        <w:spacing w:line="600" w:lineRule="exact"/>
        <w:ind w:firstLine="642" w:firstLineChars="200"/>
        <w:outlineLvl w:val="2"/>
        <w:rPr>
          <w:rFonts w:eastAsia="楷体_GB2312" w:cs="楷体_GB2312"/>
          <w:b/>
          <w:sz w:val="32"/>
          <w:szCs w:val="32"/>
        </w:rPr>
      </w:pPr>
      <w:bookmarkStart w:id="35" w:name="_Toc15377217"/>
      <w:r>
        <w:rPr>
          <w:rFonts w:hint="eastAsia" w:eastAsia="楷体_GB2312" w:cs="楷体_GB2312"/>
          <w:b/>
          <w:sz w:val="32"/>
          <w:szCs w:val="32"/>
        </w:rPr>
        <w:t>（二）“三公”经费财政拨款支出决算具体情况说明</w:t>
      </w:r>
      <w:bookmarkEnd w:id="35"/>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%；公务用车购置及运行维护费支出决算0.83万元，占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（图7：“三公”经费财政拨款支出结构）（饼状图）</w:t>
      </w:r>
    </w:p>
    <w:p>
      <w:pPr>
        <w:spacing w:line="600" w:lineRule="exact"/>
        <w:ind w:firstLine="640"/>
        <w:rPr>
          <w:rFonts w:hint="eastAsia" w:eastAsia="仿宋_GB2312" w:cs="仿宋_GB2312"/>
          <w:b/>
          <w:bCs/>
          <w:sz w:val="32"/>
          <w:szCs w:val="32"/>
        </w:rPr>
      </w:pPr>
      <w:r>
        <w:drawing>
          <wp:anchor distT="0" distB="0" distL="114300" distR="114300" simplePos="0" relativeHeight="251663360" behindDoc="1" locked="0" layoutInCell="1" allowOverlap="1">
            <wp:simplePos x="0" y="0"/>
            <wp:positionH relativeFrom="column">
              <wp:posOffset>258445</wp:posOffset>
            </wp:positionH>
            <wp:positionV relativeFrom="paragraph">
              <wp:posOffset>223520</wp:posOffset>
            </wp:positionV>
            <wp:extent cx="4826000" cy="2743200"/>
            <wp:effectExtent l="4445" t="4445" r="8255" b="14605"/>
            <wp:wrapNone/>
            <wp:docPr id="4"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hint="eastAsia" w:eastAsia="仿宋_GB2312" w:cs="仿宋_GB2312"/>
          <w:b/>
          <w:bCs/>
          <w:sz w:val="32"/>
          <w:szCs w:val="32"/>
        </w:rPr>
      </w:pP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hint="eastAsia" w:eastAsia="仿宋_GB2312" w:cs="仿宋_GB2312"/>
          <w:b/>
          <w:bCs/>
          <w:sz w:val="32"/>
          <w:szCs w:val="32"/>
        </w:rPr>
        <w:t>%。</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。因公出国（境）支出决算与2022年持平。</w:t>
      </w:r>
    </w:p>
    <w:p>
      <w:pPr>
        <w:spacing w:line="600" w:lineRule="exact"/>
        <w:ind w:firstLine="640"/>
        <w:rPr>
          <w:rFonts w:hint="eastAsia" w:eastAsia="仿宋_GB2312" w:cs="仿宋_GB2312"/>
          <w:sz w:val="32"/>
          <w:szCs w:val="32"/>
        </w:rPr>
      </w:pPr>
      <w:r>
        <w:rPr>
          <w:rFonts w:hint="eastAsia" w:eastAsia="仿宋_GB2312" w:cs="仿宋_GB2312"/>
          <w:sz w:val="32"/>
          <w:szCs w:val="32"/>
        </w:rPr>
        <w:t>开支内容包括：未安排，不涉及。</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0.83万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公务用车购置及运行维护费支出决算比2023年度增加</w:t>
      </w:r>
      <w:r>
        <w:rPr>
          <w:rFonts w:hint="eastAsia" w:eastAsia="仿宋_GB2312" w:cs="仿宋_GB2312"/>
          <w:sz w:val="32"/>
          <w:szCs w:val="32"/>
          <w:lang w:val="en-US" w:eastAsia="zh-CN"/>
        </w:rPr>
        <w:t>0.36</w:t>
      </w:r>
      <w:r>
        <w:rPr>
          <w:rFonts w:hint="eastAsia" w:eastAsia="仿宋_GB2312" w:cs="仿宋_GB2312"/>
          <w:sz w:val="32"/>
          <w:szCs w:val="32"/>
        </w:rPr>
        <w:t>万元，增长</w:t>
      </w:r>
      <w:r>
        <w:rPr>
          <w:rFonts w:hint="eastAsia" w:eastAsia="仿宋_GB2312" w:cs="仿宋_GB2312"/>
          <w:sz w:val="32"/>
          <w:szCs w:val="32"/>
          <w:lang w:val="en-US" w:eastAsia="zh-CN"/>
        </w:rPr>
        <w:t>76.6</w:t>
      </w:r>
      <w:r>
        <w:rPr>
          <w:rFonts w:hint="eastAsia" w:eastAsia="仿宋_GB2312" w:cs="仿宋_GB2312"/>
          <w:sz w:val="32"/>
          <w:szCs w:val="32"/>
        </w:rPr>
        <w:t>%。主要原因是我校202</w:t>
      </w:r>
      <w:r>
        <w:rPr>
          <w:rFonts w:hint="eastAsia" w:eastAsia="仿宋_GB2312" w:cs="仿宋_GB2312"/>
          <w:sz w:val="32"/>
          <w:szCs w:val="32"/>
          <w:lang w:val="en-US" w:eastAsia="zh-CN"/>
        </w:rPr>
        <w:t>4</w:t>
      </w:r>
      <w:r>
        <w:rPr>
          <w:rFonts w:hint="eastAsia" w:eastAsia="仿宋_GB2312" w:cs="仿宋_GB2312"/>
          <w:sz w:val="32"/>
          <w:szCs w:val="32"/>
        </w:rPr>
        <w:t>年开展了送教上门服务，保障随班就读指导中心工作正常开展，并开展与其他省市特殊教育学校研讨活动，加大交流学习力度。</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辆，其中：轿车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万元，越野车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万元，载客汽车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1</w:t>
      </w:r>
      <w:r>
        <w:rPr>
          <w:rFonts w:hint="eastAsia" w:eastAsia="仿宋_GB2312" w:cs="仿宋_GB2312"/>
          <w:sz w:val="32"/>
          <w:szCs w:val="32"/>
        </w:rPr>
        <w:t>辆、越野车</w:t>
      </w:r>
      <w:r>
        <w:rPr>
          <w:rFonts w:hint="eastAsia" w:eastAsia="仿宋_GB2312" w:cs="仿宋_GB2312"/>
          <w:sz w:val="32"/>
          <w:szCs w:val="32"/>
          <w:lang w:val="en-US" w:eastAsia="zh-CN"/>
        </w:rPr>
        <w:t>0</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pPr>
        <w:spacing w:line="600" w:lineRule="exact"/>
        <w:ind w:firstLine="640"/>
        <w:rPr>
          <w:rFonts w:hint="eastAsia"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出0.83</w:t>
      </w:r>
      <w:r>
        <w:rPr>
          <w:rFonts w:hint="eastAsia" w:eastAsia="仿宋_GB2312" w:cs="仿宋_GB2312"/>
          <w:sz w:val="32"/>
          <w:szCs w:val="32"/>
        </w:rPr>
        <w:t>万元。主要用于接送学生就医、送教上门、与其他学校交流学习、教学办公紧急会议等所需的公务用车燃料费、维修费、过路过桥费、保险费等支出。</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w:t>
      </w:r>
      <w:r>
        <w:rPr>
          <w:rFonts w:hint="eastAsia" w:eastAsia="仿宋_GB2312" w:cs="仿宋_GB2312"/>
          <w:b/>
          <w:bCs/>
          <w:sz w:val="32"/>
          <w:szCs w:val="32"/>
          <w:lang w:val="en-US" w:eastAsia="zh-CN"/>
        </w:rPr>
        <w:t>0</w:t>
      </w:r>
      <w:r>
        <w:rPr>
          <w:rFonts w:hint="eastAsia" w:eastAsia="仿宋_GB2312" w:cs="仿宋_GB2312"/>
          <w:b/>
          <w:bCs/>
          <w:sz w:val="32"/>
          <w:szCs w:val="32"/>
        </w:rPr>
        <w:t>%。</w:t>
      </w:r>
      <w:r>
        <w:rPr>
          <w:rFonts w:hint="eastAsia" w:eastAsia="仿宋_GB2312" w:cs="仿宋_GB2312"/>
          <w:sz w:val="32"/>
          <w:szCs w:val="32"/>
        </w:rPr>
        <w:t>公务接待费支出决算与202</w:t>
      </w:r>
      <w:r>
        <w:rPr>
          <w:rFonts w:hint="eastAsia" w:eastAsia="仿宋_GB2312" w:cs="仿宋_GB2312"/>
          <w:sz w:val="32"/>
          <w:szCs w:val="32"/>
          <w:lang w:val="en-US" w:eastAsia="zh-CN"/>
        </w:rPr>
        <w:t>3</w:t>
      </w:r>
      <w:r>
        <w:rPr>
          <w:rFonts w:hint="eastAsia" w:eastAsia="仿宋_GB2312" w:cs="仿宋_GB2312"/>
          <w:sz w:val="32"/>
          <w:szCs w:val="32"/>
        </w:rPr>
        <w:t>年持平。其中：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元。国内公务接</w:t>
      </w:r>
      <w:r>
        <w:rPr>
          <w:rFonts w:hint="eastAsia" w:ascii="仿宋_GB2312" w:hAnsi="仿宋_GB2312" w:eastAsia="仿宋_GB2312" w:cs="仿宋_GB2312"/>
          <w:sz w:val="32"/>
          <w:szCs w:val="32"/>
        </w:rPr>
        <w:t>待0批次，0</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w:t>
      </w:r>
      <w:r>
        <w:rPr>
          <w:rFonts w:hint="eastAsia" w:eastAsia="仿宋_GB2312" w:cs="仿宋_GB2312"/>
          <w:sz w:val="32"/>
          <w:szCs w:val="32"/>
        </w:rPr>
        <w:t>万元。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w:t>
      </w:r>
      <w:r>
        <w:rPr>
          <w:rFonts w:hint="eastAsia" w:eastAsia="仿宋_GB2312" w:cs="仿宋_GB2312"/>
          <w:sz w:val="32"/>
          <w:szCs w:val="32"/>
        </w:rPr>
        <w:t>元。</w:t>
      </w:r>
      <w:bookmarkStart w:id="36" w:name="_Toc15377218"/>
      <w:bookmarkStart w:id="37" w:name="_Toc15396610"/>
    </w:p>
    <w:p>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6"/>
      <w:bookmarkEnd w:id="37"/>
    </w:p>
    <w:p>
      <w:pPr>
        <w:spacing w:line="600" w:lineRule="exact"/>
        <w:ind w:firstLine="640"/>
        <w:rPr>
          <w:rFonts w:hint="default" w:eastAsia="仿宋_GB2312" w:cs="仿宋_GB2312"/>
          <w:sz w:val="32"/>
          <w:szCs w:val="32"/>
          <w:lang w:val="en-US" w:eastAsia="zh-CN"/>
        </w:rPr>
      </w:pPr>
      <w:r>
        <w:rPr>
          <w:rFonts w:hint="eastAsia" w:ascii="仿宋_GB2312" w:hAnsi="仿宋_GB2312" w:eastAsia="仿宋_GB2312" w:cs="仿宋_GB2312"/>
          <w:sz w:val="32"/>
          <w:szCs w:val="32"/>
        </w:rPr>
        <w:t>2024年度政府性基金预算财政拨款支出40.53万元，占本年支出合计的3.33%</w:t>
      </w:r>
      <w:r>
        <w:rPr>
          <w:rFonts w:hint="eastAsia" w:eastAsia="仿宋_GB2312" w:cs="仿宋_GB2312"/>
          <w:sz w:val="32"/>
          <w:szCs w:val="32"/>
        </w:rPr>
        <w:t>。与2023年度相比，政府性基金预算财政拨款支出增加</w:t>
      </w:r>
      <w:r>
        <w:rPr>
          <w:rFonts w:hint="eastAsia" w:eastAsia="仿宋_GB2312" w:cs="仿宋_GB2312"/>
          <w:sz w:val="32"/>
          <w:szCs w:val="32"/>
          <w:lang w:val="en-US" w:eastAsia="zh-CN"/>
        </w:rPr>
        <w:t>39.06</w:t>
      </w:r>
      <w:r>
        <w:rPr>
          <w:rFonts w:hint="eastAsia" w:eastAsia="仿宋_GB2312" w:cs="仿宋_GB2312"/>
          <w:sz w:val="32"/>
          <w:szCs w:val="32"/>
        </w:rPr>
        <w:t>万元，增长</w:t>
      </w:r>
      <w:r>
        <w:rPr>
          <w:rFonts w:hint="eastAsia" w:eastAsia="仿宋_GB2312" w:cs="仿宋_GB2312"/>
          <w:sz w:val="32"/>
          <w:szCs w:val="32"/>
          <w:lang w:val="en-US" w:eastAsia="zh-CN"/>
        </w:rPr>
        <w:t>2657</w:t>
      </w:r>
      <w:r>
        <w:rPr>
          <w:rFonts w:hint="eastAsia" w:eastAsia="仿宋_GB2312" w:cs="仿宋_GB2312"/>
          <w:sz w:val="32"/>
          <w:szCs w:val="32"/>
        </w:rPr>
        <w:t>%。主要变动原因是</w:t>
      </w:r>
      <w:r>
        <w:rPr>
          <w:rFonts w:hint="eastAsia" w:eastAsia="仿宋_GB2312" w:cs="仿宋_GB2312"/>
          <w:sz w:val="32"/>
          <w:szCs w:val="32"/>
          <w:lang w:val="en-US" w:eastAsia="zh-CN"/>
        </w:rPr>
        <w:t>2024年度支出了体育康复赛事相关专项费用，用于改善残疾学生体育教学环境、举办体育赛事等。</w:t>
      </w:r>
    </w:p>
    <w:p>
      <w:pPr>
        <w:spacing w:line="600" w:lineRule="exact"/>
        <w:ind w:left="630"/>
        <w:outlineLvl w:val="1"/>
        <w:rPr>
          <w:rStyle w:val="29"/>
          <w:rFonts w:ascii="Times New Roman" w:hAnsi="Times New Roman" w:eastAsia="黑体"/>
          <w:b w:val="0"/>
        </w:rPr>
      </w:pPr>
      <w:bookmarkStart w:id="38" w:name="_Toc15377219"/>
      <w:bookmarkStart w:id="39" w:name="_Toc15396611"/>
      <w:r>
        <w:rPr>
          <w:rStyle w:val="29"/>
          <w:rFonts w:hint="eastAsia" w:ascii="Times New Roman" w:hAnsi="Times New Roman" w:eastAsia="黑体"/>
          <w:b w:val="0"/>
        </w:rPr>
        <w:t>九、国有资本经营预算支出决算情况说明</w:t>
      </w:r>
      <w:bookmarkEnd w:id="38"/>
      <w:bookmarkEnd w:id="39"/>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。与2023年度决算数持平</w:t>
      </w:r>
      <w:r>
        <w:rPr>
          <w:rFonts w:hint="eastAsia" w:eastAsia="仿宋_GB2312" w:cs="仿宋_GB2312"/>
          <w:sz w:val="32"/>
          <w:szCs w:val="32"/>
          <w:lang w:eastAsia="zh-CN"/>
        </w:rPr>
        <w:t>。</w:t>
      </w:r>
    </w:p>
    <w:p>
      <w:pPr>
        <w:spacing w:line="600" w:lineRule="exact"/>
        <w:ind w:left="630"/>
        <w:outlineLvl w:val="1"/>
        <w:rPr>
          <w:rStyle w:val="29"/>
          <w:rFonts w:ascii="Times New Roman" w:hAnsi="Times New Roman" w:eastAsia="黑体"/>
          <w:b w:val="0"/>
        </w:rPr>
      </w:pPr>
      <w:bookmarkStart w:id="40" w:name="_Toc15377221"/>
      <w:bookmarkStart w:id="41" w:name="_Toc15396612"/>
      <w:r>
        <w:rPr>
          <w:rStyle w:val="29"/>
          <w:rFonts w:hint="eastAsia" w:ascii="Times New Roman" w:hAnsi="Times New Roman" w:eastAsia="黑体"/>
          <w:b w:val="0"/>
        </w:rPr>
        <w:t>十、其他重要事项的情况说明</w:t>
      </w:r>
      <w:bookmarkEnd w:id="40"/>
      <w:bookmarkEnd w:id="41"/>
    </w:p>
    <w:p>
      <w:pPr>
        <w:spacing w:line="600" w:lineRule="exact"/>
        <w:ind w:firstLine="642" w:firstLineChars="200"/>
        <w:outlineLvl w:val="2"/>
        <w:rPr>
          <w:rFonts w:eastAsia="楷体_GB2312" w:cs="楷体_GB2312"/>
          <w:b/>
          <w:sz w:val="32"/>
          <w:szCs w:val="32"/>
        </w:rPr>
      </w:pPr>
      <w:bookmarkStart w:id="42" w:name="_Toc15377222"/>
      <w:r>
        <w:rPr>
          <w:rFonts w:hint="eastAsia" w:eastAsia="楷体_GB2312" w:cs="楷体_GB2312"/>
          <w:b/>
          <w:sz w:val="32"/>
          <w:szCs w:val="32"/>
        </w:rPr>
        <w:t>（一）机关运行经费支出情况</w:t>
      </w:r>
      <w:bookmarkEnd w:id="42"/>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，四川省攀枝花市特殊教育学校机关运行经费支出0万</w:t>
      </w:r>
      <w:r>
        <w:rPr>
          <w:rFonts w:hint="eastAsia" w:eastAsia="仿宋_GB2312" w:cs="仿宋_GB2312"/>
          <w:sz w:val="32"/>
          <w:szCs w:val="32"/>
        </w:rPr>
        <w:t>元，与2023年度决算数持平。</w:t>
      </w:r>
    </w:p>
    <w:p>
      <w:pPr>
        <w:spacing w:line="600" w:lineRule="exact"/>
        <w:ind w:firstLine="642" w:firstLineChars="200"/>
        <w:outlineLvl w:val="2"/>
        <w:rPr>
          <w:rFonts w:eastAsia="楷体_GB2312" w:cs="楷体_GB2312"/>
          <w:b/>
          <w:sz w:val="32"/>
          <w:szCs w:val="32"/>
        </w:rPr>
      </w:pPr>
      <w:bookmarkStart w:id="43" w:name="_Toc15377223"/>
      <w:r>
        <w:rPr>
          <w:rFonts w:hint="eastAsia" w:eastAsia="楷体_GB2312" w:cs="楷体_GB2312"/>
          <w:b/>
          <w:sz w:val="32"/>
          <w:szCs w:val="32"/>
        </w:rPr>
        <w:t>（二）政府采购支出情况</w:t>
      </w:r>
      <w:bookmarkEnd w:id="43"/>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2024年度，四川省攀枝花市特殊教育学校政府采购支出总额13.18万元，其中：政府采购货物支出12.42万元、政府采购工程支出0万元、政府采购服务支出0.76万元。主要用于</w:t>
      </w:r>
      <w:r>
        <w:rPr>
          <w:rFonts w:hint="eastAsia" w:ascii="仿宋_GB2312" w:hAnsi="仿宋_GB2312" w:eastAsia="仿宋_GB2312" w:cs="仿宋_GB2312"/>
          <w:sz w:val="32"/>
          <w:szCs w:val="32"/>
          <w:lang w:eastAsia="zh-CN"/>
        </w:rPr>
        <w:t>采购公务车油、保险及教学设备</w:t>
      </w:r>
      <w:r>
        <w:rPr>
          <w:rFonts w:hint="eastAsia" w:ascii="仿宋_GB2312" w:hAnsi="仿宋_GB2312" w:eastAsia="仿宋_GB2312" w:cs="仿宋_GB2312"/>
          <w:sz w:val="32"/>
          <w:szCs w:val="32"/>
        </w:rPr>
        <w:t>。授予中小企业合同金额13.02万元，占政府采购支出总额的98.78%，其中：授予小微企业合同金额12.62万元，占政府采购支出总额的95.75%。</w:t>
      </w:r>
    </w:p>
    <w:p>
      <w:pPr>
        <w:spacing w:line="600" w:lineRule="exact"/>
        <w:ind w:firstLine="642" w:firstLineChars="200"/>
        <w:outlineLvl w:val="2"/>
        <w:rPr>
          <w:rFonts w:eastAsia="楷体_GB2312" w:cs="楷体_GB2312"/>
          <w:b/>
          <w:sz w:val="32"/>
          <w:szCs w:val="32"/>
        </w:rPr>
      </w:pPr>
      <w:bookmarkStart w:id="44" w:name="_Toc15377224"/>
      <w:r>
        <w:rPr>
          <w:rFonts w:hint="eastAsia" w:eastAsia="楷体_GB2312" w:cs="楷体_GB2312"/>
          <w:b/>
          <w:sz w:val="32"/>
          <w:szCs w:val="32"/>
        </w:rPr>
        <w:t>（三）国有资产占有使用情况</w:t>
      </w:r>
      <w:bookmarkEnd w:id="44"/>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截至2024年12月31日，四川省攀枝花市特殊教育学校共有车辆1辆，其中：主要负责人用车0辆、机要通信用车0辆、应急保障用车1辆、其他用车0辆。单价100万元（含）以上设备（不含车辆）0台（套）</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eastAsia="zh-CN"/>
        </w:rPr>
        <w:t>攀枝花市特殊教育学校</w:t>
      </w:r>
      <w:r>
        <w:rPr>
          <w:rFonts w:hint="eastAsia" w:eastAsia="仿宋_GB2312" w:cs="仿宋_GB2312"/>
          <w:sz w:val="32"/>
          <w:szCs w:val="32"/>
        </w:rPr>
        <w:t>在2024年度预算编制阶段，组织对义务教育阶段特殊教育学校和随班就读残疾学生生均公用经费等</w:t>
      </w:r>
      <w:r>
        <w:rPr>
          <w:rFonts w:hint="eastAsia" w:eastAsia="仿宋_GB2312" w:cs="仿宋_GB2312"/>
          <w:sz w:val="32"/>
          <w:szCs w:val="32"/>
          <w:lang w:val="en-US" w:eastAsia="zh-CN"/>
        </w:rPr>
        <w:t>13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13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13</w:t>
      </w:r>
      <w:r>
        <w:rPr>
          <w:rFonts w:hint="eastAsia" w:eastAsia="仿宋_GB2312" w:cs="仿宋_GB2312"/>
          <w:sz w:val="32"/>
          <w:szCs w:val="32"/>
        </w:rPr>
        <w:t>个项目开展绩效监控。</w:t>
      </w:r>
    </w:p>
    <w:p>
      <w:pPr>
        <w:spacing w:line="600" w:lineRule="exact"/>
        <w:ind w:firstLine="640"/>
        <w:rPr>
          <w:rFonts w:eastAsia="仿宋_GB2312" w:cs="仿宋_GB2312"/>
          <w:sz w:val="32"/>
          <w:szCs w:val="32"/>
        </w:rPr>
      </w:pPr>
      <w:r>
        <w:rPr>
          <w:rFonts w:hint="eastAsia" w:eastAsia="仿宋_GB2312" w:cs="仿宋_GB2312"/>
          <w:sz w:val="32"/>
          <w:szCs w:val="32"/>
        </w:rPr>
        <w:t>组织对2024年度一般公共预算、政府性基金预算、国有资本经营预算、社会保险基金预算以及资本资产、债券资金等全面开展绩效自评，形成</w:t>
      </w:r>
      <w:r>
        <w:rPr>
          <w:rFonts w:hint="eastAsia" w:eastAsia="仿宋_GB2312" w:cs="仿宋_GB2312"/>
          <w:sz w:val="32"/>
          <w:szCs w:val="32"/>
          <w:lang w:eastAsia="zh-CN"/>
        </w:rPr>
        <w:t>攀枝花市特殊教育学校</w:t>
      </w:r>
      <w:r>
        <w:rPr>
          <w:rFonts w:hint="eastAsia" w:eastAsia="仿宋_GB2312" w:cs="仿宋_GB2312"/>
          <w:sz w:val="32"/>
          <w:szCs w:val="32"/>
        </w:rPr>
        <w:t>整体绩效自评报告、义务教育阶段特殊教育学校和随班就读残疾学生生均公用经费等专项预算项目绩效自评报告，其中，</w:t>
      </w:r>
      <w:r>
        <w:rPr>
          <w:rFonts w:hint="eastAsia" w:eastAsia="仿宋_GB2312" w:cs="仿宋_GB2312"/>
          <w:sz w:val="32"/>
          <w:szCs w:val="32"/>
          <w:lang w:eastAsia="zh-CN"/>
        </w:rPr>
        <w:t>攀枝花市特殊教育学校整体</w:t>
      </w:r>
      <w:r>
        <w:rPr>
          <w:rFonts w:hint="eastAsia" w:eastAsia="仿宋_GB2312" w:cs="仿宋_GB2312"/>
          <w:sz w:val="32"/>
          <w:szCs w:val="32"/>
        </w:rPr>
        <w:t>绩效自评得分为</w:t>
      </w:r>
      <w:r>
        <w:rPr>
          <w:rFonts w:hint="eastAsia" w:eastAsia="仿宋_GB2312" w:cs="仿宋_GB2312"/>
          <w:sz w:val="32"/>
          <w:szCs w:val="32"/>
          <w:lang w:val="en-US" w:eastAsia="zh-CN"/>
        </w:rPr>
        <w:t>89.47</w:t>
      </w:r>
      <w:r>
        <w:rPr>
          <w:rFonts w:hint="eastAsia" w:eastAsia="仿宋_GB2312" w:cs="仿宋_GB2312"/>
          <w:sz w:val="32"/>
          <w:szCs w:val="32"/>
        </w:rPr>
        <w:t>分，绩效自评综述1.部门整体支出绩效评价情况分析。（1）职责履行情况良好。（2）履职效益明显。社会效益指标和社会公众或服务对象满意度指标与绩效指标实际执行情况基本相符。（3）预算配置科学。一是预算编制科学，部门预算按照合法合规，真实科学；综合预算，统筹安排；规划约束，讲求绩效；人员优先，确保重点的基本原则编制。二是基本支出足额保障。三是确保重点支出安排。四是严控“三公”经费支出。（4）预算执行有效。一是严格预算执行。二是严控结转结 余。三是项目组织良好，项目组织机构健全、职责明确；项目实施严格按照项目管理要求、项目质量要求、项目实施计划等有序组织开展。四是“三公”经费节支增效。（5）预算管理规范。一是管理制度健全，已制定内部财务管理制度，制度合法、合规、完整，制度得到有效执行。二是信息公开及时完整，预算决算严格按照规定时限公开。三是资产管理使用规范有效，资产管理规范、管理制度健全完整，资产保存完整、使用合规、配置合理、处置规范、收入及时足额上缴，固定资产利用率达95%以上。2.部门整体支出绩效综合评价结论。结合《部门预算绩效评价指标体系》绩效指标完成情况及部门绩效目标实现的综合分析，我校部门整体支出绩效综合评评分</w:t>
      </w:r>
      <w:r>
        <w:rPr>
          <w:rFonts w:hint="eastAsia" w:eastAsia="仿宋_GB2312" w:cs="仿宋_GB2312"/>
          <w:sz w:val="32"/>
          <w:szCs w:val="32"/>
          <w:lang w:val="en-US" w:eastAsia="zh-CN"/>
        </w:rPr>
        <w:t>89.47</w:t>
      </w:r>
      <w:r>
        <w:rPr>
          <w:rFonts w:hint="eastAsia" w:eastAsia="仿宋_GB2312" w:cs="仿宋_GB2312"/>
          <w:sz w:val="32"/>
          <w:szCs w:val="32"/>
        </w:rPr>
        <w:t>分，基本达标。义务教育阶段特殊教育学校和随班就读残疾学生生均公用经费专项预算项目绩效自评得分为</w:t>
      </w:r>
      <w:r>
        <w:rPr>
          <w:rFonts w:hint="eastAsia" w:eastAsia="仿宋_GB2312" w:cs="仿宋_GB2312"/>
          <w:sz w:val="32"/>
          <w:szCs w:val="32"/>
          <w:lang w:val="en-US" w:eastAsia="zh-CN"/>
        </w:rPr>
        <w:t>90.8</w:t>
      </w:r>
      <w:r>
        <w:rPr>
          <w:rFonts w:hint="eastAsia" w:eastAsia="仿宋_GB2312" w:cs="仿宋_GB2312"/>
          <w:sz w:val="32"/>
          <w:szCs w:val="32"/>
        </w:rPr>
        <w:t>分，绩效自评综述综合来看，本特殊教育学校义务教育阶段生均公用经费专项在项目实施、资金使用、绩效达成等方面均表现出色。项目组织管理规范有序，严格遵循国家特殊教育相关政策法规以及项目管理办法。资金使用合理、安全、规范，到位及时且支出符合预算安排，资金使用效益显著。项目目标完成度高，在完成数量、质量、时效、成本控制等方面均达到或超过预期目标。取得了显著的经济效益、社会效益、生态效益以及可持续效益，服务对象满意度高。依据专项项目支出绩效评价指标体系，从项目决策、项目过程、项目产出、项目效益等多个维度进行综合评价，项目总体评价为优秀。该项目的成功实施，为提升特殊教育质量、促进教育公平、推动特殊教育事业发展发挥了重要作用，同时也为其他地区开展类似项目提供了宝贵的经验借鉴。绩效自评报告详见附件。</w:t>
      </w:r>
    </w:p>
    <w:p>
      <w:pPr>
        <w:spacing w:line="600" w:lineRule="exact"/>
        <w:jc w:val="center"/>
        <w:outlineLvl w:val="0"/>
        <w:rPr>
          <w:rFonts w:hint="eastAsia" w:eastAsia="黑体"/>
          <w:sz w:val="44"/>
          <w:szCs w:val="44"/>
        </w:rPr>
      </w:pPr>
      <w:bookmarkStart w:id="45" w:name="_Toc15377225"/>
      <w:bookmarkStart w:id="46" w:name="_Toc15396613"/>
    </w:p>
    <w:p>
      <w:pPr>
        <w:spacing w:line="600" w:lineRule="exact"/>
        <w:jc w:val="center"/>
        <w:outlineLvl w:val="0"/>
        <w:rPr>
          <w:rFonts w:hint="eastAsia" w:eastAsia="黑体"/>
          <w:sz w:val="44"/>
          <w:szCs w:val="44"/>
        </w:rPr>
      </w:pPr>
    </w:p>
    <w:p>
      <w:pPr>
        <w:spacing w:line="600" w:lineRule="exact"/>
        <w:jc w:val="center"/>
        <w:outlineLvl w:val="0"/>
        <w:rPr>
          <w:rFonts w:hint="eastAsia" w:eastAsia="黑体"/>
          <w:sz w:val="44"/>
          <w:szCs w:val="44"/>
        </w:rPr>
      </w:pPr>
    </w:p>
    <w:p>
      <w:pPr>
        <w:spacing w:line="600" w:lineRule="exact"/>
        <w:jc w:val="center"/>
        <w:outlineLvl w:val="0"/>
        <w:rPr>
          <w:rFonts w:hint="eastAsia" w:eastAsia="黑体"/>
          <w:sz w:val="44"/>
          <w:szCs w:val="44"/>
        </w:rPr>
      </w:pPr>
    </w:p>
    <w:p>
      <w:pPr>
        <w:spacing w:line="600" w:lineRule="exact"/>
        <w:jc w:val="center"/>
        <w:outlineLvl w:val="0"/>
        <w:rPr>
          <w:rFonts w:hint="eastAsia" w:eastAsia="黑体"/>
          <w:sz w:val="44"/>
          <w:szCs w:val="44"/>
        </w:rPr>
      </w:pPr>
    </w:p>
    <w:p>
      <w:pPr>
        <w:pStyle w:val="5"/>
        <w:jc w:val="center"/>
        <w:rPr>
          <w:rFonts w:hint="eastAsia" w:eastAsia="方正小标宋简体" w:cs="方正小标宋简体"/>
          <w:b w:val="0"/>
        </w:rPr>
      </w:pPr>
      <w:r>
        <w:rPr>
          <w:rFonts w:hint="eastAsia" w:eastAsia="方正小标宋简体" w:cs="方正小标宋简体"/>
          <w:b w:val="0"/>
        </w:rPr>
        <w:t>第三部分</w:t>
      </w:r>
      <w:r>
        <w:rPr>
          <w:rFonts w:hint="eastAsia" w:eastAsia="方正小标宋简体" w:cs="方正小标宋简体"/>
          <w:b w:val="0"/>
          <w:lang w:val="en-US" w:eastAsia="zh-CN"/>
        </w:rPr>
        <w:t xml:space="preserve"> </w:t>
      </w:r>
      <w:r>
        <w:rPr>
          <w:rFonts w:hint="eastAsia" w:eastAsia="方正小标宋简体" w:cs="方正小标宋简体"/>
          <w:b w:val="0"/>
        </w:rPr>
        <w:t>名词解释</w:t>
      </w:r>
      <w:bookmarkEnd w:id="45"/>
      <w:bookmarkEnd w:id="46"/>
    </w:p>
    <w:p>
      <w:pPr>
        <w:spacing w:line="600" w:lineRule="exact"/>
        <w:jc w:val="left"/>
        <w:rPr>
          <w:b/>
          <w:sz w:val="44"/>
          <w:szCs w:val="44"/>
        </w:rPr>
      </w:pPr>
    </w:p>
    <w:p>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pPr>
        <w:spacing w:line="600" w:lineRule="exact"/>
        <w:ind w:firstLine="640"/>
        <w:rPr>
          <w:rFonts w:eastAsia="仿宋_GB2312" w:cs="仿宋_GB2312"/>
          <w:sz w:val="32"/>
          <w:szCs w:val="32"/>
        </w:rPr>
      </w:pPr>
      <w:r>
        <w:rPr>
          <w:rFonts w:hint="eastAsia" w:eastAsia="仿宋_GB2312" w:cs="仿宋_GB2312"/>
          <w:sz w:val="32"/>
          <w:szCs w:val="32"/>
        </w:rPr>
        <w:t>2.事业收入：指事业单位开展专业业务活动及辅助活动取得的收入。</w:t>
      </w:r>
    </w:p>
    <w:p>
      <w:pPr>
        <w:spacing w:line="600" w:lineRule="exact"/>
        <w:ind w:firstLine="640"/>
        <w:rPr>
          <w:rFonts w:eastAsia="仿宋_GB2312" w:cs="仿宋_GB2312"/>
          <w:sz w:val="32"/>
          <w:szCs w:val="32"/>
        </w:rPr>
      </w:pPr>
      <w:r>
        <w:rPr>
          <w:rFonts w:hint="eastAsia" w:eastAsia="仿宋_GB2312" w:cs="仿宋_GB2312"/>
          <w:sz w:val="32"/>
          <w:szCs w:val="32"/>
        </w:rPr>
        <w:t>3.经营收入：指事业单位在专业业务活动及其辅助活动之外开展非独立核算经营活动取得的收入。</w:t>
      </w:r>
    </w:p>
    <w:p>
      <w:pPr>
        <w:spacing w:line="600" w:lineRule="exact"/>
        <w:ind w:firstLine="640"/>
        <w:rPr>
          <w:rFonts w:eastAsia="仿宋_GB2312" w:cs="仿宋_GB2312"/>
          <w:sz w:val="32"/>
          <w:szCs w:val="32"/>
        </w:rPr>
      </w:pPr>
      <w:r>
        <w:rPr>
          <w:rFonts w:hint="eastAsia" w:eastAsia="仿宋_GB2312" w:cs="仿宋_GB2312"/>
          <w:sz w:val="32"/>
          <w:szCs w:val="32"/>
        </w:rPr>
        <w:t xml:space="preserve">4.其他收入：指单位取得的除上述收入以外的各项收入。 </w:t>
      </w:r>
    </w:p>
    <w:p>
      <w:pPr>
        <w:spacing w:line="600" w:lineRule="exact"/>
        <w:ind w:firstLine="640"/>
        <w:rPr>
          <w:rFonts w:eastAsia="仿宋_GB2312" w:cs="仿宋_GB2312"/>
          <w:sz w:val="32"/>
          <w:szCs w:val="32"/>
        </w:rPr>
      </w:pPr>
      <w:r>
        <w:rPr>
          <w:rFonts w:hint="eastAsia" w:eastAsia="仿宋_GB2312" w:cs="仿宋_GB2312"/>
          <w:sz w:val="32"/>
          <w:szCs w:val="32"/>
        </w:rPr>
        <w:t xml:space="preserve">5.使用非财政拨款结余（含专用结余）：指事业单位使用以前年度积累的非财政拨款结余弥补当年收支差额的金额。 </w:t>
      </w:r>
    </w:p>
    <w:p>
      <w:pPr>
        <w:spacing w:line="600" w:lineRule="exact"/>
        <w:ind w:firstLine="640"/>
        <w:rPr>
          <w:rFonts w:eastAsia="仿宋_GB2312" w:cs="仿宋_GB2312"/>
          <w:sz w:val="32"/>
          <w:szCs w:val="32"/>
        </w:rPr>
      </w:pPr>
      <w:r>
        <w:rPr>
          <w:rFonts w:hint="eastAsia" w:eastAsia="仿宋_GB2312" w:cs="仿宋_GB2312"/>
          <w:sz w:val="32"/>
          <w:szCs w:val="32"/>
        </w:rPr>
        <w:t xml:space="preserve">6.年初结转和结余：指以前年度尚未完成、结转到本年按有关规定继续使用的资金。 </w:t>
      </w:r>
    </w:p>
    <w:p>
      <w:pPr>
        <w:spacing w:line="600" w:lineRule="exact"/>
        <w:ind w:firstLine="640"/>
        <w:rPr>
          <w:rFonts w:eastAsia="仿宋_GB2312" w:cs="仿宋_GB2312"/>
          <w:sz w:val="32"/>
          <w:szCs w:val="32"/>
        </w:rPr>
      </w:pPr>
      <w:r>
        <w:rPr>
          <w:rFonts w:hint="eastAsia" w:eastAsia="仿宋_GB2312" w:cs="仿宋_GB2312"/>
          <w:sz w:val="32"/>
          <w:szCs w:val="32"/>
        </w:rPr>
        <w:t>7.结余分配：指事业单位按照会计制度规定缴纳的所得税、提取的专用结余以及转入非财政拨款结余的金额等。</w:t>
      </w:r>
    </w:p>
    <w:p>
      <w:pPr>
        <w:spacing w:line="600" w:lineRule="exact"/>
        <w:ind w:firstLine="640"/>
        <w:rPr>
          <w:rFonts w:eastAsia="仿宋_GB2312" w:cs="仿宋_GB2312"/>
          <w:sz w:val="32"/>
          <w:szCs w:val="32"/>
        </w:rPr>
      </w:pPr>
      <w:r>
        <w:rPr>
          <w:rFonts w:hint="eastAsia" w:eastAsia="仿宋_GB2312" w:cs="仿宋_GB2312"/>
          <w:sz w:val="32"/>
          <w:szCs w:val="32"/>
        </w:rPr>
        <w:t>8.年末结转和结余：指单位按有关规定结转到下年或以后年度继续使用的资金。</w:t>
      </w:r>
    </w:p>
    <w:p>
      <w:pPr>
        <w:spacing w:line="600" w:lineRule="exact"/>
        <w:ind w:firstLine="640"/>
        <w:rPr>
          <w:rFonts w:hint="eastAsia" w:eastAsia="仿宋_GB2312" w:cs="仿宋_GB2312"/>
          <w:sz w:val="32"/>
          <w:szCs w:val="32"/>
        </w:rPr>
      </w:pPr>
      <w:r>
        <w:rPr>
          <w:rFonts w:hint="eastAsia" w:eastAsia="仿宋_GB2312" w:cs="仿宋_GB2312"/>
          <w:sz w:val="32"/>
          <w:szCs w:val="32"/>
        </w:rPr>
        <w:t>9. 教育支出（类）特殊教育（款）特殊学校教育（项）：指反映各部门举办盲童学校、聋哑学校、智力落后儿童学校、其他生理缺陷儿童学校的支出。</w:t>
      </w:r>
    </w:p>
    <w:p>
      <w:pPr>
        <w:spacing w:line="600" w:lineRule="exact"/>
        <w:ind w:firstLine="640"/>
        <w:rPr>
          <w:rFonts w:hint="eastAsia" w:eastAsia="仿宋_GB2312" w:cs="仿宋_GB2312"/>
          <w:sz w:val="32"/>
          <w:szCs w:val="32"/>
        </w:rPr>
      </w:pPr>
      <w:r>
        <w:rPr>
          <w:rFonts w:hint="eastAsia" w:eastAsia="仿宋_GB2312" w:cs="仿宋_GB2312"/>
          <w:sz w:val="32"/>
          <w:szCs w:val="32"/>
        </w:rPr>
        <w:t>教育支出（类）进修及培训（款）培训支出（项）：指反映各部门安排的用于培训的支出。教育部门的师资培训，党校、行政学院等专业干部教育机构的支出，以及退役士兵、转业士官的培训支出，不在本科目反映。</w:t>
      </w:r>
    </w:p>
    <w:p>
      <w:pPr>
        <w:spacing w:line="600" w:lineRule="exact"/>
        <w:ind w:firstLine="640"/>
        <w:rPr>
          <w:rFonts w:hint="eastAsia" w:eastAsia="仿宋_GB2312" w:cs="仿宋_GB2312"/>
          <w:sz w:val="32"/>
          <w:szCs w:val="32"/>
        </w:rPr>
      </w:pPr>
      <w:r>
        <w:rPr>
          <w:rFonts w:hint="eastAsia" w:eastAsia="仿宋_GB2312" w:cs="仿宋_GB2312"/>
          <w:sz w:val="32"/>
          <w:szCs w:val="32"/>
        </w:rPr>
        <w:t>教育支出（类）教育费附加安排的支出（款）其他教育费附加安排的支出（项）：指反映除农村中小学校舍建设、农村中小学教学设施、城市中小学校舍建设、城市中小学教学设施、中等职业学校教学设施支出以外的教育费附加支出。</w:t>
      </w:r>
    </w:p>
    <w:p>
      <w:pPr>
        <w:spacing w:line="600" w:lineRule="exact"/>
        <w:ind w:firstLine="640"/>
        <w:rPr>
          <w:rFonts w:hint="eastAsia" w:eastAsia="仿宋_GB2312" w:cs="仿宋_GB2312"/>
          <w:sz w:val="32"/>
          <w:szCs w:val="32"/>
        </w:rPr>
      </w:pPr>
      <w:r>
        <w:rPr>
          <w:rFonts w:hint="eastAsia" w:eastAsia="仿宋_GB2312" w:cs="仿宋_GB2312"/>
          <w:sz w:val="32"/>
          <w:szCs w:val="32"/>
        </w:rPr>
        <w:t>10. 社会保障和就业支出（类）行政事业单位养老支出（款）事业单位离退休（项）：指反映事业单位开支的离退休经费。</w:t>
      </w:r>
    </w:p>
    <w:p>
      <w:pPr>
        <w:spacing w:line="600" w:lineRule="exact"/>
        <w:ind w:firstLine="640"/>
        <w:rPr>
          <w:rFonts w:hint="eastAsia" w:eastAsia="仿宋_GB2312" w:cs="仿宋_GB2312"/>
          <w:sz w:val="32"/>
          <w:szCs w:val="32"/>
        </w:rPr>
      </w:pPr>
      <w:r>
        <w:rPr>
          <w:rFonts w:hint="eastAsia" w:eastAsia="仿宋_GB2312" w:cs="仿宋_GB2312"/>
          <w:sz w:val="32"/>
          <w:szCs w:val="32"/>
        </w:rPr>
        <w:t>社会保障和就业支出（类）行政事业单位养老支出（款）机关事业单位基本养老保险缴费支出（项）： 指机关事业单位用于实施养老保险制度由单位缴纳基本养老保险缴费支出。</w:t>
      </w:r>
    </w:p>
    <w:p>
      <w:pPr>
        <w:spacing w:line="600" w:lineRule="exact"/>
        <w:ind w:firstLine="640"/>
        <w:rPr>
          <w:rFonts w:hint="eastAsia" w:eastAsia="仿宋_GB2312" w:cs="仿宋_GB2312"/>
          <w:sz w:val="32"/>
          <w:szCs w:val="32"/>
        </w:rPr>
      </w:pPr>
      <w:r>
        <w:rPr>
          <w:rFonts w:hint="eastAsia" w:eastAsia="仿宋_GB2312" w:cs="仿宋_GB2312"/>
          <w:sz w:val="32"/>
          <w:szCs w:val="32"/>
        </w:rPr>
        <w:t>社会保障和就业支出（类）抚恤（款）死亡抚恤（项）：</w:t>
      </w:r>
      <w:r>
        <w:rPr>
          <w:rFonts w:hint="eastAsia" w:eastAsia="仿宋_GB2312" w:cs="仿宋_GB2312"/>
          <w:sz w:val="32"/>
          <w:szCs w:val="32"/>
          <w:lang w:eastAsia="zh-CN"/>
        </w:rPr>
        <w:t>指反映发放去世人员抚恤金的支出</w:t>
      </w:r>
      <w:r>
        <w:rPr>
          <w:rFonts w:hint="eastAsia" w:eastAsia="仿宋_GB2312" w:cs="仿宋_GB2312"/>
          <w:sz w:val="32"/>
          <w:szCs w:val="32"/>
        </w:rPr>
        <w:t>。</w:t>
      </w:r>
    </w:p>
    <w:p>
      <w:pPr>
        <w:numPr>
          <w:ilvl w:val="0"/>
          <w:numId w:val="1"/>
        </w:numPr>
        <w:spacing w:line="600" w:lineRule="exact"/>
        <w:ind w:firstLine="640"/>
        <w:rPr>
          <w:rFonts w:hint="eastAsia" w:eastAsia="仿宋_GB2312" w:cs="仿宋_GB2312"/>
          <w:sz w:val="32"/>
          <w:szCs w:val="32"/>
        </w:rPr>
      </w:pPr>
      <w:r>
        <w:rPr>
          <w:rFonts w:hint="eastAsia" w:eastAsia="仿宋_GB2312" w:cs="仿宋_GB2312"/>
          <w:sz w:val="32"/>
          <w:szCs w:val="32"/>
        </w:rPr>
        <w:t>住房保障支出（类）住房改革支出（款）住房公积金（项）：指反映行政事业单位按人力资源和社会保障部、财政部规定的基本工资和津贴补贴以及规定比例为职工缴纳的住房公积金。</w:t>
      </w:r>
    </w:p>
    <w:p>
      <w:pPr>
        <w:pStyle w:val="2"/>
        <w:widowControl w:val="0"/>
        <w:numPr>
          <w:ilvl w:val="0"/>
          <w:numId w:val="0"/>
        </w:numPr>
        <w:snapToGrid w:val="0"/>
        <w:jc w:val="left"/>
        <w:rPr>
          <w:rFonts w:hint="eastAsia"/>
        </w:rPr>
      </w:pP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lang w:val="en-US" w:eastAsia="zh-CN"/>
        </w:rPr>
        <w:t>12.卫生健康支出</w:t>
      </w:r>
      <w:r>
        <w:rPr>
          <w:rFonts w:hint="eastAsia" w:eastAsia="仿宋_GB2312" w:cs="仿宋_GB2312"/>
          <w:sz w:val="32"/>
          <w:szCs w:val="32"/>
        </w:rPr>
        <w:t>（类）行政事业单位医疗（款）事业单位医疗（项）</w:t>
      </w:r>
      <w:r>
        <w:rPr>
          <w:rFonts w:hint="eastAsia" w:eastAsia="仿宋_GB2312" w:cs="仿宋_GB2312"/>
          <w:sz w:val="32"/>
          <w:szCs w:val="32"/>
          <w:lang w:eastAsia="zh-CN"/>
        </w:rPr>
        <w:t>：</w:t>
      </w:r>
      <w:r>
        <w:rPr>
          <w:rFonts w:hint="eastAsia" w:eastAsia="仿宋_GB2312" w:cs="仿宋_GB2312"/>
          <w:sz w:val="32"/>
          <w:szCs w:val="32"/>
        </w:rPr>
        <w:t>指机关事业单位用于实施</w:t>
      </w:r>
      <w:r>
        <w:rPr>
          <w:rFonts w:hint="eastAsia" w:eastAsia="仿宋_GB2312" w:cs="仿宋_GB2312"/>
          <w:sz w:val="32"/>
          <w:szCs w:val="32"/>
          <w:lang w:eastAsia="zh-CN"/>
        </w:rPr>
        <w:t>医疗</w:t>
      </w:r>
      <w:r>
        <w:rPr>
          <w:rFonts w:hint="eastAsia" w:eastAsia="仿宋_GB2312" w:cs="仿宋_GB2312"/>
          <w:sz w:val="32"/>
          <w:szCs w:val="32"/>
        </w:rPr>
        <w:t>保险制度由单位缴纳基本</w:t>
      </w:r>
      <w:r>
        <w:rPr>
          <w:rFonts w:hint="eastAsia" w:eastAsia="仿宋_GB2312" w:cs="仿宋_GB2312"/>
          <w:sz w:val="32"/>
          <w:szCs w:val="32"/>
          <w:lang w:eastAsia="zh-CN"/>
        </w:rPr>
        <w:t>医疗</w:t>
      </w:r>
      <w:r>
        <w:rPr>
          <w:rFonts w:hint="eastAsia" w:eastAsia="仿宋_GB2312" w:cs="仿宋_GB2312"/>
          <w:sz w:val="32"/>
          <w:szCs w:val="32"/>
        </w:rPr>
        <w:t>保险缴费支出。</w:t>
      </w:r>
    </w:p>
    <w:p>
      <w:pPr>
        <w:pStyle w:val="3"/>
        <w:ind w:left="0" w:leftChars="0" w:firstLine="640" w:firstLineChars="200"/>
        <w:rPr>
          <w:rFonts w:hint="eastAsia"/>
        </w:rPr>
      </w:pPr>
      <w:r>
        <w:rPr>
          <w:rFonts w:hint="eastAsia" w:eastAsia="仿宋_GB2312" w:cs="仿宋_GB2312"/>
          <w:sz w:val="32"/>
          <w:szCs w:val="32"/>
          <w:lang w:val="en-US" w:eastAsia="zh-CN"/>
        </w:rPr>
        <w:t>卫生健康支出</w:t>
      </w:r>
      <w:r>
        <w:rPr>
          <w:rFonts w:hint="eastAsia" w:eastAsia="仿宋_GB2312" w:cs="仿宋_GB2312"/>
          <w:sz w:val="32"/>
          <w:szCs w:val="32"/>
        </w:rPr>
        <w:t>（类）行政事业单位医疗（款）公务员医疗补助（项）</w:t>
      </w:r>
      <w:r>
        <w:rPr>
          <w:rFonts w:hint="eastAsia" w:eastAsia="仿宋_GB2312" w:cs="仿宋_GB2312"/>
          <w:sz w:val="32"/>
          <w:szCs w:val="32"/>
          <w:lang w:eastAsia="zh-CN"/>
        </w:rPr>
        <w:t>：</w:t>
      </w:r>
      <w:r>
        <w:rPr>
          <w:rFonts w:hint="eastAsia" w:eastAsia="仿宋_GB2312" w:cs="仿宋_GB2312"/>
          <w:sz w:val="32"/>
          <w:szCs w:val="32"/>
        </w:rPr>
        <w:t>指机关事业单位用于实施</w:t>
      </w:r>
      <w:r>
        <w:rPr>
          <w:rFonts w:hint="eastAsia" w:eastAsia="仿宋_GB2312" w:cs="仿宋_GB2312"/>
          <w:sz w:val="32"/>
          <w:szCs w:val="32"/>
          <w:lang w:eastAsia="zh-CN"/>
        </w:rPr>
        <w:t>公务员医疗</w:t>
      </w:r>
      <w:r>
        <w:rPr>
          <w:rFonts w:hint="eastAsia" w:eastAsia="仿宋_GB2312" w:cs="仿宋_GB2312"/>
          <w:sz w:val="32"/>
          <w:szCs w:val="32"/>
        </w:rPr>
        <w:t>保险制度由单位缴纳</w:t>
      </w:r>
      <w:r>
        <w:rPr>
          <w:rFonts w:hint="eastAsia" w:eastAsia="仿宋_GB2312" w:cs="仿宋_GB2312"/>
          <w:sz w:val="32"/>
          <w:szCs w:val="32"/>
          <w:lang w:eastAsia="zh-CN"/>
        </w:rPr>
        <w:t>公务员医疗</w:t>
      </w:r>
      <w:r>
        <w:rPr>
          <w:rFonts w:hint="eastAsia" w:eastAsia="仿宋_GB2312" w:cs="仿宋_GB2312"/>
          <w:sz w:val="32"/>
          <w:szCs w:val="32"/>
        </w:rPr>
        <w:t>保险缴费支出。</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13.</w:t>
      </w:r>
      <w:r>
        <w:rPr>
          <w:rFonts w:hint="eastAsia" w:eastAsia="仿宋_GB2312" w:cs="仿宋_GB2312"/>
          <w:sz w:val="32"/>
          <w:szCs w:val="32"/>
        </w:rPr>
        <w:t>基本支出：指为保障机构正常运转、完成日常工作任</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14</w:t>
      </w:r>
      <w:r>
        <w:rPr>
          <w:rFonts w:hint="eastAsia" w:eastAsia="仿宋_GB2312" w:cs="仿宋_GB2312"/>
          <w:sz w:val="32"/>
          <w:szCs w:val="32"/>
        </w:rPr>
        <w:t xml:space="preserve">.项目支出：指在基本支出之外为完成特定行政任务和事业发展目标所发生的支出。 </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15</w:t>
      </w:r>
      <w:r>
        <w:rPr>
          <w:rFonts w:hint="eastAsia" w:eastAsia="仿宋_GB2312" w:cs="仿宋_GB2312"/>
          <w:sz w:val="32"/>
          <w:szCs w:val="32"/>
        </w:rPr>
        <w:t>.经营支出：指事业单位在专业业务活动及其辅助活动之外开展非独立核算经营活动发生的支出。</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16</w:t>
      </w:r>
      <w:r>
        <w:rPr>
          <w:rFonts w:hint="eastAsia"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cs="仿宋_GB2312"/>
          <w:sz w:val="32"/>
          <w:szCs w:val="32"/>
        </w:rPr>
      </w:pPr>
      <w:r>
        <w:rPr>
          <w:rFonts w:hint="eastAsia" w:eastAsia="仿宋_GB2312" w:cs="仿宋_GB2312"/>
          <w:sz w:val="32"/>
          <w:szCs w:val="32"/>
          <w:lang w:val="en-US" w:eastAsia="zh-CN"/>
        </w:rPr>
        <w:t>17</w:t>
      </w:r>
      <w:r>
        <w:rPr>
          <w:rFonts w:hint="eastAsia"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rPr>
          <w:rFonts w:hint="eastAsia" w:eastAsia="黑体"/>
          <w:sz w:val="44"/>
          <w:szCs w:val="44"/>
        </w:rPr>
      </w:pPr>
      <w:bookmarkStart w:id="47" w:name="_Toc15396614"/>
      <w:bookmarkStart w:id="48" w:name="_Toc15377226"/>
    </w:p>
    <w:p>
      <w:pPr>
        <w:spacing w:line="600" w:lineRule="exact"/>
        <w:jc w:val="both"/>
        <w:rPr>
          <w:rFonts w:hint="eastAsia" w:eastAsia="黑体"/>
          <w:sz w:val="44"/>
          <w:szCs w:val="44"/>
        </w:rPr>
      </w:pPr>
    </w:p>
    <w:bookmarkEnd w:id="47"/>
    <w:p>
      <w:pPr>
        <w:spacing w:line="600" w:lineRule="exact"/>
        <w:jc w:val="center"/>
        <w:outlineLvl w:val="0"/>
        <w:rPr>
          <w:rStyle w:val="28"/>
          <w:rFonts w:hint="eastAsia" w:ascii="方正小标宋简体" w:hAnsi="方正小标宋简体" w:eastAsia="方正小标宋简体" w:cs="方正小标宋简体"/>
          <w:b w:val="0"/>
        </w:rPr>
      </w:pPr>
      <w:bookmarkStart w:id="49" w:name="_Toc15396618"/>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四部分 附件</w:t>
      </w: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FF0000"/>
          <w:sz w:val="44"/>
          <w:szCs w:val="44"/>
        </w:rPr>
      </w:pPr>
      <w:r>
        <w:rPr>
          <w:rFonts w:hint="eastAsia" w:hAnsi="Times New Roman"/>
          <w:sz w:val="32"/>
          <w:szCs w:val="32"/>
        </w:rPr>
        <w:t>部门预算项目支出绩效自评表（202</w:t>
      </w:r>
      <w:r>
        <w:rPr>
          <w:rFonts w:hint="eastAsia"/>
          <w:sz w:val="32"/>
          <w:szCs w:val="32"/>
          <w:lang w:val="en-US" w:eastAsia="zh-CN"/>
        </w:rPr>
        <w:t>4</w:t>
      </w:r>
      <w:r>
        <w:rPr>
          <w:rFonts w:hint="eastAsia" w:hAnsi="Times New Roman"/>
          <w:sz w:val="32"/>
          <w:szCs w:val="32"/>
        </w:rPr>
        <w:t>年度）</w:t>
      </w:r>
    </w:p>
    <w:p>
      <w:pPr>
        <w:pStyle w:val="3"/>
        <w:spacing w:line="560" w:lineRule="exact"/>
        <w:ind w:leftChars="0" w:firstLine="640"/>
        <w:rPr>
          <w:rFonts w:hint="eastAsia" w:hAnsi="Times New Roman"/>
          <w:sz w:val="32"/>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第</w:t>
      </w:r>
      <w:r>
        <w:rPr>
          <w:rStyle w:val="28"/>
          <w:rFonts w:hint="eastAsia" w:ascii="方正小标宋简体" w:hAnsi="方正小标宋简体" w:eastAsia="方正小标宋简体" w:cs="方正小标宋简体"/>
          <w:b w:val="0"/>
        </w:rPr>
        <w:t>五部分 附表</w:t>
      </w:r>
      <w:bookmarkEnd w:id="48"/>
      <w:bookmarkEnd w:id="49"/>
      <w:bookmarkStart w:id="50"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0"/>
    </w:p>
    <w:p>
      <w:pPr>
        <w:pStyle w:val="14"/>
        <w:adjustRightInd w:val="0"/>
        <w:snapToGrid w:val="0"/>
        <w:spacing w:line="560" w:lineRule="exact"/>
        <w:jc w:val="left"/>
        <w:rPr>
          <w:rFonts w:eastAsia="仿宋_GB2312" w:cs="仿宋_GB2312"/>
          <w:sz w:val="32"/>
          <w:szCs w:val="32"/>
        </w:rPr>
      </w:pPr>
      <w:bookmarkStart w:id="51" w:name="_Toc15396620"/>
      <w:r>
        <w:rPr>
          <w:rFonts w:hint="eastAsia" w:eastAsia="仿宋_GB2312" w:cs="仿宋_GB2312"/>
          <w:sz w:val="32"/>
          <w:szCs w:val="32"/>
        </w:rPr>
        <w:t>二、收入决算表</w:t>
      </w:r>
      <w:bookmarkEnd w:id="51"/>
    </w:p>
    <w:p>
      <w:pPr>
        <w:pStyle w:val="14"/>
        <w:adjustRightInd w:val="0"/>
        <w:snapToGrid w:val="0"/>
        <w:spacing w:line="560" w:lineRule="exact"/>
        <w:jc w:val="left"/>
        <w:rPr>
          <w:rFonts w:eastAsia="仿宋_GB2312" w:cs="仿宋_GB2312"/>
          <w:sz w:val="32"/>
          <w:szCs w:val="32"/>
        </w:rPr>
      </w:pPr>
      <w:bookmarkStart w:id="52" w:name="_Toc15396621"/>
      <w:r>
        <w:rPr>
          <w:rFonts w:hint="eastAsia" w:eastAsia="仿宋_GB2312" w:cs="仿宋_GB2312"/>
          <w:sz w:val="32"/>
          <w:szCs w:val="32"/>
        </w:rPr>
        <w:t>三、支出决算表</w:t>
      </w:r>
      <w:bookmarkEnd w:id="52"/>
    </w:p>
    <w:p>
      <w:pPr>
        <w:pStyle w:val="14"/>
        <w:adjustRightInd w:val="0"/>
        <w:snapToGrid w:val="0"/>
        <w:spacing w:line="560" w:lineRule="exact"/>
        <w:jc w:val="left"/>
        <w:rPr>
          <w:rFonts w:eastAsia="仿宋_GB2312" w:cs="仿宋_GB2312"/>
          <w:sz w:val="32"/>
          <w:szCs w:val="32"/>
        </w:rPr>
      </w:pPr>
      <w:bookmarkStart w:id="53" w:name="_Toc15396622"/>
      <w:r>
        <w:rPr>
          <w:rFonts w:hint="eastAsia" w:eastAsia="仿宋_GB2312" w:cs="仿宋_GB2312"/>
          <w:sz w:val="32"/>
          <w:szCs w:val="32"/>
        </w:rPr>
        <w:t>四、财政拨款收入支出决算总表</w:t>
      </w:r>
      <w:bookmarkEnd w:id="53"/>
    </w:p>
    <w:p>
      <w:pPr>
        <w:pStyle w:val="14"/>
        <w:adjustRightInd w:val="0"/>
        <w:snapToGrid w:val="0"/>
        <w:spacing w:line="560" w:lineRule="exact"/>
        <w:jc w:val="left"/>
        <w:rPr>
          <w:rFonts w:eastAsia="仿宋_GB2312" w:cs="仿宋_GB2312"/>
          <w:sz w:val="32"/>
          <w:szCs w:val="32"/>
        </w:rPr>
      </w:pPr>
      <w:bookmarkStart w:id="54" w:name="_Toc15396623"/>
      <w:r>
        <w:rPr>
          <w:rFonts w:hint="eastAsia" w:eastAsia="仿宋_GB2312" w:cs="仿宋_GB2312"/>
          <w:sz w:val="32"/>
          <w:szCs w:val="32"/>
        </w:rPr>
        <w:t>五、财政拨款支出决算明细表</w:t>
      </w:r>
      <w:bookmarkEnd w:id="54"/>
      <w:bookmarkStart w:id="55"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5"/>
    </w:p>
    <w:p>
      <w:pPr>
        <w:pStyle w:val="14"/>
        <w:adjustRightInd w:val="0"/>
        <w:snapToGrid w:val="0"/>
        <w:spacing w:line="560" w:lineRule="exact"/>
        <w:jc w:val="left"/>
        <w:rPr>
          <w:rFonts w:eastAsia="仿宋_GB2312" w:cs="仿宋_GB2312"/>
          <w:sz w:val="32"/>
          <w:szCs w:val="32"/>
        </w:rPr>
      </w:pPr>
      <w:bookmarkStart w:id="56" w:name="_Toc15396625"/>
      <w:r>
        <w:rPr>
          <w:rFonts w:hint="eastAsia" w:eastAsia="仿宋_GB2312" w:cs="仿宋_GB2312"/>
          <w:sz w:val="32"/>
          <w:szCs w:val="32"/>
        </w:rPr>
        <w:t>七、一般公共预算财政拨款支出决算明细表</w:t>
      </w:r>
      <w:bookmarkEnd w:id="56"/>
    </w:p>
    <w:p>
      <w:pPr>
        <w:pStyle w:val="14"/>
        <w:adjustRightInd w:val="0"/>
        <w:snapToGrid w:val="0"/>
        <w:spacing w:line="560" w:lineRule="exact"/>
        <w:jc w:val="left"/>
        <w:rPr>
          <w:rFonts w:eastAsia="仿宋_GB2312" w:cs="仿宋_GB2312"/>
          <w:sz w:val="32"/>
          <w:szCs w:val="32"/>
        </w:rPr>
      </w:pPr>
      <w:bookmarkStart w:id="57" w:name="_Toc15396626"/>
      <w:r>
        <w:rPr>
          <w:rFonts w:hint="eastAsia" w:eastAsia="仿宋_GB2312" w:cs="仿宋_GB2312"/>
          <w:sz w:val="32"/>
          <w:szCs w:val="32"/>
        </w:rPr>
        <w:t>八、一般公共预算财政拨款基本支出决算表</w:t>
      </w:r>
      <w:bookmarkEnd w:id="57"/>
    </w:p>
    <w:p>
      <w:pPr>
        <w:pStyle w:val="14"/>
        <w:adjustRightInd w:val="0"/>
        <w:snapToGrid w:val="0"/>
        <w:spacing w:line="560" w:lineRule="exact"/>
        <w:jc w:val="left"/>
        <w:rPr>
          <w:rFonts w:eastAsia="仿宋_GB2312" w:cs="仿宋_GB2312"/>
          <w:sz w:val="32"/>
          <w:szCs w:val="32"/>
        </w:rPr>
      </w:pPr>
      <w:bookmarkStart w:id="58" w:name="_Toc15396627"/>
      <w:r>
        <w:rPr>
          <w:rFonts w:hint="eastAsia" w:eastAsia="仿宋_GB2312" w:cs="仿宋_GB2312"/>
          <w:sz w:val="32"/>
          <w:szCs w:val="32"/>
        </w:rPr>
        <w:t>九、一般公共预算财政拨款项目支出决算表</w:t>
      </w:r>
      <w:bookmarkEnd w:id="58"/>
    </w:p>
    <w:p>
      <w:pPr>
        <w:pStyle w:val="14"/>
        <w:adjustRightInd w:val="0"/>
        <w:snapToGrid w:val="0"/>
        <w:spacing w:line="560" w:lineRule="exact"/>
        <w:jc w:val="left"/>
        <w:rPr>
          <w:rFonts w:eastAsia="仿宋_GB2312" w:cs="仿宋_GB2312"/>
          <w:sz w:val="32"/>
          <w:szCs w:val="32"/>
        </w:rPr>
      </w:pPr>
      <w:bookmarkStart w:id="59" w:name="_Toc15396628"/>
      <w:r>
        <w:rPr>
          <w:rFonts w:hint="eastAsia" w:eastAsia="仿宋_GB2312" w:cs="仿宋_GB2312"/>
          <w:sz w:val="32"/>
          <w:szCs w:val="32"/>
        </w:rPr>
        <w:t>十、</w:t>
      </w:r>
      <w:bookmarkEnd w:id="59"/>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60" w:name="_Toc15396629"/>
      <w:r>
        <w:rPr>
          <w:rFonts w:hint="eastAsia" w:eastAsia="仿宋_GB2312" w:cs="仿宋_GB2312"/>
          <w:sz w:val="32"/>
          <w:szCs w:val="32"/>
        </w:rPr>
        <w:t>十一、</w:t>
      </w:r>
      <w:bookmarkEnd w:id="60"/>
      <w:r>
        <w:rPr>
          <w:rFonts w:hint="eastAsia" w:eastAsia="仿宋_GB2312" w:cs="仿宋_GB2312"/>
          <w:sz w:val="32"/>
          <w:szCs w:val="32"/>
        </w:rPr>
        <w:t>国有资本经营预算财政拨款收入支出决算表</w:t>
      </w:r>
      <w:r>
        <w:rPr>
          <w:rFonts w:hint="eastAsia" w:eastAsia="仿宋_GB2312" w:cs="仿宋_GB2312"/>
          <w:sz w:val="32"/>
          <w:szCs w:val="32"/>
          <w:lang w:eastAsia="zh-CN"/>
        </w:rPr>
        <w:t>（</w:t>
      </w:r>
      <w:r>
        <w:rPr>
          <w:rFonts w:hint="eastAsia" w:eastAsia="仿宋_GB2312" w:cs="仿宋_GB2312"/>
          <w:sz w:val="32"/>
          <w:szCs w:val="32"/>
        </w:rPr>
        <w:t>此表无数据</w:t>
      </w:r>
      <w:r>
        <w:rPr>
          <w:rFonts w:hint="eastAsia" w:eastAsia="仿宋_GB2312" w:cs="仿宋_GB2312"/>
          <w:sz w:val="32"/>
          <w:szCs w:val="32"/>
          <w:lang w:eastAsia="zh-CN"/>
        </w:rPr>
        <w:t>）</w:t>
      </w:r>
    </w:p>
    <w:p>
      <w:pPr>
        <w:pStyle w:val="14"/>
        <w:adjustRightInd w:val="0"/>
        <w:snapToGrid w:val="0"/>
        <w:spacing w:line="560" w:lineRule="exact"/>
        <w:jc w:val="left"/>
        <w:rPr>
          <w:rFonts w:hint="eastAsia" w:eastAsia="仿宋_GB2312" w:cs="仿宋_GB2312"/>
          <w:sz w:val="32"/>
          <w:szCs w:val="32"/>
          <w:lang w:eastAsia="zh-CN"/>
        </w:rPr>
      </w:pPr>
      <w:bookmarkStart w:id="61" w:name="_Toc15396630"/>
      <w:r>
        <w:rPr>
          <w:rFonts w:hint="eastAsia" w:eastAsia="仿宋_GB2312" w:cs="仿宋_GB2312"/>
          <w:sz w:val="32"/>
          <w:szCs w:val="32"/>
        </w:rPr>
        <w:t>十二、</w:t>
      </w:r>
      <w:bookmarkEnd w:id="61"/>
      <w:r>
        <w:rPr>
          <w:rFonts w:hint="eastAsia" w:eastAsia="仿宋_GB2312" w:cs="仿宋_GB2312"/>
          <w:sz w:val="32"/>
          <w:szCs w:val="32"/>
        </w:rPr>
        <w:t>国有资本经营预算财政拨款支出决算表</w:t>
      </w:r>
      <w:r>
        <w:rPr>
          <w:rFonts w:hint="eastAsia" w:eastAsia="仿宋_GB2312" w:cs="仿宋_GB2312"/>
          <w:sz w:val="32"/>
          <w:szCs w:val="32"/>
          <w:lang w:eastAsia="zh-CN"/>
        </w:rPr>
        <w:t>（</w:t>
      </w:r>
      <w:r>
        <w:rPr>
          <w:rFonts w:hint="eastAsia" w:eastAsia="仿宋_GB2312" w:cs="仿宋_GB2312"/>
          <w:sz w:val="32"/>
          <w:szCs w:val="32"/>
        </w:rPr>
        <w:t>此表无数据</w:t>
      </w:r>
      <w:r>
        <w:rPr>
          <w:rFonts w:hint="eastAsia" w:eastAsia="仿宋_GB2312" w:cs="仿宋_GB2312"/>
          <w:sz w:val="32"/>
          <w:szCs w:val="32"/>
          <w:lang w:eastAsia="zh-CN"/>
        </w:rPr>
        <w:t>）</w:t>
      </w:r>
    </w:p>
    <w:p>
      <w:pPr>
        <w:pStyle w:val="14"/>
        <w:adjustRightInd w:val="0"/>
        <w:snapToGrid w:val="0"/>
        <w:spacing w:line="560" w:lineRule="exact"/>
        <w:jc w:val="left"/>
        <w:rPr>
          <w:rFonts w:eastAsia="仿宋_GB2312" w:cs="仿宋_GB2312"/>
          <w:sz w:val="32"/>
          <w:szCs w:val="32"/>
        </w:rPr>
      </w:pPr>
      <w:bookmarkStart w:id="62" w:name="_Toc15396631"/>
      <w:r>
        <w:rPr>
          <w:rFonts w:hint="eastAsia" w:eastAsia="仿宋_GB2312" w:cs="仿宋_GB2312"/>
          <w:sz w:val="32"/>
          <w:szCs w:val="32"/>
        </w:rPr>
        <w:t>十三、</w:t>
      </w:r>
      <w:bookmarkEnd w:id="62"/>
      <w:r>
        <w:rPr>
          <w:rFonts w:hint="eastAsia" w:eastAsia="仿宋_GB2312" w:cs="仿宋_GB2312"/>
          <w:sz w:val="32"/>
          <w:szCs w:val="32"/>
        </w:rPr>
        <w:t>财政拨款“三公”经费支出决算表</w:t>
      </w:r>
    </w:p>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C059"/>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9B7FF"/>
    <w:multiLevelType w:val="singleLevel"/>
    <w:tmpl w:val="3469B7FF"/>
    <w:lvl w:ilvl="0" w:tentative="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0626"/>
    <w:rsid w:val="009D3447"/>
    <w:rsid w:val="009D4711"/>
    <w:rsid w:val="009F1185"/>
    <w:rsid w:val="009F18CD"/>
    <w:rsid w:val="009F2A13"/>
    <w:rsid w:val="009F7527"/>
    <w:rsid w:val="00A04EB0"/>
    <w:rsid w:val="00A13CC1"/>
    <w:rsid w:val="00A16847"/>
    <w:rsid w:val="00A237D8"/>
    <w:rsid w:val="00A268C4"/>
    <w:rsid w:val="00A307CD"/>
    <w:rsid w:val="00A309E4"/>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7DA1"/>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763001"/>
    <w:rsid w:val="14B17F78"/>
    <w:rsid w:val="165E0673"/>
    <w:rsid w:val="16B831D5"/>
    <w:rsid w:val="16BB723D"/>
    <w:rsid w:val="17E50567"/>
    <w:rsid w:val="186504BB"/>
    <w:rsid w:val="19A445FC"/>
    <w:rsid w:val="1BE8440E"/>
    <w:rsid w:val="1D155CEE"/>
    <w:rsid w:val="1D1638FE"/>
    <w:rsid w:val="1E312DEB"/>
    <w:rsid w:val="1E740ACF"/>
    <w:rsid w:val="1FCE6036"/>
    <w:rsid w:val="1FF35744"/>
    <w:rsid w:val="1FF6BC77"/>
    <w:rsid w:val="2186353C"/>
    <w:rsid w:val="23860B96"/>
    <w:rsid w:val="240371BF"/>
    <w:rsid w:val="244F3473"/>
    <w:rsid w:val="24C97D99"/>
    <w:rsid w:val="25A718F0"/>
    <w:rsid w:val="25BB59F6"/>
    <w:rsid w:val="260F557C"/>
    <w:rsid w:val="26970054"/>
    <w:rsid w:val="281408E2"/>
    <w:rsid w:val="29FD04D3"/>
    <w:rsid w:val="2BFF7BC6"/>
    <w:rsid w:val="2C0521ED"/>
    <w:rsid w:val="2C8A61B5"/>
    <w:rsid w:val="2DF04E50"/>
    <w:rsid w:val="2E586DFA"/>
    <w:rsid w:val="2F040D46"/>
    <w:rsid w:val="2F6B035B"/>
    <w:rsid w:val="2FAE5751"/>
    <w:rsid w:val="2FB1A395"/>
    <w:rsid w:val="2FD9A7D8"/>
    <w:rsid w:val="2FDBF714"/>
    <w:rsid w:val="30AB6865"/>
    <w:rsid w:val="319F7F4E"/>
    <w:rsid w:val="31F023FB"/>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477BF1"/>
    <w:rsid w:val="3D98207C"/>
    <w:rsid w:val="3DEE7CF3"/>
    <w:rsid w:val="3E740A63"/>
    <w:rsid w:val="3E78745D"/>
    <w:rsid w:val="3EE17838"/>
    <w:rsid w:val="3F55381A"/>
    <w:rsid w:val="3F7F7599"/>
    <w:rsid w:val="3FF4CAE0"/>
    <w:rsid w:val="3FF7B227"/>
    <w:rsid w:val="43E93DB0"/>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9736ED"/>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473982"/>
    <w:rsid w:val="647F5392"/>
    <w:rsid w:val="65E66580"/>
    <w:rsid w:val="664B1D71"/>
    <w:rsid w:val="664B4E8E"/>
    <w:rsid w:val="67277B67"/>
    <w:rsid w:val="673F2320"/>
    <w:rsid w:val="67AA3209"/>
    <w:rsid w:val="692A1868"/>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7947E5"/>
    <w:rsid w:val="71992E7C"/>
    <w:rsid w:val="71C26570"/>
    <w:rsid w:val="72233669"/>
    <w:rsid w:val="72734D90"/>
    <w:rsid w:val="73160E6D"/>
    <w:rsid w:val="7332FE48"/>
    <w:rsid w:val="73AB61DA"/>
    <w:rsid w:val="73AD73D5"/>
    <w:rsid w:val="73B6EB34"/>
    <w:rsid w:val="73FA497D"/>
    <w:rsid w:val="740822ED"/>
    <w:rsid w:val="744731E5"/>
    <w:rsid w:val="74BBD01D"/>
    <w:rsid w:val="74D14A74"/>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7F639F"/>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sus\Desktop\&#26032;&#24314;%20XLS%20&#24037;&#20316;&#34920;%20(2).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sus\Desktop\&#26032;&#24314;%20XLS%20&#24037;&#20316;&#34920;%20(2).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sus\Desktop\&#26032;&#24314;%20XLS%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sus\Desktop\&#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sus\Desktop\&#26032;&#24314;%20XLS%20&#24037;&#20316;&#34920;%20(2).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sus\Desktop\&#26032;&#24314;%20XLS%20&#24037;&#20316;&#34920;%20(2).xls"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asus\Desktop\&#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r>
              <a:rPr lang="en-US" altLang="zh-CN"/>
              <a:t> </a:t>
            </a:r>
            <a:r>
              <a:rPr altLang="en-US"/>
              <a:t>单位：万元</a:t>
            </a:r>
            <a:endParaRPr altLang="en-US"/>
          </a:p>
        </c:rich>
      </c:tx>
      <c:layout>
        <c:manualLayout>
          <c:xMode val="edge"/>
          <c:yMode val="edge"/>
          <c:x val="0.173092105263158"/>
          <c:y val="0.0381944444444444"/>
        </c:manualLayout>
      </c:layout>
      <c:overlay val="0"/>
      <c:spPr>
        <a:noFill/>
        <a:ln>
          <a:noFill/>
        </a:ln>
        <a:effectLst/>
      </c:spPr>
    </c:title>
    <c:autoTitleDeleted val="0"/>
    <c:plotArea>
      <c:layout/>
      <c:barChart>
        <c:barDir val="col"/>
        <c:grouping val="clustered"/>
        <c:varyColors val="0"/>
        <c:ser>
          <c:idx val="0"/>
          <c:order val="0"/>
          <c:tx>
            <c:strRef>
              <c:f>'[新建 XLS 工作表 (2).xls]Sheet1'!$B$14</c:f>
              <c:strCache>
                <c:ptCount val="1"/>
                <c:pt idx="0">
                  <c:v>收入</c:v>
                </c:pt>
              </c:strCache>
            </c:strRef>
          </c:tx>
          <c:spPr>
            <a:solidFill>
              <a:schemeClr val="accent1"/>
            </a:solidFill>
            <a:ln>
              <a:noFill/>
            </a:ln>
            <a:effectLst/>
          </c:spPr>
          <c:invertIfNegative val="0"/>
          <c:dLbls>
            <c:delete val="1"/>
          </c:dLbls>
          <c:cat>
            <c:strRef>
              <c:f>'[新建 XLS 工作表 (2).xls]Sheet1'!$C$13:$D$13</c:f>
              <c:strCache>
                <c:ptCount val="2"/>
                <c:pt idx="0">
                  <c:v>2023年</c:v>
                </c:pt>
                <c:pt idx="1">
                  <c:v>2024年</c:v>
                </c:pt>
              </c:strCache>
            </c:strRef>
          </c:cat>
          <c:val>
            <c:numRef>
              <c:f>'[新建 XLS 工作表 (2).xls]Sheet1'!$C$14:$D$14</c:f>
              <c:numCache>
                <c:formatCode>General</c:formatCode>
                <c:ptCount val="2"/>
                <c:pt idx="0">
                  <c:v>1175.13</c:v>
                </c:pt>
                <c:pt idx="1">
                  <c:v>1214.6</c:v>
                </c:pt>
              </c:numCache>
            </c:numRef>
          </c:val>
        </c:ser>
        <c:ser>
          <c:idx val="1"/>
          <c:order val="1"/>
          <c:tx>
            <c:strRef>
              <c:f>'[新建 XLS 工作表 (2).xls]Sheet1'!$B$15</c:f>
              <c:strCache>
                <c:ptCount val="1"/>
                <c:pt idx="0">
                  <c:v>支出</c:v>
                </c:pt>
              </c:strCache>
            </c:strRef>
          </c:tx>
          <c:spPr>
            <a:solidFill>
              <a:schemeClr val="accent2"/>
            </a:solidFill>
            <a:ln>
              <a:noFill/>
            </a:ln>
            <a:effectLst/>
          </c:spPr>
          <c:invertIfNegative val="0"/>
          <c:dLbls>
            <c:delete val="1"/>
          </c:dLbls>
          <c:cat>
            <c:strRef>
              <c:f>'[新建 XLS 工作表 (2).xls]Sheet1'!$C$13:$D$13</c:f>
              <c:strCache>
                <c:ptCount val="2"/>
                <c:pt idx="0">
                  <c:v>2023年</c:v>
                </c:pt>
                <c:pt idx="1">
                  <c:v>2024年</c:v>
                </c:pt>
              </c:strCache>
            </c:strRef>
          </c:cat>
          <c:val>
            <c:numRef>
              <c:f>'[新建 XLS 工作表 (2).xls]Sheet1'!$C$15:$D$15</c:f>
              <c:numCache>
                <c:formatCode>General</c:formatCode>
                <c:ptCount val="2"/>
                <c:pt idx="0">
                  <c:v>1175.13</c:v>
                </c:pt>
                <c:pt idx="1">
                  <c:v>1214.6</c:v>
                </c:pt>
              </c:numCache>
            </c:numRef>
          </c:val>
        </c:ser>
        <c:dLbls>
          <c:showLegendKey val="0"/>
          <c:showVal val="0"/>
          <c:showCatName val="0"/>
          <c:showSerName val="0"/>
          <c:showPercent val="0"/>
          <c:showBubbleSize val="0"/>
        </c:dLbls>
        <c:gapWidth val="246"/>
        <c:overlap val="-28"/>
        <c:axId val="988932265"/>
        <c:axId val="899122964"/>
      </c:barChart>
      <c:catAx>
        <c:axId val="988932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122964"/>
        <c:crosses val="autoZero"/>
        <c:auto val="1"/>
        <c:lblAlgn val="ctr"/>
        <c:lblOffset val="100"/>
        <c:noMultiLvlLbl val="0"/>
      </c:catAx>
      <c:valAx>
        <c:axId val="89912296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9322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收入决算结构图</a:t>
            </a:r>
            <a:r>
              <a:rPr lang="en-US" altLang="zh-CN"/>
              <a:t> </a:t>
            </a:r>
            <a:r>
              <a:rPr altLang="en-US"/>
              <a:t>单位：万元</a:t>
            </a:r>
            <a:endParaRPr altLang="en-US"/>
          </a:p>
        </c:rich>
      </c:tx>
      <c:layout/>
      <c:overlay val="0"/>
      <c:spPr>
        <a:noFill/>
        <a:ln>
          <a:noFill/>
        </a:ln>
        <a:effectLst/>
      </c:spPr>
    </c:title>
    <c:autoTitleDeleted val="0"/>
    <c:plotArea>
      <c:layout/>
      <c:pieChart>
        <c:varyColors val="1"/>
        <c:ser>
          <c:idx val="1"/>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(2).xls]Sheet1'!$B$13:$B$15</c:f>
              <c:strCache>
                <c:ptCount val="3"/>
                <c:pt idx="0">
                  <c:v>一般公共预算财政拨款收入</c:v>
                </c:pt>
                <c:pt idx="1">
                  <c:v>政府性基金预算财政拨款收入</c:v>
                </c:pt>
                <c:pt idx="2">
                  <c:v>其他收入</c:v>
                </c:pt>
              </c:strCache>
            </c:strRef>
          </c:cat>
          <c:val>
            <c:numRef>
              <c:f>'[新建 XLS 工作表 (2).xls]Sheet1'!$C$13:$C$15</c:f>
              <c:numCache>
                <c:formatCode>General</c:formatCode>
                <c:ptCount val="3"/>
                <c:pt idx="0">
                  <c:v>1172.08</c:v>
                </c:pt>
                <c:pt idx="1">
                  <c:v>40.53</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支出决算结构图</a:t>
            </a:r>
            <a:r>
              <a:rPr lang="en-US" altLang="zh-CN"/>
              <a:t> </a:t>
            </a:r>
            <a:r>
              <a:rPr altLang="en-US"/>
              <a:t>单位：万元</a:t>
            </a:r>
            <a:endParaRPr altLang="en-US"/>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0995967947550537"/>
          <c:y val="0.202186447811448"/>
          <c:w val="0.829052631578947"/>
          <c:h val="0.675277777777778"/>
        </c:manualLayout>
      </c:layout>
      <c:pie3DChart>
        <c:varyColors val="1"/>
        <c:ser>
          <c:idx val="0"/>
          <c:order val="0"/>
          <c:spPr>
            <a:ln w="15875">
              <a:solidFill>
                <a:schemeClr val="bg1"/>
              </a:solidFill>
            </a:ln>
            <a:effectLst/>
            <a:scene3d>
              <a:camera prst="orthographicFront"/>
              <a:lightRig rig="threePt" dir="t"/>
            </a:scene3d>
            <a:sp3d contourW="15875"/>
          </c:spPr>
          <c:explosion val="0"/>
          <c:dPt>
            <c:idx val="0"/>
            <c:bubble3D val="0"/>
            <c:spPr>
              <a:solidFill>
                <a:schemeClr val="accent1"/>
              </a:solidFill>
              <a:ln w="15875">
                <a:solidFill>
                  <a:schemeClr val="bg1"/>
                </a:solidFill>
              </a:ln>
              <a:effectLst/>
              <a:scene3d>
                <a:camera prst="orthographicFront"/>
                <a:lightRig rig="threePt" dir="t"/>
              </a:scene3d>
              <a:sp3d contourW="15875"/>
            </c:spPr>
          </c:dPt>
          <c:dPt>
            <c:idx val="1"/>
            <c:bubble3D val="0"/>
            <c:spPr>
              <a:solidFill>
                <a:schemeClr val="accent2"/>
              </a:solidFill>
              <a:ln w="15875">
                <a:solidFill>
                  <a:schemeClr val="bg1"/>
                </a:solidFill>
              </a:ln>
              <a:effectLst/>
              <a:scene3d>
                <a:camera prst="orthographicFront"/>
                <a:lightRig rig="threePt" dir="t"/>
              </a:scene3d>
              <a:sp3d contourW="15875"/>
            </c:spPr>
          </c:dPt>
          <c:dLbls>
            <c:numFmt formatCode="General" sourceLinked="1"/>
            <c:spPr>
              <a:noFill/>
              <a:ln w="6350">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 (2).xls]Sheet1'!$B$13:$B$14</c:f>
              <c:strCache>
                <c:ptCount val="2"/>
                <c:pt idx="0">
                  <c:v>基本支出</c:v>
                </c:pt>
                <c:pt idx="1">
                  <c:v>项目支出</c:v>
                </c:pt>
              </c:strCache>
            </c:strRef>
          </c:cat>
          <c:val>
            <c:numRef>
              <c:f>'[新建 XLS 工作表 (2).xls]Sheet1'!$C$13:$C$14</c:f>
              <c:numCache>
                <c:formatCode>General</c:formatCode>
                <c:ptCount val="2"/>
                <c:pt idx="0">
                  <c:v>1035.63</c:v>
                </c:pt>
                <c:pt idx="1">
                  <c:v>178.35</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r>
              <a:rPr lang="en-US" altLang="zh-CN"/>
              <a:t> </a:t>
            </a:r>
            <a:r>
              <a:rPr altLang="en-US"/>
              <a:t>单位：万元</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 工作表 (2).xls]Sheet1'!$B$18:$B$19</c:f>
              <c:strCache>
                <c:ptCount val="2"/>
                <c:pt idx="0">
                  <c:v>2023年度收、支总计</c:v>
                </c:pt>
                <c:pt idx="1">
                  <c:v>2024年度收、支总计</c:v>
                </c:pt>
              </c:strCache>
            </c:strRef>
          </c:cat>
          <c:val>
            <c:numRef>
              <c:f>'[新建 XLS 工作表 (2).xls]Sheet1'!$C$18:$C$19</c:f>
              <c:numCache>
                <c:formatCode>General</c:formatCode>
                <c:ptCount val="2"/>
                <c:pt idx="0">
                  <c:v>1175.13</c:v>
                </c:pt>
                <c:pt idx="1">
                  <c:v>1212.6</c:v>
                </c:pt>
              </c:numCache>
            </c:numRef>
          </c:val>
        </c:ser>
        <c:dLbls>
          <c:showLegendKey val="0"/>
          <c:showVal val="0"/>
          <c:showCatName val="0"/>
          <c:showSerName val="0"/>
          <c:showPercent val="0"/>
          <c:showBubbleSize val="0"/>
        </c:dLbls>
        <c:gapWidth val="246"/>
        <c:overlap val="-28"/>
        <c:axId val="906638249"/>
        <c:axId val="767106842"/>
      </c:barChart>
      <c:catAx>
        <c:axId val="9066382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106842"/>
        <c:crosses val="autoZero"/>
        <c:auto val="1"/>
        <c:lblAlgn val="ctr"/>
        <c:lblOffset val="100"/>
        <c:noMultiLvlLbl val="0"/>
      </c:catAx>
      <c:valAx>
        <c:axId val="76710684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6382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r>
              <a:rPr lang="en-US" altLang="zh-CN"/>
              <a:t> </a:t>
            </a:r>
            <a:endParaRPr lang="en-US" altLang="zh-CN"/>
          </a:p>
          <a:p>
            <a:pPr defTabSz="914400">
              <a:defRPr lang="zh-CN" sz="1400" b="1" i="0" u="none" strike="noStrike" kern="1200" baseline="0">
                <a:solidFill>
                  <a:schemeClr val="tx1">
                    <a:lumMod val="75000"/>
                    <a:lumOff val="25000"/>
                  </a:schemeClr>
                </a:solidFill>
                <a:latin typeface="+mn-lt"/>
                <a:ea typeface="+mn-ea"/>
                <a:cs typeface="+mn-cs"/>
              </a:defRPr>
            </a:pPr>
            <a:r>
              <a:rPr lang="en-US" altLang="zh-CN"/>
              <a:t> </a:t>
            </a:r>
            <a:r>
              <a:rPr altLang="en-US"/>
              <a:t>单位：万元</a:t>
            </a:r>
            <a:endParaRPr altLang="en-US"/>
          </a:p>
        </c:rich>
      </c:tx>
      <c:layout>
        <c:manualLayout>
          <c:xMode val="edge"/>
          <c:yMode val="edge"/>
          <c:x val="0.159868421052631"/>
          <c:y val="0.04513888888888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 工作表 (2).xls]Sheet1'!$B$31:$B$32</c:f>
              <c:strCache>
                <c:ptCount val="2"/>
                <c:pt idx="0">
                  <c:v>2023年度支出</c:v>
                </c:pt>
                <c:pt idx="1">
                  <c:v>2024年度支出</c:v>
                </c:pt>
              </c:strCache>
            </c:strRef>
          </c:cat>
          <c:val>
            <c:numRef>
              <c:f>'[新建 XLS 工作表 (2).xls]Sheet1'!$C$31:$C$32</c:f>
              <c:numCache>
                <c:formatCode>General</c:formatCode>
                <c:ptCount val="2"/>
                <c:pt idx="0">
                  <c:v>1173.66</c:v>
                </c:pt>
                <c:pt idx="1">
                  <c:v>1172.08</c:v>
                </c:pt>
              </c:numCache>
            </c:numRef>
          </c:val>
        </c:ser>
        <c:dLbls>
          <c:showLegendKey val="0"/>
          <c:showVal val="0"/>
          <c:showCatName val="0"/>
          <c:showSerName val="0"/>
          <c:showPercent val="0"/>
          <c:showBubbleSize val="0"/>
        </c:dLbls>
        <c:gapWidth val="246"/>
        <c:overlap val="-28"/>
        <c:axId val="636600445"/>
        <c:axId val="525510781"/>
      </c:barChart>
      <c:catAx>
        <c:axId val="636600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510781"/>
        <c:crosses val="autoZero"/>
        <c:auto val="1"/>
        <c:lblAlgn val="ctr"/>
        <c:lblOffset val="100"/>
        <c:noMultiLvlLbl val="0"/>
      </c:catAx>
      <c:valAx>
        <c:axId val="52551078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600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一般公共预算财政拨款支出决算结构</a:t>
            </a:r>
            <a:r>
              <a:rPr lang="en-US" altLang="zh-CN"/>
              <a:t> </a:t>
            </a:r>
            <a:endParaRPr lang="en-US" altLang="zh-CN"/>
          </a:p>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tLang="en-US"/>
              <a:t>单位：万元</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(2).xls]Sheet1'!$E$30:$E$33</c:f>
              <c:strCache>
                <c:ptCount val="4"/>
                <c:pt idx="0">
                  <c:v>教育支出</c:v>
                </c:pt>
                <c:pt idx="1">
                  <c:v>社会保障和就业支出</c:v>
                </c:pt>
                <c:pt idx="2">
                  <c:v>卫生健康支出</c:v>
                </c:pt>
                <c:pt idx="3">
                  <c:v>住房保障支出</c:v>
                </c:pt>
              </c:strCache>
            </c:strRef>
          </c:cat>
          <c:val>
            <c:numRef>
              <c:f>'[新建 XLS 工作表 (2).xls]Sheet1'!$F$30:$F$33</c:f>
              <c:numCache>
                <c:formatCode>General</c:formatCode>
                <c:ptCount val="4"/>
                <c:pt idx="0">
                  <c:v>866.88</c:v>
                </c:pt>
                <c:pt idx="1">
                  <c:v>173.2</c:v>
                </c:pt>
                <c:pt idx="2">
                  <c:v>55.37</c:v>
                </c:pt>
                <c:pt idx="3">
                  <c:v>76.63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“三公”经费财政拨款支出结构</a:t>
            </a:r>
            <a:r>
              <a:rPr lang="en-US" altLang="zh-CN"/>
              <a:t> </a:t>
            </a:r>
            <a:r>
              <a:rPr altLang="en-US"/>
              <a:t>单位：万元</a:t>
            </a:r>
            <a:endParaRPr altLang="en-US"/>
          </a:p>
        </c:rich>
      </c:tx>
      <c:layout/>
      <c:overlay val="0"/>
      <c:spPr>
        <a:noFill/>
        <a:ln>
          <a:noFill/>
        </a:ln>
        <a:effectLst/>
      </c:spPr>
    </c:title>
    <c:autoTitleDeleted val="0"/>
    <c:plotArea>
      <c:layout/>
      <c:pieChart>
        <c:varyColors val="1"/>
        <c:ser>
          <c:idx val="1"/>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2"/>
              <c:layout/>
              <c:dLblPos val="inEnd"/>
              <c:showLegendKey val="0"/>
              <c:showVal val="1"/>
              <c:showCatName val="0"/>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(2).xls]Sheet1'!$E$36:$E$38</c:f>
              <c:strCache>
                <c:ptCount val="3"/>
                <c:pt idx="0">
                  <c:v>因公出国（境）费支出</c:v>
                </c:pt>
                <c:pt idx="1">
                  <c:v>公务用车购置及运行维护费支出</c:v>
                </c:pt>
                <c:pt idx="2">
                  <c:v>公务接待费支出</c:v>
                </c:pt>
              </c:strCache>
            </c:strRef>
          </c:cat>
          <c:val>
            <c:numRef>
              <c:f>'[新建 XLS 工作表 (2).xls]Sheet1'!$F$36:$F$38</c:f>
              <c:numCache>
                <c:formatCode>General</c:formatCode>
                <c:ptCount val="3"/>
                <c:pt idx="0">
                  <c:v>0</c:v>
                </c:pt>
                <c:pt idx="1">
                  <c:v>0.83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6431</Words>
  <Characters>6944</Characters>
  <Lines>61</Lines>
  <Paragraphs>17</Paragraphs>
  <TotalTime>16</TotalTime>
  <ScaleCrop>false</ScaleCrop>
  <LinksUpToDate>false</LinksUpToDate>
  <CharactersWithSpaces>7009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2025-09-02T17:59:00Z</dcterms:created>
  <dc:creator>曹颖</dc:creator>
  <cp:lastModifiedBy>user</cp:lastModifiedBy>
  <cp:lastPrinted>2025-08-07T01:34:00Z</cp:lastPrinted>
  <dcterms:modified xsi:type="dcterms:W3CDTF">2025-09-06T15:44:19Z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04787F2533EB45DC91BCDE4AB213247F</vt:lpwstr>
  </property>
  <property fmtid="{D5CDD505-2E9C-101B-9397-08002B2CF9AE}" pid="4" name="KSOTemplateDocerSaveRecord">
    <vt:lpwstr>eyJoZGlkIjoiNTYzYTI5NTUzOTA1ZDcyNTM5NGE4YTVkNTkyZDU1NmMiLCJ1c2VySWQiOiIxMDA3NzIxMTI5In0=</vt:lpwstr>
  </property>
</Properties>
</file>