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2024年度</w:t>
      </w:r>
    </w:p>
    <w:p>
      <w:pPr>
        <w:pStyle w:val="5"/>
        <w:spacing w:before="93"/>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攀枝花市第三高级中学校</w:t>
      </w:r>
    </w:p>
    <w:p>
      <w:pPr>
        <w:pStyle w:val="5"/>
        <w:spacing w:before="93"/>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单位决算</w:t>
      </w:r>
      <w:bookmarkStart w:id="0" w:name="_GoBack"/>
      <w:bookmarkEnd w:id="0"/>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pStyle w:val="5"/>
        <w:spacing w:before="93"/>
        <w:jc w:val="center"/>
        <w:rPr>
          <w:rFonts w:ascii="方正小标宋简体" w:hAnsi="宋体" w:eastAsia="方正小标宋简体"/>
          <w:kern w:val="2"/>
          <w:sz w:val="44"/>
          <w:szCs w:val="44"/>
        </w:r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sz w:val="28"/>
          <w:szCs w:val="28"/>
        </w:rPr>
      </w:pPr>
    </w:p>
    <w:p>
      <w:pPr>
        <w:pStyle w:val="8"/>
      </w:pPr>
      <w:r>
        <w:rPr>
          <w:rFonts w:hint="eastAsia"/>
        </w:rPr>
        <w:t>公开时间：2025年9月10日</w:t>
      </w:r>
    </w:p>
    <w:p/>
    <w:p>
      <w:pPr>
        <w:pStyle w:val="8"/>
        <w:adjustRightInd w:val="0"/>
        <w:snapToGrid w:val="0"/>
        <w:spacing w:before="0" w:line="440" w:lineRule="exact"/>
        <w:jc w:val="left"/>
        <w:rPr>
          <w:sz w:val="24"/>
          <w:szCs w:val="24"/>
        </w:rPr>
      </w:pPr>
      <w:r>
        <w:rPr>
          <w:rFonts w:hint="eastAsia"/>
          <w:sz w:val="24"/>
        </w:rPr>
        <w:t>第一部分单位概况 ...................................................4</w:t>
      </w:r>
    </w:p>
    <w:p>
      <w:pPr>
        <w:pStyle w:val="9"/>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9"/>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8"/>
        <w:adjustRightInd w:val="0"/>
        <w:snapToGrid w:val="0"/>
        <w:spacing w:before="0" w:line="440" w:lineRule="exact"/>
        <w:jc w:val="left"/>
        <w:rPr>
          <w:sz w:val="24"/>
          <w:szCs w:val="24"/>
        </w:rPr>
      </w:pPr>
      <w:r>
        <w:rPr>
          <w:rFonts w:hint="eastAsia"/>
          <w:sz w:val="24"/>
        </w:rPr>
        <w:t>第二部分 2024年度单位决算情况说明.................................. 5</w:t>
      </w:r>
    </w:p>
    <w:p>
      <w:pPr>
        <w:pStyle w:val="9"/>
        <w:adjustRightInd w:val="0"/>
        <w:snapToGrid w:val="0"/>
        <w:spacing w:line="440" w:lineRule="exact"/>
        <w:jc w:val="left"/>
        <w:rPr>
          <w:rFonts w:ascii="仿宋" w:hAnsi="仿宋" w:eastAsia="仿宋"/>
          <w:sz w:val="24"/>
        </w:rPr>
      </w:pPr>
      <w:r>
        <w:rPr>
          <w:rFonts w:hint="eastAsia"/>
          <w:sz w:val="24"/>
        </w:rPr>
        <w:t>一、收入支出决算总体情况说明</w:t>
      </w:r>
      <w:r>
        <w:rPr>
          <w:rFonts w:cstheme="minorBidi"/>
          <w:sz w:val="24"/>
        </w:rPr>
        <w:tab/>
      </w:r>
      <w:r>
        <w:rPr>
          <w:rFonts w:hint="eastAsia" w:cstheme="minorBidi"/>
          <w:sz w:val="24"/>
        </w:rPr>
        <w:t>5</w:t>
      </w:r>
    </w:p>
    <w:p>
      <w:pPr>
        <w:pStyle w:val="9"/>
        <w:adjustRightInd w:val="0"/>
        <w:snapToGrid w:val="0"/>
        <w:spacing w:line="440" w:lineRule="exact"/>
        <w:jc w:val="left"/>
        <w:rPr>
          <w:rFonts w:ascii="仿宋" w:hAnsi="仿宋" w:eastAsia="仿宋"/>
          <w:sz w:val="24"/>
        </w:rPr>
      </w:pPr>
      <w:r>
        <w:rPr>
          <w:rFonts w:hint="eastAsia"/>
          <w:sz w:val="24"/>
        </w:rPr>
        <w:t>二、收入决算情况说明</w:t>
      </w:r>
      <w:r>
        <w:rPr>
          <w:rFonts w:cstheme="minorBidi"/>
          <w:sz w:val="24"/>
        </w:rPr>
        <w:tab/>
      </w:r>
      <w:r>
        <w:rPr>
          <w:rFonts w:hint="eastAsia" w:cstheme="minorBidi"/>
          <w:sz w:val="24"/>
        </w:rPr>
        <w:t>5</w:t>
      </w:r>
    </w:p>
    <w:p>
      <w:pPr>
        <w:pStyle w:val="9"/>
        <w:adjustRightInd w:val="0"/>
        <w:snapToGrid w:val="0"/>
        <w:spacing w:line="440" w:lineRule="exact"/>
        <w:jc w:val="left"/>
        <w:rPr>
          <w:rFonts w:ascii="仿宋" w:hAnsi="仿宋"/>
          <w:sz w:val="24"/>
        </w:rPr>
      </w:pPr>
      <w:r>
        <w:rPr>
          <w:rFonts w:hint="eastAsia"/>
          <w:sz w:val="24"/>
        </w:rPr>
        <w:t>三、支出决算情况说明</w:t>
      </w:r>
      <w:r>
        <w:rPr>
          <w:rFonts w:cstheme="minorBidi"/>
          <w:sz w:val="24"/>
        </w:rPr>
        <w:tab/>
      </w:r>
      <w:r>
        <w:rPr>
          <w:rFonts w:hint="eastAsia" w:cstheme="minorBidi"/>
          <w:sz w:val="24"/>
        </w:rPr>
        <w:t>6</w:t>
      </w:r>
    </w:p>
    <w:p>
      <w:pPr>
        <w:pStyle w:val="9"/>
        <w:adjustRightInd w:val="0"/>
        <w:snapToGrid w:val="0"/>
        <w:spacing w:line="440" w:lineRule="exact"/>
        <w:jc w:val="left"/>
        <w:rPr>
          <w:rFonts w:ascii="仿宋" w:hAnsi="仿宋"/>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9"/>
        <w:adjustRightInd w:val="0"/>
        <w:snapToGrid w:val="0"/>
        <w:spacing w:line="440" w:lineRule="exact"/>
        <w:jc w:val="left"/>
        <w:rPr>
          <w:rFonts w:ascii="仿宋" w:hAnsi="仿宋"/>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9"/>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r>
        <w:rPr>
          <w:rFonts w:cstheme="minorBidi"/>
          <w:sz w:val="24"/>
        </w:rPr>
        <w:tab/>
      </w:r>
      <w:r>
        <w:rPr>
          <w:rFonts w:hint="eastAsia" w:cstheme="minorBidi"/>
          <w:sz w:val="24"/>
        </w:rPr>
        <w:t>......11</w:t>
      </w:r>
    </w:p>
    <w:p>
      <w:pPr>
        <w:pStyle w:val="9"/>
        <w:adjustRightInd w:val="0"/>
        <w:snapToGrid w:val="0"/>
        <w:spacing w:line="440" w:lineRule="exact"/>
        <w:jc w:val="left"/>
        <w:rPr>
          <w:rFonts w:ascii="仿宋" w:hAnsi="仿宋"/>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9"/>
        <w:adjustRightInd w:val="0"/>
        <w:snapToGrid w:val="0"/>
        <w:spacing w:line="440" w:lineRule="exact"/>
        <w:jc w:val="left"/>
        <w:rPr>
          <w:rFonts w:ascii="仿宋" w:hAnsi="仿宋"/>
          <w:sz w:val="24"/>
        </w:rPr>
      </w:pPr>
      <w:r>
        <w:rPr>
          <w:rFonts w:hint="eastAsia"/>
          <w:sz w:val="24"/>
        </w:rPr>
        <w:t>八、政府性基金预算支出决算情况说明</w:t>
      </w:r>
      <w:r>
        <w:rPr>
          <w:rFonts w:cstheme="minorBidi"/>
          <w:sz w:val="24"/>
        </w:rPr>
        <w:tab/>
      </w:r>
      <w:r>
        <w:rPr>
          <w:rFonts w:hint="eastAsia" w:cstheme="minorBidi"/>
          <w:sz w:val="24"/>
        </w:rPr>
        <w:t>11</w:t>
      </w:r>
    </w:p>
    <w:p>
      <w:pPr>
        <w:pStyle w:val="9"/>
        <w:adjustRightInd w:val="0"/>
        <w:snapToGrid w:val="0"/>
        <w:spacing w:line="440" w:lineRule="exact"/>
        <w:jc w:val="left"/>
        <w:rPr>
          <w:rFonts w:cstheme="minorBidi"/>
          <w:sz w:val="24"/>
        </w:rPr>
      </w:pPr>
      <w:r>
        <w:rPr>
          <w:rFonts w:hint="eastAsia"/>
          <w:sz w:val="24"/>
        </w:rPr>
        <w:t>九、国有资本经营预算支出决算情况说明</w:t>
      </w:r>
      <w:r>
        <w:rPr>
          <w:rFonts w:cstheme="minorBidi"/>
          <w:sz w:val="24"/>
        </w:rPr>
        <w:tab/>
      </w:r>
      <w:r>
        <w:rPr>
          <w:rFonts w:hint="eastAsia" w:cstheme="minorBidi"/>
          <w:sz w:val="24"/>
        </w:rPr>
        <w:t>11</w:t>
      </w:r>
    </w:p>
    <w:p>
      <w:pPr>
        <w:pStyle w:val="9"/>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.12</w:t>
      </w:r>
    </w:p>
    <w:p>
      <w:pPr>
        <w:pStyle w:val="8"/>
        <w:adjustRightInd w:val="0"/>
        <w:snapToGrid w:val="0"/>
        <w:spacing w:before="0" w:line="440" w:lineRule="exact"/>
        <w:jc w:val="left"/>
        <w:rPr>
          <w:sz w:val="24"/>
          <w:szCs w:val="24"/>
        </w:rPr>
      </w:pPr>
      <w:r>
        <w:rPr>
          <w:rFonts w:hint="eastAsia"/>
          <w:sz w:val="24"/>
        </w:rPr>
        <w:t>第三部分名词解释...................................................13</w:t>
      </w:r>
    </w:p>
    <w:p>
      <w:pPr>
        <w:pStyle w:val="8"/>
        <w:adjustRightInd w:val="0"/>
        <w:snapToGrid w:val="0"/>
        <w:spacing w:before="0" w:line="440" w:lineRule="exact"/>
        <w:jc w:val="left"/>
        <w:rPr>
          <w:sz w:val="24"/>
          <w:szCs w:val="24"/>
        </w:rPr>
      </w:pPr>
      <w:r>
        <w:rPr>
          <w:rFonts w:hint="eastAsia"/>
          <w:sz w:val="24"/>
        </w:rPr>
        <w:t>第四部分附件.......................................................16</w:t>
      </w:r>
    </w:p>
    <w:p>
      <w:pPr>
        <w:pStyle w:val="8"/>
        <w:adjustRightInd w:val="0"/>
        <w:snapToGrid w:val="0"/>
        <w:spacing w:before="0" w:line="440" w:lineRule="exact"/>
        <w:jc w:val="left"/>
        <w:rPr>
          <w:sz w:val="24"/>
          <w:szCs w:val="24"/>
        </w:rPr>
      </w:pPr>
      <w:r>
        <w:rPr>
          <w:rFonts w:hint="eastAsia"/>
          <w:sz w:val="24"/>
        </w:rPr>
        <w:t>第五部分附表.......................................................17</w:t>
      </w:r>
    </w:p>
    <w:p>
      <w:pPr>
        <w:pStyle w:val="9"/>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17</w:t>
      </w:r>
    </w:p>
    <w:p>
      <w:pPr>
        <w:pStyle w:val="9"/>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17</w:t>
      </w:r>
    </w:p>
    <w:p>
      <w:pPr>
        <w:pStyle w:val="9"/>
        <w:adjustRightInd w:val="0"/>
        <w:snapToGrid w:val="0"/>
        <w:spacing w:line="440" w:lineRule="exact"/>
        <w:jc w:val="left"/>
        <w:rPr>
          <w:rFonts w:cstheme="minorBidi"/>
          <w:sz w:val="24"/>
        </w:rPr>
      </w:pPr>
      <w:r>
        <w:rPr>
          <w:rFonts w:hint="eastAsia"/>
          <w:sz w:val="24"/>
        </w:rPr>
        <w:t>十三、财政拨款“三公”经费支出决算表</w:t>
      </w:r>
      <w:r>
        <w:rPr>
          <w:rFonts w:cstheme="minorBidi"/>
          <w:sz w:val="24"/>
        </w:rPr>
        <w:tab/>
      </w:r>
      <w:r>
        <w:rPr>
          <w:rFonts w:hint="eastAsia" w:cstheme="minorBidi"/>
          <w:sz w:val="24"/>
        </w:rPr>
        <w:t>17</w:t>
      </w:r>
    </w:p>
    <w:p>
      <w:pPr>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5"/>
        <w:spacing w:before="93"/>
        <w:rPr>
          <w:rFonts w:cstheme="minorBidi"/>
          <w:sz w:val="24"/>
        </w:rPr>
      </w:pPr>
    </w:p>
    <w:p>
      <w:pPr>
        <w:pStyle w:val="2"/>
        <w:jc w:val="center"/>
        <w:rPr>
          <w:rFonts w:ascii="黑体" w:hAnsi="黑体" w:eastAsia="黑体"/>
          <w:b w:val="0"/>
        </w:rPr>
      </w:pPr>
      <w:r>
        <w:rPr>
          <w:rFonts w:hint="eastAsia" w:ascii="黑体" w:hAnsi="黑体" w:eastAsia="黑体"/>
          <w:b w:val="0"/>
        </w:rPr>
        <w:t>第一部分 单位概况</w:t>
      </w:r>
    </w:p>
    <w:p>
      <w:pPr>
        <w:pStyle w:val="3"/>
        <w:suppressAutoHyphens/>
      </w:pPr>
      <w:r>
        <w:rPr>
          <w:rFonts w:hint="eastAsia"/>
        </w:rPr>
        <w:t>一、主要职责</w:t>
      </w:r>
    </w:p>
    <w:p>
      <w:pPr>
        <w:ind w:firstLine="800" w:firstLineChars="250"/>
        <w:rPr>
          <w:rFonts w:ascii="仿宋" w:hAnsi="仿宋" w:eastAsia="仿宋"/>
          <w:sz w:val="32"/>
          <w:szCs w:val="32"/>
        </w:rPr>
      </w:pPr>
      <w:r>
        <w:rPr>
          <w:rFonts w:hint="eastAsia" w:ascii="仿宋" w:hAnsi="仿宋" w:eastAsia="仿宋"/>
          <w:sz w:val="32"/>
          <w:szCs w:val="32"/>
        </w:rPr>
        <w:t>攀枝花市第三高级中学校（以下简称市三中）为市教育和体育局直属高中，从事高中学历教育。学校始建于1978年，1982年学校被评为四川省首批办好的省重点中学之一，2002年学校被评为四川省国家级示范性高中之一，2013年学校被确认为四川省一级示范性普通高中。</w:t>
      </w:r>
    </w:p>
    <w:p>
      <w:pPr>
        <w:jc w:val="left"/>
      </w:pPr>
    </w:p>
    <w:p>
      <w:pPr>
        <w:pStyle w:val="3"/>
        <w:suppressAutoHyphens/>
        <w:rPr>
          <w:rFonts w:ascii="黑体" w:hAnsi="黑体" w:eastAsia="黑体"/>
          <w:b w:val="0"/>
        </w:rPr>
      </w:pPr>
      <w:r>
        <w:rPr>
          <w:rFonts w:hint="eastAsia" w:ascii="黑体" w:hAnsi="黑体" w:eastAsia="黑体"/>
          <w:b w:val="0"/>
        </w:rPr>
        <w:t>二、机构设置</w:t>
      </w:r>
    </w:p>
    <w:p>
      <w:pPr>
        <w:ind w:firstLine="800" w:firstLineChars="250"/>
        <w:rPr>
          <w:rFonts w:ascii="仿宋" w:hAnsi="仿宋" w:eastAsia="仿宋"/>
          <w:sz w:val="32"/>
          <w:szCs w:val="32"/>
        </w:rPr>
      </w:pPr>
      <w:r>
        <w:rPr>
          <w:rFonts w:hint="eastAsia" w:ascii="仿宋" w:hAnsi="仿宋" w:eastAsia="仿宋"/>
          <w:sz w:val="32"/>
          <w:szCs w:val="32"/>
        </w:rPr>
        <w:t>攀枝花市第三高级中学校内设15个内设机构，其中正科级干部职数15人，副科级干部职数21人。学校包含学园路（东区学园路 1 号）和钒钛高新区（仁和区绒花路 36 号）两个校区，占地面积 16.05 万平方米，建筑面积 10.9 万平方米。现有80个教学班，学生4062名，在编教职工人数353人，另含3名占编聘用86号文工勤人员。学校有正高级教师8人，副高职称以上教职工121人；第三类高层次人才1人，第四类高层次人才9人、第五类高层次人才3人，县级以上骨干教师60人。</w:t>
      </w:r>
    </w:p>
    <w:p>
      <w:pPr>
        <w:pStyle w:val="5"/>
        <w:spacing w:before="93"/>
      </w:pPr>
    </w:p>
    <w:p>
      <w:pPr>
        <w:pStyle w:val="2"/>
        <w:jc w:val="center"/>
        <w:rPr>
          <w:rFonts w:ascii="黑体" w:hAnsi="黑体" w:eastAsia="黑体"/>
          <w:b w:val="0"/>
        </w:rPr>
      </w:pPr>
      <w:r>
        <w:rPr>
          <w:rFonts w:hint="eastAsia" w:ascii="黑体" w:hAnsi="黑体" w:eastAsia="黑体"/>
          <w:b w:val="0"/>
        </w:rPr>
        <w:t>第二部分 2024年度单位决算情况说明</w:t>
      </w:r>
    </w:p>
    <w:p/>
    <w:p>
      <w:pPr>
        <w:pStyle w:val="16"/>
        <w:numPr>
          <w:ilvl w:val="0"/>
          <w:numId w:val="0"/>
        </w:numPr>
        <w:spacing w:line="600" w:lineRule="exact"/>
        <w:ind w:left="640"/>
        <w:outlineLvl w:val="1"/>
        <w:rPr>
          <w:rFonts w:ascii="黑体" w:hAnsi="黑体" w:eastAsia="黑体"/>
          <w:color w:val="auto"/>
          <w:sz w:val="32"/>
          <w:szCs w:val="32"/>
        </w:rPr>
      </w:pPr>
      <w:r>
        <w:rPr>
          <w:rFonts w:hint="eastAsia" w:ascii="黑体" w:hAnsi="黑体" w:eastAsia="黑体"/>
          <w:color w:val="auto"/>
          <w:sz w:val="32"/>
          <w:szCs w:val="32"/>
        </w:rPr>
        <w:t>一、收入支出决算总体情况说明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2024年度收、支总计均为</w:t>
      </w:r>
      <w:r>
        <w:rPr>
          <w:rFonts w:ascii="仿宋" w:hAnsi="仿宋" w:eastAsia="仿宋"/>
          <w:sz w:val="32"/>
          <w:szCs w:val="32"/>
        </w:rPr>
        <w:t>12,716.79万元。与2023年度相比，收、支总计各增加2,169.13万元，增长20.57%​。主要变动原因：学校继续两校区办学模式，教职工规模扩大</w:t>
      </w:r>
      <w:r>
        <w:rPr>
          <w:rFonts w:hint="eastAsia" w:ascii="仿宋" w:hAnsi="仿宋" w:eastAsia="仿宋"/>
          <w:sz w:val="32"/>
          <w:szCs w:val="32"/>
        </w:rPr>
        <w:t>导致</w:t>
      </w:r>
      <w:r>
        <w:rPr>
          <w:rFonts w:ascii="仿宋" w:hAnsi="仿宋" w:eastAsia="仿宋"/>
          <w:sz w:val="32"/>
          <w:szCs w:val="32"/>
        </w:rPr>
        <w:t>致人员经费增加，</w:t>
      </w:r>
      <w:r>
        <w:rPr>
          <w:rFonts w:hint="eastAsia" w:ascii="仿宋" w:hAnsi="仿宋" w:eastAsia="仿宋"/>
          <w:sz w:val="32"/>
          <w:szCs w:val="32"/>
        </w:rPr>
        <w:t>基础性建设加大投入，</w:t>
      </w:r>
      <w:r>
        <w:rPr>
          <w:rFonts w:ascii="仿宋" w:hAnsi="仿宋" w:eastAsia="仿宋"/>
          <w:sz w:val="32"/>
          <w:szCs w:val="32"/>
        </w:rPr>
        <w:t>同时部分公用经费结转使用。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（图1：收、支决算总计变动情况图）（柱状图）</w:t>
      </w:r>
    </w:p>
    <w:p>
      <w:pPr>
        <w:pStyle w:val="5"/>
        <w:spacing w:before="93"/>
        <w:jc w:val="center"/>
      </w:pPr>
      <w:r>
        <w:rPr>
          <w:rFonts w:hint="eastAsia"/>
        </w:rPr>
        <w:drawing>
          <wp:inline distT="0" distB="0" distL="0" distR="0">
            <wp:extent cx="4724400" cy="2924175"/>
            <wp:effectExtent l="6350" t="6350" r="12700" b="22225"/>
            <wp:docPr id="1"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spacing w:before="93"/>
        <w:rPr>
          <w:rFonts w:ascii="黑体" w:hAnsi="黑体" w:eastAsia="黑体" w:cs="方正仿宋_GB2312"/>
          <w:sz w:val="32"/>
          <w:szCs w:val="32"/>
        </w:rPr>
      </w:pPr>
    </w:p>
    <w:p>
      <w:pPr>
        <w:pStyle w:val="5"/>
        <w:spacing w:before="93"/>
        <w:rPr>
          <w:rFonts w:ascii="仿宋" w:hAnsi="仿宋" w:eastAsia="仿宋"/>
          <w:kern w:val="2"/>
          <w:sz w:val="32"/>
          <w:szCs w:val="32"/>
        </w:rPr>
      </w:pPr>
      <w:r>
        <w:rPr>
          <w:rFonts w:hint="eastAsia" w:ascii="黑体" w:hAnsi="黑体" w:eastAsia="黑体" w:cs="方正仿宋_GB2312"/>
          <w:sz w:val="32"/>
          <w:szCs w:val="32"/>
        </w:rPr>
        <w:t>二、收入决算情况说明</w:t>
      </w:r>
      <w:r>
        <w:rPr>
          <w:rFonts w:ascii="仿宋" w:hAnsi="仿宋" w:eastAsia="仿宋"/>
          <w:kern w:val="2"/>
          <w:sz w:val="32"/>
          <w:szCs w:val="32"/>
        </w:rPr>
        <w:t>​</w:t>
      </w:r>
    </w:p>
    <w:p>
      <w:pPr>
        <w:pStyle w:val="5"/>
        <w:spacing w:before="93"/>
        <w:jc w:val="center"/>
        <w:rPr>
          <w:rFonts w:ascii="仿宋" w:hAnsi="仿宋" w:eastAsia="仿宋"/>
          <w:kern w:val="2"/>
          <w:sz w:val="32"/>
          <w:szCs w:val="32"/>
        </w:rPr>
      </w:pPr>
      <w:r>
        <w:rPr>
          <w:rFonts w:ascii="仿宋" w:hAnsi="仿宋" w:eastAsia="仿宋"/>
          <w:kern w:val="2"/>
          <w:sz w:val="32"/>
          <w:szCs w:val="32"/>
        </w:rPr>
        <w:t>2024年度本年收入合计12,521.68万元</w:t>
      </w:r>
      <w:r>
        <w:rPr>
          <w:rFonts w:hint="eastAsia" w:ascii="仿宋" w:hAnsi="仿宋" w:eastAsia="仿宋"/>
          <w:kern w:val="2"/>
          <w:sz w:val="32"/>
          <w:szCs w:val="32"/>
        </w:rPr>
        <w:t>。</w:t>
      </w:r>
      <w:r>
        <w:rPr>
          <w:rFonts w:ascii="仿宋" w:hAnsi="仿宋" w:eastAsia="仿宋"/>
          <w:kern w:val="2"/>
          <w:sz w:val="32"/>
          <w:szCs w:val="32"/>
        </w:rPr>
        <w:t>结构如下：</w:t>
      </w:r>
    </w:p>
    <w:p>
      <w:pPr>
        <w:pStyle w:val="5"/>
        <w:spacing w:before="93"/>
        <w:rPr>
          <w:rFonts w:ascii="仿宋" w:hAnsi="仿宋" w:eastAsia="仿宋"/>
          <w:kern w:val="2"/>
          <w:sz w:val="32"/>
          <w:szCs w:val="32"/>
        </w:rPr>
      </w:pPr>
      <w:r>
        <w:rPr>
          <w:rFonts w:ascii="仿宋" w:hAnsi="仿宋" w:eastAsia="仿宋"/>
          <w:kern w:val="2"/>
          <w:sz w:val="32"/>
          <w:szCs w:val="32"/>
        </w:rPr>
        <w:t>一般公共预算财政拨款收入：11,646.60万元，占比93.0%；</w:t>
      </w:r>
    </w:p>
    <w:p>
      <w:pPr>
        <w:pStyle w:val="5"/>
        <w:spacing w:before="93"/>
        <w:jc w:val="center"/>
        <w:rPr>
          <w:rFonts w:ascii="仿宋" w:hAnsi="仿宋" w:eastAsia="仿宋"/>
          <w:kern w:val="2"/>
          <w:sz w:val="32"/>
          <w:szCs w:val="32"/>
        </w:rPr>
      </w:pPr>
    </w:p>
    <w:p>
      <w:pPr>
        <w:pStyle w:val="5"/>
        <w:spacing w:before="93"/>
        <w:rPr>
          <w:rFonts w:ascii="仿宋" w:hAnsi="仿宋" w:eastAsia="仿宋"/>
          <w:kern w:val="2"/>
          <w:sz w:val="32"/>
          <w:szCs w:val="32"/>
        </w:rPr>
      </w:pPr>
      <w:r>
        <w:rPr>
          <w:rFonts w:ascii="仿宋" w:hAnsi="仿宋" w:eastAsia="仿宋"/>
          <w:kern w:val="2"/>
          <w:sz w:val="32"/>
          <w:szCs w:val="32"/>
        </w:rPr>
        <w:t>事业收入​：741.52万元，占比5.92%；其他收入​：133.56万元，占比1.07%。收入结构以财政拨款为主，事业收入为辅，体现学校经费来源的稳定性。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5"/>
        <w:spacing w:before="93"/>
        <w:rPr>
          <w:rFonts w:ascii="仿宋" w:hAnsi="仿宋" w:eastAsia="仿宋"/>
          <w:kern w:val="2"/>
          <w:sz w:val="32"/>
          <w:szCs w:val="32"/>
        </w:rPr>
      </w:pPr>
      <w:r>
        <w:rPr>
          <w:rFonts w:hint="eastAsia"/>
        </w:rPr>
        <w:drawing>
          <wp:inline distT="0" distB="0" distL="0" distR="0">
            <wp:extent cx="4819650" cy="3171825"/>
            <wp:effectExtent l="6350" t="6350" r="12700" b="22225"/>
            <wp:docPr id="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numPr>
          <w:ilvl w:val="0"/>
          <w:numId w:val="0"/>
        </w:numPr>
        <w:spacing w:line="600" w:lineRule="exact"/>
        <w:ind w:left="640"/>
        <w:outlineLvl w:val="1"/>
        <w:rPr>
          <w:rFonts w:ascii="黑体" w:hAnsi="黑体" w:eastAsia="黑体"/>
          <w:color w:val="auto"/>
          <w:sz w:val="32"/>
          <w:szCs w:val="32"/>
        </w:rPr>
      </w:pPr>
      <w:r>
        <w:rPr>
          <w:rFonts w:ascii="黑体" w:hAnsi="黑体" w:eastAsia="黑体"/>
          <w:color w:val="auto"/>
          <w:sz w:val="32"/>
          <w:szCs w:val="32"/>
        </w:rPr>
        <w:t>三、支出决算情况说明​</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2024年度本年支出合计12,479.84万元</w:t>
      </w:r>
      <w:r>
        <w:rPr>
          <w:rFonts w:hint="eastAsia" w:ascii="仿宋" w:hAnsi="仿宋" w:eastAsia="仿宋"/>
          <w:sz w:val="32"/>
          <w:szCs w:val="32"/>
        </w:rPr>
        <w:t>。</w:t>
      </w:r>
      <w:r>
        <w:rPr>
          <w:rFonts w:ascii="仿宋" w:hAnsi="仿宋" w:eastAsia="仿宋"/>
          <w:sz w:val="32"/>
          <w:szCs w:val="32"/>
        </w:rPr>
        <w:t>结构如下：基本支出​：8,907.50万元，占比71.37%；项目支出​：3,572.33万元，占比28.63%。</w:t>
      </w:r>
      <w:r>
        <w:rPr>
          <w:rFonts w:hint="eastAsia" w:ascii="仿宋" w:hAnsi="仿宋" w:eastAsia="仿宋"/>
          <w:sz w:val="32"/>
          <w:szCs w:val="32"/>
        </w:rPr>
        <w:t>基本</w:t>
      </w:r>
      <w:r>
        <w:rPr>
          <w:rFonts w:ascii="仿宋" w:hAnsi="仿宋" w:eastAsia="仿宋"/>
          <w:sz w:val="32"/>
          <w:szCs w:val="32"/>
        </w:rPr>
        <w:t>支出重点保障人员经费和日常运转，项目支出主要用于教学设施更新</w:t>
      </w:r>
      <w:r>
        <w:rPr>
          <w:rFonts w:hint="eastAsia" w:ascii="仿宋" w:hAnsi="仿宋" w:eastAsia="仿宋"/>
          <w:sz w:val="32"/>
          <w:szCs w:val="32"/>
        </w:rPr>
        <w:t>、学生宿舍综合改造及运动场综合治理、</w:t>
      </w:r>
      <w:r>
        <w:rPr>
          <w:rFonts w:ascii="仿宋" w:hAnsi="仿宋" w:eastAsia="仿宋"/>
          <w:sz w:val="32"/>
          <w:szCs w:val="32"/>
        </w:rPr>
        <w:t>校区</w:t>
      </w:r>
      <w:r>
        <w:rPr>
          <w:rFonts w:hint="eastAsia" w:ascii="仿宋" w:hAnsi="仿宋" w:eastAsia="仿宋"/>
          <w:sz w:val="32"/>
          <w:szCs w:val="32"/>
        </w:rPr>
        <w:t>运转</w:t>
      </w:r>
      <w:r>
        <w:rPr>
          <w:rFonts w:ascii="仿宋" w:hAnsi="仿宋" w:eastAsia="仿宋"/>
          <w:sz w:val="32"/>
          <w:szCs w:val="32"/>
        </w:rPr>
        <w:t>维护。</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Fonts w:ascii="仿宋_GB2312" w:eastAsia="仿宋_GB2312"/>
          <w:sz w:val="32"/>
          <w:szCs w:val="32"/>
        </w:rPr>
      </w:pPr>
    </w:p>
    <w:p>
      <w:pPr>
        <w:pStyle w:val="5"/>
        <w:spacing w:before="93"/>
        <w:jc w:val="center"/>
        <w:rPr>
          <w:rFonts w:ascii="仿宋" w:hAnsi="仿宋" w:eastAsia="仿宋"/>
          <w:kern w:val="2"/>
          <w:sz w:val="32"/>
          <w:szCs w:val="32"/>
        </w:rPr>
      </w:pPr>
      <w:r>
        <w:rPr>
          <w:rFonts w:hint="eastAsia"/>
        </w:rPr>
        <w:drawing>
          <wp:inline distT="0" distB="0" distL="0" distR="0">
            <wp:extent cx="4865370" cy="2916555"/>
            <wp:effectExtent l="19050" t="0" r="10817" b="0"/>
            <wp:docPr id="3"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ascii="黑体" w:hAnsi="黑体" w:eastAsia="黑体"/>
          <w:sz w:val="32"/>
          <w:szCs w:val="32"/>
        </w:rPr>
      </w:pPr>
      <w:r>
        <w:rPr>
          <w:rFonts w:ascii="黑体" w:hAnsi="黑体" w:eastAsia="黑体"/>
          <w:sz w:val="32"/>
          <w:szCs w:val="32"/>
        </w:rPr>
        <w:t>四、财政拨款收入支出决算总体情况说明​</w:t>
      </w:r>
    </w:p>
    <w:p>
      <w:pPr>
        <w:spacing w:line="600" w:lineRule="exact"/>
        <w:ind w:firstLine="640"/>
        <w:rPr>
          <w:rFonts w:ascii="仿宋" w:hAnsi="仿宋" w:eastAsia="仿宋"/>
          <w:sz w:val="32"/>
          <w:szCs w:val="32"/>
        </w:rPr>
      </w:pPr>
      <w:r>
        <w:rPr>
          <w:rFonts w:ascii="仿宋" w:hAnsi="仿宋" w:eastAsia="仿宋"/>
          <w:sz w:val="32"/>
          <w:szCs w:val="32"/>
        </w:rPr>
        <w:t>2024年度财政拨款收、支总计均为11,646.60万元。与2023年度相比，财政拨款收、支总计各增加2,666.62万元，增长29.70%​。主要变动原因：两校区办学深化，新进教职工及设施投入</w:t>
      </w:r>
      <w:r>
        <w:rPr>
          <w:rFonts w:hint="eastAsia" w:ascii="仿宋" w:hAnsi="仿宋" w:eastAsia="仿宋"/>
          <w:sz w:val="32"/>
          <w:szCs w:val="32"/>
        </w:rPr>
        <w:t>和基础性建设</w:t>
      </w:r>
      <w:r>
        <w:rPr>
          <w:rFonts w:ascii="仿宋" w:hAnsi="仿宋" w:eastAsia="仿宋"/>
          <w:sz w:val="32"/>
          <w:szCs w:val="32"/>
        </w:rPr>
        <w:t>增加。</w:t>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pStyle w:val="5"/>
        <w:spacing w:before="93"/>
        <w:jc w:val="center"/>
        <w:rPr>
          <w:rFonts w:ascii="仿宋" w:hAnsi="仿宋" w:eastAsia="仿宋"/>
          <w:kern w:val="2"/>
          <w:sz w:val="32"/>
          <w:szCs w:val="32"/>
        </w:rPr>
      </w:pPr>
      <w:r>
        <w:rPr>
          <w:rFonts w:hint="eastAsia"/>
        </w:rPr>
        <w:drawing>
          <wp:inline distT="0" distB="0" distL="0" distR="0">
            <wp:extent cx="5274310" cy="3371850"/>
            <wp:effectExtent l="6350" t="6350" r="15240" b="12700"/>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5"/>
        <w:spacing w:before="93"/>
        <w:rPr>
          <w:rFonts w:ascii="黑体" w:hAnsi="黑体" w:eastAsia="黑体" w:cs="方正仿宋_GB2312"/>
          <w:sz w:val="32"/>
          <w:szCs w:val="32"/>
        </w:rPr>
      </w:pPr>
      <w:r>
        <w:rPr>
          <w:rFonts w:ascii="黑体" w:hAnsi="黑体" w:eastAsia="黑体" w:cs="方正仿宋_GB2312"/>
          <w:sz w:val="32"/>
          <w:szCs w:val="32"/>
        </w:rPr>
        <w:t>​</w:t>
      </w:r>
      <w:r>
        <w:rPr>
          <w:rFonts w:ascii="黑体" w:hAnsi="黑体" w:eastAsia="黑体"/>
          <w:kern w:val="2"/>
          <w:sz w:val="32"/>
          <w:szCs w:val="32"/>
        </w:rPr>
        <w:t>五、一般公共预算财政拨款支出决算情况说明​</w:t>
      </w:r>
    </w:p>
    <w:p>
      <w:pPr>
        <w:spacing w:line="600" w:lineRule="exact"/>
        <w:ind w:firstLine="640" w:firstLineChars="200"/>
        <w:outlineLvl w:val="2"/>
        <w:rPr>
          <w:rFonts w:ascii="仿宋" w:hAnsi="仿宋" w:eastAsia="仿宋"/>
          <w:b/>
          <w:sz w:val="32"/>
          <w:szCs w:val="32"/>
        </w:rPr>
      </w:pPr>
      <w:r>
        <w:rPr>
          <w:rFonts w:ascii="仿宋" w:hAnsi="仿宋" w:eastAsia="仿宋"/>
          <w:b/>
          <w:sz w:val="32"/>
          <w:szCs w:val="32"/>
        </w:rPr>
        <w:t>（一）支出决算总体情况​</w:t>
      </w:r>
    </w:p>
    <w:p>
      <w:pPr>
        <w:spacing w:line="600" w:lineRule="exact"/>
        <w:ind w:firstLine="640" w:firstLineChars="200"/>
        <w:rPr>
          <w:rFonts w:ascii="仿宋" w:hAnsi="仿宋" w:eastAsia="仿宋"/>
          <w:sz w:val="32"/>
          <w:szCs w:val="32"/>
        </w:rPr>
      </w:pPr>
      <w:r>
        <w:rPr>
          <w:rFonts w:ascii="仿宋" w:hAnsi="仿宋" w:eastAsia="仿宋"/>
          <w:sz w:val="32"/>
          <w:szCs w:val="32"/>
        </w:rPr>
        <w:t>2024年度一般公共预算财政拨款支出11,642.86万元，占本年支出合计的93.0%。与2023年度相比，增加2,675.37万元，增长29.84%​，主要因人员经费及校区运维成本上升。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5"/>
        <w:spacing w:before="93"/>
        <w:jc w:val="center"/>
        <w:rPr>
          <w:rFonts w:ascii="仿宋" w:hAnsi="仿宋" w:eastAsia="仿宋"/>
          <w:kern w:val="2"/>
          <w:sz w:val="32"/>
          <w:szCs w:val="32"/>
        </w:rPr>
      </w:pPr>
      <w:r>
        <w:rPr>
          <w:rFonts w:hint="eastAsia"/>
        </w:rPr>
        <w:drawing>
          <wp:inline distT="0" distB="0" distL="0" distR="0">
            <wp:extent cx="5274310" cy="3076575"/>
            <wp:effectExtent l="6350" t="6350" r="15240" b="22225"/>
            <wp:docPr id="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2"/>
        <w:rPr>
          <w:rFonts w:ascii="仿宋" w:hAnsi="仿宋" w:eastAsia="仿宋"/>
          <w:b/>
          <w:sz w:val="32"/>
          <w:szCs w:val="32"/>
        </w:rPr>
      </w:pPr>
      <w:r>
        <w:rPr>
          <w:rFonts w:ascii="仿宋" w:hAnsi="仿宋" w:eastAsia="仿宋"/>
          <w:b/>
          <w:sz w:val="32"/>
          <w:szCs w:val="32"/>
        </w:rPr>
        <w:t>（二）支出决算结构​</w:t>
      </w:r>
    </w:p>
    <w:p>
      <w:pPr>
        <w:spacing w:line="600" w:lineRule="exact"/>
        <w:ind w:firstLine="640"/>
        <w:rPr>
          <w:rFonts w:ascii="仿宋" w:hAnsi="仿宋" w:eastAsia="仿宋"/>
          <w:sz w:val="32"/>
          <w:szCs w:val="32"/>
        </w:rPr>
      </w:pPr>
      <w:r>
        <w:rPr>
          <w:rFonts w:ascii="仿宋" w:hAnsi="仿宋" w:eastAsia="仿宋"/>
          <w:sz w:val="32"/>
          <w:szCs w:val="32"/>
        </w:rPr>
        <w:t>2024年度一般公共预算财政拨款支出主要用于：教育支出​：9,335.88万元，占比80.19%；社会保障和就业支出​：1,320.25万元，占比11.34%；住房保障支出​：573.58万元，占比4.93%；文化旅游体育与传媒支出​：2.23万元，占比0.02%；卫生健康支出​：410.91万元，占比3.52%。</w:t>
      </w:r>
      <w:r>
        <w:rPr>
          <w:rFonts w:hint="eastAsia" w:ascii="仿宋" w:hAnsi="仿宋" w:eastAsia="仿宋"/>
          <w:sz w:val="32"/>
          <w:szCs w:val="32"/>
        </w:rPr>
        <w:t>（图6：一般公共预算财政拨款支出决算结构）（饼状图）</w:t>
      </w:r>
    </w:p>
    <w:p>
      <w:pPr>
        <w:spacing w:line="600" w:lineRule="exact"/>
        <w:ind w:firstLine="640"/>
        <w:rPr>
          <w:rFonts w:ascii="仿宋" w:hAnsi="仿宋" w:eastAsia="仿宋"/>
          <w:sz w:val="32"/>
          <w:szCs w:val="32"/>
        </w:rPr>
      </w:pPr>
    </w:p>
    <w:p>
      <w:pPr>
        <w:pStyle w:val="5"/>
        <w:spacing w:before="93"/>
        <w:jc w:val="center"/>
        <w:rPr>
          <w:rFonts w:ascii="仿宋" w:hAnsi="仿宋" w:eastAsia="仿宋"/>
          <w:kern w:val="2"/>
          <w:sz w:val="32"/>
          <w:szCs w:val="32"/>
        </w:rPr>
      </w:pPr>
      <w:r>
        <w:rPr>
          <w:rFonts w:hint="eastAsia"/>
        </w:rPr>
        <w:drawing>
          <wp:inline distT="0" distB="0" distL="0" distR="0">
            <wp:extent cx="5615940" cy="3407410"/>
            <wp:effectExtent l="6350" t="6350" r="16510" b="15240"/>
            <wp:docPr id="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spacing w:before="93"/>
        <w:jc w:val="center"/>
        <w:rPr>
          <w:rFonts w:ascii="仿宋" w:hAnsi="仿宋" w:eastAsia="仿宋"/>
          <w:kern w:val="2"/>
          <w:sz w:val="32"/>
          <w:szCs w:val="32"/>
        </w:rPr>
      </w:pPr>
    </w:p>
    <w:p>
      <w:pPr>
        <w:spacing w:line="600" w:lineRule="exact"/>
        <w:ind w:firstLine="640" w:firstLineChars="200"/>
        <w:outlineLvl w:val="2"/>
        <w:rPr>
          <w:rFonts w:ascii="仿宋" w:hAnsi="仿宋" w:eastAsia="仿宋"/>
          <w:color w:val="000000" w:themeColor="text1"/>
          <w:sz w:val="32"/>
          <w:szCs w:val="32"/>
        </w:rPr>
      </w:pPr>
      <w:r>
        <w:rPr>
          <w:rFonts w:ascii="仿宋" w:hAnsi="仿宋" w:eastAsia="仿宋"/>
          <w:b/>
          <w:sz w:val="32"/>
          <w:szCs w:val="32"/>
        </w:rPr>
        <w:t>（三）支出决算具体情况​</w:t>
      </w:r>
    </w:p>
    <w:p>
      <w:pPr>
        <w:spacing w:line="600" w:lineRule="exact"/>
        <w:ind w:firstLine="640" w:firstLineChars="200"/>
        <w:outlineLvl w:val="2"/>
        <w:rPr>
          <w:rFonts w:ascii="仿宋" w:hAnsi="仿宋" w:eastAsia="仿宋"/>
          <w:b/>
          <w:sz w:val="32"/>
          <w:szCs w:val="32"/>
        </w:rPr>
      </w:pPr>
      <w:r>
        <w:rPr>
          <w:rFonts w:ascii="仿宋" w:hAnsi="仿宋" w:eastAsia="仿宋"/>
          <w:b/>
          <w:sz w:val="32"/>
          <w:szCs w:val="32"/>
        </w:rPr>
        <w:t>支出决算完成预算100%，各类目明细如下：</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教育（类）普通教育（款）高中教育（项）：支出8,982.16万元；</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教育（类）进修及培训（款）培训支出（项）：支出1.60万元；</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教育（类）教育费附加安排的支出（款）其他教育费附加安排的支出（项）：支出344.56万元；</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社会保障和就业（类）行政事业单位养老支出（款）事业单位离退休（项）​​：支出475.99万元；</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社会保障和就业（类）行政事业单位养老支出（款）机关事业单位基本养老保险缴费支出（项）​​：支出765.49万元；</w:t>
      </w:r>
    </w:p>
    <w:p>
      <w:pPr>
        <w:numPr>
          <w:ilvl w:val="0"/>
          <w:numId w:val="2"/>
        </w:numPr>
        <w:spacing w:line="600" w:lineRule="exact"/>
        <w:ind w:firstLine="640" w:firstLineChars="200"/>
        <w:outlineLvl w:val="2"/>
        <w:rPr>
          <w:rFonts w:ascii="仿宋" w:hAnsi="仿宋" w:eastAsia="仿宋"/>
          <w:b/>
          <w:sz w:val="32"/>
          <w:szCs w:val="32"/>
        </w:rPr>
      </w:pPr>
      <w:r>
        <w:rPr>
          <w:rFonts w:ascii="仿宋" w:hAnsi="仿宋" w:eastAsia="仿宋"/>
          <w:b/>
          <w:sz w:val="32"/>
          <w:szCs w:val="32"/>
        </w:rPr>
        <w:t>住房保障支出（类）住房改革支出（款）住房公积金（项）​：支出573.58万元。</w:t>
      </w:r>
    </w:p>
    <w:p>
      <w:pPr>
        <w:pStyle w:val="5"/>
        <w:spacing w:before="93"/>
        <w:jc w:val="center"/>
        <w:rPr>
          <w:rFonts w:ascii="仿宋" w:hAnsi="仿宋" w:eastAsia="仿宋"/>
          <w:kern w:val="2"/>
          <w:sz w:val="32"/>
          <w:szCs w:val="32"/>
        </w:rPr>
      </w:pPr>
      <w:r>
        <w:rPr>
          <w:rFonts w:ascii="黑体" w:eastAsia="黑体"/>
          <w:kern w:val="2"/>
          <w:sz w:val="32"/>
          <w:szCs w:val="32"/>
        </w:rPr>
        <w:t>​六、一般公共预算财政拨款基本支出决算情况说明</w:t>
      </w:r>
      <w:r>
        <w:rPr>
          <w:rFonts w:ascii="仿宋" w:hAnsi="仿宋" w:eastAsia="仿宋"/>
          <w:kern w:val="2"/>
          <w:sz w:val="32"/>
          <w:szCs w:val="32"/>
        </w:rPr>
        <w:t>​</w:t>
      </w:r>
    </w:p>
    <w:p>
      <w:pPr>
        <w:spacing w:line="600" w:lineRule="exact"/>
        <w:ind w:firstLine="645"/>
        <w:rPr>
          <w:rFonts w:ascii="仿宋" w:hAnsi="仿宋" w:eastAsia="仿宋"/>
          <w:sz w:val="32"/>
          <w:szCs w:val="32"/>
        </w:rPr>
      </w:pPr>
      <w:r>
        <w:rPr>
          <w:rFonts w:ascii="仿宋" w:hAnsi="仿宋" w:eastAsia="仿宋"/>
          <w:sz w:val="32"/>
          <w:szCs w:val="32"/>
        </w:rPr>
        <w:t>2024年度一般公共预算财政拨款基本支出8,197.55万元，其中：</w:t>
      </w:r>
    </w:p>
    <w:p>
      <w:pPr>
        <w:spacing w:line="600" w:lineRule="exact"/>
        <w:ind w:firstLine="645"/>
        <w:rPr>
          <w:rFonts w:ascii="仿宋" w:hAnsi="仿宋" w:eastAsia="仿宋"/>
          <w:sz w:val="32"/>
          <w:szCs w:val="32"/>
        </w:rPr>
      </w:pPr>
      <w:r>
        <w:rPr>
          <w:rFonts w:ascii="仿宋" w:hAnsi="仿宋" w:eastAsia="仿宋"/>
          <w:sz w:val="32"/>
          <w:szCs w:val="32"/>
        </w:rPr>
        <w:t>人员经费</w:t>
      </w:r>
      <w:r>
        <w:rPr>
          <w:rFonts w:hint="eastAsia" w:ascii="MS Mincho" w:hAnsi="MS Mincho" w:eastAsia="MS Mincho" w:cs="MS Mincho"/>
          <w:sz w:val="32"/>
          <w:szCs w:val="32"/>
        </w:rPr>
        <w:t>​</w:t>
      </w:r>
      <w:r>
        <w:rPr>
          <w:rFonts w:ascii="仿宋" w:hAnsi="仿宋" w:eastAsia="仿宋"/>
          <w:sz w:val="32"/>
          <w:szCs w:val="32"/>
        </w:rPr>
        <w:t>：8,132.90万元（含基本工资1,946.26万元、绩效工资3,419.20万元等）；公用经费</w:t>
      </w:r>
      <w:r>
        <w:rPr>
          <w:rFonts w:hint="eastAsia" w:ascii="MS Mincho" w:hAnsi="MS Mincho" w:eastAsia="MS Mincho" w:cs="MS Mincho"/>
          <w:sz w:val="32"/>
          <w:szCs w:val="32"/>
        </w:rPr>
        <w:t>​</w:t>
      </w:r>
      <w:r>
        <w:rPr>
          <w:rFonts w:ascii="仿宋" w:hAnsi="仿宋" w:eastAsia="仿宋"/>
          <w:sz w:val="32"/>
          <w:szCs w:val="32"/>
        </w:rPr>
        <w:t>：64.65万元（主要为工会经费）。</w:t>
      </w:r>
    </w:p>
    <w:p>
      <w:pPr>
        <w:spacing w:line="600" w:lineRule="exact"/>
        <w:ind w:firstLine="640"/>
        <w:outlineLvl w:val="1"/>
        <w:rPr>
          <w:rFonts w:ascii="仿宋" w:hAnsi="仿宋" w:eastAsia="仿宋"/>
          <w:sz w:val="32"/>
          <w:szCs w:val="32"/>
        </w:rPr>
      </w:pPr>
      <w:r>
        <w:rPr>
          <w:rFonts w:ascii="黑体" w:eastAsia="黑体"/>
          <w:sz w:val="32"/>
          <w:szCs w:val="32"/>
        </w:rPr>
        <w:t>​七、财政拨款“三公”经费支出决算情况说明</w:t>
      </w:r>
      <w:r>
        <w:rPr>
          <w:rFonts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sz w:val="32"/>
          <w:szCs w:val="32"/>
        </w:rPr>
        <w:t>2024年度“三公”经费财政拨款支出决算为0万元​，与2023年持平。原因：三公经费由事业收入安排，财政拨款未列支。</w:t>
      </w:r>
    </w:p>
    <w:p>
      <w:pPr>
        <w:spacing w:line="600" w:lineRule="exact"/>
        <w:ind w:firstLine="640"/>
        <w:outlineLvl w:val="1"/>
        <w:rPr>
          <w:rFonts w:ascii="黑体" w:eastAsia="黑体"/>
          <w:sz w:val="32"/>
          <w:szCs w:val="32"/>
        </w:rPr>
      </w:pPr>
      <w:r>
        <w:rPr>
          <w:rFonts w:ascii="黑体" w:eastAsia="黑体"/>
          <w:sz w:val="32"/>
          <w:szCs w:val="32"/>
        </w:rPr>
        <w:t>​八、政府性基金预算支出决算情况说明​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2024年度政府性基金预算财政拨款支出3.74万元，全部用于体育事业彩票公益金支出。</w:t>
      </w:r>
    </w:p>
    <w:p>
      <w:pPr>
        <w:spacing w:line="600" w:lineRule="exact"/>
        <w:ind w:firstLine="640"/>
        <w:outlineLvl w:val="1"/>
        <w:rPr>
          <w:rFonts w:ascii="黑体" w:eastAsia="黑体"/>
          <w:sz w:val="32"/>
          <w:szCs w:val="32"/>
        </w:rPr>
      </w:pPr>
      <w:r>
        <w:rPr>
          <w:rFonts w:ascii="黑体" w:eastAsia="黑体"/>
          <w:sz w:val="32"/>
          <w:szCs w:val="32"/>
        </w:rPr>
        <w:t>​九、国有资本经营预算支出决算情况说明​</w:t>
      </w:r>
    </w:p>
    <w:p>
      <w:pPr>
        <w:spacing w:line="600" w:lineRule="exact"/>
        <w:ind w:firstLine="640"/>
        <w:rPr>
          <w:rFonts w:ascii="仿宋_GB2312" w:eastAsia="仿宋_GB2312"/>
          <w:sz w:val="32"/>
          <w:szCs w:val="32"/>
        </w:rPr>
      </w:pPr>
      <w:r>
        <w:rPr>
          <w:rFonts w:ascii="仿宋_GB2312" w:eastAsia="仿宋_GB2312"/>
          <w:sz w:val="32"/>
          <w:szCs w:val="32"/>
        </w:rPr>
        <w:t>2024年度国有资本经营预算财政拨款支出0万元，无相关支出。</w:t>
      </w:r>
    </w:p>
    <w:p>
      <w:pPr>
        <w:spacing w:line="600" w:lineRule="exact"/>
        <w:ind w:firstLine="642" w:firstLineChars="200"/>
        <w:outlineLvl w:val="1"/>
        <w:rPr>
          <w:rStyle w:val="17"/>
          <w:rFonts w:ascii="黑体" w:hAnsi="黑体" w:eastAsia="黑体"/>
        </w:rPr>
      </w:pPr>
      <w:r>
        <w:rPr>
          <w:rStyle w:val="17"/>
          <w:rFonts w:ascii="黑体" w:hAnsi="黑体" w:eastAsia="黑体"/>
        </w:rPr>
        <w:t>​十、其他重要事项的情况说明​</w:t>
      </w:r>
    </w:p>
    <w:p>
      <w:pPr>
        <w:spacing w:line="600" w:lineRule="exact"/>
        <w:ind w:firstLine="640" w:firstLineChars="200"/>
        <w:outlineLvl w:val="2"/>
        <w:rPr>
          <w:rFonts w:ascii="仿宋" w:hAnsi="仿宋" w:eastAsia="仿宋"/>
          <w:b/>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我单位是事业单位，无此项支出。</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 w:hAnsi="仿宋" w:eastAsia="仿宋"/>
          <w:sz w:val="32"/>
          <w:szCs w:val="32"/>
        </w:rPr>
      </w:pPr>
      <w:r>
        <w:rPr>
          <w:rFonts w:ascii="仿宋_GB2312" w:eastAsia="仿宋_GB2312"/>
          <w:color w:val="000000" w:themeColor="text1"/>
          <w:sz w:val="32"/>
          <w:szCs w:val="32"/>
        </w:rPr>
        <w:t>资本性支出（如设备购置）达2,534.57万元，主要用于教学设备更新</w:t>
      </w:r>
      <w:r>
        <w:rPr>
          <w:rFonts w:hint="eastAsia" w:ascii="仿宋_GB2312" w:eastAsia="仿宋_GB2312"/>
          <w:color w:val="000000" w:themeColor="text1"/>
          <w:sz w:val="32"/>
          <w:szCs w:val="32"/>
        </w:rPr>
        <w:t>、学生宿舍改造及运动场垮塌综合整治等</w:t>
      </w:r>
      <w:r>
        <w:rPr>
          <w:rFonts w:ascii="仿宋_GB2312" w:eastAsia="仿宋_GB2312"/>
          <w:color w:val="000000" w:themeColor="text1"/>
          <w:sz w:val="32"/>
          <w:szCs w:val="32"/>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sz w:val="32"/>
          <w:szCs w:val="32"/>
        </w:rPr>
      </w:pPr>
      <w:r>
        <w:rPr>
          <w:rFonts w:ascii="仿宋_GB2312" w:eastAsia="仿宋_GB2312"/>
          <w:sz w:val="32"/>
          <w:szCs w:val="32"/>
        </w:rPr>
        <w:t>截至2024年12月31日，学校共有车辆3辆，无单价100万元以上专用设备。</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ascii="仿宋_GB2312" w:eastAsia="仿宋_GB2312"/>
          <w:sz w:val="32"/>
          <w:szCs w:val="32"/>
        </w:rPr>
        <w:t>对</w:t>
      </w:r>
      <w:r>
        <w:rPr>
          <w:rFonts w:hint="eastAsia" w:ascii="仿宋_GB2312" w:eastAsia="仿宋_GB2312"/>
          <w:sz w:val="32"/>
          <w:szCs w:val="32"/>
        </w:rPr>
        <w:t>相关</w:t>
      </w:r>
      <w:r>
        <w:rPr>
          <w:rFonts w:ascii="仿宋_GB2312" w:eastAsia="仿宋_GB2312"/>
          <w:sz w:val="32"/>
          <w:szCs w:val="32"/>
        </w:rPr>
        <w:t>项目开展绩效自评（详见第四部分附件）。</w:t>
      </w: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rPr>
          <w:rFonts w:ascii="仿宋" w:hAnsi="仿宋" w:eastAsia="仿宋"/>
          <w:kern w:val="2"/>
          <w:sz w:val="32"/>
          <w:szCs w:val="32"/>
        </w:rPr>
      </w:pPr>
    </w:p>
    <w:p>
      <w:pPr>
        <w:pStyle w:val="5"/>
        <w:spacing w:before="93"/>
        <w:jc w:val="center"/>
        <w:rPr>
          <w:rFonts w:ascii="仿宋" w:hAnsi="仿宋" w:eastAsia="仿宋"/>
          <w:kern w:val="2"/>
          <w:sz w:val="32"/>
          <w:szCs w:val="32"/>
        </w:rPr>
      </w:pPr>
      <w:r>
        <w:rPr>
          <w:rFonts w:ascii="黑体" w:hAnsi="黑体" w:eastAsia="黑体"/>
          <w:kern w:val="2"/>
          <w:sz w:val="44"/>
          <w:szCs w:val="44"/>
        </w:rPr>
        <w:t>​第三部分 名词解释</w:t>
      </w:r>
      <w:r>
        <w:rPr>
          <w:rFonts w:ascii="仿宋" w:hAnsi="仿宋" w:eastAsia="仿宋"/>
          <w:kern w:val="2"/>
          <w:sz w:val="32"/>
          <w:szCs w:val="32"/>
        </w:rPr>
        <w:t>​</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教育（类）普通教育（款）高中教育（项）：指反映各部门举办的普通高中教育支出。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教育（类）普通教育（款）其他普通教育支出（项）：指反映除学前教育等项目以外其他用于普通教育方面的支出。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教育（类）教育费附加安排的支出（款）其他教育费附加安排的支出（项）：指反映用教育费附加安排的除农村中小学校校舍建设等以外的教育费附加支出。</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社会保障和就业（类）行政事业单位养老支出（款）事业单位离退休（项）：指事业单位开支的离退休费。</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社会保障和就业（类）行政事业单位养老支出（款）机关事业单位基本养老保险缴费支出（项）：指反映机关事业单位实施养老保险制度由单位实际缴纳的基本养老保险费支出。</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社会保障和就业（类）行政事业单位养老支出（款）关事业单位职业年金缴费支出（项）：指反映机关事业单位实施养老保险制度由单位实际缴纳的职业年金保支出（含职业年金补计支出）。</w:t>
      </w:r>
    </w:p>
    <w:p>
      <w:pPr>
        <w:pStyle w:val="1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社会保障和就业（类）抚恤（款）死亡抚恤（项）：指反映按规定用于烈士和牺牲、病故人员家属的一次性和定期抚恤金、丧葬补助费以及烈士褒扬金。</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住房保障支出（类）住房改革支出（款）住房公积金（项）：指反映行政事业单位按人力资源和社会保障部、财政部规定的基本工资和津贴补贴以及规定比例为职工缴纳的住房公积金。</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经营支出：指事业单位在专业业务活动及其辅助活动之外开展非独立核算经营活动发生的支出。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p>
    <w:p>
      <w:pPr>
        <w:pStyle w:val="5"/>
        <w:spacing w:before="93"/>
        <w:jc w:val="center"/>
        <w:rPr>
          <w:rFonts w:ascii="仿宋" w:hAnsi="仿宋" w:eastAsia="仿宋"/>
          <w:kern w:val="2"/>
          <w:sz w:val="32"/>
          <w:szCs w:val="32"/>
        </w:rPr>
      </w:pPr>
      <w:r>
        <w:rPr>
          <w:rFonts w:ascii="仿宋" w:hAnsi="仿宋" w:eastAsia="仿宋"/>
          <w:kern w:val="2"/>
          <w:sz w:val="32"/>
          <w:szCs w:val="32"/>
        </w:rPr>
        <w:t>​</w:t>
      </w:r>
      <w:r>
        <w:rPr>
          <w:rFonts w:ascii="黑体" w:hAnsi="黑体" w:eastAsia="黑体"/>
          <w:kern w:val="2"/>
          <w:sz w:val="44"/>
          <w:szCs w:val="44"/>
        </w:rPr>
        <w:t>第四部分 附件</w:t>
      </w:r>
      <w:r>
        <w:rPr>
          <w:rFonts w:ascii="仿宋" w:hAnsi="仿宋" w:eastAsia="仿宋"/>
          <w:kern w:val="2"/>
          <w:sz w:val="32"/>
          <w:szCs w:val="32"/>
        </w:rPr>
        <w:t>​</w:t>
      </w:r>
    </w:p>
    <w:p>
      <w:pPr>
        <w:pStyle w:val="5"/>
        <w:spacing w:before="93"/>
        <w:jc w:val="center"/>
        <w:rPr>
          <w:rFonts w:ascii="仿宋" w:hAnsi="仿宋" w:eastAsia="仿宋"/>
          <w:kern w:val="2"/>
          <w:sz w:val="32"/>
          <w:szCs w:val="32"/>
        </w:rPr>
      </w:pPr>
    </w:p>
    <w:p>
      <w:pPr>
        <w:pStyle w:val="5"/>
        <w:spacing w:before="93"/>
        <w:jc w:val="center"/>
        <w:rPr>
          <w:rFonts w:ascii="Times New Roman" w:eastAsia="宋体"/>
          <w:kern w:val="2"/>
          <w:sz w:val="32"/>
          <w:szCs w:val="32"/>
        </w:rPr>
      </w:pPr>
      <w:r>
        <w:rPr>
          <w:rFonts w:ascii="仿宋" w:hAnsi="仿宋" w:eastAsia="仿宋"/>
          <w:kern w:val="2"/>
          <w:sz w:val="32"/>
          <w:szCs w:val="32"/>
        </w:rPr>
        <w:t>​</w:t>
      </w:r>
      <w:r>
        <w:rPr>
          <w:rFonts w:ascii="Times New Roman" w:eastAsia="宋体"/>
          <w:kern w:val="2"/>
          <w:sz w:val="32"/>
          <w:szCs w:val="32"/>
        </w:rPr>
        <w:t>部门预算项目支出绩效自评表（2024年度）​</w:t>
      </w: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jc w:val="center"/>
        <w:rPr>
          <w:rFonts w:ascii="Times New Roman" w:eastAsia="宋体"/>
          <w:kern w:val="2"/>
          <w:sz w:val="32"/>
          <w:szCs w:val="32"/>
        </w:rPr>
      </w:pPr>
    </w:p>
    <w:p>
      <w:pPr>
        <w:pStyle w:val="5"/>
        <w:spacing w:before="93"/>
        <w:rPr>
          <w:rFonts w:ascii="仿宋" w:hAnsi="仿宋" w:eastAsia="仿宋"/>
          <w:kern w:val="2"/>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15"/>
          <w:rFonts w:hint="eastAsia" w:ascii="黑体" w:hAnsi="黑体" w:eastAsia="黑体"/>
        </w:rPr>
        <w:t>五部分 附表</w:t>
      </w:r>
    </w:p>
    <w:p>
      <w:pPr>
        <w:pStyle w:val="3"/>
        <w:rPr>
          <w:rFonts w:ascii="仿宋" w:hAnsi="仿宋" w:eastAsia="仿宋"/>
        </w:rPr>
      </w:pPr>
      <w:r>
        <w:rPr>
          <w:rFonts w:hint="eastAsia" w:ascii="仿宋" w:hAnsi="仿宋" w:eastAsia="仿宋"/>
          <w:b w:val="0"/>
        </w:rPr>
        <w:t>一、收</w:t>
      </w:r>
      <w:r>
        <w:rPr>
          <w:rStyle w:val="17"/>
          <w:rFonts w:hint="eastAsia" w:ascii="仿宋" w:hAnsi="仿宋" w:eastAsia="仿宋"/>
          <w:b/>
          <w:bCs/>
        </w:rPr>
        <w:t>入支出决算总表</w:t>
      </w:r>
    </w:p>
    <w:p>
      <w:pPr>
        <w:pStyle w:val="3"/>
        <w:rPr>
          <w:rFonts w:ascii="仿宋" w:hAnsi="仿宋" w:eastAsia="仿宋"/>
        </w:rPr>
      </w:pPr>
      <w:r>
        <w:rPr>
          <w:rFonts w:hint="eastAsia" w:ascii="仿宋" w:hAnsi="仿宋" w:eastAsia="仿宋"/>
          <w:b w:val="0"/>
        </w:rPr>
        <w:t>二、收</w:t>
      </w:r>
      <w:r>
        <w:rPr>
          <w:rStyle w:val="17"/>
          <w:rFonts w:hint="eastAsia" w:ascii="仿宋" w:hAnsi="仿宋" w:eastAsia="仿宋"/>
          <w:b/>
          <w:bCs/>
        </w:rPr>
        <w:t>入决算表</w:t>
      </w:r>
    </w:p>
    <w:p>
      <w:pPr>
        <w:pStyle w:val="3"/>
        <w:rPr>
          <w:rFonts w:ascii="仿宋" w:hAnsi="仿宋" w:eastAsia="仿宋"/>
        </w:rPr>
      </w:pPr>
      <w:r>
        <w:rPr>
          <w:rStyle w:val="17"/>
          <w:rFonts w:hint="eastAsia" w:ascii="仿宋" w:hAnsi="仿宋" w:eastAsia="仿宋"/>
          <w:b/>
          <w:bCs/>
        </w:rPr>
        <w:t>三、</w:t>
      </w:r>
      <w:r>
        <w:rPr>
          <w:rFonts w:hint="eastAsia" w:ascii="仿宋" w:hAnsi="仿宋" w:eastAsia="仿宋"/>
          <w:b w:val="0"/>
        </w:rPr>
        <w:t>支</w:t>
      </w:r>
      <w:r>
        <w:rPr>
          <w:rStyle w:val="17"/>
          <w:rFonts w:hint="eastAsia" w:ascii="仿宋" w:hAnsi="仿宋" w:eastAsia="仿宋"/>
          <w:b/>
          <w:bCs/>
        </w:rPr>
        <w:t>出决算表</w:t>
      </w:r>
    </w:p>
    <w:p>
      <w:pPr>
        <w:pStyle w:val="3"/>
        <w:rPr>
          <w:rFonts w:ascii="仿宋" w:hAnsi="仿宋" w:eastAsia="仿宋"/>
          <w:b w:val="0"/>
        </w:rPr>
      </w:pPr>
      <w:r>
        <w:rPr>
          <w:rStyle w:val="17"/>
          <w:rFonts w:hint="eastAsia" w:ascii="仿宋" w:hAnsi="仿宋" w:eastAsia="仿宋"/>
          <w:b/>
          <w:bCs/>
        </w:rPr>
        <w:t>四、</w:t>
      </w:r>
      <w:r>
        <w:rPr>
          <w:rFonts w:hint="eastAsia" w:ascii="仿宋" w:hAnsi="仿宋" w:eastAsia="仿宋"/>
          <w:b w:val="0"/>
        </w:rPr>
        <w:t>财</w:t>
      </w:r>
      <w:r>
        <w:rPr>
          <w:rStyle w:val="17"/>
          <w:rFonts w:hint="eastAsia" w:ascii="仿宋" w:hAnsi="仿宋" w:eastAsia="仿宋"/>
          <w:b/>
          <w:bCs/>
        </w:rPr>
        <w:t>政拨款收入支出决算总表</w:t>
      </w:r>
    </w:p>
    <w:p>
      <w:pPr>
        <w:pStyle w:val="3"/>
        <w:rPr>
          <w:rStyle w:val="17"/>
          <w:rFonts w:ascii="仿宋" w:hAnsi="仿宋" w:eastAsia="仿宋"/>
          <w:b/>
          <w:bCs/>
        </w:rPr>
      </w:pPr>
      <w:r>
        <w:rPr>
          <w:rStyle w:val="17"/>
          <w:rFonts w:hint="eastAsia" w:ascii="仿宋" w:hAnsi="仿宋" w:eastAsia="仿宋"/>
          <w:b/>
          <w:bCs/>
        </w:rPr>
        <w:t>五、</w:t>
      </w:r>
      <w:r>
        <w:rPr>
          <w:rFonts w:hint="eastAsia" w:ascii="仿宋" w:hAnsi="仿宋" w:eastAsia="仿宋"/>
          <w:b w:val="0"/>
        </w:rPr>
        <w:t>财</w:t>
      </w:r>
      <w:r>
        <w:rPr>
          <w:rStyle w:val="17"/>
          <w:rFonts w:hint="eastAsia" w:ascii="仿宋" w:hAnsi="仿宋" w:eastAsia="仿宋"/>
          <w:b/>
          <w:bCs/>
        </w:rPr>
        <w:t>政拨款支出决算明细表</w:t>
      </w:r>
    </w:p>
    <w:p>
      <w:pPr>
        <w:pStyle w:val="3"/>
        <w:rPr>
          <w:rFonts w:ascii="仿宋" w:hAnsi="仿宋" w:eastAsia="仿宋"/>
        </w:rPr>
      </w:pPr>
      <w:r>
        <w:rPr>
          <w:rStyle w:val="17"/>
          <w:rFonts w:hint="eastAsia" w:ascii="仿宋" w:hAnsi="仿宋" w:eastAsia="仿宋"/>
          <w:b/>
          <w:bCs/>
        </w:rPr>
        <w:t>六、</w:t>
      </w:r>
      <w:r>
        <w:rPr>
          <w:rFonts w:hint="eastAsia" w:ascii="仿宋" w:hAnsi="仿宋" w:eastAsia="仿宋"/>
          <w:b w:val="0"/>
        </w:rPr>
        <w:t>一</w:t>
      </w:r>
      <w:r>
        <w:rPr>
          <w:rStyle w:val="17"/>
          <w:rFonts w:hint="eastAsia" w:ascii="仿宋" w:hAnsi="仿宋" w:eastAsia="仿宋"/>
          <w:b/>
          <w:bCs/>
        </w:rPr>
        <w:t>般公共预算财政拨款支出决算表</w:t>
      </w:r>
    </w:p>
    <w:p>
      <w:pPr>
        <w:pStyle w:val="3"/>
        <w:rPr>
          <w:rFonts w:ascii="仿宋" w:hAnsi="仿宋" w:eastAsia="仿宋"/>
        </w:rPr>
      </w:pPr>
      <w:r>
        <w:rPr>
          <w:rStyle w:val="17"/>
          <w:rFonts w:hint="eastAsia" w:ascii="仿宋" w:hAnsi="仿宋" w:eastAsia="仿宋"/>
          <w:b/>
          <w:bCs/>
        </w:rPr>
        <w:t>七、</w:t>
      </w:r>
      <w:r>
        <w:rPr>
          <w:rFonts w:hint="eastAsia" w:ascii="仿宋" w:hAnsi="仿宋" w:eastAsia="仿宋"/>
          <w:b w:val="0"/>
        </w:rPr>
        <w:t>一</w:t>
      </w:r>
      <w:r>
        <w:rPr>
          <w:rStyle w:val="17"/>
          <w:rFonts w:hint="eastAsia" w:ascii="仿宋" w:hAnsi="仿宋" w:eastAsia="仿宋"/>
          <w:b/>
          <w:bCs/>
        </w:rPr>
        <w:t>般公共预算财政拨款支出决算明细表</w:t>
      </w:r>
    </w:p>
    <w:p>
      <w:pPr>
        <w:pStyle w:val="3"/>
        <w:rPr>
          <w:rFonts w:ascii="仿宋" w:hAnsi="仿宋" w:eastAsia="仿宋"/>
        </w:rPr>
      </w:pPr>
      <w:r>
        <w:rPr>
          <w:rStyle w:val="17"/>
          <w:rFonts w:hint="eastAsia" w:ascii="仿宋" w:hAnsi="仿宋" w:eastAsia="仿宋"/>
          <w:b/>
          <w:bCs/>
        </w:rPr>
        <w:t>八、</w:t>
      </w:r>
      <w:r>
        <w:rPr>
          <w:rFonts w:hint="eastAsia" w:ascii="仿宋" w:hAnsi="仿宋" w:eastAsia="仿宋"/>
          <w:b w:val="0"/>
        </w:rPr>
        <w:t>一</w:t>
      </w:r>
      <w:r>
        <w:rPr>
          <w:rStyle w:val="17"/>
          <w:rFonts w:hint="eastAsia" w:ascii="仿宋" w:hAnsi="仿宋" w:eastAsia="仿宋"/>
          <w:b/>
          <w:bCs/>
        </w:rPr>
        <w:t>般公共预算财政拨款基本支出决算表</w:t>
      </w:r>
    </w:p>
    <w:p>
      <w:pPr>
        <w:pStyle w:val="3"/>
        <w:rPr>
          <w:rFonts w:ascii="仿宋" w:hAnsi="仿宋" w:eastAsia="仿宋"/>
        </w:rPr>
      </w:pPr>
      <w:r>
        <w:rPr>
          <w:rStyle w:val="17"/>
          <w:rFonts w:hint="eastAsia" w:ascii="仿宋" w:hAnsi="仿宋" w:eastAsia="仿宋"/>
          <w:b/>
          <w:bCs/>
        </w:rPr>
        <w:t>九、</w:t>
      </w:r>
      <w:r>
        <w:rPr>
          <w:rFonts w:hint="eastAsia" w:ascii="仿宋" w:hAnsi="仿宋" w:eastAsia="仿宋"/>
          <w:b w:val="0"/>
        </w:rPr>
        <w:t>一</w:t>
      </w:r>
      <w:r>
        <w:rPr>
          <w:rStyle w:val="17"/>
          <w:rFonts w:hint="eastAsia" w:ascii="仿宋" w:hAnsi="仿宋" w:eastAsia="仿宋"/>
          <w:b/>
          <w:bCs/>
        </w:rPr>
        <w:t>般公共预算财政拨款项目支出决算表</w:t>
      </w:r>
    </w:p>
    <w:p>
      <w:pPr>
        <w:pStyle w:val="3"/>
        <w:rPr>
          <w:rFonts w:ascii="仿宋" w:hAnsi="仿宋" w:eastAsia="仿宋"/>
        </w:rPr>
      </w:pPr>
      <w:r>
        <w:rPr>
          <w:rStyle w:val="17"/>
          <w:rFonts w:hint="eastAsia" w:ascii="仿宋" w:hAnsi="仿宋" w:eastAsia="仿宋"/>
          <w:b/>
          <w:bCs/>
        </w:rPr>
        <w:t>十、</w:t>
      </w:r>
      <w:r>
        <w:rPr>
          <w:rFonts w:hint="eastAsia" w:ascii="仿宋" w:hAnsi="仿宋" w:eastAsia="仿宋"/>
          <w:b w:val="0"/>
        </w:rPr>
        <w:t>政</w:t>
      </w:r>
      <w:r>
        <w:rPr>
          <w:rStyle w:val="17"/>
          <w:rFonts w:hint="eastAsia" w:ascii="仿宋" w:hAnsi="仿宋" w:eastAsia="仿宋"/>
          <w:b/>
          <w:bCs/>
        </w:rPr>
        <w:t>府性基金预算财政拨款收入支出决算表</w:t>
      </w:r>
    </w:p>
    <w:p>
      <w:pPr>
        <w:pStyle w:val="3"/>
        <w:rPr>
          <w:rFonts w:ascii="仿宋" w:hAnsi="仿宋" w:eastAsia="仿宋"/>
        </w:rPr>
      </w:pPr>
      <w:r>
        <w:rPr>
          <w:rStyle w:val="17"/>
          <w:rFonts w:hint="eastAsia" w:ascii="仿宋" w:hAnsi="仿宋" w:eastAsia="仿宋"/>
          <w:b/>
          <w:bCs/>
        </w:rPr>
        <w:t>十一、</w:t>
      </w:r>
      <w:r>
        <w:rPr>
          <w:rFonts w:hint="eastAsia" w:ascii="仿宋" w:hAnsi="仿宋" w:eastAsia="仿宋"/>
          <w:b w:val="0"/>
        </w:rPr>
        <w:t>国</w:t>
      </w:r>
      <w:r>
        <w:rPr>
          <w:rStyle w:val="17"/>
          <w:rFonts w:hint="eastAsia" w:ascii="仿宋" w:hAnsi="仿宋" w:eastAsia="仿宋"/>
          <w:b/>
          <w:bCs/>
        </w:rPr>
        <w:t>有资本经营预算财政拨款收入支出决算表(此表无数据）</w:t>
      </w:r>
    </w:p>
    <w:p>
      <w:pPr>
        <w:pStyle w:val="3"/>
        <w:rPr>
          <w:rFonts w:ascii="仿宋" w:hAnsi="仿宋" w:eastAsia="仿宋"/>
        </w:rPr>
      </w:pPr>
      <w:r>
        <w:rPr>
          <w:rStyle w:val="17"/>
          <w:rFonts w:hint="eastAsia" w:ascii="仿宋" w:hAnsi="仿宋" w:eastAsia="仿宋"/>
          <w:b/>
          <w:bCs/>
        </w:rPr>
        <w:t>十二、国有资本经营预算财政拨款支出决算表(此表无数据）</w:t>
      </w:r>
    </w:p>
    <w:p>
      <w:pPr>
        <w:pStyle w:val="3"/>
        <w:rPr>
          <w:rFonts w:eastAsia="仿宋"/>
        </w:rPr>
      </w:pPr>
      <w:r>
        <w:rPr>
          <w:rStyle w:val="17"/>
          <w:rFonts w:hint="eastAsia" w:ascii="仿宋" w:hAnsi="仿宋" w:eastAsia="仿宋"/>
          <w:b/>
          <w:bCs/>
        </w:rPr>
        <w:t>十三、财政拨款“三公”经费支出决算表(此表无数据）</w:t>
      </w:r>
    </w:p>
    <w:p>
      <w:pPr>
        <w:pStyle w:val="5"/>
        <w:spacing w:before="93"/>
        <w:jc w:val="center"/>
        <w:rPr>
          <w:rFonts w:ascii="仿宋" w:hAnsi="仿宋" w:eastAsia="仿宋"/>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altName w:val="宋体"/>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
                          </w:pPr>
                          <w:r>
                            <w:fldChar w:fldCharType="begin"/>
                          </w:r>
                          <w:r>
                            <w:instrText xml:space="preserve"> PAGE  \* MERGEFORMAT </w:instrText>
                          </w:r>
                          <w:r>
                            <w:fldChar w:fldCharType="separate"/>
                          </w:r>
                          <w:r>
                            <w:t>17</w:t>
                          </w:r>
                          <w:r>
                            <w:fldChar w:fldCharType="end"/>
                          </w: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jGzwTTAAAABQEAAA8AAAAAAAAAAQAgAAAAOAAAAGRy&#10;cy9kb3ducmV2LnhtbFBLAQIUABQAAAAIAIdO4kATB7P/uwEAAIYDAAAOAAAAAAAAAAEAIAAAADgB&#10;AABkcnMvZTJvRG9jLnhtbFBLBQYAAAAABgAGAFkBAABlBQAAAAA=&#10;">
              <v:fill on="f" focussize="0,0"/>
              <v:stroke on="f"/>
              <v:imagedata o:title=""/>
              <o:lock v:ext="edit" aspectratio="f"/>
              <v:textbox>
                <w:txbxContent>
                  <w:p>
                    <w:pPr>
                      <w:pStyle w:val="6"/>
                    </w:pPr>
                    <w:r>
                      <w:fldChar w:fldCharType="begin"/>
                    </w:r>
                    <w:r>
                      <w:instrText xml:space="preserve"> PAGE  \* MERGEFORMAT </w:instrText>
                    </w:r>
                    <w:r>
                      <w:fldChar w:fldCharType="separate"/>
                    </w:r>
                    <w:r>
                      <w:t>17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pStyle w:val="16"/>
      <w:suff w:val="nothing"/>
      <w:lvlText w:val="%1、"/>
      <w:lvlJc w:val="left"/>
      <w:rPr>
        <w:rFonts w:ascii="Times New Roman" w:hAnsi="Times New Roman" w:cs="Times New Roman"/>
        <w:b w:val="0"/>
        <w:bCs w:val="0"/>
        <w:i w:val="0"/>
        <w:iCs w:val="0"/>
        <w:vanish/>
        <w:color w:val="000000"/>
        <w:spacing w:val="0"/>
        <w:w w:val="0"/>
        <w:kern w:val="0"/>
        <w:szCs w:val="0"/>
        <w:u w:val="none"/>
        <w:vertAlign w:val="baseline"/>
      </w:rPr>
    </w:lvl>
  </w:abstractNum>
  <w:abstractNum w:abstractNumId="1">
    <w:nsid w:val="673938D4"/>
    <w:multiLevelType w:val="singleLevel"/>
    <w:tmpl w:val="673938D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5DBF"/>
    <w:rsid w:val="00176241"/>
    <w:rsid w:val="001831E4"/>
    <w:rsid w:val="00485C25"/>
    <w:rsid w:val="00705DBF"/>
    <w:rsid w:val="007436D0"/>
    <w:rsid w:val="009F612B"/>
    <w:rsid w:val="00DA5A07"/>
    <w:rsid w:val="00EF3E47"/>
    <w:rsid w:val="02006EFC"/>
    <w:rsid w:val="11E801D2"/>
    <w:rsid w:val="3FE7946A"/>
    <w:rsid w:val="47214A8D"/>
    <w:rsid w:val="49F20CA7"/>
    <w:rsid w:val="4D0E712B"/>
    <w:rsid w:val="76257B25"/>
    <w:rsid w:val="7C21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标题 1 Char"/>
    <w:basedOn w:val="13"/>
    <w:link w:val="2"/>
    <w:qFormat/>
    <w:uiPriority w:val="9"/>
    <w:rPr>
      <w:b/>
      <w:bCs/>
      <w:kern w:val="44"/>
      <w:sz w:val="44"/>
      <w:szCs w:val="44"/>
    </w:rPr>
  </w:style>
  <w:style w:type="paragraph" w:styleId="16">
    <w:name w:val="List Paragraph"/>
    <w:basedOn w:val="1"/>
    <w:qFormat/>
    <w:uiPriority w:val="34"/>
    <w:pPr>
      <w:numPr>
        <w:ilvl w:val="0"/>
        <w:numId w:val="1"/>
      </w:numPr>
      <w:ind w:firstLine="420"/>
    </w:pPr>
    <w:rPr>
      <w:rFonts w:ascii="方正仿宋_GB2312" w:hAnsi="方正仿宋_GB2312" w:eastAsia="方正仿宋_GB2312" w:cs="方正仿宋_GB2312"/>
      <w:color w:val="000000"/>
      <w:kern w:val="0"/>
      <w:sz w:val="33"/>
      <w:szCs w:val="33"/>
    </w:rPr>
  </w:style>
  <w:style w:type="character" w:customStyle="1" w:styleId="17">
    <w:name w:val="标题 2 Char"/>
    <w:basedOn w:val="13"/>
    <w:link w:val="3"/>
    <w:qFormat/>
    <w:uiPriority w:val="9"/>
    <w:rPr>
      <w:rFonts w:asciiTheme="majorHAnsi" w:hAnsiTheme="majorHAnsi" w:eastAsiaTheme="majorEastAsia" w:cstheme="majorBidi"/>
      <w:b/>
      <w:bCs/>
      <w:sz w:val="32"/>
      <w:szCs w:val="32"/>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10547.66</c:v>
                </c:pt>
                <c:pt idx="1">
                  <c:v>12716.79</c:v>
                </c:pt>
              </c:numCache>
            </c:numRef>
          </c:val>
        </c:ser>
        <c:ser>
          <c:idx val="1"/>
          <c:order val="1"/>
          <c:tx>
            <c:strRef>
              <c:f>Sheet1!$C$1</c:f>
              <c:strCache>
                <c:ptCount val="1"/>
                <c:pt idx="0">
                  <c:v>支出</c:v>
                </c:pt>
              </c:strCache>
            </c:strRef>
          </c:tx>
          <c:invertIfNegative val="0"/>
          <c:dLbls>
            <c:delete val="1"/>
          </c:dLbls>
          <c:cat>
            <c:strRef>
              <c:f>Sheet1!$A$2:$A$3</c:f>
              <c:strCache>
                <c:ptCount val="2"/>
                <c:pt idx="0">
                  <c:v>2023年</c:v>
                </c:pt>
                <c:pt idx="1">
                  <c:v>2024年</c:v>
                </c:pt>
              </c:strCache>
            </c:strRef>
          </c:cat>
          <c:val>
            <c:numRef>
              <c:f>Sheet1!$C$2:$C$3</c:f>
              <c:numCache>
                <c:formatCode>General</c:formatCode>
                <c:ptCount val="2"/>
                <c:pt idx="0">
                  <c:v>10547.66</c:v>
                </c:pt>
                <c:pt idx="1" c:formatCode="#,##0.00">
                  <c:v>12716.79</c:v>
                </c:pt>
              </c:numCache>
            </c:numRef>
          </c:val>
        </c:ser>
        <c:dLbls>
          <c:showLegendKey val="0"/>
          <c:showVal val="0"/>
          <c:showCatName val="0"/>
          <c:showSerName val="0"/>
          <c:showPercent val="0"/>
          <c:showBubbleSize val="0"/>
        </c:dLbls>
        <c:gapWidth val="150"/>
        <c:axId val="74522624"/>
        <c:axId val="74556928"/>
      </c:barChart>
      <c:catAx>
        <c:axId val="74522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556928"/>
        <c:crosses val="autoZero"/>
        <c:auto val="1"/>
        <c:lblAlgn val="ctr"/>
        <c:lblOffset val="100"/>
        <c:noMultiLvlLbl val="0"/>
      </c:catAx>
      <c:valAx>
        <c:axId val="74556928"/>
        <c:scaling>
          <c:orientation val="minMax"/>
          <c:min val="6000"/>
        </c:scaling>
        <c:delete val="0"/>
        <c:axPos val="l"/>
        <c:majorGridlines/>
        <c:minorGridlines/>
        <c:numFmt formatCode="General" sourceLinked="1"/>
        <c:majorTickMark val="out"/>
        <c:minorTickMark val="none"/>
        <c:tickLblPos val="nextTo"/>
        <c:spPr>
          <a:noFill/>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5226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各项收入占比</c:v>
                </c:pt>
              </c:strCache>
            </c:strRef>
          </c:tx>
          <c:explosion val="25"/>
          <c:dPt>
            <c:idx val="0"/>
            <c:bubble3D val="0"/>
          </c:dPt>
          <c:dPt>
            <c:idx val="1"/>
            <c:bubble3D val="0"/>
          </c:dPt>
          <c:dPt>
            <c:idx val="2"/>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其他收入</c:v>
                </c:pt>
                <c:pt idx="2">
                  <c:v>事业收入</c:v>
                </c:pt>
              </c:strCache>
            </c:strRef>
          </c:cat>
          <c:val>
            <c:numRef>
              <c:f>Sheet1!$B$2:$B$4</c:f>
              <c:numCache>
                <c:formatCode>General</c:formatCode>
                <c:ptCount val="3"/>
                <c:pt idx="0">
                  <c:v>11646.6</c:v>
                </c:pt>
                <c:pt idx="1">
                  <c:v>133.56</c:v>
                </c:pt>
                <c:pt idx="2">
                  <c:v>741.52</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32492628832355"/>
          <c:y val="0.331601731601732"/>
          <c:w val="0.349364644487932"/>
          <c:h val="0.579627705627706"/>
        </c:manualLayout>
      </c:layout>
      <c:pieChart>
        <c:varyColors val="1"/>
        <c:ser>
          <c:idx val="0"/>
          <c:order val="0"/>
          <c:tx>
            <c:strRef>
              <c:f>Sheet1!$B$1</c:f>
              <c:strCache>
                <c:ptCount val="1"/>
                <c:pt idx="0">
                  <c:v>各项支出占比</c:v>
                </c:pt>
              </c:strCache>
            </c:strRef>
          </c:tx>
          <c:explosion val="25"/>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8907.5</c:v>
                </c:pt>
                <c:pt idx="1">
                  <c:v>3572.33</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invertIfNegative val="0"/>
          <c:dLbls>
            <c:delete val="1"/>
          </c:dLbls>
          <c:cat>
            <c:strRef>
              <c:f>Sheet1!$A$2:$A$3</c:f>
              <c:strCache>
                <c:ptCount val="2"/>
                <c:pt idx="0">
                  <c:v>2023年财政拨款收支</c:v>
                </c:pt>
                <c:pt idx="1">
                  <c:v>2024年财政拨款收支</c:v>
                </c:pt>
              </c:strCache>
            </c:strRef>
          </c:cat>
          <c:val>
            <c:numRef>
              <c:f>Sheet1!$B$2:$B$3</c:f>
              <c:numCache>
                <c:formatCode>General</c:formatCode>
                <c:ptCount val="2"/>
                <c:pt idx="0">
                  <c:v>8979.98</c:v>
                </c:pt>
                <c:pt idx="1">
                  <c:v>11646.6</c:v>
                </c:pt>
              </c:numCache>
            </c:numRef>
          </c:val>
        </c:ser>
        <c:ser>
          <c:idx val="1"/>
          <c:order val="1"/>
          <c:tx>
            <c:strRef>
              <c:f>Sheet1!$C$1</c:f>
              <c:strCache>
                <c:ptCount val="1"/>
                <c:pt idx="0">
                  <c:v>列1</c:v>
                </c:pt>
              </c:strCache>
            </c:strRef>
          </c:tx>
          <c:invertIfNegative val="0"/>
          <c:dLbls>
            <c:delete val="1"/>
          </c:dLbls>
          <c:cat>
            <c:strRef>
              <c:f>Sheet1!$A$2:$A$3</c:f>
              <c:strCache>
                <c:ptCount val="2"/>
                <c:pt idx="0">
                  <c:v>2023年财政拨款收支</c:v>
                </c:pt>
                <c:pt idx="1">
                  <c:v>2024年财政拨款收支</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2023年财政拨款收支</c:v>
                </c:pt>
                <c:pt idx="1">
                  <c:v>2024年财政拨款收支</c:v>
                </c:pt>
              </c:strCache>
            </c:strRef>
          </c:cat>
          <c:val>
            <c:numRef>
              <c:f>Sheet1!$D$2:$D$3</c:f>
              <c:numCache>
                <c:formatCode>General</c:formatCode>
                <c:ptCount val="2"/>
              </c:numCache>
            </c:numRef>
          </c:val>
        </c:ser>
        <c:dLbls>
          <c:showLegendKey val="0"/>
          <c:showVal val="0"/>
          <c:showCatName val="0"/>
          <c:showSerName val="0"/>
          <c:showPercent val="0"/>
          <c:showBubbleSize val="0"/>
        </c:dLbls>
        <c:gapWidth val="180"/>
        <c:axId val="169845120"/>
        <c:axId val="169846656"/>
      </c:barChart>
      <c:catAx>
        <c:axId val="1698451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846656"/>
        <c:crosses val="autoZero"/>
        <c:auto val="1"/>
        <c:lblAlgn val="ctr"/>
        <c:lblOffset val="100"/>
        <c:noMultiLvlLbl val="0"/>
      </c:catAx>
      <c:valAx>
        <c:axId val="169846656"/>
        <c:scaling>
          <c:orientation val="minMax"/>
          <c:min val="1000"/>
        </c:scaling>
        <c:delete val="0"/>
        <c:axPos val="l"/>
        <c:majorGridlines>
          <c:spPr>
            <a:ln w="9525"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round/>
            </a:ln>
          </c:spPr>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845120"/>
        <c:crosses val="autoZero"/>
        <c:crossBetween val="between"/>
        <c:majorUnit val="500"/>
        <c:minorUnit val="2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系列 1</c:v>
                </c:pt>
              </c:strCache>
            </c:strRef>
          </c:tx>
          <c:spPr>
            <a:blipFill>
              <a:blip xmlns:r="http://schemas.openxmlformats.org/officeDocument/2006/relationships" r:embed="rId2"/>
              <a:tile tx="0" ty="0" sx="100000" sy="100000" flip="none" algn="tl"/>
            </a:blipFill>
          </c:spPr>
          <c:invertIfNegative val="0"/>
          <c:dLbls>
            <c:delete val="1"/>
          </c:dLbls>
          <c:cat>
            <c:strRef>
              <c:f>Sheet1!$A$2:$A$3</c:f>
              <c:strCache>
                <c:ptCount val="2"/>
                <c:pt idx="0">
                  <c:v>2023年一般公共预算财政拨款支出</c:v>
                </c:pt>
                <c:pt idx="1">
                  <c:v>2024年一般公共预算财政拨款支出</c:v>
                </c:pt>
              </c:strCache>
            </c:strRef>
          </c:cat>
          <c:val>
            <c:numRef>
              <c:f>Sheet1!$B$2:$B$3</c:f>
              <c:numCache>
                <c:formatCode>General</c:formatCode>
                <c:ptCount val="2"/>
                <c:pt idx="0">
                  <c:v>8967.49</c:v>
                </c:pt>
                <c:pt idx="1">
                  <c:v>11642.86</c:v>
                </c:pt>
              </c:numCache>
            </c:numRef>
          </c:val>
        </c:ser>
        <c:dLbls>
          <c:showLegendKey val="0"/>
          <c:showVal val="0"/>
          <c:showCatName val="0"/>
          <c:showSerName val="0"/>
          <c:showPercent val="0"/>
          <c:showBubbleSize val="0"/>
        </c:dLbls>
        <c:gapWidth val="150"/>
        <c:overlap val="100"/>
        <c:axId val="169919616"/>
        <c:axId val="169921152"/>
      </c:barChart>
      <c:catAx>
        <c:axId val="169919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921152"/>
        <c:crosses val="autoZero"/>
        <c:auto val="1"/>
        <c:lblAlgn val="ctr"/>
        <c:lblOffset val="100"/>
        <c:noMultiLvlLbl val="0"/>
      </c:catAx>
      <c:valAx>
        <c:axId val="169921152"/>
        <c:scaling>
          <c:orientation val="minMax"/>
          <c:min val="50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919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75"/>
      <c:rotY val="15"/>
      <c:depthPercent val="100"/>
      <c:rAngAx val="0"/>
      <c:perspective val="3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0385263664820612"/>
          <c:y val="0.179153766769866"/>
          <c:w val="0.674971133664881"/>
          <c:h val="0.775438596491228"/>
        </c:manualLayout>
      </c:layout>
      <c:pie3DChart>
        <c:varyColors val="1"/>
        <c:ser>
          <c:idx val="0"/>
          <c:order val="0"/>
          <c:tx>
            <c:strRef>
              <c:f>Sheet1!$B$1</c:f>
              <c:strCache>
                <c:ptCount val="1"/>
                <c:pt idx="0">
                  <c:v>一般公共预算财政拨款支出结构情况</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教育支出</c:v>
                </c:pt>
                <c:pt idx="1">
                  <c:v>社会保障和就业支出</c:v>
                </c:pt>
                <c:pt idx="2">
                  <c:v>住房保障支出</c:v>
                </c:pt>
                <c:pt idx="3">
                  <c:v>文化旅游体育与传媒支出</c:v>
                </c:pt>
                <c:pt idx="4">
                  <c:v>卫生健康支出</c:v>
                </c:pt>
              </c:strCache>
            </c:strRef>
          </c:cat>
          <c:val>
            <c:numRef>
              <c:f>Sheet1!$B$2:$B$6</c:f>
              <c:numCache>
                <c:formatCode>General</c:formatCode>
                <c:ptCount val="5"/>
                <c:pt idx="0">
                  <c:v>9335.87999999999</c:v>
                </c:pt>
                <c:pt idx="1">
                  <c:v>1320.25</c:v>
                </c:pt>
                <c:pt idx="2">
                  <c:v>573.58</c:v>
                </c:pt>
                <c:pt idx="3">
                  <c:v>2.23</c:v>
                </c:pt>
                <c:pt idx="4">
                  <c:v>410.91</c:v>
                </c:pt>
              </c:numCache>
            </c:numRef>
          </c:val>
        </c:ser>
        <c:ser>
          <c:idx val="1"/>
          <c:order val="1"/>
          <c:tx>
            <c:strRef>
              <c:f>Sheet1!$C$1</c:f>
              <c:strCache>
                <c:ptCount val="1"/>
                <c:pt idx="0">
                  <c:v>列1</c:v>
                </c:pt>
              </c:strCache>
            </c:strRef>
          </c:tx>
          <c:explosion val="25"/>
          <c:dPt>
            <c:idx val="0"/>
            <c:bubble3D val="0"/>
          </c:dPt>
          <c:dPt>
            <c:idx val="1"/>
            <c:bubble3D val="0"/>
          </c:dPt>
          <c:dPt>
            <c:idx val="2"/>
            <c:bubble3D val="0"/>
          </c:dPt>
          <c:dPt>
            <c:idx val="3"/>
            <c:bubble3D val="0"/>
          </c:dPt>
          <c:dPt>
            <c:idx val="4"/>
            <c:bubble3D val="0"/>
          </c:dPt>
          <c:dLbls>
            <c:delete val="1"/>
          </c:dLbls>
          <c:cat>
            <c:strRef>
              <c:f>Sheet1!$A$2:$A$6</c:f>
              <c:strCache>
                <c:ptCount val="5"/>
                <c:pt idx="0">
                  <c:v>教育支出</c:v>
                </c:pt>
                <c:pt idx="1">
                  <c:v>社会保障和就业支出</c:v>
                </c:pt>
                <c:pt idx="2">
                  <c:v>住房保障支出</c:v>
                </c:pt>
                <c:pt idx="3">
                  <c:v>文化旅游体育与传媒支出</c:v>
                </c:pt>
                <c:pt idx="4">
                  <c:v>卫生健康支出</c:v>
                </c:pt>
              </c:strCache>
            </c:strRef>
          </c:cat>
          <c:val>
            <c:numRef>
              <c:f>Sheet1!$C$2:$C$6</c:f>
              <c:numCache>
                <c:formatCode>0.00%</c:formatCode>
                <c:ptCount val="5"/>
                <c:pt idx="0">
                  <c:v>0.8019</c:v>
                </c:pt>
                <c:pt idx="1">
                  <c:v>0.1134</c:v>
                </c:pt>
                <c:pt idx="2">
                  <c:v>0.0493</c:v>
                </c:pt>
                <c:pt idx="3">
                  <c:v>0.0002</c:v>
                </c:pt>
                <c:pt idx="4">
                  <c:v>0.0352</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712</Words>
  <Characters>4065</Characters>
  <Lines>33</Lines>
  <Paragraphs>9</Paragraphs>
  <TotalTime>27</TotalTime>
  <ScaleCrop>false</ScaleCrop>
  <LinksUpToDate>false</LinksUpToDate>
  <CharactersWithSpaces>4768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2025-09-04T15:44:00Z</dcterms:created>
  <dc:creator>ACER</dc:creator>
  <cp:lastModifiedBy>user</cp:lastModifiedBy>
  <dcterms:modified xsi:type="dcterms:W3CDTF">2025-09-08T08:53:33Z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eyJoZGlkIjoiYzMzOWJiNTQ0M2Q2MGQxNzY2NThiZDg3NWMzNGQxODciLCJ1c2VySWQiOiIxMDc2ODgwOTIzIn0=</vt:lpwstr>
  </property>
  <property fmtid="{D5CDD505-2E9C-101B-9397-08002B2CF9AE}" pid="4" name="ICV">
    <vt:lpwstr>3A8503C718A14D8A947CBE1C66FE78C5_12</vt:lpwstr>
  </property>
</Properties>
</file>