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rFonts w:hint="eastAsia" w:ascii="方正小标宋简体" w:hAnsi="方正小标宋简体" w:eastAsia="方正小标宋简体" w:cs="方正小标宋简体"/>
          <w:color w:val="auto"/>
          <w:kern w:val="2"/>
          <w:sz w:val="72"/>
          <w:szCs w:val="72"/>
          <w:highlight w:val="none"/>
          <w:lang w:val="en-US" w:eastAsia="zh-CN" w:bidi="ar-SA"/>
        </w:rPr>
      </w:pPr>
      <w:bookmarkStart w:id="0" w:name="_Toc15377426"/>
      <w:bookmarkStart w:id="1" w:name="_Toc15396476"/>
      <w:bookmarkStart w:id="2" w:name="_Toc15378442"/>
      <w:bookmarkStart w:id="3" w:name="_Toc15396598"/>
      <w:bookmarkStart w:id="4" w:name="_Toc15377194"/>
    </w:p>
    <w:p>
      <w:pPr>
        <w:pStyle w:val="7"/>
        <w:jc w:val="center"/>
        <w:rPr>
          <w:rFonts w:hint="eastAsia" w:ascii="方正小标宋简体" w:hAnsi="方正小标宋简体" w:eastAsia="方正小标宋简体" w:cs="方正小标宋简体"/>
          <w:color w:val="auto"/>
          <w:kern w:val="2"/>
          <w:sz w:val="72"/>
          <w:szCs w:val="72"/>
          <w:highlight w:val="none"/>
          <w:lang w:val="en-US" w:eastAsia="zh-CN" w:bidi="ar-SA"/>
        </w:rPr>
      </w:pPr>
    </w:p>
    <w:p>
      <w:pPr>
        <w:pStyle w:val="7"/>
        <w:jc w:val="center"/>
        <w:rPr>
          <w:rFonts w:hint="eastAsia" w:ascii="方正小标宋简体" w:hAnsi="方正小标宋简体" w:eastAsia="方正小标宋简体" w:cs="方正小标宋简体"/>
          <w:color w:val="auto"/>
          <w:kern w:val="2"/>
          <w:sz w:val="72"/>
          <w:szCs w:val="72"/>
          <w:highlight w:val="none"/>
          <w:lang w:val="en-US" w:eastAsia="zh-CN" w:bidi="ar-SA"/>
        </w:rPr>
      </w:pPr>
      <w:r>
        <w:rPr>
          <w:rFonts w:hint="eastAsia" w:ascii="方正小标宋简体" w:hAnsi="方正小标宋简体" w:eastAsia="方正小标宋简体" w:cs="方正小标宋简体"/>
          <w:color w:val="auto"/>
          <w:kern w:val="2"/>
          <w:sz w:val="72"/>
          <w:szCs w:val="72"/>
          <w:highlight w:val="none"/>
          <w:lang w:val="en-US" w:eastAsia="zh-CN" w:bidi="ar-SA"/>
        </w:rPr>
        <w:t>2024年度</w:t>
      </w:r>
    </w:p>
    <w:p>
      <w:pPr>
        <w:pStyle w:val="7"/>
        <w:jc w:val="center"/>
        <w:rPr>
          <w:rFonts w:hint="eastAsia" w:ascii="方正小标宋简体" w:hAnsi="方正小标宋简体" w:eastAsia="方正小标宋简体" w:cs="方正小标宋简体"/>
          <w:color w:val="auto"/>
          <w:kern w:val="2"/>
          <w:sz w:val="72"/>
          <w:szCs w:val="72"/>
          <w:highlight w:val="none"/>
          <w:lang w:val="en-US" w:eastAsia="zh-CN" w:bidi="ar-SA"/>
        </w:rPr>
      </w:pPr>
      <w:r>
        <w:rPr>
          <w:rFonts w:hint="eastAsia" w:ascii="方正小标宋简体" w:hAnsi="方正小标宋简体" w:eastAsia="方正小标宋简体" w:cs="方正小标宋简体"/>
          <w:color w:val="auto"/>
          <w:kern w:val="2"/>
          <w:sz w:val="72"/>
          <w:szCs w:val="72"/>
          <w:highlight w:val="none"/>
          <w:lang w:val="en-US" w:eastAsia="zh-CN" w:bidi="ar-SA"/>
        </w:rPr>
        <w:t>四川省</w:t>
      </w:r>
      <w:bookmarkStart w:id="5" w:name="_Toc15306268"/>
      <w:r>
        <w:rPr>
          <w:rFonts w:hint="eastAsia" w:ascii="方正小标宋简体" w:hAnsi="方正小标宋简体" w:eastAsia="方正小标宋简体" w:cs="方正小标宋简体"/>
          <w:color w:val="auto"/>
          <w:kern w:val="2"/>
          <w:sz w:val="72"/>
          <w:szCs w:val="72"/>
          <w:highlight w:val="none"/>
          <w:lang w:val="en-US" w:eastAsia="zh-CN" w:bidi="ar-SA"/>
        </w:rPr>
        <w:t>攀枝市实验学校</w:t>
      </w:r>
    </w:p>
    <w:p>
      <w:pPr>
        <w:pStyle w:val="7"/>
        <w:jc w:val="center"/>
        <w:rPr>
          <w:rFonts w:hint="eastAsia" w:ascii="方正小标宋简体" w:hAnsi="方正小标宋简体" w:eastAsia="方正小标宋简体" w:cs="方正小标宋简体"/>
          <w:color w:val="auto"/>
          <w:kern w:val="2"/>
          <w:sz w:val="72"/>
          <w:szCs w:val="72"/>
          <w:highlight w:val="none"/>
          <w:lang w:val="en-US" w:eastAsia="zh-CN" w:bidi="ar-SA"/>
        </w:rPr>
      </w:pPr>
      <w:r>
        <w:rPr>
          <w:rFonts w:hint="eastAsia" w:ascii="方正小标宋简体" w:hAnsi="方正小标宋简体" w:eastAsia="方正小标宋简体" w:cs="方正小标宋简体"/>
          <w:color w:val="auto"/>
          <w:kern w:val="2"/>
          <w:sz w:val="72"/>
          <w:szCs w:val="72"/>
          <w:highlight w:val="none"/>
          <w:lang w:val="en-US" w:eastAsia="zh-CN" w:bidi="ar-SA"/>
        </w:rPr>
        <w:t>单位决算</w:t>
      </w:r>
      <w:bookmarkEnd w:id="0"/>
      <w:bookmarkEnd w:id="1"/>
      <w:bookmarkEnd w:id="2"/>
      <w:bookmarkEnd w:id="3"/>
      <w:bookmarkEnd w:id="4"/>
      <w:bookmarkEnd w:id="5"/>
    </w:p>
    <w:p>
      <w:pPr>
        <w:widowControl/>
        <w:jc w:val="center"/>
        <w:rPr>
          <w:rFonts w:hint="eastAsia" w:ascii="Times New Roman" w:hAnsi="Times New Roman" w:eastAsia="黑体"/>
          <w:color w:val="auto"/>
          <w:sz w:val="48"/>
          <w:szCs w:val="48"/>
          <w:highlight w:val="none"/>
        </w:rPr>
        <w:sectPr>
          <w:footerReference r:id="rId3" w:type="default"/>
          <w:pgSz w:w="11906" w:h="16838"/>
          <w:pgMar w:top="1440" w:right="1800" w:bottom="1440" w:left="1800" w:header="851" w:footer="992" w:gutter="0"/>
          <w:pgNumType w:fmt="numberInDash" w:start="1"/>
          <w:cols w:space="425" w:num="1"/>
          <w:titlePg/>
          <w:docGrid w:type="lines" w:linePitch="312" w:charSpace="0"/>
        </w:sectPr>
      </w:pPr>
    </w:p>
    <w:p>
      <w:pPr>
        <w:widowControl/>
        <w:jc w:val="center"/>
        <w:rPr>
          <w:rFonts w:ascii="Times New Roman" w:hAnsi="Times New Roman" w:eastAsia="黑体"/>
          <w:color w:val="auto"/>
          <w:sz w:val="48"/>
          <w:szCs w:val="48"/>
          <w:highlight w:val="none"/>
        </w:rPr>
      </w:pPr>
      <w:r>
        <w:rPr>
          <w:rFonts w:hint="eastAsia" w:ascii="Times New Roman" w:hAnsi="Times New Roman" w:eastAsia="黑体"/>
          <w:color w:val="auto"/>
          <w:sz w:val="48"/>
          <w:szCs w:val="48"/>
          <w:highlight w:val="none"/>
        </w:rPr>
        <w:t>目录</w:t>
      </w:r>
    </w:p>
    <w:p>
      <w:pPr>
        <w:widowControl/>
        <w:jc w:val="center"/>
        <w:rPr>
          <w:rFonts w:ascii="Times New Roman" w:hAnsi="Times New Roman" w:eastAsia="黑体" w:cstheme="minorBidi"/>
          <w:color w:val="auto"/>
          <w:sz w:val="28"/>
          <w:szCs w:val="28"/>
          <w:highlight w:val="none"/>
        </w:rPr>
      </w:pPr>
    </w:p>
    <w:p>
      <w:pPr>
        <w:pStyle w:val="10"/>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 xml:space="preserve"> 10 </w:t>
      </w:r>
      <w:r>
        <w:rPr>
          <w:rFonts w:hint="eastAsia" w:ascii="Times New Roman" w:hAnsi="Times New Roman" w:eastAsia="仿宋_GB2312" w:cs="仿宋_GB2312"/>
          <w:color w:val="auto"/>
          <w:sz w:val="32"/>
          <w:szCs w:val="32"/>
          <w:highlight w:val="none"/>
        </w:rPr>
        <w:t>日</w:t>
      </w:r>
    </w:p>
    <w:p>
      <w:pPr>
        <w:rPr>
          <w:rFonts w:ascii="Times New Roman" w:hAnsi="Times New Roman"/>
          <w:color w:val="auto"/>
          <w:highlight w:val="none"/>
        </w:rPr>
      </w:pPr>
    </w:p>
    <w:p>
      <w:pPr>
        <w:pStyle w:val="10"/>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仿宋"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第一部分 部门概况</w:t>
      </w:r>
      <w:r>
        <w:rPr>
          <w:sz w:val="24"/>
        </w:rPr>
        <w:t>………………………………………………………</w:t>
      </w:r>
      <w:r>
        <w:rPr>
          <w:rFonts w:hint="eastAsia"/>
          <w:sz w:val="24"/>
          <w:lang w:val="en-US" w:eastAsia="zh-CN"/>
        </w:rPr>
        <w:t>1</w:t>
      </w:r>
    </w:p>
    <w:p>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一、</w:t>
      </w:r>
      <w:r>
        <w:rPr>
          <w:rFonts w:hint="eastAsia" w:ascii="Times New Roman" w:hAnsi="Times New Roman" w:eastAsia="仿宋_GB2312" w:cs="仿宋_GB2312"/>
          <w:color w:val="auto"/>
          <w:sz w:val="32"/>
          <w:szCs w:val="32"/>
          <w:highlight w:val="none"/>
          <w:lang w:eastAsia="zh-CN"/>
        </w:rPr>
        <w:t>部门职责</w:t>
      </w:r>
      <w:r>
        <w:rPr>
          <w:sz w:val="24"/>
        </w:rPr>
        <w:t>…………………………………………………………</w:t>
      </w:r>
      <w:r>
        <w:rPr>
          <w:rFonts w:hint="eastAsia"/>
          <w:sz w:val="24"/>
          <w:lang w:val="en-US" w:eastAsia="zh-CN"/>
        </w:rPr>
        <w:t>1</w:t>
      </w:r>
    </w:p>
    <w:p>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二、机构设置</w:t>
      </w:r>
      <w:r>
        <w:rPr>
          <w:sz w:val="24"/>
        </w:rPr>
        <w:t>…………………………………………………………</w:t>
      </w:r>
      <w:r>
        <w:rPr>
          <w:rFonts w:hint="eastAsia"/>
          <w:sz w:val="24"/>
          <w:lang w:val="en-US" w:eastAsia="zh-CN"/>
        </w:rPr>
        <w:t>1</w:t>
      </w:r>
    </w:p>
    <w:p>
      <w:pPr>
        <w:pStyle w:val="10"/>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仿宋"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第二部分</w:t>
      </w:r>
      <w:r>
        <w:rPr>
          <w:rFonts w:hint="eastAsia" w:ascii="Times New Roman" w:hAnsi="Times New Roman" w:eastAsia="黑体" w:cs="黑体"/>
          <w:color w:val="auto"/>
          <w:sz w:val="32"/>
          <w:szCs w:val="32"/>
          <w:highlight w:val="none"/>
          <w:lang w:val="en-US" w:eastAsia="zh-CN"/>
        </w:rPr>
        <w:t xml:space="preserve"> 2024年度</w:t>
      </w:r>
      <w:r>
        <w:rPr>
          <w:rFonts w:hint="eastAsia" w:ascii="Times New Roman" w:hAnsi="Times New Roman" w:eastAsia="黑体" w:cs="黑体"/>
          <w:color w:val="auto"/>
          <w:sz w:val="32"/>
          <w:szCs w:val="32"/>
          <w:highlight w:val="none"/>
        </w:rPr>
        <w:t>部门决算情况说明</w:t>
      </w:r>
      <w:r>
        <w:rPr>
          <w:sz w:val="24"/>
        </w:rPr>
        <w:t>…………………………</w:t>
      </w:r>
      <w:r>
        <w:rPr>
          <w:rFonts w:hint="eastAsia"/>
          <w:sz w:val="24"/>
          <w:lang w:val="en-US" w:eastAsia="zh-CN"/>
        </w:rPr>
        <w:t>2</w:t>
      </w:r>
    </w:p>
    <w:p>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eastAsia="宋体"/>
          <w:sz w:val="24"/>
          <w:lang w:val="en-US" w:eastAsia="zh-CN"/>
        </w:rPr>
      </w:pPr>
      <w:r>
        <w:rPr>
          <w:rFonts w:hint="eastAsia" w:ascii="Times New Roman" w:hAnsi="Times New Roman" w:eastAsia="仿宋_GB2312" w:cs="仿宋_GB2312"/>
          <w:color w:val="auto"/>
          <w:sz w:val="32"/>
          <w:szCs w:val="32"/>
          <w:highlight w:val="none"/>
        </w:rPr>
        <w:t>一、收入支出决算总体情况说明</w:t>
      </w:r>
      <w:r>
        <w:rPr>
          <w:sz w:val="24"/>
        </w:rPr>
        <w:t>……………………………</w:t>
      </w:r>
      <w:r>
        <w:rPr>
          <w:rFonts w:hint="eastAsia"/>
          <w:sz w:val="24"/>
          <w:lang w:val="en-US" w:eastAsia="zh-CN"/>
        </w:rPr>
        <w:t>2</w:t>
      </w:r>
    </w:p>
    <w:p>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二、收入决算情况说明</w:t>
      </w:r>
      <w:r>
        <w:rPr>
          <w:sz w:val="24"/>
        </w:rPr>
        <w:t>……………………………………………</w:t>
      </w:r>
      <w:r>
        <w:rPr>
          <w:rFonts w:hint="eastAsia"/>
          <w:sz w:val="24"/>
          <w:lang w:val="en-US" w:eastAsia="zh-CN"/>
        </w:rPr>
        <w:t>2-3</w:t>
      </w:r>
    </w:p>
    <w:p>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三、支出决算情况说明</w:t>
      </w:r>
      <w:r>
        <w:rPr>
          <w:sz w:val="24"/>
        </w:rPr>
        <w:t>……………………………………………</w:t>
      </w:r>
      <w:r>
        <w:rPr>
          <w:rFonts w:hint="eastAsia"/>
          <w:sz w:val="24"/>
          <w:lang w:val="en-US" w:eastAsia="zh-CN"/>
        </w:rPr>
        <w:t>3</w:t>
      </w:r>
    </w:p>
    <w:p>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sz w:val="24"/>
          <w:lang w:val="en-US" w:eastAsia="zh-CN"/>
        </w:rPr>
      </w:pPr>
      <w:r>
        <w:rPr>
          <w:rFonts w:hint="eastAsia" w:ascii="Times New Roman" w:hAnsi="Times New Roman" w:eastAsia="仿宋_GB2312" w:cs="仿宋_GB2312"/>
          <w:color w:val="auto"/>
          <w:sz w:val="32"/>
          <w:szCs w:val="32"/>
          <w:highlight w:val="none"/>
        </w:rPr>
        <w:t>四、财政拨款收入支出决算总体情况说明</w:t>
      </w:r>
      <w:r>
        <w:rPr>
          <w:sz w:val="24"/>
        </w:rPr>
        <w:t>………………</w:t>
      </w:r>
      <w:r>
        <w:rPr>
          <w:rFonts w:hint="eastAsia"/>
          <w:sz w:val="24"/>
          <w:lang w:val="en-US" w:eastAsia="zh-CN"/>
        </w:rPr>
        <w:t>3-4</w:t>
      </w:r>
    </w:p>
    <w:p>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sz w:val="24"/>
          <w:lang w:val="en-US" w:eastAsia="zh-CN"/>
        </w:rPr>
      </w:pPr>
      <w:r>
        <w:rPr>
          <w:rFonts w:hint="eastAsia" w:ascii="Times New Roman" w:hAnsi="Times New Roman" w:eastAsia="仿宋_GB2312" w:cs="仿宋_GB2312"/>
          <w:color w:val="auto"/>
          <w:sz w:val="32"/>
          <w:szCs w:val="32"/>
          <w:highlight w:val="none"/>
        </w:rPr>
        <w:t>五、一般公共预算财政拨款支出决算情况说明</w:t>
      </w:r>
      <w:r>
        <w:rPr>
          <w:sz w:val="24"/>
        </w:rPr>
        <w:t>…………</w:t>
      </w:r>
      <w:r>
        <w:rPr>
          <w:rFonts w:hint="eastAsia"/>
          <w:sz w:val="24"/>
          <w:lang w:val="en-US" w:eastAsia="zh-CN"/>
        </w:rPr>
        <w:t>4-7</w:t>
      </w:r>
    </w:p>
    <w:p>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宋体"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rPr>
        <w:t>六、一般公共预算财政拨款基本支出决算情况说明</w:t>
      </w:r>
      <w:r>
        <w:rPr>
          <w:sz w:val="24"/>
        </w:rPr>
        <w:t>……</w:t>
      </w:r>
      <w:r>
        <w:rPr>
          <w:rFonts w:hint="eastAsia"/>
          <w:sz w:val="24"/>
          <w:lang w:val="en-US" w:eastAsia="zh-CN"/>
        </w:rPr>
        <w:t>7</w:t>
      </w:r>
    </w:p>
    <w:p>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七、财政拨款</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三公”经费支出决算情况说明</w:t>
      </w:r>
      <w:r>
        <w:rPr>
          <w:sz w:val="24"/>
        </w:rPr>
        <w:t>…………</w:t>
      </w:r>
      <w:r>
        <w:rPr>
          <w:rFonts w:hint="eastAsia"/>
          <w:sz w:val="24"/>
          <w:lang w:val="en-US" w:eastAsia="zh-CN"/>
        </w:rPr>
        <w:t>7-8</w:t>
      </w:r>
    </w:p>
    <w:p>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eastAsia="宋体"/>
          <w:sz w:val="24"/>
          <w:lang w:eastAsia="zh-CN"/>
        </w:rPr>
      </w:pPr>
      <w:r>
        <w:rPr>
          <w:rFonts w:hint="eastAsia" w:ascii="Times New Roman" w:hAnsi="Times New Roman" w:eastAsia="仿宋_GB2312" w:cs="仿宋_GB2312"/>
          <w:color w:val="auto"/>
          <w:sz w:val="32"/>
          <w:szCs w:val="32"/>
          <w:highlight w:val="none"/>
        </w:rPr>
        <w:t>八、政府性基金预算支出决算情况说明</w:t>
      </w:r>
      <w:r>
        <w:rPr>
          <w:sz w:val="24"/>
        </w:rPr>
        <w:t>………………………</w:t>
      </w:r>
      <w:r>
        <w:rPr>
          <w:rFonts w:hint="eastAsia"/>
          <w:sz w:val="24"/>
          <w:lang w:val="en-US" w:eastAsia="zh-CN"/>
        </w:rPr>
        <w:t>9</w:t>
      </w:r>
    </w:p>
    <w:p>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九、</w:t>
      </w:r>
      <w:r>
        <w:rPr>
          <w:rFonts w:hint="eastAsia" w:ascii="Times New Roman" w:hAnsi="Times New Roman" w:eastAsia="仿宋_GB2312" w:cs="仿宋_GB2312"/>
          <w:color w:val="auto"/>
          <w:sz w:val="32"/>
          <w:szCs w:val="32"/>
          <w:highlight w:val="none"/>
          <w:lang w:eastAsia="zh-CN"/>
        </w:rPr>
        <w:t>国</w:t>
      </w:r>
      <w:r>
        <w:rPr>
          <w:rFonts w:hint="eastAsia" w:ascii="Times New Roman" w:hAnsi="Times New Roman" w:eastAsia="仿宋_GB2312" w:cs="仿宋_GB2312"/>
          <w:color w:val="auto"/>
          <w:sz w:val="32"/>
          <w:szCs w:val="32"/>
          <w:highlight w:val="none"/>
        </w:rPr>
        <w:t>有资本经营预算支出决算情况说明</w:t>
      </w:r>
      <w:r>
        <w:rPr>
          <w:sz w:val="24"/>
        </w:rPr>
        <w:t>……………………</w:t>
      </w:r>
      <w:r>
        <w:rPr>
          <w:rFonts w:hint="eastAsia"/>
          <w:sz w:val="24"/>
          <w:lang w:val="en-US" w:eastAsia="zh-CN"/>
        </w:rPr>
        <w:t>9</w:t>
      </w:r>
    </w:p>
    <w:p>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十</w:t>
      </w:r>
      <w:r>
        <w:rPr>
          <w:rFonts w:hint="eastAsia" w:ascii="Times New Roman" w:hAnsi="Times New Roman" w:eastAsia="仿宋_GB2312" w:cs="仿宋_GB2312"/>
          <w:color w:val="auto"/>
          <w:sz w:val="32"/>
          <w:szCs w:val="32"/>
          <w:highlight w:val="none"/>
        </w:rPr>
        <w:t>、其他重要事项的情况说明</w:t>
      </w:r>
      <w:r>
        <w:rPr>
          <w:sz w:val="24"/>
        </w:rPr>
        <w:t>…………………………………</w:t>
      </w:r>
      <w:r>
        <w:rPr>
          <w:rFonts w:hint="eastAsia"/>
          <w:sz w:val="24"/>
          <w:lang w:val="en-US" w:eastAsia="zh-CN"/>
        </w:rPr>
        <w:t>9-10</w:t>
      </w:r>
    </w:p>
    <w:p>
      <w:pPr>
        <w:pStyle w:val="10"/>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仿宋"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第三部分 名词解释</w:t>
      </w:r>
      <w:r>
        <w:rPr>
          <w:sz w:val="24"/>
        </w:rPr>
        <w:t>……………………………………………………</w:t>
      </w:r>
      <w:r>
        <w:rPr>
          <w:rFonts w:hint="eastAsia"/>
          <w:sz w:val="24"/>
          <w:lang w:val="en-US" w:eastAsia="zh-CN"/>
        </w:rPr>
        <w:t>11-13</w:t>
      </w:r>
    </w:p>
    <w:p>
      <w:pPr>
        <w:pStyle w:val="10"/>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仿宋"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第四部分 附件</w:t>
      </w:r>
      <w:r>
        <w:rPr>
          <w:sz w:val="24"/>
        </w:rPr>
        <w:t>………………………………………………………………</w:t>
      </w:r>
      <w:r>
        <w:rPr>
          <w:rFonts w:hint="eastAsia"/>
          <w:sz w:val="24"/>
          <w:lang w:val="en-US" w:eastAsia="zh-CN"/>
        </w:rPr>
        <w:t>14</w:t>
      </w:r>
      <w:r>
        <w:rPr>
          <w:rFonts w:hint="eastAsia" w:ascii="Times New Roman" w:hAnsi="Times New Roman" w:eastAsia="黑体" w:cs="黑体"/>
          <w:color w:val="auto"/>
          <w:sz w:val="32"/>
          <w:szCs w:val="32"/>
          <w:highlight w:val="none"/>
        </w:rPr>
        <w:t>第五部分 附表</w:t>
      </w:r>
      <w:r>
        <w:rPr>
          <w:sz w:val="24"/>
        </w:rPr>
        <w:t>………………………………………………………………</w:t>
      </w:r>
      <w:r>
        <w:rPr>
          <w:rFonts w:hint="eastAsia"/>
          <w:sz w:val="24"/>
          <w:lang w:val="en-US" w:eastAsia="zh-CN"/>
        </w:rPr>
        <w:t>15</w:t>
      </w:r>
    </w:p>
    <w:p>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一、收入支出决算总表</w:t>
      </w:r>
      <w:r>
        <w:rPr>
          <w:sz w:val="24"/>
        </w:rPr>
        <w:t>……………………………………………</w:t>
      </w:r>
      <w:r>
        <w:rPr>
          <w:rFonts w:hint="eastAsia"/>
          <w:sz w:val="24"/>
          <w:lang w:val="en-US" w:eastAsia="zh-CN"/>
        </w:rPr>
        <w:t>15</w:t>
      </w:r>
    </w:p>
    <w:p>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二、收入决算表</w:t>
      </w:r>
      <w:r>
        <w:rPr>
          <w:sz w:val="24"/>
        </w:rPr>
        <w:t>………………………………………………………</w:t>
      </w:r>
      <w:r>
        <w:rPr>
          <w:rFonts w:hint="eastAsia"/>
          <w:sz w:val="24"/>
          <w:lang w:val="en-US" w:eastAsia="zh-CN"/>
        </w:rPr>
        <w:t>15</w:t>
      </w:r>
    </w:p>
    <w:p>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三、支出决算表</w:t>
      </w:r>
      <w:r>
        <w:rPr>
          <w:sz w:val="24"/>
        </w:rPr>
        <w:t>………………………………………………………</w:t>
      </w:r>
      <w:r>
        <w:rPr>
          <w:rFonts w:hint="eastAsia"/>
          <w:sz w:val="24"/>
          <w:lang w:val="en-US" w:eastAsia="zh-CN"/>
        </w:rPr>
        <w:t>15</w:t>
      </w:r>
    </w:p>
    <w:p>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四、财政拨款收入支出决算总表</w:t>
      </w:r>
      <w:r>
        <w:rPr>
          <w:sz w:val="24"/>
        </w:rPr>
        <w:t>………………………………</w:t>
      </w:r>
      <w:r>
        <w:rPr>
          <w:rFonts w:hint="eastAsia"/>
          <w:sz w:val="24"/>
          <w:lang w:val="en-US" w:eastAsia="zh-CN"/>
        </w:rPr>
        <w:t>15</w:t>
      </w:r>
    </w:p>
    <w:p>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五、财政拨款支出决算明细表</w:t>
      </w:r>
      <w:r>
        <w:rPr>
          <w:sz w:val="24"/>
        </w:rPr>
        <w:t>……………………………………</w:t>
      </w:r>
      <w:r>
        <w:rPr>
          <w:rFonts w:hint="eastAsia"/>
          <w:sz w:val="24"/>
          <w:lang w:val="en-US" w:eastAsia="zh-CN"/>
        </w:rPr>
        <w:t>15</w:t>
      </w:r>
    </w:p>
    <w:p>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六、一般公共预算财政拨款支出决算表</w:t>
      </w:r>
      <w:r>
        <w:rPr>
          <w:sz w:val="24"/>
        </w:rPr>
        <w:t>……………………</w:t>
      </w:r>
      <w:r>
        <w:rPr>
          <w:rFonts w:hint="eastAsia"/>
          <w:sz w:val="24"/>
          <w:lang w:val="en-US" w:eastAsia="zh-CN"/>
        </w:rPr>
        <w:t>15</w:t>
      </w:r>
    </w:p>
    <w:p>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七、一般公共预算财政拨款支出决算明细表</w:t>
      </w:r>
      <w:r>
        <w:rPr>
          <w:sz w:val="24"/>
        </w:rPr>
        <w:t>………………</w:t>
      </w:r>
      <w:r>
        <w:rPr>
          <w:rFonts w:hint="eastAsia"/>
          <w:sz w:val="24"/>
          <w:lang w:val="en-US" w:eastAsia="zh-CN"/>
        </w:rPr>
        <w:t>15</w:t>
      </w:r>
    </w:p>
    <w:p>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八、一般公共预算财政拨款基本支出决算</w:t>
      </w:r>
      <w:r>
        <w:rPr>
          <w:rFonts w:hint="eastAsia" w:ascii="Times New Roman" w:hAnsi="Times New Roman" w:eastAsia="仿宋_GB2312" w:cs="仿宋_GB2312"/>
          <w:color w:val="auto"/>
          <w:sz w:val="32"/>
          <w:szCs w:val="32"/>
          <w:highlight w:val="none"/>
          <w:lang w:eastAsia="zh-CN"/>
        </w:rPr>
        <w:t>明细</w:t>
      </w:r>
      <w:r>
        <w:rPr>
          <w:rFonts w:hint="eastAsia" w:ascii="Times New Roman" w:hAnsi="Times New Roman" w:eastAsia="仿宋_GB2312" w:cs="仿宋_GB2312"/>
          <w:color w:val="auto"/>
          <w:sz w:val="32"/>
          <w:szCs w:val="32"/>
          <w:highlight w:val="none"/>
        </w:rPr>
        <w:t>表</w:t>
      </w:r>
      <w:r>
        <w:rPr>
          <w:sz w:val="24"/>
        </w:rPr>
        <w:t>………</w:t>
      </w:r>
      <w:r>
        <w:rPr>
          <w:rFonts w:hint="eastAsia"/>
          <w:sz w:val="24"/>
          <w:lang w:val="en-US" w:eastAsia="zh-CN"/>
        </w:rPr>
        <w:t>15</w:t>
      </w:r>
    </w:p>
    <w:p>
      <w:pPr>
        <w:pStyle w:val="11"/>
        <w:keepNext w:val="0"/>
        <w:keepLines w:val="0"/>
        <w:pageBreakBefore w:val="0"/>
        <w:widowControl w:val="0"/>
        <w:kinsoku/>
        <w:wordWrap/>
        <w:overflowPunct/>
        <w:topLinePunct w:val="0"/>
        <w:autoSpaceDE/>
        <w:autoSpaceDN/>
        <w:bidi w:val="0"/>
        <w:adjustRightInd w:val="0"/>
        <w:snapToGrid w:val="0"/>
        <w:spacing w:line="560" w:lineRule="exact"/>
        <w:ind w:left="638" w:leftChars="304" w:firstLine="0" w:firstLineChars="0"/>
        <w:jc w:val="left"/>
        <w:textAlignment w:val="auto"/>
        <w:rPr>
          <w:rFonts w:hint="default"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十、政府性基金预算财政拨款收入支出决算表</w:t>
      </w:r>
      <w:r>
        <w:rPr>
          <w:sz w:val="24"/>
        </w:rPr>
        <w:t>…………</w:t>
      </w:r>
      <w:r>
        <w:rPr>
          <w:rFonts w:hint="eastAsia"/>
          <w:sz w:val="24"/>
          <w:lang w:val="en-US" w:eastAsia="zh-CN"/>
        </w:rPr>
        <w:t>15</w:t>
      </w:r>
      <w:r>
        <w:rPr>
          <w:rFonts w:hint="eastAsia" w:ascii="Times New Roman" w:hAnsi="Times New Roman" w:eastAsia="仿宋_GB2312" w:cs="仿宋_GB2312"/>
          <w:color w:val="auto"/>
          <w:sz w:val="32"/>
          <w:szCs w:val="32"/>
          <w:highlight w:val="none"/>
        </w:rPr>
        <w:t>十一、国有资本经营预算财政拨款收入支出决算表</w:t>
      </w:r>
      <w:r>
        <w:rPr>
          <w:sz w:val="24"/>
        </w:rPr>
        <w:t>……</w:t>
      </w:r>
      <w:r>
        <w:rPr>
          <w:rFonts w:hint="eastAsia"/>
          <w:sz w:val="24"/>
          <w:lang w:val="en-US" w:eastAsia="zh-CN"/>
        </w:rPr>
        <w:t>15</w:t>
      </w:r>
    </w:p>
    <w:p>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十二、</w:t>
      </w:r>
      <w:r>
        <w:rPr>
          <w:rFonts w:hint="eastAsia" w:ascii="Times New Roman" w:hAnsi="Times New Roman" w:eastAsia="仿宋_GB2312" w:cs="仿宋_GB2312"/>
          <w:color w:val="auto"/>
          <w:sz w:val="32"/>
          <w:szCs w:val="32"/>
          <w:highlight w:val="none"/>
          <w:lang w:val="en-US" w:eastAsia="zh-CN"/>
        </w:rPr>
        <w:t>国有资本经营预算财政拨款支出决算表</w:t>
      </w:r>
      <w:r>
        <w:rPr>
          <w:sz w:val="24"/>
        </w:rPr>
        <w:t>…………</w:t>
      </w:r>
      <w:r>
        <w:rPr>
          <w:rFonts w:hint="eastAsia"/>
          <w:sz w:val="24"/>
          <w:lang w:val="en-US" w:eastAsia="zh-CN"/>
        </w:rPr>
        <w:t>15</w:t>
      </w:r>
    </w:p>
    <w:p>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方正小标宋简体"/>
          <w:b w:val="0"/>
          <w:color w:val="auto"/>
          <w:highlight w:val="none"/>
          <w:lang w:val="en-US" w:eastAsia="zh-CN"/>
        </w:rPr>
        <w:sectPr>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ascii="Times New Roman" w:hAnsi="Times New Roman" w:eastAsia="仿宋_GB2312" w:cs="仿宋_GB2312"/>
          <w:color w:val="auto"/>
          <w:sz w:val="32"/>
          <w:szCs w:val="32"/>
          <w:highlight w:val="none"/>
        </w:rPr>
        <w:t>十三、财政拨款“三公”经费支出决算表</w:t>
      </w:r>
      <w:bookmarkStart w:id="6" w:name="_Toc15377196"/>
      <w:bookmarkStart w:id="7" w:name="_Toc15396599"/>
      <w:r>
        <w:rPr>
          <w:sz w:val="24"/>
        </w:rPr>
        <w:t>…………………</w:t>
      </w:r>
      <w:r>
        <w:rPr>
          <w:rFonts w:hint="eastAsia"/>
          <w:sz w:val="24"/>
          <w:lang w:val="en-US" w:eastAsia="zh-CN"/>
        </w:rPr>
        <w:t>15</w:t>
      </w:r>
    </w:p>
    <w:p>
      <w:pPr>
        <w:pStyle w:val="5"/>
        <w:jc w:val="center"/>
        <w:rPr>
          <w:rStyle w:val="14"/>
          <w:rFonts w:hint="eastAsia" w:ascii="Times New Roman" w:hAnsi="Times New Roman" w:eastAsia="方正小标宋简体" w:cs="方正小标宋简体"/>
          <w:b/>
          <w:bCs w:val="0"/>
          <w:color w:val="auto"/>
          <w:highlight w:val="none"/>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14"/>
          <w:rFonts w:hint="eastAsia" w:ascii="Times New Roman" w:hAnsi="Times New Roman" w:eastAsia="方正小标宋简体" w:cs="方正小标宋简体"/>
          <w:b w:val="0"/>
          <w:bCs w:val="0"/>
          <w:color w:val="auto"/>
          <w:highlight w:val="none"/>
        </w:rPr>
        <w:t>部门概况</w:t>
      </w:r>
      <w:bookmarkEnd w:id="6"/>
      <w:bookmarkEnd w:id="7"/>
    </w:p>
    <w:p>
      <w:pPr>
        <w:widowControl/>
        <w:jc w:val="left"/>
        <w:rPr>
          <w:rFonts w:ascii="Times New Roman" w:hAnsi="Times New Roman" w:eastAsia="黑体"/>
          <w:color w:val="auto"/>
          <w:sz w:val="32"/>
          <w:szCs w:val="32"/>
          <w:highlight w:val="none"/>
        </w:rPr>
      </w:pPr>
    </w:p>
    <w:p>
      <w:pPr>
        <w:pStyle w:val="6"/>
        <w:numPr>
          <w:ilvl w:val="0"/>
          <w:numId w:val="1"/>
        </w:numPr>
        <w:rPr>
          <w:rFonts w:hint="eastAsia" w:ascii="Times New Roman" w:hAnsi="Times New Roman" w:eastAsia="黑体"/>
          <w:b w:val="0"/>
          <w:color w:val="auto"/>
          <w:highlight w:val="none"/>
          <w:lang w:eastAsia="zh-CN"/>
        </w:rPr>
      </w:pPr>
      <w:r>
        <w:rPr>
          <w:rFonts w:hint="eastAsia" w:ascii="Times New Roman" w:hAnsi="Times New Roman" w:eastAsia="黑体"/>
          <w:b w:val="0"/>
          <w:color w:val="auto"/>
          <w:highlight w:val="none"/>
          <w:lang w:eastAsia="zh-CN"/>
        </w:rPr>
        <w:t>部门职责</w:t>
      </w:r>
    </w:p>
    <w:p>
      <w:pPr>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攀枝花市实验学校实施初中、小学义务教育，促进基础教育发展，提供初中、小学学历教育相关社会服务。</w:t>
      </w:r>
    </w:p>
    <w:p>
      <w:pPr>
        <w:pStyle w:val="6"/>
        <w:rPr>
          <w:rStyle w:val="15"/>
          <w:rFonts w:ascii="Times New Roman" w:hAnsi="Times New Roman"/>
          <w:b w:val="0"/>
          <w:bCs w:val="0"/>
          <w:color w:val="auto"/>
          <w:highlight w:val="none"/>
        </w:rPr>
      </w:pPr>
      <w:bookmarkStart w:id="8" w:name="_Toc15377200"/>
      <w:bookmarkStart w:id="9" w:name="_Toc15396601"/>
      <w:r>
        <w:rPr>
          <w:rFonts w:hint="eastAsia" w:ascii="Times New Roman" w:hAnsi="Times New Roman" w:eastAsia="黑体"/>
          <w:b w:val="0"/>
          <w:color w:val="auto"/>
          <w:highlight w:val="none"/>
        </w:rPr>
        <w:t>二、机</w:t>
      </w:r>
      <w:r>
        <w:rPr>
          <w:rStyle w:val="15"/>
          <w:rFonts w:hint="eastAsia" w:ascii="Times New Roman" w:hAnsi="Times New Roman" w:eastAsia="黑体"/>
          <w:b w:val="0"/>
          <w:bCs w:val="0"/>
          <w:color w:val="auto"/>
          <w:highlight w:val="none"/>
        </w:rPr>
        <w:t>构设置</w:t>
      </w:r>
      <w:bookmarkEnd w:id="8"/>
      <w:bookmarkEnd w:id="9"/>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auto"/>
          <w:sz w:val="32"/>
          <w:szCs w:val="32"/>
          <w:highlight w:val="none"/>
        </w:rPr>
      </w:pPr>
      <w:r>
        <w:rPr>
          <w:rFonts w:hint="eastAsia" w:ascii="仿宋" w:hAnsi="仿宋" w:eastAsia="仿宋"/>
          <w:bCs/>
          <w:color w:val="000000"/>
          <w:sz w:val="32"/>
          <w:szCs w:val="32"/>
        </w:rPr>
        <w:t>攀枝花市实验学校为市属全额拨款事业单位，内设机构10个。学校现有两个校区101个教学班。其中小学6</w:t>
      </w:r>
      <w:r>
        <w:rPr>
          <w:rFonts w:hint="eastAsia" w:ascii="仿宋" w:hAnsi="仿宋" w:eastAsia="仿宋"/>
          <w:bCs/>
          <w:color w:val="000000"/>
          <w:sz w:val="32"/>
          <w:szCs w:val="32"/>
          <w:lang w:val="en-US" w:eastAsia="zh-CN"/>
        </w:rPr>
        <w:t>1</w:t>
      </w:r>
      <w:r>
        <w:rPr>
          <w:rFonts w:hint="eastAsia" w:ascii="仿宋" w:hAnsi="仿宋" w:eastAsia="仿宋"/>
          <w:bCs/>
          <w:color w:val="000000"/>
          <w:sz w:val="32"/>
          <w:szCs w:val="32"/>
        </w:rPr>
        <w:t>个班，初中</w:t>
      </w:r>
      <w:r>
        <w:rPr>
          <w:rFonts w:hint="eastAsia" w:ascii="仿宋" w:hAnsi="仿宋" w:eastAsia="仿宋"/>
          <w:bCs/>
          <w:color w:val="000000"/>
          <w:sz w:val="32"/>
          <w:szCs w:val="32"/>
          <w:lang w:val="en-US" w:eastAsia="zh-CN"/>
        </w:rPr>
        <w:t>40</w:t>
      </w:r>
      <w:r>
        <w:rPr>
          <w:rFonts w:hint="eastAsia" w:ascii="仿宋" w:hAnsi="仿宋" w:eastAsia="仿宋"/>
          <w:bCs/>
          <w:color w:val="000000"/>
          <w:sz w:val="32"/>
          <w:szCs w:val="32"/>
        </w:rPr>
        <w:t>个班，幼儿园</w:t>
      </w:r>
      <w:r>
        <w:rPr>
          <w:rFonts w:hint="eastAsia" w:ascii="仿宋" w:hAnsi="仿宋" w:eastAsia="仿宋"/>
          <w:bCs/>
          <w:color w:val="000000"/>
          <w:sz w:val="32"/>
          <w:szCs w:val="32"/>
          <w:lang w:val="en-US" w:eastAsia="zh-CN"/>
        </w:rPr>
        <w:t>5</w:t>
      </w:r>
      <w:r>
        <w:rPr>
          <w:rFonts w:hint="eastAsia" w:ascii="仿宋" w:hAnsi="仿宋" w:eastAsia="仿宋"/>
          <w:bCs/>
          <w:color w:val="000000"/>
          <w:sz w:val="32"/>
          <w:szCs w:val="32"/>
        </w:rPr>
        <w:t>个班；学生共4797人，其中小学27</w:t>
      </w:r>
      <w:r>
        <w:rPr>
          <w:rFonts w:hint="eastAsia" w:ascii="仿宋" w:hAnsi="仿宋" w:eastAsia="仿宋"/>
          <w:bCs/>
          <w:color w:val="000000"/>
          <w:sz w:val="32"/>
          <w:szCs w:val="32"/>
          <w:lang w:val="en-US" w:eastAsia="zh-CN"/>
        </w:rPr>
        <w:t>56</w:t>
      </w:r>
      <w:r>
        <w:rPr>
          <w:rFonts w:hint="eastAsia" w:ascii="仿宋" w:hAnsi="仿宋" w:eastAsia="仿宋"/>
          <w:bCs/>
          <w:color w:val="000000"/>
          <w:sz w:val="32"/>
          <w:szCs w:val="32"/>
        </w:rPr>
        <w:t>人，中学18</w:t>
      </w:r>
      <w:r>
        <w:rPr>
          <w:rFonts w:hint="eastAsia" w:ascii="仿宋" w:hAnsi="仿宋" w:eastAsia="仿宋"/>
          <w:bCs/>
          <w:color w:val="000000"/>
          <w:sz w:val="32"/>
          <w:szCs w:val="32"/>
          <w:lang w:val="en-US" w:eastAsia="zh-CN"/>
        </w:rPr>
        <w:t>62</w:t>
      </w:r>
      <w:r>
        <w:rPr>
          <w:rFonts w:hint="eastAsia" w:ascii="仿宋" w:hAnsi="仿宋" w:eastAsia="仿宋"/>
          <w:bCs/>
          <w:color w:val="000000"/>
          <w:sz w:val="32"/>
          <w:szCs w:val="32"/>
        </w:rPr>
        <w:t>人，幼儿园</w:t>
      </w:r>
      <w:r>
        <w:rPr>
          <w:rFonts w:hint="eastAsia" w:ascii="仿宋" w:hAnsi="仿宋" w:eastAsia="仿宋"/>
          <w:bCs/>
          <w:color w:val="000000"/>
          <w:sz w:val="32"/>
          <w:szCs w:val="32"/>
          <w:lang w:val="en-US" w:eastAsia="zh-CN"/>
        </w:rPr>
        <w:t>121</w:t>
      </w:r>
      <w:r>
        <w:rPr>
          <w:rFonts w:hint="eastAsia" w:ascii="仿宋" w:hAnsi="仿宋" w:eastAsia="仿宋"/>
          <w:bCs/>
          <w:color w:val="000000"/>
          <w:sz w:val="32"/>
          <w:szCs w:val="32"/>
        </w:rPr>
        <w:t>人；</w:t>
      </w:r>
      <w:r>
        <w:rPr>
          <w:rFonts w:hint="eastAsia" w:ascii="仿宋_GB2312" w:hAnsi="仿宋" w:eastAsia="仿宋_GB2312" w:cs="仿宋_GB2312"/>
          <w:kern w:val="2"/>
          <w:sz w:val="32"/>
          <w:szCs w:val="32"/>
          <w:lang w:val="en-US" w:eastAsia="zh-CN" w:bidi="ar"/>
        </w:rPr>
        <w:t>学校现有教职工362人，其中专任教师347人，特级教师1人，各级各类骨干教师、学科带头人64人，正高级教师2人，高级教师64人，硕士研究生22人。</w:t>
      </w:r>
    </w:p>
    <w:p>
      <w:pPr>
        <w:widowControl/>
        <w:jc w:val="left"/>
        <w:rPr>
          <w:rFonts w:ascii="Times New Roman" w:hAnsi="Times New Roman" w:eastAsia="仿宋"/>
          <w:color w:val="auto"/>
          <w:kern w:val="0"/>
          <w:sz w:val="32"/>
          <w:szCs w:val="32"/>
          <w:highlight w:val="none"/>
        </w:rPr>
      </w:pPr>
    </w:p>
    <w:p>
      <w:pPr>
        <w:pStyle w:val="2"/>
        <w:rPr>
          <w:rFonts w:ascii="Times New Roman" w:hAnsi="Times New Roman" w:eastAsia="仿宋"/>
          <w:color w:val="auto"/>
          <w:kern w:val="0"/>
          <w:sz w:val="32"/>
          <w:szCs w:val="32"/>
          <w:highlight w:val="none"/>
        </w:rPr>
      </w:pPr>
    </w:p>
    <w:p>
      <w:pPr>
        <w:pStyle w:val="3"/>
        <w:rPr>
          <w:rFonts w:ascii="Times New Roman" w:hAnsi="Times New Roman" w:eastAsia="仿宋"/>
          <w:color w:val="auto"/>
          <w:kern w:val="0"/>
          <w:sz w:val="32"/>
          <w:szCs w:val="32"/>
          <w:highlight w:val="none"/>
        </w:rPr>
      </w:pPr>
    </w:p>
    <w:p>
      <w:pPr>
        <w:pStyle w:val="3"/>
        <w:rPr>
          <w:rFonts w:ascii="Times New Roman" w:hAnsi="Times New Roman" w:eastAsia="仿宋"/>
          <w:color w:val="auto"/>
          <w:kern w:val="0"/>
          <w:sz w:val="32"/>
          <w:szCs w:val="32"/>
          <w:highlight w:val="none"/>
        </w:rPr>
      </w:pPr>
    </w:p>
    <w:p>
      <w:pPr>
        <w:pStyle w:val="3"/>
        <w:rPr>
          <w:rFonts w:ascii="Times New Roman" w:hAnsi="Times New Roman" w:eastAsia="仿宋"/>
          <w:color w:val="auto"/>
          <w:kern w:val="0"/>
          <w:sz w:val="32"/>
          <w:szCs w:val="32"/>
          <w:highlight w:val="none"/>
        </w:rPr>
      </w:pPr>
    </w:p>
    <w:p>
      <w:pPr>
        <w:pStyle w:val="5"/>
        <w:ind w:firstLine="440" w:firstLineChars="100"/>
        <w:jc w:val="center"/>
        <w:rPr>
          <w:rFonts w:hint="eastAsia" w:ascii="Times New Roman" w:hAnsi="Times New Roman" w:eastAsia="方正小标宋简体" w:cs="方正小标宋简体"/>
          <w:b w:val="0"/>
          <w:color w:val="auto"/>
          <w:highlight w:val="none"/>
        </w:rPr>
      </w:pPr>
      <w:bookmarkStart w:id="10" w:name="_Toc15377204"/>
      <w:bookmarkStart w:id="11" w:name="_Toc15396602"/>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ascii="Times New Roman" w:hAnsi="Times New Roman" w:eastAsia="方正小标宋简体" w:cs="方正小标宋简体"/>
          <w:b w:val="0"/>
          <w:color w:val="auto"/>
          <w:highlight w:val="none"/>
        </w:rPr>
        <w:t>部门决算情况说明</w:t>
      </w:r>
      <w:bookmarkEnd w:id="10"/>
      <w:bookmarkEnd w:id="11"/>
    </w:p>
    <w:p>
      <w:pPr>
        <w:rPr>
          <w:rFonts w:ascii="Times New Roman" w:hAnsi="Times New Roman"/>
          <w:color w:val="auto"/>
          <w:highlight w:val="none"/>
        </w:rPr>
      </w:pPr>
    </w:p>
    <w:p>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15"/>
          <w:rFonts w:hint="eastAsia" w:ascii="Times New Roman" w:hAnsi="Times New Roman" w:eastAsia="黑体"/>
          <w:b w:val="0"/>
          <w:color w:val="auto"/>
          <w:highlight w:val="none"/>
        </w:rPr>
      </w:pPr>
      <w:bookmarkStart w:id="12" w:name="_Toc15396603"/>
      <w:bookmarkStart w:id="13" w:name="_Toc15377205"/>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15"/>
          <w:rFonts w:hint="eastAsia" w:ascii="Times New Roman" w:hAnsi="Times New Roman" w:eastAsia="黑体"/>
          <w:b w:val="0"/>
          <w:color w:val="auto"/>
          <w:highlight w:val="none"/>
        </w:rPr>
        <w:t>入支出决算总体情况说明</w:t>
      </w:r>
      <w:bookmarkEnd w:id="12"/>
      <w:bookmarkEnd w:id="13"/>
    </w:p>
    <w:p>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2024年度收入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ascii="Times New Roman" w:hAnsi="Times New Roman" w:eastAsia="仿宋_GB2312" w:cs="仿宋_GB2312"/>
          <w:color w:val="auto"/>
          <w:sz w:val="32"/>
          <w:szCs w:val="32"/>
          <w:highlight w:val="none"/>
          <w:lang w:eastAsia="zh-CN"/>
        </w:rPr>
        <w:t>均为</w:t>
      </w:r>
      <w:r>
        <w:rPr>
          <w:rFonts w:hint="eastAsia" w:eastAsia="仿宋_GB2312" w:cs="仿宋_GB2312"/>
          <w:color w:val="auto"/>
          <w:sz w:val="32"/>
          <w:szCs w:val="32"/>
          <w:highlight w:val="none"/>
          <w:lang w:val="en-US" w:eastAsia="zh-CN"/>
        </w:rPr>
        <w:t>9,073.96</w:t>
      </w:r>
      <w:r>
        <w:rPr>
          <w:rFonts w:hint="eastAsia" w:ascii="Times New Roman" w:hAnsi="Times New Roman" w:eastAsia="仿宋_GB2312" w:cs="仿宋_GB2312"/>
          <w:color w:val="auto"/>
          <w:sz w:val="32"/>
          <w:szCs w:val="32"/>
          <w:highlight w:val="none"/>
        </w:rPr>
        <w:t>万元。与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总计各减少</w:t>
      </w:r>
      <w:r>
        <w:rPr>
          <w:rFonts w:hint="eastAsia" w:eastAsia="仿宋_GB2312" w:cs="仿宋_GB2312"/>
          <w:color w:val="auto"/>
          <w:sz w:val="32"/>
          <w:szCs w:val="32"/>
          <w:highlight w:val="none"/>
          <w:lang w:val="en-US" w:eastAsia="zh-CN"/>
        </w:rPr>
        <w:t>430.21</w:t>
      </w:r>
      <w:r>
        <w:rPr>
          <w:rFonts w:hint="eastAsia" w:ascii="Times New Roman" w:hAnsi="Times New Roman" w:eastAsia="仿宋_GB2312" w:cs="仿宋_GB2312"/>
          <w:color w:val="auto"/>
          <w:sz w:val="32"/>
          <w:szCs w:val="32"/>
          <w:highlight w:val="none"/>
        </w:rPr>
        <w:t>万元，下降</w:t>
      </w:r>
      <w:r>
        <w:rPr>
          <w:rFonts w:hint="eastAsia" w:eastAsia="仿宋_GB2312" w:cs="仿宋_GB2312"/>
          <w:color w:val="auto"/>
          <w:sz w:val="32"/>
          <w:szCs w:val="32"/>
          <w:highlight w:val="none"/>
          <w:lang w:val="en-US" w:eastAsia="zh-CN"/>
        </w:rPr>
        <w:t>4.53</w:t>
      </w:r>
      <w:r>
        <w:rPr>
          <w:rFonts w:hint="eastAsia" w:ascii="Times New Roman" w:hAnsi="Times New Roman" w:eastAsia="仿宋_GB2312" w:cs="仿宋_GB2312"/>
          <w:color w:val="auto"/>
          <w:sz w:val="32"/>
          <w:szCs w:val="32"/>
          <w:highlight w:val="none"/>
        </w:rPr>
        <w:t>%。主要变动原因是</w:t>
      </w:r>
      <w:r>
        <w:rPr>
          <w:rFonts w:hint="eastAsia" w:eastAsia="仿宋_GB2312" w:cs="仿宋_GB2312"/>
          <w:color w:val="auto"/>
          <w:sz w:val="32"/>
          <w:szCs w:val="32"/>
          <w:highlight w:val="none"/>
          <w:lang w:val="en-US" w:eastAsia="zh-CN"/>
        </w:rPr>
        <w:t>2023年支付了新建学生宿舍工程款、学校综合楼项目尾款等，以上项目于2023年结束，2024年无拨款。</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w:t>
      </w:r>
    </w:p>
    <w:p>
      <w:pPr>
        <w:pStyle w:val="3"/>
        <w:jc w:val="center"/>
        <w:rPr>
          <w:rFonts w:hint="eastAsia" w:ascii="Times New Roman" w:hAnsi="Times New Roman" w:eastAsia="仿宋_GB2312" w:cs="仿宋_GB2312"/>
          <w:color w:val="auto"/>
          <w:sz w:val="32"/>
          <w:szCs w:val="32"/>
          <w:highlight w:val="none"/>
        </w:rPr>
      </w:pPr>
      <w:r>
        <w:drawing>
          <wp:inline distT="0" distB="0" distL="114300" distR="114300">
            <wp:extent cx="4130040" cy="2484120"/>
            <wp:effectExtent l="0" t="0" r="381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4130040" cy="2484120"/>
                    </a:xfrm>
                    <a:prstGeom prst="rect">
                      <a:avLst/>
                    </a:prstGeom>
                    <a:noFill/>
                    <a:ln>
                      <a:noFill/>
                    </a:ln>
                  </pic:spPr>
                </pic:pic>
              </a:graphicData>
            </a:graphic>
          </wp:inline>
        </w:drawing>
      </w:r>
    </w:p>
    <w:p>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14" w:name="_Toc15377206"/>
      <w:bookmarkStart w:id="15" w:name="_Toc15396604"/>
      <w:r>
        <w:rPr>
          <w:rFonts w:hint="eastAsia" w:ascii="Times New Roman" w:hAnsi="Times New Roman" w:eastAsia="黑体"/>
          <w:color w:val="auto"/>
          <w:sz w:val="32"/>
          <w:szCs w:val="32"/>
          <w:highlight w:val="none"/>
          <w:lang w:eastAsia="zh-CN"/>
        </w:rPr>
        <w:t>二、收入决算情况说明</w:t>
      </w:r>
      <w:bookmarkEnd w:id="14"/>
      <w:bookmarkEnd w:id="15"/>
    </w:p>
    <w:p>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b/>
          <w:bCs/>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2024年度本年收入合计</w:t>
      </w:r>
      <w:r>
        <w:rPr>
          <w:rFonts w:hint="eastAsia" w:ascii="仿宋_GB2312" w:hAnsi="仿宋_GB2312" w:eastAsia="仿宋_GB2312" w:cs="仿宋_GB2312"/>
          <w:sz w:val="32"/>
          <w:szCs w:val="32"/>
        </w:rPr>
        <w:t>9073.96万元，其中：一般公共预算财政拨款收入8439.87</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93.01</w:t>
      </w:r>
      <w:r>
        <w:rPr>
          <w:rFonts w:hint="eastAsia" w:ascii="仿宋_GB2312" w:hAnsi="仿宋_GB2312" w:eastAsia="仿宋_GB2312" w:cs="仿宋_GB2312"/>
          <w:color w:val="auto"/>
          <w:sz w:val="32"/>
          <w:szCs w:val="32"/>
          <w:highlight w:val="none"/>
          <w:lang w:eastAsia="zh-CN"/>
        </w:rPr>
        <w:t>%；事业收入</w:t>
      </w:r>
      <w:r>
        <w:rPr>
          <w:rFonts w:hint="eastAsia" w:ascii="仿宋_GB2312" w:hAnsi="仿宋_GB2312" w:eastAsia="仿宋_GB2312" w:cs="仿宋_GB2312"/>
          <w:sz w:val="32"/>
          <w:szCs w:val="32"/>
        </w:rPr>
        <w:t>123.29</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color w:val="auto"/>
          <w:sz w:val="32"/>
          <w:szCs w:val="32"/>
          <w:highlight w:val="none"/>
          <w:lang w:eastAsia="zh-CN"/>
        </w:rPr>
        <w:t>%；其他收入</w:t>
      </w:r>
      <w:r>
        <w:rPr>
          <w:rFonts w:hint="eastAsia" w:ascii="仿宋_GB2312" w:hAnsi="仿宋_GB2312" w:eastAsia="仿宋_GB2312" w:cs="仿宋_GB2312"/>
          <w:sz w:val="32"/>
          <w:szCs w:val="32"/>
        </w:rPr>
        <w:t>510.8</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5.6</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color w:val="auto"/>
          <w:sz w:val="32"/>
          <w:szCs w:val="32"/>
          <w:highlight w:val="none"/>
          <w:lang w:eastAsia="zh-CN"/>
        </w:rPr>
        <w:t>%。</w:t>
      </w:r>
    </w:p>
    <w:p>
      <w:pPr>
        <w:ind w:firstLine="800" w:firstLineChars="250"/>
        <w:jc w:val="left"/>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（图2：收入决算结构图）</w:t>
      </w:r>
    </w:p>
    <w:p>
      <w:pPr>
        <w:ind w:firstLine="525" w:firstLineChars="250"/>
        <w:jc w:val="center"/>
        <w:rPr>
          <w:rFonts w:hint="eastAsia" w:ascii="Times New Roman" w:hAnsi="Times New Roman" w:eastAsia="仿宋_GB2312" w:cs="仿宋_GB2312"/>
          <w:color w:val="auto"/>
          <w:sz w:val="32"/>
          <w:szCs w:val="32"/>
          <w:highlight w:val="none"/>
          <w:lang w:eastAsia="zh-CN"/>
        </w:rPr>
      </w:pPr>
      <w:r>
        <w:drawing>
          <wp:inline distT="0" distB="0" distL="114300" distR="114300">
            <wp:extent cx="4161155" cy="2503805"/>
            <wp:effectExtent l="0" t="0" r="10795"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4161155" cy="2503805"/>
                    </a:xfrm>
                    <a:prstGeom prst="rect">
                      <a:avLst/>
                    </a:prstGeom>
                    <a:noFill/>
                    <a:ln>
                      <a:noFill/>
                    </a:ln>
                  </pic:spPr>
                </pic:pic>
              </a:graphicData>
            </a:graphic>
          </wp:inline>
        </w:drawing>
      </w:r>
    </w:p>
    <w:p>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15"/>
          <w:rFonts w:hint="eastAsia" w:ascii="Times New Roman" w:hAnsi="Times New Roman" w:eastAsia="黑体"/>
          <w:b w:val="0"/>
          <w:color w:val="auto"/>
          <w:highlight w:val="none"/>
        </w:rPr>
      </w:pPr>
      <w:bookmarkStart w:id="16" w:name="_Toc15377207"/>
      <w:bookmarkStart w:id="17" w:name="_Toc15396605"/>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15"/>
          <w:rFonts w:hint="eastAsia" w:ascii="Times New Roman" w:hAnsi="Times New Roman" w:eastAsia="黑体"/>
          <w:b w:val="0"/>
          <w:color w:val="auto"/>
          <w:highlight w:val="none"/>
        </w:rPr>
        <w:t>出决算情况说明</w:t>
      </w:r>
      <w:bookmarkEnd w:id="16"/>
      <w:bookmarkEnd w:id="17"/>
    </w:p>
    <w:p>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2024年度支出合计</w:t>
      </w:r>
      <w:r>
        <w:rPr>
          <w:rFonts w:hint="eastAsia" w:ascii="仿宋_GB2312" w:hAnsi="仿宋_GB2312" w:eastAsia="仿宋_GB2312" w:cs="仿宋_GB2312"/>
          <w:sz w:val="32"/>
          <w:szCs w:val="32"/>
        </w:rPr>
        <w:t>9073.96</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sz w:val="32"/>
          <w:szCs w:val="32"/>
        </w:rPr>
        <w:t>8126.69</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89.56</w:t>
      </w:r>
      <w:r>
        <w:rPr>
          <w:rFonts w:hint="eastAsia" w:ascii="仿宋_GB2312" w:hAnsi="仿宋_GB2312" w:eastAsia="仿宋_GB2312" w:cs="仿宋_GB2312"/>
          <w:color w:val="auto"/>
          <w:sz w:val="32"/>
          <w:szCs w:val="32"/>
          <w:highlight w:val="none"/>
          <w:lang w:eastAsia="zh-CN"/>
        </w:rPr>
        <w:t>%；项目支出</w:t>
      </w:r>
      <w:r>
        <w:rPr>
          <w:rFonts w:hint="eastAsia" w:ascii="仿宋_GB2312" w:hAnsi="仿宋_GB2312" w:eastAsia="仿宋_GB2312" w:cs="仿宋_GB2312"/>
          <w:sz w:val="32"/>
          <w:szCs w:val="32"/>
        </w:rPr>
        <w:t>947.28</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10.43</w:t>
      </w:r>
      <w:r>
        <w:rPr>
          <w:rFonts w:hint="eastAsia" w:ascii="仿宋_GB2312" w:hAnsi="仿宋_GB2312" w:eastAsia="仿宋_GB2312" w:cs="仿宋_GB2312"/>
          <w:color w:val="auto"/>
          <w:sz w:val="32"/>
          <w:szCs w:val="32"/>
          <w:highlight w:val="none"/>
          <w:lang w:eastAsia="zh-CN"/>
        </w:rPr>
        <w:t>%。</w:t>
      </w:r>
    </w:p>
    <w:p>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（图3：支出决算结构图）</w:t>
      </w:r>
    </w:p>
    <w:p>
      <w:pPr>
        <w:ind w:firstLine="525" w:firstLineChars="250"/>
        <w:jc w:val="center"/>
        <w:rPr>
          <w:rFonts w:hint="eastAsia" w:ascii="Times New Roman" w:hAnsi="Times New Roman" w:eastAsia="仿宋_GB2312" w:cs="仿宋_GB2312"/>
          <w:color w:val="auto"/>
          <w:sz w:val="32"/>
          <w:szCs w:val="32"/>
          <w:highlight w:val="none"/>
          <w:lang w:eastAsia="zh-CN"/>
        </w:rPr>
      </w:pPr>
      <w:r>
        <w:drawing>
          <wp:inline distT="0" distB="0" distL="114300" distR="114300">
            <wp:extent cx="4469130" cy="2688590"/>
            <wp:effectExtent l="0" t="0" r="7620" b="165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4469130" cy="2688590"/>
                    </a:xfrm>
                    <a:prstGeom prst="rect">
                      <a:avLst/>
                    </a:prstGeom>
                    <a:noFill/>
                    <a:ln>
                      <a:noFill/>
                    </a:ln>
                  </pic:spPr>
                </pic:pic>
              </a:graphicData>
            </a:graphic>
          </wp:inline>
        </w:drawing>
      </w:r>
    </w:p>
    <w:p>
      <w:pPr>
        <w:spacing w:line="600" w:lineRule="exact"/>
        <w:ind w:firstLine="640" w:firstLineChars="200"/>
        <w:outlineLvl w:val="1"/>
        <w:rPr>
          <w:rStyle w:val="15"/>
          <w:rFonts w:ascii="Times New Roman" w:hAnsi="Times New Roman" w:eastAsia="黑体"/>
          <w:b w:val="0"/>
          <w:color w:val="auto"/>
          <w:highlight w:val="none"/>
        </w:rPr>
      </w:pPr>
      <w:bookmarkStart w:id="18" w:name="_Toc15396606"/>
      <w:bookmarkStart w:id="19" w:name="_Toc15377208"/>
      <w:r>
        <w:rPr>
          <w:rFonts w:hint="eastAsia" w:ascii="Times New Roman" w:hAnsi="Times New Roman" w:eastAsia="黑体"/>
          <w:color w:val="auto"/>
          <w:sz w:val="32"/>
          <w:szCs w:val="32"/>
          <w:highlight w:val="none"/>
        </w:rPr>
        <w:t>四、财</w:t>
      </w:r>
      <w:r>
        <w:rPr>
          <w:rStyle w:val="15"/>
          <w:rFonts w:hint="eastAsia" w:ascii="Times New Roman" w:hAnsi="Times New Roman" w:eastAsia="黑体"/>
          <w:b w:val="0"/>
          <w:color w:val="auto"/>
          <w:highlight w:val="none"/>
        </w:rPr>
        <w:t>政拨款收入支出决算总体情况说明</w:t>
      </w:r>
      <w:bookmarkEnd w:id="18"/>
      <w:bookmarkEnd w:id="19"/>
    </w:p>
    <w:p>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w:t>
      </w:r>
      <w:r>
        <w:rPr>
          <w:rFonts w:hint="eastAsia" w:ascii="仿宋_GB2312" w:hAnsi="仿宋_GB2312" w:eastAsia="仿宋_GB2312" w:cs="仿宋_GB2312"/>
          <w:sz w:val="32"/>
          <w:szCs w:val="32"/>
        </w:rPr>
        <w:t>8439.87</w:t>
      </w:r>
      <w:r>
        <w:rPr>
          <w:rFonts w:hint="eastAsia" w:ascii="Times New Roman" w:hAnsi="Times New Roman" w:eastAsia="仿宋_GB2312" w:cs="仿宋_GB2312"/>
          <w:color w:val="auto"/>
          <w:kern w:val="2"/>
          <w:sz w:val="32"/>
          <w:szCs w:val="32"/>
          <w:highlight w:val="none"/>
          <w:lang w:val="en-US" w:eastAsia="zh-CN" w:bidi="ar-SA"/>
        </w:rPr>
        <w:t>万元。与2023年度相比，财政拨款收入总计、支出总计各减少</w:t>
      </w:r>
      <w:r>
        <w:rPr>
          <w:rFonts w:hint="eastAsia" w:eastAsia="仿宋_GB2312" w:cs="仿宋_GB2312"/>
          <w:color w:val="auto"/>
          <w:kern w:val="2"/>
          <w:sz w:val="32"/>
          <w:szCs w:val="32"/>
          <w:highlight w:val="none"/>
          <w:lang w:val="en-US" w:eastAsia="zh-CN" w:bidi="ar-SA"/>
        </w:rPr>
        <w:t>429.05</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4.86</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eastAsia="仿宋_GB2312" w:cs="仿宋_GB2312"/>
          <w:color w:val="auto"/>
          <w:sz w:val="32"/>
          <w:szCs w:val="32"/>
          <w:highlight w:val="none"/>
          <w:lang w:val="en-US" w:eastAsia="zh-CN"/>
        </w:rPr>
        <w:t>2023年支付了新建学生宿舍工程款、学校综合楼项目尾款等，以上项目于2023年结束，2024年无拨款。</w:t>
      </w:r>
    </w:p>
    <w:p>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w:t>
      </w:r>
    </w:p>
    <w:p>
      <w:pPr>
        <w:pStyle w:val="3"/>
        <w:jc w:val="center"/>
        <w:rPr>
          <w:rFonts w:hint="eastAsia" w:ascii="Times New Roman" w:hAnsi="Times New Roman" w:eastAsia="仿宋_GB2312" w:cs="仿宋_GB2312"/>
          <w:color w:val="auto"/>
          <w:kern w:val="2"/>
          <w:sz w:val="32"/>
          <w:szCs w:val="32"/>
          <w:highlight w:val="none"/>
          <w:lang w:val="en-US" w:eastAsia="zh-CN" w:bidi="ar-SA"/>
        </w:rPr>
      </w:pPr>
      <w:r>
        <w:drawing>
          <wp:inline distT="0" distB="0" distL="114300" distR="114300">
            <wp:extent cx="4486910" cy="2699385"/>
            <wp:effectExtent l="0" t="0" r="889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4486910" cy="2699385"/>
                    </a:xfrm>
                    <a:prstGeom prst="rect">
                      <a:avLst/>
                    </a:prstGeom>
                    <a:noFill/>
                    <a:ln>
                      <a:noFill/>
                    </a:ln>
                  </pic:spPr>
                </pic:pic>
              </a:graphicData>
            </a:graphic>
          </wp:inline>
        </w:drawing>
      </w:r>
    </w:p>
    <w:p>
      <w:pPr>
        <w:spacing w:line="600" w:lineRule="exact"/>
        <w:ind w:firstLine="640" w:firstLineChars="200"/>
        <w:outlineLvl w:val="1"/>
        <w:rPr>
          <w:rStyle w:val="15"/>
          <w:rFonts w:ascii="Times New Roman" w:hAnsi="Times New Roman" w:eastAsia="黑体"/>
          <w:b w:val="0"/>
          <w:color w:val="auto"/>
          <w:highlight w:val="none"/>
        </w:rPr>
      </w:pPr>
      <w:bookmarkStart w:id="20" w:name="_Toc15377209"/>
      <w:bookmarkStart w:id="21" w:name="_Toc15396607"/>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15"/>
          <w:rFonts w:hint="eastAsia" w:ascii="Times New Roman" w:hAnsi="Times New Roman" w:eastAsia="黑体"/>
          <w:b w:val="0"/>
          <w:color w:val="auto"/>
          <w:highlight w:val="none"/>
        </w:rPr>
        <w:t>般公共预算财政拨款支出决算情况说明</w:t>
      </w:r>
      <w:bookmarkEnd w:id="20"/>
      <w:bookmarkEnd w:id="21"/>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2"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22"/>
    </w:p>
    <w:p>
      <w:pPr>
        <w:spacing w:line="600" w:lineRule="exact"/>
        <w:ind w:firstLine="640"/>
        <w:rPr>
          <w:rFonts w:hint="eastAsia"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8439.87</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93.01</w:t>
      </w:r>
      <w:r>
        <w:rPr>
          <w:rFonts w:hint="eastAsia" w:ascii="仿宋_GB2312" w:hAnsi="仿宋_GB2312" w:eastAsia="仿宋_GB2312" w:cs="仿宋_GB2312"/>
          <w:color w:val="auto"/>
          <w:kern w:val="2"/>
          <w:sz w:val="32"/>
          <w:szCs w:val="32"/>
          <w:highlight w:val="none"/>
          <w:lang w:val="en-US" w:eastAsia="zh-CN" w:bidi="ar-SA"/>
        </w:rPr>
        <w:t>%。与2023年度相比，一般公共预算财政拨款支出减少</w:t>
      </w:r>
      <w:r>
        <w:rPr>
          <w:rFonts w:hint="eastAsia" w:eastAsia="仿宋_GB2312" w:cs="仿宋_GB2312"/>
          <w:color w:val="auto"/>
          <w:kern w:val="2"/>
          <w:sz w:val="32"/>
          <w:szCs w:val="32"/>
          <w:highlight w:val="none"/>
          <w:lang w:val="en-US" w:eastAsia="zh-CN" w:bidi="ar-SA"/>
        </w:rPr>
        <w:t>429.05</w:t>
      </w:r>
      <w:r>
        <w:rPr>
          <w:rFonts w:hint="eastAsia" w:ascii="仿宋_GB2312" w:hAnsi="仿宋_GB2312"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4.86</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eastAsia="仿宋_GB2312" w:cs="仿宋_GB2312"/>
          <w:color w:val="auto"/>
          <w:sz w:val="32"/>
          <w:szCs w:val="32"/>
          <w:highlight w:val="none"/>
          <w:lang w:val="en-US" w:eastAsia="zh-CN"/>
        </w:rPr>
        <w:t>2023年支付了新建学生宿舍工程款、学校综合楼项目尾款等，以上项目于2023年结束，2024年无拨款。</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（图5：一般公共预算财政拨款支出决算变动情况）</w:t>
      </w:r>
    </w:p>
    <w:p>
      <w:pPr>
        <w:pStyle w:val="2"/>
        <w:jc w:val="center"/>
        <w:rPr>
          <w:rFonts w:hint="eastAsia" w:ascii="Times New Roman" w:hAnsi="Times New Roman" w:eastAsia="仿宋_GB2312" w:cs="仿宋_GB2312"/>
          <w:color w:val="auto"/>
          <w:kern w:val="2"/>
          <w:sz w:val="32"/>
          <w:szCs w:val="32"/>
          <w:highlight w:val="none"/>
          <w:lang w:val="en-US" w:eastAsia="zh-CN" w:bidi="ar-SA"/>
        </w:rPr>
      </w:pPr>
      <w:r>
        <w:drawing>
          <wp:inline distT="0" distB="0" distL="114300" distR="114300">
            <wp:extent cx="4590415" cy="2761615"/>
            <wp:effectExtent l="0" t="0" r="635"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4590415" cy="2761615"/>
                    </a:xfrm>
                    <a:prstGeom prst="rect">
                      <a:avLst/>
                    </a:prstGeom>
                    <a:noFill/>
                    <a:ln>
                      <a:noFill/>
                    </a:ln>
                  </pic:spPr>
                </pic:pic>
              </a:graphicData>
            </a:graphic>
          </wp:inline>
        </w:drawing>
      </w:r>
    </w:p>
    <w:p>
      <w:pPr>
        <w:pStyle w:val="3"/>
        <w:rPr>
          <w:rFonts w:hint="eastAsia"/>
          <w:lang w:val="en-US" w:eastAsia="zh-CN"/>
        </w:rPr>
      </w:pP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3"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23"/>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8439.87</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，主要用于以下方面</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一般公共服务支出</w:t>
      </w:r>
      <w:r>
        <w:rPr>
          <w:rFonts w:hint="eastAsia" w:eastAsia="仿宋_GB2312" w:cs="仿宋_GB2312"/>
          <w:color w:val="auto"/>
          <w:kern w:val="2"/>
          <w:sz w:val="32"/>
          <w:szCs w:val="32"/>
          <w:highlight w:val="none"/>
          <w:lang w:val="en-US" w:eastAsia="zh-CN" w:bidi="ar-SA"/>
        </w:rPr>
        <w:t>7.85</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0.09</w:t>
      </w:r>
      <w:r>
        <w:rPr>
          <w:rFonts w:hint="eastAsia" w:ascii="Times New Roman" w:hAnsi="Times New Roman" w:eastAsia="仿宋_GB2312" w:cs="仿宋_GB2312"/>
          <w:color w:val="auto"/>
          <w:kern w:val="2"/>
          <w:sz w:val="32"/>
          <w:szCs w:val="32"/>
          <w:highlight w:val="none"/>
          <w:lang w:val="en-US" w:eastAsia="zh-CN" w:bidi="ar-SA"/>
        </w:rPr>
        <w:t>%；教育支出</w:t>
      </w:r>
      <w:r>
        <w:rPr>
          <w:rFonts w:hint="eastAsia" w:eastAsia="仿宋_GB2312" w:cs="仿宋_GB2312"/>
          <w:color w:val="auto"/>
          <w:kern w:val="2"/>
          <w:sz w:val="32"/>
          <w:szCs w:val="32"/>
          <w:highlight w:val="none"/>
          <w:lang w:val="en-US" w:eastAsia="zh-CN" w:bidi="ar-SA"/>
        </w:rPr>
        <w:t>6622.41</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78.47</w:t>
      </w:r>
      <w:r>
        <w:rPr>
          <w:rFonts w:hint="eastAsia" w:ascii="Times New Roman" w:hAnsi="Times New Roman" w:eastAsia="仿宋_GB2312" w:cs="仿宋_GB2312"/>
          <w:color w:val="auto"/>
          <w:kern w:val="2"/>
          <w:sz w:val="32"/>
          <w:szCs w:val="32"/>
          <w:highlight w:val="none"/>
          <w:lang w:val="en-US" w:eastAsia="zh-CN" w:bidi="ar-SA"/>
        </w:rPr>
        <w:t>%；文化旅游体育与传媒支出</w:t>
      </w:r>
      <w:r>
        <w:rPr>
          <w:rFonts w:hint="eastAsia" w:eastAsia="仿宋_GB2312" w:cs="仿宋_GB2312"/>
          <w:color w:val="auto"/>
          <w:kern w:val="2"/>
          <w:sz w:val="32"/>
          <w:szCs w:val="32"/>
          <w:highlight w:val="none"/>
          <w:lang w:val="en-US" w:eastAsia="zh-CN" w:bidi="ar-SA"/>
        </w:rPr>
        <w:t>0.51</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0.01</w:t>
      </w:r>
      <w:r>
        <w:rPr>
          <w:rFonts w:hint="eastAsia" w:ascii="Times New Roman" w:hAnsi="Times New Roman" w:eastAsia="仿宋_GB2312" w:cs="仿宋_GB2312"/>
          <w:color w:val="auto"/>
          <w:kern w:val="2"/>
          <w:sz w:val="32"/>
          <w:szCs w:val="32"/>
          <w:highlight w:val="none"/>
          <w:lang w:val="en-US" w:eastAsia="zh-CN" w:bidi="ar-SA"/>
        </w:rPr>
        <w:t>%；社会保障和就业支出</w:t>
      </w:r>
      <w:r>
        <w:rPr>
          <w:rFonts w:hint="eastAsia" w:eastAsia="仿宋_GB2312" w:cs="仿宋_GB2312"/>
          <w:color w:val="auto"/>
          <w:kern w:val="2"/>
          <w:sz w:val="32"/>
          <w:szCs w:val="32"/>
          <w:highlight w:val="none"/>
          <w:lang w:val="en-US" w:eastAsia="zh-CN" w:bidi="ar-SA"/>
        </w:rPr>
        <w:t>842.59</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9.98</w:t>
      </w:r>
      <w:r>
        <w:rPr>
          <w:rFonts w:hint="eastAsia" w:ascii="Times New Roman" w:hAnsi="Times New Roman" w:eastAsia="仿宋_GB2312" w:cs="仿宋_GB2312"/>
          <w:color w:val="auto"/>
          <w:kern w:val="2"/>
          <w:sz w:val="32"/>
          <w:szCs w:val="32"/>
          <w:highlight w:val="none"/>
          <w:lang w:val="en-US" w:eastAsia="zh-CN" w:bidi="ar-SA"/>
        </w:rPr>
        <w:t>%；卫生健康支出</w:t>
      </w:r>
      <w:r>
        <w:rPr>
          <w:rFonts w:hint="eastAsia" w:eastAsia="仿宋_GB2312" w:cs="仿宋_GB2312"/>
          <w:color w:val="auto"/>
          <w:kern w:val="2"/>
          <w:sz w:val="32"/>
          <w:szCs w:val="32"/>
          <w:highlight w:val="none"/>
          <w:lang w:val="en-US" w:eastAsia="zh-CN" w:bidi="ar-SA"/>
        </w:rPr>
        <w:t>390.24</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4.62</w:t>
      </w:r>
      <w:r>
        <w:rPr>
          <w:rFonts w:hint="eastAsia" w:ascii="Times New Roman" w:hAnsi="Times New Roman" w:eastAsia="仿宋_GB2312" w:cs="仿宋_GB2312"/>
          <w:color w:val="auto"/>
          <w:kern w:val="2"/>
          <w:sz w:val="32"/>
          <w:szCs w:val="32"/>
          <w:highlight w:val="none"/>
          <w:lang w:val="en-US" w:eastAsia="zh-CN" w:bidi="ar-SA"/>
        </w:rPr>
        <w:t>%；住房保障支出</w:t>
      </w:r>
      <w:r>
        <w:rPr>
          <w:rFonts w:hint="eastAsia" w:eastAsia="仿宋_GB2312" w:cs="仿宋_GB2312"/>
          <w:color w:val="auto"/>
          <w:kern w:val="2"/>
          <w:sz w:val="32"/>
          <w:szCs w:val="32"/>
          <w:highlight w:val="none"/>
          <w:lang w:val="en-US" w:eastAsia="zh-CN" w:bidi="ar-SA"/>
        </w:rPr>
        <w:t>576.27</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6.83</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w:t>
      </w:r>
    </w:p>
    <w:p>
      <w:pPr>
        <w:pStyle w:val="2"/>
        <w:jc w:val="center"/>
        <w:rPr>
          <w:rFonts w:hint="eastAsia"/>
          <w:lang w:val="en-US" w:eastAsia="zh-CN"/>
        </w:rPr>
      </w:pPr>
      <w:r>
        <w:drawing>
          <wp:inline distT="0" distB="0" distL="114300" distR="114300">
            <wp:extent cx="4590415" cy="2761615"/>
            <wp:effectExtent l="0" t="0" r="635"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stretch>
                      <a:fillRect/>
                    </a:stretch>
                  </pic:blipFill>
                  <pic:spPr>
                    <a:xfrm>
                      <a:off x="0" y="0"/>
                      <a:ext cx="4590415" cy="2761615"/>
                    </a:xfrm>
                    <a:prstGeom prst="rect">
                      <a:avLst/>
                    </a:prstGeom>
                    <a:noFill/>
                    <a:ln>
                      <a:noFill/>
                    </a:ln>
                  </pic:spPr>
                </pic:pic>
              </a:graphicData>
            </a:graphic>
          </wp:inline>
        </w:drawing>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4" w:name="_Toc15377212"/>
      <w:r>
        <w:rPr>
          <w:rFonts w:hint="eastAsia" w:ascii="Times New Roman" w:hAnsi="Times New Roman" w:eastAsia="楷体_GB2312" w:cs="楷体_GB2312"/>
          <w:b/>
          <w:color w:val="auto"/>
          <w:sz w:val="32"/>
          <w:szCs w:val="32"/>
          <w:highlight w:val="none"/>
        </w:rPr>
        <w:t>（三）一般公共预算财政拨款支出决算具体情况</w:t>
      </w:r>
      <w:bookmarkEnd w:id="24"/>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25" w:name="_Toc15377444"/>
      <w:bookmarkStart w:id="26" w:name="_Toc15377213"/>
      <w:bookmarkStart w:id="27" w:name="_Toc15378460"/>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w:t>
      </w:r>
      <w:r>
        <w:rPr>
          <w:rFonts w:hint="eastAsia" w:ascii="仿宋_GB2312" w:hAnsi="仿宋_GB2312" w:eastAsia="仿宋_GB2312" w:cs="仿宋_GB2312"/>
          <w:sz w:val="32"/>
          <w:szCs w:val="32"/>
        </w:rPr>
        <w:t>8439.87</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%。其中：</w:t>
      </w:r>
      <w:bookmarkEnd w:id="25"/>
      <w:bookmarkEnd w:id="26"/>
      <w:bookmarkEnd w:id="27"/>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一般公共服务（类）组织事务（款）其他组织事务支出（项）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7.85</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2.教育（类）普通教育（款）学前教育（项）: 支出决算为</w:t>
      </w:r>
      <w:r>
        <w:rPr>
          <w:rFonts w:hint="eastAsia" w:eastAsia="仿宋_GB2312" w:cs="仿宋_GB2312"/>
          <w:color w:val="auto"/>
          <w:kern w:val="2"/>
          <w:sz w:val="32"/>
          <w:szCs w:val="32"/>
          <w:highlight w:val="none"/>
          <w:lang w:val="en-US" w:eastAsia="zh-CN" w:bidi="ar-SA"/>
        </w:rPr>
        <w:t>2.3</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教育（类）普通教育（款）初中教育（项）: 支出决算为</w:t>
      </w:r>
      <w:r>
        <w:rPr>
          <w:rFonts w:hint="eastAsia" w:eastAsia="仿宋_GB2312" w:cs="仿宋_GB2312"/>
          <w:color w:val="auto"/>
          <w:kern w:val="2"/>
          <w:sz w:val="32"/>
          <w:szCs w:val="32"/>
          <w:highlight w:val="none"/>
          <w:lang w:val="en-US" w:eastAsia="zh-CN" w:bidi="ar-SA"/>
        </w:rPr>
        <w:t>6430.67</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教育（类）进修及培训（款）培训支出（项）: 支出决算为</w:t>
      </w:r>
      <w:r>
        <w:rPr>
          <w:rFonts w:hint="eastAsia" w:eastAsia="仿宋_GB2312" w:cs="仿宋_GB2312"/>
          <w:color w:val="auto"/>
          <w:kern w:val="2"/>
          <w:sz w:val="32"/>
          <w:szCs w:val="32"/>
          <w:highlight w:val="none"/>
          <w:lang w:val="en-US" w:eastAsia="zh-CN" w:bidi="ar-SA"/>
        </w:rPr>
        <w:t>1.6</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教育（类）教育费附加安排的支出（款）其他教育费附加安排的支出（项）: 支出决算为</w:t>
      </w:r>
      <w:r>
        <w:rPr>
          <w:rFonts w:hint="eastAsia" w:eastAsia="仿宋_GB2312" w:cs="仿宋_GB2312"/>
          <w:color w:val="auto"/>
          <w:kern w:val="2"/>
          <w:sz w:val="32"/>
          <w:szCs w:val="32"/>
          <w:highlight w:val="none"/>
          <w:lang w:val="en-US" w:eastAsia="zh-CN" w:bidi="ar-SA"/>
        </w:rPr>
        <w:t>187.83</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.文化旅游体育与传媒（类）体育（款）其他体育支出（项）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0.51</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.社会保障和就业（类）行政事业单位养老支出（款）事业单位离退休（项）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14.91</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社会保障和就业（类）行政事业单位养老支出（款）机关事业单位基本养老保险缴费支出（项）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762.91</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社会保障和就业（类）行政事业单位养老支出（款）机关事业单位职业年金缴费支出（项）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58.96</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社会保障和就业（类）抚恤（款）死亡抚恤（项）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5.8</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pPr>
        <w:spacing w:line="600" w:lineRule="exact"/>
        <w:ind w:firstLine="640" w:firstLineChars="20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5</w:t>
      </w:r>
      <w:r>
        <w:rPr>
          <w:rFonts w:hint="eastAsia" w:ascii="Times New Roman" w:hAnsi="Times New Roman" w:eastAsia="仿宋_GB2312" w:cs="仿宋_GB2312"/>
          <w:color w:val="auto"/>
          <w:kern w:val="2"/>
          <w:sz w:val="32"/>
          <w:szCs w:val="32"/>
          <w:highlight w:val="none"/>
          <w:lang w:val="en-US" w:eastAsia="zh-CN" w:bidi="ar-SA"/>
        </w:rPr>
        <w:t>.卫生健康（类）行政事业单位医疗（款）事业单位医疗（项）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384.44</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卫生健康（类）行政事业单位医疗（款）公务员医疗补助（项）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4.09</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卫生健康（类）其他卫生健康支出（款）其他卫生健康支出（项）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1.71</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pPr>
        <w:pStyle w:val="2"/>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6</w:t>
      </w:r>
      <w:r>
        <w:rPr>
          <w:rFonts w:hint="eastAsia" w:ascii="Times New Roman" w:hAnsi="Times New Roman" w:eastAsia="仿宋_GB2312" w:cs="仿宋_GB2312"/>
          <w:color w:val="auto"/>
          <w:kern w:val="2"/>
          <w:sz w:val="32"/>
          <w:szCs w:val="32"/>
          <w:highlight w:val="none"/>
          <w:lang w:val="en-US" w:eastAsia="zh-CN" w:bidi="ar-SA"/>
        </w:rPr>
        <w:t>.住房保障支出（类）住房保障支出（款）住房公积金（项）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576.27</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pPr>
        <w:tabs>
          <w:tab w:val="right" w:pos="8306"/>
        </w:tabs>
        <w:spacing w:line="600" w:lineRule="exact"/>
        <w:ind w:firstLine="640"/>
        <w:outlineLvl w:val="1"/>
        <w:rPr>
          <w:rStyle w:val="15"/>
          <w:rFonts w:ascii="Times New Roman" w:hAnsi="Times New Roman"/>
          <w:color w:val="auto"/>
          <w:highlight w:val="none"/>
        </w:rPr>
      </w:pPr>
      <w:bookmarkStart w:id="28" w:name="_Toc15396608"/>
      <w:bookmarkStart w:id="29" w:name="_Toc15377214"/>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15"/>
          <w:rFonts w:hint="eastAsia" w:ascii="Times New Roman" w:hAnsi="Times New Roman" w:eastAsia="黑体"/>
          <w:b w:val="0"/>
          <w:color w:val="auto"/>
          <w:highlight w:val="none"/>
        </w:rPr>
        <w:t>般公共预算财政拨款基本支出决算情况说明</w:t>
      </w:r>
      <w:bookmarkEnd w:id="28"/>
      <w:bookmarkEnd w:id="29"/>
      <w:r>
        <w:rPr>
          <w:rStyle w:val="15"/>
          <w:rFonts w:ascii="Times New Roman" w:hAnsi="Times New Roman" w:eastAsia="黑体"/>
          <w:b w:val="0"/>
          <w:color w:val="auto"/>
          <w:highlight w:val="none"/>
        </w:rPr>
        <w:tab/>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w:t>
      </w:r>
      <w:r>
        <w:rPr>
          <w:rFonts w:hint="eastAsia" w:ascii="仿宋_GB2312" w:hAnsi="仿宋_GB2312" w:eastAsia="仿宋_GB2312" w:cs="仿宋_GB2312"/>
          <w:sz w:val="32"/>
          <w:szCs w:val="32"/>
        </w:rPr>
        <w:t>8003.4</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w:t>
      </w:r>
      <w:r>
        <w:rPr>
          <w:rFonts w:hint="eastAsia" w:ascii="仿宋_GB2312" w:hAnsi="仿宋_GB2312" w:eastAsia="仿宋_GB2312" w:cs="仿宋_GB2312"/>
          <w:sz w:val="32"/>
          <w:szCs w:val="32"/>
        </w:rPr>
        <w:t>7458.65</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元，主要包括：基本工资、津贴补贴、绩效工资、机关事业单位基本养老保险缴费、职业年金缴费、其他社会保障缴费、其他工资福利支出、抚恤金、生活补助、医疗费补助、奖励金、住房公积金等。</w:t>
      </w: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ascii="Times New Roman" w:hAnsi="Times New Roman" w:eastAsia="仿宋_GB2312" w:cs="仿宋_GB2312"/>
          <w:color w:val="auto"/>
          <w:kern w:val="2"/>
          <w:sz w:val="32"/>
          <w:szCs w:val="32"/>
          <w:highlight w:val="none"/>
          <w:lang w:val="en-US" w:eastAsia="zh-CN" w:bidi="ar-SA"/>
        </w:rPr>
        <w:t>　　公用经费</w:t>
      </w:r>
      <w:r>
        <w:rPr>
          <w:rFonts w:hint="eastAsia" w:ascii="仿宋_GB2312" w:hAnsi="仿宋_GB2312" w:eastAsia="仿宋_GB2312" w:cs="仿宋_GB2312"/>
          <w:sz w:val="32"/>
          <w:szCs w:val="32"/>
        </w:rPr>
        <w:t>544.75</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元，主要包括：办公费、电费、邮电费、物业管理费、差旅费、维修（护）费、劳务费、委托业务费、工会经费、福利费、公务用车运行维护费、其他交通费、其他商品和服务支出、办公设备购置等。</w:t>
      </w:r>
    </w:p>
    <w:p>
      <w:pPr>
        <w:spacing w:line="600" w:lineRule="exact"/>
        <w:ind w:firstLine="640"/>
        <w:outlineLvl w:val="1"/>
        <w:rPr>
          <w:rStyle w:val="15"/>
          <w:rFonts w:ascii="Times New Roman" w:hAnsi="Times New Roman" w:eastAsia="黑体"/>
          <w:b w:val="0"/>
          <w:color w:val="auto"/>
          <w:highlight w:val="none"/>
        </w:rPr>
      </w:pPr>
      <w:bookmarkStart w:id="30" w:name="_Toc15396609"/>
      <w:bookmarkStart w:id="31" w:name="_Toc15377215"/>
      <w:r>
        <w:rPr>
          <w:rFonts w:hint="eastAsia" w:ascii="Times New Roman" w:hAnsi="Times New Roman" w:eastAsia="黑体"/>
          <w:color w:val="auto"/>
          <w:sz w:val="32"/>
          <w:szCs w:val="32"/>
          <w:highlight w:val="none"/>
        </w:rPr>
        <w:t>七、</w:t>
      </w:r>
      <w:r>
        <w:rPr>
          <w:rStyle w:val="15"/>
          <w:rFonts w:hint="eastAsia" w:ascii="Times New Roman" w:hAnsi="Times New Roman" w:eastAsia="黑体"/>
          <w:b w:val="0"/>
          <w:color w:val="auto"/>
          <w:highlight w:val="none"/>
        </w:rPr>
        <w:t>财政拨款</w:t>
      </w:r>
      <w:r>
        <w:rPr>
          <w:rStyle w:val="15"/>
          <w:rFonts w:hint="eastAsia" w:ascii="Times New Roman" w:hAnsi="Times New Roman" w:eastAsia="黑体"/>
          <w:color w:val="auto"/>
          <w:highlight w:val="none"/>
        </w:rPr>
        <w:t>“</w:t>
      </w:r>
      <w:r>
        <w:rPr>
          <w:rStyle w:val="15"/>
          <w:rFonts w:hint="eastAsia" w:ascii="Times New Roman" w:hAnsi="Times New Roman" w:eastAsia="黑体"/>
          <w:b w:val="0"/>
          <w:color w:val="auto"/>
          <w:highlight w:val="none"/>
        </w:rPr>
        <w:t>三公”经费支出决算情况说明</w:t>
      </w:r>
      <w:bookmarkEnd w:id="30"/>
      <w:bookmarkEnd w:id="31"/>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2"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32"/>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万元，完成预算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与2023年持平。</w:t>
      </w: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3"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33"/>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2024年度“三公”经费财政拨款支出决算中，因公出国（境）费支出决算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万元，占0%；公务用车购置及运行维护费支出决算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万元，占0%；公务接待费支出决算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w:t>
      </w:r>
    </w:p>
    <w:p>
      <w:pPr>
        <w:numPr>
          <w:ilvl w:val="0"/>
          <w:numId w:val="0"/>
        </w:numPr>
        <w:spacing w:line="600" w:lineRule="exact"/>
        <w:ind w:firstLine="643" w:firstLineChars="200"/>
        <w:rPr>
          <w:rFonts w:hint="eastAsia" w:eastAsia="仿宋_GB2312" w:cs="仿宋_GB2312"/>
          <w:color w:val="auto"/>
          <w:kern w:val="2"/>
          <w:sz w:val="32"/>
          <w:szCs w:val="32"/>
          <w:highlight w:val="none"/>
          <w:lang w:val="en-US" w:eastAsia="zh-CN" w:bidi="ar-SA"/>
        </w:rPr>
      </w:pPr>
      <w:r>
        <w:rPr>
          <w:rFonts w:hint="eastAsia" w:eastAsia="仿宋_GB2312" w:cs="仿宋_GB2312"/>
          <w:b/>
          <w:bCs/>
          <w:color w:val="auto"/>
          <w:kern w:val="2"/>
          <w:sz w:val="32"/>
          <w:szCs w:val="32"/>
          <w:highlight w:val="none"/>
          <w:lang w:val="en-US" w:eastAsia="zh-CN" w:bidi="ar-SA"/>
        </w:rPr>
        <w:t>1.</w:t>
      </w:r>
      <w:r>
        <w:rPr>
          <w:rFonts w:hint="eastAsia" w:ascii="Times New Roman" w:hAnsi="Times New Roman" w:eastAsia="仿宋_GB2312" w:cs="仿宋_GB2312"/>
          <w:b/>
          <w:bCs/>
          <w:color w:val="auto"/>
          <w:kern w:val="2"/>
          <w:sz w:val="32"/>
          <w:szCs w:val="32"/>
          <w:highlight w:val="none"/>
          <w:lang w:val="en-US" w:eastAsia="zh-CN" w:bidi="ar-SA"/>
        </w:rPr>
        <w:t>因公出国（境）经费支出</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万元，完成预算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全年安排因公出国（境）团</w:t>
      </w:r>
      <w:r>
        <w:rPr>
          <w:rFonts w:hint="eastAsia" w:ascii="仿宋_GB2312" w:hAnsi="仿宋_GB2312" w:eastAsia="仿宋_GB2312" w:cs="仿宋_GB2312"/>
          <w:color w:val="auto"/>
          <w:kern w:val="2"/>
          <w:sz w:val="32"/>
          <w:szCs w:val="32"/>
          <w:highlight w:val="none"/>
          <w:lang w:val="en-US" w:eastAsia="zh-CN" w:bidi="ar-SA"/>
        </w:rPr>
        <w:t>组</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次，出国（境）</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w:t>
      </w:r>
      <w:r>
        <w:rPr>
          <w:rFonts w:hint="eastAsia" w:ascii="Times New Roman" w:hAnsi="Times New Roman" w:eastAsia="仿宋_GB2312" w:cs="仿宋_GB2312"/>
          <w:color w:val="auto"/>
          <w:kern w:val="2"/>
          <w:sz w:val="32"/>
          <w:szCs w:val="32"/>
          <w:highlight w:val="none"/>
          <w:lang w:val="en-US" w:eastAsia="zh-CN" w:bidi="ar-SA"/>
        </w:rPr>
        <w:t>。因公出国（境）支出</w:t>
      </w:r>
      <w:r>
        <w:rPr>
          <w:rFonts w:hint="eastAsia" w:eastAsia="仿宋_GB2312" w:cs="仿宋_GB2312"/>
          <w:color w:val="auto"/>
          <w:kern w:val="2"/>
          <w:sz w:val="32"/>
          <w:szCs w:val="32"/>
          <w:highlight w:val="none"/>
          <w:lang w:val="en-US" w:eastAsia="zh-CN" w:bidi="ar-SA"/>
        </w:rPr>
        <w:t>与2023年持平。</w:t>
      </w:r>
    </w:p>
    <w:p>
      <w:pPr>
        <w:numPr>
          <w:ilvl w:val="0"/>
          <w:numId w:val="0"/>
        </w:numPr>
        <w:spacing w:line="600" w:lineRule="exact"/>
        <w:ind w:firstLine="643" w:firstLineChars="200"/>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0万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w:t>
      </w:r>
      <w:r>
        <w:rPr>
          <w:rFonts w:hint="eastAsia" w:eastAsia="仿宋_GB2312" w:cs="仿宋_GB2312"/>
          <w:color w:val="auto"/>
          <w:kern w:val="2"/>
          <w:sz w:val="32"/>
          <w:szCs w:val="32"/>
          <w:highlight w:val="none"/>
          <w:lang w:val="en-US" w:eastAsia="zh-CN" w:bidi="ar-SA"/>
        </w:rPr>
        <w:t>与2023年持平。</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其中：公务用车购置支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万元。全年按规定更新购置公务用车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万元，越野车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万元。截至2024年12月31日，单位共有公务用车</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辆、越野车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公务用车运行维护费支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ascii="仿宋_GB2312" w:hAnsi="仿宋_GB2312" w:eastAsia="仿宋_GB2312" w:cs="仿宋_GB2312"/>
          <w:b/>
          <w:bCs/>
          <w:color w:val="auto"/>
          <w:kern w:val="2"/>
          <w:sz w:val="32"/>
          <w:szCs w:val="32"/>
          <w:highlight w:val="none"/>
          <w:lang w:val="en-US" w:eastAsia="zh-CN" w:bidi="ar-SA"/>
        </w:rPr>
        <w:t>0万</w:t>
      </w:r>
      <w:r>
        <w:rPr>
          <w:rFonts w:hint="eastAsia" w:ascii="Times New Roman" w:hAnsi="Times New Roman" w:eastAsia="仿宋_GB2312" w:cs="仿宋_GB2312"/>
          <w:b/>
          <w:bCs/>
          <w:color w:val="auto"/>
          <w:kern w:val="2"/>
          <w:sz w:val="32"/>
          <w:szCs w:val="32"/>
          <w:highlight w:val="none"/>
          <w:lang w:val="en-US" w:eastAsia="zh-CN" w:bidi="ar-SA"/>
        </w:rPr>
        <w:t>元，完成预算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公务接待费支出决算</w:t>
      </w:r>
      <w:r>
        <w:rPr>
          <w:rFonts w:hint="eastAsia" w:eastAsia="仿宋_GB2312" w:cs="仿宋_GB2312"/>
          <w:color w:val="auto"/>
          <w:kern w:val="2"/>
          <w:sz w:val="32"/>
          <w:szCs w:val="32"/>
          <w:highlight w:val="none"/>
          <w:lang w:val="en-US" w:eastAsia="zh-CN" w:bidi="ar-SA"/>
        </w:rPr>
        <w:t>与</w:t>
      </w:r>
      <w:r>
        <w:rPr>
          <w:rFonts w:hint="eastAsia" w:ascii="Times New Roman" w:hAnsi="Times New Roman" w:eastAsia="仿宋_GB2312" w:cs="仿宋_GB2312"/>
          <w:color w:val="auto"/>
          <w:kern w:val="2"/>
          <w:sz w:val="32"/>
          <w:szCs w:val="32"/>
          <w:highlight w:val="none"/>
          <w:lang w:val="en-US" w:eastAsia="zh-CN" w:bidi="ar-SA"/>
        </w:rPr>
        <w:t>2023年度</w:t>
      </w:r>
      <w:r>
        <w:rPr>
          <w:rFonts w:hint="eastAsia" w:eastAsia="仿宋_GB2312" w:cs="仿宋_GB2312"/>
          <w:color w:val="auto"/>
          <w:kern w:val="2"/>
          <w:sz w:val="32"/>
          <w:szCs w:val="32"/>
          <w:highlight w:val="none"/>
          <w:lang w:val="en-US" w:eastAsia="zh-CN" w:bidi="ar-SA"/>
        </w:rPr>
        <w:t>持平</w:t>
      </w:r>
      <w:r>
        <w:rPr>
          <w:rFonts w:hint="eastAsia" w:ascii="Times New Roman" w:hAnsi="Times New Roman" w:eastAsia="仿宋_GB2312" w:cs="仿宋_GB2312"/>
          <w:color w:val="auto"/>
          <w:kern w:val="2"/>
          <w:sz w:val="32"/>
          <w:szCs w:val="32"/>
          <w:highlight w:val="none"/>
          <w:lang w:val="en-US" w:eastAsia="zh-CN" w:bidi="ar-SA"/>
        </w:rPr>
        <w:t>。其中：</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国内公务接待支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元。国内公务接</w:t>
      </w:r>
      <w:r>
        <w:rPr>
          <w:rFonts w:hint="eastAsia" w:ascii="仿宋_GB2312" w:hAnsi="仿宋_GB2312" w:eastAsia="仿宋_GB2312" w:cs="仿宋_GB2312"/>
          <w:color w:val="auto"/>
          <w:kern w:val="2"/>
          <w:sz w:val="32"/>
          <w:szCs w:val="32"/>
          <w:highlight w:val="none"/>
          <w:lang w:val="en-US" w:eastAsia="zh-CN" w:bidi="ar-SA"/>
        </w:rPr>
        <w:t>待</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人次（不包括陪同人员），共计支出</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外事接待支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万元，。外事接待</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人次（不包括陪同人员），共计支出0万</w:t>
      </w:r>
      <w:r>
        <w:rPr>
          <w:rFonts w:hint="eastAsia" w:ascii="Times New Roman" w:hAnsi="Times New Roman" w:eastAsia="仿宋_GB2312" w:cs="仿宋_GB2312"/>
          <w:color w:val="auto"/>
          <w:kern w:val="2"/>
          <w:sz w:val="32"/>
          <w:szCs w:val="32"/>
          <w:highlight w:val="none"/>
          <w:lang w:val="en-US" w:eastAsia="zh-CN" w:bidi="ar-SA"/>
        </w:rPr>
        <w:t>元。</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34" w:name="_Toc15396610"/>
      <w:bookmarkStart w:id="35" w:name="_Toc15377218"/>
    </w:p>
    <w:p>
      <w:pPr>
        <w:spacing w:line="600" w:lineRule="exact"/>
        <w:ind w:firstLine="640"/>
        <w:outlineLvl w:val="1"/>
        <w:rPr>
          <w:rStyle w:val="15"/>
          <w:rFonts w:ascii="Times New Roman" w:hAnsi="Times New Roman" w:eastAsia="黑体"/>
          <w:color w:val="auto"/>
          <w:highlight w:val="none"/>
        </w:rPr>
      </w:pPr>
      <w:r>
        <w:rPr>
          <w:rFonts w:hint="eastAsia" w:ascii="Times New Roman" w:hAnsi="Times New Roman" w:eastAsia="黑体"/>
          <w:color w:val="auto"/>
          <w:sz w:val="32"/>
          <w:szCs w:val="32"/>
          <w:highlight w:val="none"/>
        </w:rPr>
        <w:t>八、</w:t>
      </w:r>
      <w:r>
        <w:rPr>
          <w:rStyle w:val="15"/>
          <w:rFonts w:hint="eastAsia" w:ascii="Times New Roman" w:hAnsi="Times New Roman" w:eastAsia="黑体"/>
          <w:b w:val="0"/>
          <w:color w:val="auto"/>
          <w:highlight w:val="none"/>
        </w:rPr>
        <w:t>政府性基金预算支出决算情况说明</w:t>
      </w:r>
      <w:bookmarkEnd w:id="34"/>
      <w:bookmarkEnd w:id="35"/>
    </w:p>
    <w:p>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2024年度政府性基金预算财政拨款支出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。与2023年度相比，政府性基金预算财政拨款支出减少</w:t>
      </w: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eastAsia="仿宋_GB2312" w:cs="仿宋_GB2312"/>
          <w:color w:val="auto"/>
          <w:kern w:val="2"/>
          <w:sz w:val="32"/>
          <w:szCs w:val="32"/>
          <w:highlight w:val="none"/>
          <w:lang w:val="en-US" w:eastAsia="zh-CN" w:bidi="ar-SA"/>
        </w:rPr>
        <w:t>2023年拨款为体彩公益金，该项目于2023年已结束，2024年无拨款。</w:t>
      </w:r>
    </w:p>
    <w:p>
      <w:pPr>
        <w:numPr>
          <w:ilvl w:val="0"/>
          <w:numId w:val="0"/>
        </w:numPr>
        <w:spacing w:line="600" w:lineRule="exact"/>
        <w:ind w:left="630" w:leftChars="0"/>
        <w:outlineLvl w:val="1"/>
        <w:rPr>
          <w:rStyle w:val="15"/>
          <w:rFonts w:ascii="Times New Roman" w:hAnsi="Times New Roman" w:eastAsia="黑体"/>
          <w:b w:val="0"/>
          <w:color w:val="auto"/>
          <w:highlight w:val="none"/>
        </w:rPr>
      </w:pPr>
      <w:bookmarkStart w:id="36" w:name="_Toc15396611"/>
      <w:bookmarkStart w:id="37" w:name="_Toc15377219"/>
      <w:r>
        <w:rPr>
          <w:rStyle w:val="15"/>
          <w:rFonts w:hint="eastAsia" w:ascii="Times New Roman" w:hAnsi="Times New Roman" w:eastAsia="黑体"/>
          <w:b w:val="0"/>
          <w:color w:val="auto"/>
          <w:highlight w:val="none"/>
          <w:lang w:eastAsia="zh-CN"/>
        </w:rPr>
        <w:t>九、</w:t>
      </w:r>
      <w:r>
        <w:rPr>
          <w:rStyle w:val="15"/>
          <w:rFonts w:hint="eastAsia" w:ascii="Times New Roman" w:hAnsi="Times New Roman" w:eastAsia="黑体"/>
          <w:b w:val="0"/>
          <w:color w:val="auto"/>
          <w:highlight w:val="none"/>
        </w:rPr>
        <w:t>国有资本经营预算支出决算情况说明</w:t>
      </w:r>
      <w:bookmarkEnd w:id="36"/>
      <w:bookmarkEnd w:id="37"/>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2024年度国有资本经营预算财政拨款支出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。国有资本经营预算财政拨款支出</w:t>
      </w:r>
      <w:r>
        <w:rPr>
          <w:rFonts w:hint="eastAsia" w:eastAsia="仿宋_GB2312" w:cs="仿宋_GB2312"/>
          <w:color w:val="auto"/>
          <w:kern w:val="2"/>
          <w:sz w:val="32"/>
          <w:szCs w:val="32"/>
          <w:highlight w:val="none"/>
          <w:lang w:val="en-US" w:eastAsia="zh-CN" w:bidi="ar-SA"/>
        </w:rPr>
        <w:t>与2023年持平。</w:t>
      </w:r>
    </w:p>
    <w:p>
      <w:pPr>
        <w:numPr>
          <w:ilvl w:val="0"/>
          <w:numId w:val="0"/>
        </w:numPr>
        <w:spacing w:line="600" w:lineRule="exact"/>
        <w:ind w:left="630" w:leftChars="0"/>
        <w:outlineLvl w:val="1"/>
        <w:rPr>
          <w:rStyle w:val="15"/>
          <w:rFonts w:hint="eastAsia" w:ascii="Times New Roman" w:hAnsi="Times New Roman" w:eastAsia="黑体"/>
          <w:b w:val="0"/>
          <w:color w:val="auto"/>
          <w:highlight w:val="none"/>
        </w:rPr>
      </w:pPr>
      <w:bookmarkStart w:id="38" w:name="_Toc15377221"/>
      <w:bookmarkStart w:id="39" w:name="_Toc15396612"/>
      <w:r>
        <w:rPr>
          <w:rStyle w:val="15"/>
          <w:rFonts w:hint="eastAsia" w:ascii="Times New Roman" w:hAnsi="Times New Roman" w:eastAsia="黑体"/>
          <w:b w:val="0"/>
          <w:color w:val="auto"/>
          <w:highlight w:val="none"/>
          <w:lang w:eastAsia="zh-CN"/>
        </w:rPr>
        <w:t>十、</w:t>
      </w:r>
      <w:r>
        <w:rPr>
          <w:rStyle w:val="15"/>
          <w:rFonts w:hint="eastAsia" w:ascii="Times New Roman" w:hAnsi="Times New Roman" w:eastAsia="黑体"/>
          <w:b w:val="0"/>
          <w:color w:val="auto"/>
          <w:highlight w:val="none"/>
        </w:rPr>
        <w:t>其他重要事项的情况说明</w:t>
      </w:r>
      <w:bookmarkEnd w:id="38"/>
      <w:bookmarkEnd w:id="39"/>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0" w:name="_Toc15377222"/>
      <w:r>
        <w:rPr>
          <w:rFonts w:hint="eastAsia" w:ascii="Times New Roman" w:hAnsi="Times New Roman" w:eastAsia="楷体_GB2312" w:cs="楷体_GB2312"/>
          <w:b/>
          <w:color w:val="auto"/>
          <w:sz w:val="32"/>
          <w:szCs w:val="32"/>
          <w:highlight w:val="none"/>
        </w:rPr>
        <w:t>（一）机关运行经费支出情况</w:t>
      </w:r>
      <w:bookmarkEnd w:id="40"/>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rPr>
        <w:t>攀枝花市实验学校</w:t>
      </w:r>
      <w:r>
        <w:rPr>
          <w:rFonts w:hint="eastAsia" w:ascii="仿宋_GB2312" w:hAnsi="仿宋_GB2312" w:eastAsia="仿宋_GB2312" w:cs="仿宋_GB2312"/>
          <w:color w:val="auto"/>
          <w:kern w:val="2"/>
          <w:sz w:val="32"/>
          <w:szCs w:val="32"/>
          <w:highlight w:val="none"/>
          <w:lang w:val="en-US" w:eastAsia="zh-CN" w:bidi="ar-SA"/>
        </w:rPr>
        <w:t>机关运行经费支出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元，与2023年度决算数持平。</w:t>
      </w: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1" w:name="_Toc15377223"/>
      <w:r>
        <w:rPr>
          <w:rFonts w:hint="eastAsia" w:ascii="Times New Roman" w:hAnsi="Times New Roman" w:eastAsia="楷体_GB2312" w:cs="楷体_GB2312"/>
          <w:b/>
          <w:color w:val="auto"/>
          <w:sz w:val="32"/>
          <w:szCs w:val="32"/>
          <w:highlight w:val="none"/>
        </w:rPr>
        <w:t>（二）政府采购支出情况</w:t>
      </w:r>
      <w:bookmarkEnd w:id="41"/>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sz w:val="32"/>
          <w:szCs w:val="32"/>
        </w:rPr>
        <w:t>攀枝花市实验学校</w:t>
      </w:r>
      <w:r>
        <w:rPr>
          <w:rFonts w:hint="eastAsia" w:ascii="仿宋_GB2312" w:hAnsi="仿宋_GB2312" w:eastAsia="仿宋_GB2312" w:cs="仿宋_GB2312"/>
          <w:color w:val="auto"/>
          <w:kern w:val="2"/>
          <w:sz w:val="32"/>
          <w:szCs w:val="32"/>
          <w:highlight w:val="none"/>
          <w:lang w:val="en-US" w:eastAsia="zh-CN" w:bidi="ar-SA"/>
        </w:rPr>
        <w:t>政府采购支出总额</w:t>
      </w:r>
      <w:r>
        <w:rPr>
          <w:rFonts w:hint="eastAsia" w:ascii="仿宋_GB2312" w:hAnsi="仿宋_GB2312" w:eastAsia="仿宋_GB2312" w:cs="仿宋_GB2312"/>
          <w:sz w:val="32"/>
          <w:szCs w:val="32"/>
        </w:rPr>
        <w:t>473.08</w:t>
      </w:r>
      <w:r>
        <w:rPr>
          <w:rFonts w:hint="eastAsia" w:ascii="仿宋_GB2312" w:hAnsi="仿宋_GB2312" w:eastAsia="仿宋_GB2312" w:cs="仿宋_GB2312"/>
          <w:color w:val="auto"/>
          <w:kern w:val="2"/>
          <w:sz w:val="32"/>
          <w:szCs w:val="32"/>
          <w:highlight w:val="none"/>
          <w:lang w:val="en-US" w:eastAsia="zh-CN" w:bidi="ar-SA"/>
        </w:rPr>
        <w:t>万元，其中：政府采购货物支出</w:t>
      </w:r>
      <w:r>
        <w:rPr>
          <w:rFonts w:hint="eastAsia" w:ascii="仿宋_GB2312" w:hAnsi="仿宋_GB2312" w:eastAsia="仿宋_GB2312" w:cs="仿宋_GB2312"/>
          <w:sz w:val="32"/>
          <w:szCs w:val="32"/>
        </w:rPr>
        <w:t>270.62</w:t>
      </w:r>
      <w:r>
        <w:rPr>
          <w:rFonts w:hint="eastAsia" w:ascii="仿宋_GB2312" w:hAnsi="仿宋_GB2312" w:eastAsia="仿宋_GB2312" w:cs="仿宋_GB2312"/>
          <w:color w:val="auto"/>
          <w:kern w:val="2"/>
          <w:sz w:val="32"/>
          <w:szCs w:val="32"/>
          <w:highlight w:val="none"/>
          <w:lang w:val="en-US" w:eastAsia="zh-CN" w:bidi="ar-SA"/>
        </w:rPr>
        <w:t>万元、政府采购工程支出</w:t>
      </w:r>
      <w:r>
        <w:rPr>
          <w:rFonts w:hint="eastAsia" w:ascii="仿宋_GB2312" w:hAnsi="仿宋_GB2312" w:eastAsia="仿宋_GB2312" w:cs="仿宋_GB2312"/>
          <w:sz w:val="32"/>
          <w:szCs w:val="32"/>
        </w:rPr>
        <w:t>150.14</w:t>
      </w:r>
      <w:r>
        <w:rPr>
          <w:rFonts w:hint="eastAsia" w:ascii="仿宋_GB2312" w:hAnsi="仿宋_GB2312" w:eastAsia="仿宋_GB2312" w:cs="仿宋_GB2312"/>
          <w:color w:val="auto"/>
          <w:kern w:val="2"/>
          <w:sz w:val="32"/>
          <w:szCs w:val="32"/>
          <w:highlight w:val="none"/>
          <w:lang w:val="en-US" w:eastAsia="zh-CN" w:bidi="ar-SA"/>
        </w:rPr>
        <w:t>万元、政府采购服务支出</w:t>
      </w:r>
      <w:r>
        <w:rPr>
          <w:rFonts w:hint="eastAsia" w:ascii="仿宋_GB2312" w:hAnsi="仿宋_GB2312" w:eastAsia="仿宋_GB2312" w:cs="仿宋_GB2312"/>
          <w:sz w:val="32"/>
          <w:szCs w:val="32"/>
        </w:rPr>
        <w:t>52.32</w:t>
      </w:r>
      <w:r>
        <w:rPr>
          <w:rFonts w:hint="eastAsia" w:ascii="仿宋_GB2312" w:hAnsi="仿宋_GB2312" w:eastAsia="仿宋_GB2312" w:cs="仿宋_GB2312"/>
          <w:color w:val="auto"/>
          <w:kern w:val="2"/>
          <w:sz w:val="32"/>
          <w:szCs w:val="32"/>
          <w:highlight w:val="none"/>
          <w:lang w:val="en-US" w:eastAsia="zh-CN" w:bidi="ar-SA"/>
        </w:rPr>
        <w:t>万元。主要用于采购及安装学生寝室、教室空调，采购办公电脑、打印机，采购复印纸，采购保安服务等。授予中小企业合同金额</w:t>
      </w:r>
      <w:r>
        <w:rPr>
          <w:rFonts w:hint="eastAsia" w:ascii="仿宋_GB2312" w:hAnsi="仿宋_GB2312" w:eastAsia="仿宋_GB2312" w:cs="仿宋_GB2312"/>
          <w:sz w:val="32"/>
          <w:szCs w:val="32"/>
        </w:rPr>
        <w:t>472.07</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99.78</w:t>
      </w:r>
      <w:r>
        <w:rPr>
          <w:rFonts w:hint="eastAsia" w:ascii="仿宋_GB2312" w:hAnsi="仿宋_GB2312" w:eastAsia="仿宋_GB2312" w:cs="仿宋_GB2312"/>
          <w:color w:val="auto"/>
          <w:kern w:val="2"/>
          <w:sz w:val="32"/>
          <w:szCs w:val="32"/>
          <w:highlight w:val="none"/>
          <w:lang w:val="en-US" w:eastAsia="zh-CN" w:bidi="ar-SA"/>
        </w:rPr>
        <w:t>%，其中：授予小微企业合同金额</w:t>
      </w:r>
      <w:r>
        <w:rPr>
          <w:rFonts w:hint="eastAsia" w:ascii="仿宋_GB2312" w:hAnsi="仿宋_GB2312" w:eastAsia="仿宋_GB2312" w:cs="仿宋_GB2312"/>
          <w:sz w:val="32"/>
          <w:szCs w:val="32"/>
        </w:rPr>
        <w:t>471.81</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99.73</w:t>
      </w:r>
      <w:r>
        <w:rPr>
          <w:rFonts w:hint="eastAsia" w:ascii="仿宋_GB2312" w:hAnsi="仿宋_GB2312"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2" w:name="_Toc15377224"/>
      <w:r>
        <w:rPr>
          <w:rFonts w:hint="eastAsia" w:ascii="Times New Roman" w:hAnsi="Times New Roman" w:eastAsia="楷体_GB2312" w:cs="楷体_GB2312"/>
          <w:b/>
          <w:color w:val="auto"/>
          <w:sz w:val="32"/>
          <w:szCs w:val="32"/>
          <w:highlight w:val="none"/>
        </w:rPr>
        <w:t>（三）国有资产占有使用情况</w:t>
      </w:r>
      <w:bookmarkEnd w:id="42"/>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截至2024年12月31日，</w:t>
      </w:r>
      <w:r>
        <w:rPr>
          <w:rFonts w:hint="eastAsia" w:ascii="仿宋_GB2312" w:hAnsi="仿宋_GB2312" w:eastAsia="仿宋_GB2312" w:cs="仿宋_GB2312"/>
          <w:sz w:val="32"/>
          <w:szCs w:val="32"/>
        </w:rPr>
        <w:t>攀枝花市实验学校</w:t>
      </w:r>
      <w:r>
        <w:rPr>
          <w:rFonts w:hint="eastAsia" w:ascii="仿宋_GB2312" w:hAnsi="仿宋_GB2312" w:eastAsia="仿宋_GB2312" w:cs="仿宋_GB2312"/>
          <w:color w:val="auto"/>
          <w:kern w:val="2"/>
          <w:sz w:val="32"/>
          <w:szCs w:val="32"/>
          <w:highlight w:val="none"/>
          <w:lang w:val="en-US" w:eastAsia="zh-CN" w:bidi="ar-SA"/>
        </w:rPr>
        <w:t>共有车辆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auto"/>
          <w:kern w:val="2"/>
          <w:sz w:val="32"/>
          <w:szCs w:val="32"/>
          <w:highlight w:val="none"/>
          <w:lang w:val="en-US" w:eastAsia="zh-CN" w:bidi="ar-SA"/>
        </w:rPr>
        <w:t>辆，其中：其他用车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auto"/>
          <w:kern w:val="2"/>
          <w:sz w:val="32"/>
          <w:szCs w:val="32"/>
          <w:highlight w:val="none"/>
          <w:lang w:val="en-US" w:eastAsia="zh-CN" w:bidi="ar-SA"/>
        </w:rPr>
        <w:t>辆，其他用车主要是用于</w:t>
      </w:r>
      <w:r>
        <w:rPr>
          <w:rFonts w:hint="eastAsia" w:ascii="仿宋_GB2312" w:eastAsia="仿宋_GB2312"/>
          <w:sz w:val="32"/>
          <w:szCs w:val="32"/>
        </w:rPr>
        <w:t>用于教育教学公务外出</w:t>
      </w:r>
      <w:r>
        <w:rPr>
          <w:rFonts w:hint="eastAsia" w:ascii="仿宋_GB2312" w:hAnsi="仿宋_GB2312" w:eastAsia="仿宋_GB2312" w:cs="仿宋_GB2312"/>
          <w:color w:val="auto"/>
          <w:kern w:val="2"/>
          <w:sz w:val="32"/>
          <w:szCs w:val="32"/>
          <w:highlight w:val="none"/>
          <w:lang w:val="en-US" w:eastAsia="zh-CN" w:bidi="ar-SA"/>
        </w:rPr>
        <w:t>。单价100万元（含）以上设备（不含车辆）</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台（套）</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根据预算绩效管理要求，</w:t>
      </w:r>
      <w:r>
        <w:rPr>
          <w:rFonts w:hint="eastAsia" w:eastAsia="仿宋_GB2312" w:cs="仿宋_GB2312"/>
          <w:color w:val="auto"/>
          <w:kern w:val="2"/>
          <w:sz w:val="32"/>
          <w:szCs w:val="32"/>
          <w:highlight w:val="none"/>
          <w:lang w:val="en-US" w:eastAsia="zh-CN" w:bidi="ar-SA"/>
        </w:rPr>
        <w:t>本单位</w:t>
      </w:r>
      <w:r>
        <w:rPr>
          <w:rFonts w:hint="eastAsia" w:ascii="Times New Roman" w:hAnsi="Times New Roman" w:eastAsia="仿宋_GB2312" w:cs="仿宋_GB2312"/>
          <w:color w:val="auto"/>
          <w:kern w:val="2"/>
          <w:sz w:val="32"/>
          <w:szCs w:val="32"/>
          <w:highlight w:val="none"/>
          <w:lang w:val="en-US" w:eastAsia="zh-CN" w:bidi="ar-SA"/>
        </w:rPr>
        <w:t>在2024年度预算编制阶段，组织对</w:t>
      </w:r>
      <w:r>
        <w:rPr>
          <w:rFonts w:hint="eastAsia" w:eastAsia="仿宋_GB2312" w:cs="仿宋_GB2312"/>
          <w:color w:val="auto"/>
          <w:kern w:val="2"/>
          <w:sz w:val="32"/>
          <w:szCs w:val="32"/>
          <w:highlight w:val="none"/>
          <w:lang w:val="en-US" w:eastAsia="zh-CN" w:bidi="ar-SA"/>
        </w:rPr>
        <w:t>义务教育薄弱环节改善与能力提升中央补助资金</w:t>
      </w:r>
      <w:r>
        <w:rPr>
          <w:rFonts w:hint="eastAsia" w:ascii="Times New Roman" w:hAnsi="Times New Roman" w:eastAsia="仿宋_GB2312" w:cs="仿宋_GB2312"/>
          <w:color w:val="auto"/>
          <w:kern w:val="2"/>
          <w:sz w:val="32"/>
          <w:szCs w:val="32"/>
          <w:highlight w:val="none"/>
          <w:lang w:val="en-US" w:eastAsia="zh-CN" w:bidi="ar-SA"/>
        </w:rPr>
        <w:t>等</w:t>
      </w:r>
      <w:r>
        <w:rPr>
          <w:rFonts w:hint="eastAsia" w:eastAsia="仿宋_GB2312" w:cs="仿宋_GB2312"/>
          <w:color w:val="auto"/>
          <w:kern w:val="2"/>
          <w:sz w:val="32"/>
          <w:szCs w:val="32"/>
          <w:highlight w:val="none"/>
          <w:lang w:val="en-US" w:eastAsia="zh-CN" w:bidi="ar-SA"/>
        </w:rPr>
        <w:t>26</w:t>
      </w:r>
      <w:r>
        <w:rPr>
          <w:rFonts w:hint="eastAsia" w:ascii="Times New Roman" w:hAnsi="Times New Roman" w:eastAsia="仿宋_GB2312" w:cs="仿宋_GB2312"/>
          <w:color w:val="auto"/>
          <w:kern w:val="2"/>
          <w:sz w:val="32"/>
          <w:szCs w:val="32"/>
          <w:highlight w:val="none"/>
          <w:lang w:val="en-US" w:eastAsia="zh-CN" w:bidi="ar-SA"/>
        </w:rPr>
        <w:t>个项目开展了预算事前绩效评估，对</w:t>
      </w:r>
      <w:r>
        <w:rPr>
          <w:rFonts w:hint="eastAsia" w:eastAsia="仿宋_GB2312" w:cs="仿宋_GB2312"/>
          <w:color w:val="auto"/>
          <w:kern w:val="2"/>
          <w:sz w:val="32"/>
          <w:szCs w:val="32"/>
          <w:highlight w:val="none"/>
          <w:lang w:val="en-US" w:eastAsia="zh-CN" w:bidi="ar-SA"/>
        </w:rPr>
        <w:t>26</w:t>
      </w:r>
      <w:r>
        <w:rPr>
          <w:rFonts w:hint="eastAsia" w:ascii="Times New Roman" w:hAnsi="Times New Roman" w:eastAsia="仿宋_GB2312" w:cs="仿宋_GB2312"/>
          <w:color w:val="auto"/>
          <w:kern w:val="2"/>
          <w:sz w:val="32"/>
          <w:szCs w:val="32"/>
          <w:highlight w:val="none"/>
          <w:lang w:val="en-US" w:eastAsia="zh-CN" w:bidi="ar-SA"/>
        </w:rPr>
        <w:t>个项目编制了绩效目标，预算执行过程中，选取</w:t>
      </w:r>
      <w:r>
        <w:rPr>
          <w:rFonts w:hint="eastAsia" w:eastAsia="仿宋_GB2312" w:cs="仿宋_GB2312"/>
          <w:color w:val="auto"/>
          <w:kern w:val="2"/>
          <w:sz w:val="32"/>
          <w:szCs w:val="32"/>
          <w:highlight w:val="none"/>
          <w:lang w:val="en-US" w:eastAsia="zh-CN" w:bidi="ar-SA"/>
        </w:rPr>
        <w:t>26</w:t>
      </w:r>
      <w:r>
        <w:rPr>
          <w:rFonts w:hint="eastAsia" w:ascii="Times New Roman" w:hAnsi="Times New Roman" w:eastAsia="仿宋_GB2312" w:cs="仿宋_GB2312"/>
          <w:color w:val="auto"/>
          <w:kern w:val="2"/>
          <w:sz w:val="32"/>
          <w:szCs w:val="32"/>
          <w:highlight w:val="none"/>
          <w:lang w:val="en-US" w:eastAsia="zh-CN" w:bidi="ar-SA"/>
        </w:rPr>
        <w:t>个项目开展绩效监控。</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43" w:name="_Toc15377225"/>
      <w:bookmarkStart w:id="44" w:name="_Toc15396613"/>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43"/>
      <w:bookmarkEnd w:id="44"/>
    </w:p>
    <w:p>
      <w:pPr>
        <w:spacing w:line="600" w:lineRule="exact"/>
        <w:jc w:val="left"/>
        <w:rPr>
          <w:rFonts w:ascii="Times New Roman" w:hAnsi="Times New Roman"/>
          <w:b/>
          <w:color w:val="auto"/>
          <w:sz w:val="44"/>
          <w:szCs w:val="44"/>
          <w:highlight w:val="none"/>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1.财政拨款收入：指单位从同级财政部门取得的财政预算资金。</w:t>
      </w:r>
    </w:p>
    <w:p>
      <w:pPr>
        <w:pStyle w:val="17"/>
        <w:spacing w:line="56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2.事业收入：指事业单位开展专业业务活动及辅助活动取得的收入。</w:t>
      </w:r>
      <w:r>
        <w:rPr>
          <w:rFonts w:hint="eastAsia" w:ascii="仿宋_GB2312" w:eastAsia="仿宋_GB2312"/>
          <w:color w:val="auto"/>
          <w:sz w:val="32"/>
          <w:szCs w:val="32"/>
        </w:rPr>
        <w:t>如学生住宿费收入等。</w:t>
      </w:r>
    </w:p>
    <w:p>
      <w:pPr>
        <w:pStyle w:val="17"/>
        <w:spacing w:line="56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w:t>
      </w:r>
      <w:r>
        <w:rPr>
          <w:rFonts w:hint="eastAsia" w:ascii="仿宋_GB2312" w:eastAsia="仿宋_GB2312"/>
          <w:sz w:val="32"/>
          <w:szCs w:val="32"/>
        </w:rPr>
        <w:t>教育（类）普通教育（款）学前教育（项）：指部门举办的学前教育支出；教育（类）普通教育（款）初中教育（项）：指部门举办的初中教育支出。教育（类）进修及培训（款）培训</w:t>
      </w:r>
      <w:r>
        <w:rPr>
          <w:rFonts w:hint="eastAsia" w:ascii="Times New Roman" w:hAnsi="Times New Roman" w:eastAsia="仿宋_GB2312" w:cs="仿宋_GB2312"/>
          <w:color w:val="auto"/>
          <w:kern w:val="2"/>
          <w:sz w:val="32"/>
          <w:szCs w:val="32"/>
          <w:highlight w:val="none"/>
          <w:lang w:val="en-US" w:eastAsia="zh-CN" w:bidi="ar-SA"/>
        </w:rPr>
        <w:t>支出（项）：指各部门安排的用于培训的支出； 教育（类）教育费附加安排的支出（款）其他教育费附加安排的支出（项）：指除农村中小学校舍建设、农村中小学教学设施、城市中小学校舍建设、城市中小学教学设施、中等职业学校教学设施以外的教育费附加支出。</w:t>
      </w:r>
    </w:p>
    <w:p>
      <w:pPr>
        <w:pStyle w:val="17"/>
        <w:spacing w:line="560" w:lineRule="exact"/>
        <w:ind w:firstLine="640" w:firstLineChars="200"/>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4.文化旅游体育与传媒（类）体育（款）其他体育支出（项）：指其他用于体育方面的支出。</w:t>
      </w:r>
    </w:p>
    <w:p>
      <w:pPr>
        <w:pStyle w:val="17"/>
        <w:spacing w:line="560" w:lineRule="exact"/>
        <w:ind w:firstLine="640" w:firstLineChars="200"/>
        <w:rPr>
          <w:rFonts w:hint="eastAsia" w:ascii="仿宋_GB2312" w:eastAsia="仿宋_GB2312"/>
          <w:sz w:val="32"/>
          <w:szCs w:val="32"/>
          <w:lang w:val="en-US" w:eastAsia="zh-CN"/>
        </w:rPr>
      </w:pPr>
      <w:r>
        <w:rPr>
          <w:rFonts w:hint="eastAsia" w:ascii="Times New Roman" w:hAnsi="Times New Roman" w:eastAsia="仿宋_GB2312" w:cs="仿宋_GB2312"/>
          <w:color w:val="auto"/>
          <w:kern w:val="2"/>
          <w:sz w:val="32"/>
          <w:szCs w:val="32"/>
          <w:highlight w:val="none"/>
          <w:lang w:val="en-US" w:eastAsia="zh-CN" w:bidi="ar-SA"/>
        </w:rPr>
        <w:t>5</w:t>
      </w:r>
      <w:r>
        <w:rPr>
          <w:rFonts w:ascii="仿宋_GB2312" w:eastAsia="仿宋_GB2312"/>
          <w:sz w:val="32"/>
          <w:szCs w:val="32"/>
        </w:rPr>
        <w:t>.</w:t>
      </w:r>
      <w:r>
        <w:rPr>
          <w:rFonts w:hint="eastAsia" w:ascii="仿宋_GB2312" w:eastAsia="仿宋_GB2312"/>
          <w:sz w:val="32"/>
          <w:szCs w:val="32"/>
        </w:rPr>
        <w:t>社会保障和就业（类）行政事业单位离退休（款）机关事业单位基本养老保险缴费支出（项）：反映机关事业单位实施养老保险制度由单位缴纳的基本养老保险费支出。社会保障和就业（类）行政事业单位养老支出（款）机关事业单位职业年金缴费支出（项）反映机关事业单位实施养老保险制度由单位缴纳的职业年金支出（含职业年金补记支出）。社会保障和就业（类）抚恤（</w:t>
      </w:r>
      <w:r>
        <w:rPr>
          <w:rFonts w:hint="eastAsia" w:ascii="仿宋_GB2312" w:eastAsia="仿宋_GB2312"/>
          <w:sz w:val="32"/>
          <w:szCs w:val="32"/>
          <w:lang w:val="en-US" w:eastAsia="zh-CN"/>
        </w:rPr>
        <w:t>款</w:t>
      </w:r>
      <w:r>
        <w:rPr>
          <w:rFonts w:hint="eastAsia" w:ascii="仿宋_GB2312" w:eastAsia="仿宋_GB2312"/>
          <w:sz w:val="32"/>
          <w:szCs w:val="32"/>
        </w:rPr>
        <w:t>）死亡抚恤（项）</w:t>
      </w:r>
      <w:r>
        <w:rPr>
          <w:rFonts w:hint="eastAsia" w:ascii="仿宋_GB2312" w:eastAsia="仿宋_GB2312"/>
          <w:sz w:val="32"/>
          <w:szCs w:val="32"/>
          <w:lang w:eastAsia="zh-CN"/>
        </w:rPr>
        <w:t>：</w:t>
      </w:r>
      <w:r>
        <w:rPr>
          <w:rFonts w:hint="eastAsia" w:ascii="仿宋_GB2312" w:eastAsia="仿宋_GB2312"/>
          <w:sz w:val="32"/>
          <w:szCs w:val="32"/>
          <w:lang w:val="en-US" w:eastAsia="zh-CN"/>
        </w:rPr>
        <w:t>反映按规定用于烈士和牺牲、病故人员家属的一次性和定期抚恤金、丧葬补助以及烈士褒扬金。</w:t>
      </w:r>
    </w:p>
    <w:p>
      <w:pPr>
        <w:pStyle w:val="17"/>
        <w:spacing w:line="560" w:lineRule="exact"/>
        <w:ind w:firstLine="640" w:firstLineChars="200"/>
        <w:rPr>
          <w:rFonts w:hint="default" w:ascii="仿宋_GB2312" w:eastAsia="仿宋_GB2312"/>
          <w:sz w:val="32"/>
          <w:szCs w:val="32"/>
          <w:lang w:val="en-US" w:eastAsia="zh-CN"/>
        </w:rPr>
      </w:pPr>
      <w:r>
        <w:rPr>
          <w:rFonts w:hint="eastAsia" w:ascii="Times New Roman" w:hAnsi="Times New Roman" w:eastAsia="仿宋_GB2312" w:cs="仿宋_GB2312"/>
          <w:color w:val="auto"/>
          <w:kern w:val="2"/>
          <w:sz w:val="32"/>
          <w:szCs w:val="32"/>
          <w:highlight w:val="none"/>
          <w:lang w:val="en-US" w:eastAsia="zh-CN" w:bidi="ar-SA"/>
        </w:rPr>
        <w:t>6</w:t>
      </w:r>
      <w:r>
        <w:rPr>
          <w:rFonts w:hint="eastAsia" w:ascii="仿宋_GB2312" w:eastAsia="仿宋_GB2312"/>
          <w:sz w:val="32"/>
          <w:szCs w:val="32"/>
          <w:lang w:val="en-US" w:eastAsia="zh-CN"/>
        </w:rPr>
        <w:t>.</w:t>
      </w:r>
      <w:r>
        <w:rPr>
          <w:rFonts w:hint="eastAsia" w:ascii="仿宋_GB2312" w:eastAsia="仿宋_GB2312"/>
          <w:sz w:val="32"/>
          <w:szCs w:val="32"/>
        </w:rPr>
        <w:t>卫生健康支出（类）行政事业单位医疗（款）事业单位医疗（项）：</w:t>
      </w:r>
      <w:r>
        <w:rPr>
          <w:rFonts w:hint="eastAsia" w:ascii="仿宋_GB2312" w:eastAsia="仿宋_GB2312"/>
          <w:sz w:val="32"/>
          <w:szCs w:val="32"/>
          <w:lang w:val="en-US" w:eastAsia="zh-CN"/>
        </w:rPr>
        <w:t>反映财政部门安排的事业单位基本医疗保险缴费经费，未参加医疗保险的事业单位的公费医疗经费，按国家规定享受离休人员待遇的医疗经费；</w:t>
      </w:r>
      <w:r>
        <w:rPr>
          <w:rFonts w:hint="eastAsia" w:ascii="仿宋_GB2312" w:eastAsia="仿宋_GB2312"/>
          <w:sz w:val="32"/>
          <w:szCs w:val="32"/>
        </w:rPr>
        <w:t>卫生健康支出（类）行政事业单位医疗（款）公务员医疗补助（项）：</w:t>
      </w:r>
      <w:r>
        <w:rPr>
          <w:rFonts w:hint="eastAsia" w:ascii="仿宋_GB2312" w:eastAsia="仿宋_GB2312"/>
          <w:sz w:val="32"/>
          <w:szCs w:val="32"/>
          <w:lang w:val="en-US" w:eastAsia="zh-CN"/>
        </w:rPr>
        <w:t>反映财政部门安排的公务员医疗补助经费；</w:t>
      </w:r>
      <w:r>
        <w:rPr>
          <w:rFonts w:hint="eastAsia" w:ascii="仿宋_GB2312" w:eastAsia="仿宋_GB2312"/>
          <w:sz w:val="32"/>
          <w:szCs w:val="32"/>
        </w:rPr>
        <w:t>卫生健康支出（类）其他卫生健康支出（款）其他卫生健康支出（项）：</w:t>
      </w:r>
      <w:r>
        <w:rPr>
          <w:rFonts w:hint="eastAsia" w:ascii="仿宋_GB2312" w:eastAsia="仿宋_GB2312"/>
          <w:sz w:val="32"/>
          <w:szCs w:val="32"/>
          <w:lang w:val="en-US" w:eastAsia="zh-CN"/>
        </w:rPr>
        <w:t>反映其他用于卫生健康方面的支出。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7.</w:t>
      </w:r>
      <w:r>
        <w:rPr>
          <w:rFonts w:hint="eastAsia" w:ascii="仿宋_GB2312" w:eastAsia="仿宋_GB2312"/>
          <w:sz w:val="32"/>
          <w:szCs w:val="32"/>
        </w:rPr>
        <w:t>住房保障（类）住房改革支出（款）住房公积金（项）：指反映行政事业单位按人力资源和社会保障部、财政部规定的基本工资和津贴补贴以及规定比列为职工缴纳的住房公积金。</w:t>
      </w:r>
      <w:r>
        <w:rPr>
          <w:rFonts w:hint="eastAsia" w:ascii="Times New Roman" w:hAnsi="Times New Roman" w:eastAsia="仿宋_GB2312" w:cs="仿宋_GB2312"/>
          <w:color w:val="auto"/>
          <w:kern w:val="2"/>
          <w:sz w:val="32"/>
          <w:szCs w:val="32"/>
          <w:highlight w:val="none"/>
          <w:lang w:val="en-US" w:eastAsia="zh-CN" w:bidi="ar-SA"/>
        </w:rPr>
        <w:t xml:space="preserve">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8</w:t>
      </w:r>
      <w:r>
        <w:rPr>
          <w:rFonts w:ascii="仿宋_GB2312" w:eastAsia="仿宋_GB2312"/>
          <w:color w:val="auto"/>
          <w:sz w:val="32"/>
          <w:szCs w:val="32"/>
        </w:rPr>
        <w:t>.</w:t>
      </w:r>
      <w:r>
        <w:rPr>
          <w:rFonts w:hint="eastAsia" w:ascii="仿宋_GB2312" w:eastAsia="仿宋_GB2312"/>
          <w:color w:val="auto"/>
          <w:sz w:val="32"/>
          <w:szCs w:val="32"/>
        </w:rPr>
        <w:t>其他收入：指单位取得的除一般公共预算财政拨款收入、政府性基金预算财政拨款收入、国有资本经营预算财政拨款收入、事业收入、经营收入、附属单位上缴收入以外的各项收入。主要是中小学课后服务费等。</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9.基本支出：指为保障机构正常运转、完成日常工作任务而发生的人员支出和公用支出。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10.项目支出：指在基本支出之外为完成特定行政任务和事业发展目标所发生的支出。 </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11.</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三公</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12.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rPr>
          <w:rFonts w:hint="eastAsia" w:ascii="Times New Roman" w:hAnsi="Times New Roman" w:eastAsia="黑体"/>
          <w:color w:val="auto"/>
          <w:sz w:val="44"/>
          <w:szCs w:val="44"/>
          <w:highlight w:val="none"/>
        </w:rPr>
      </w:pPr>
      <w:bookmarkStart w:id="45" w:name="_Toc15396614"/>
      <w:bookmarkStart w:id="46" w:name="_Toc15377226"/>
    </w:p>
    <w:p>
      <w:pPr>
        <w:spacing w:line="600" w:lineRule="exact"/>
        <w:jc w:val="center"/>
        <w:rPr>
          <w:rFonts w:hint="eastAsia" w:ascii="Times New Roman" w:hAnsi="Times New Roman" w:eastAsia="黑体"/>
          <w:color w:val="auto"/>
          <w:sz w:val="44"/>
          <w:szCs w:val="44"/>
          <w:highlight w:val="none"/>
        </w:rPr>
      </w:pPr>
    </w:p>
    <w:p>
      <w:pPr>
        <w:spacing w:line="600" w:lineRule="exact"/>
        <w:jc w:val="center"/>
        <w:rPr>
          <w:rFonts w:hint="eastAsia" w:ascii="Times New Roman" w:hAnsi="Times New Roman" w:eastAsia="黑体"/>
          <w:color w:val="auto"/>
          <w:sz w:val="44"/>
          <w:szCs w:val="44"/>
          <w:highlight w:val="none"/>
        </w:rPr>
      </w:pPr>
    </w:p>
    <w:p>
      <w:pPr>
        <w:spacing w:line="600" w:lineRule="exact"/>
        <w:jc w:val="center"/>
        <w:rPr>
          <w:rFonts w:hint="eastAsia" w:ascii="Times New Roman" w:hAnsi="Times New Roman" w:eastAsia="黑体"/>
          <w:color w:val="auto"/>
          <w:sz w:val="44"/>
          <w:szCs w:val="44"/>
          <w:highlight w:val="none"/>
        </w:rPr>
      </w:pPr>
    </w:p>
    <w:p>
      <w:pPr>
        <w:spacing w:line="600" w:lineRule="exact"/>
        <w:jc w:val="center"/>
        <w:rPr>
          <w:rFonts w:hint="eastAsia" w:ascii="Times New Roman" w:hAnsi="Times New Roman" w:eastAsia="黑体"/>
          <w:color w:val="auto"/>
          <w:sz w:val="44"/>
          <w:szCs w:val="44"/>
          <w:highlight w:val="none"/>
        </w:rPr>
      </w:pPr>
    </w:p>
    <w:p>
      <w:pPr>
        <w:spacing w:line="600" w:lineRule="exact"/>
        <w:jc w:val="center"/>
        <w:rPr>
          <w:rFonts w:hint="eastAsia" w:ascii="Times New Roman" w:hAnsi="Times New Roman" w:eastAsia="黑体"/>
          <w:color w:val="auto"/>
          <w:sz w:val="44"/>
          <w:szCs w:val="44"/>
          <w:highlight w:val="none"/>
        </w:rPr>
      </w:pPr>
    </w:p>
    <w:p>
      <w:pPr>
        <w:spacing w:line="600" w:lineRule="exact"/>
        <w:jc w:val="center"/>
        <w:rPr>
          <w:rFonts w:hint="eastAsia" w:ascii="Times New Roman" w:hAnsi="Times New Roman" w:eastAsia="黑体"/>
          <w:color w:val="auto"/>
          <w:sz w:val="44"/>
          <w:szCs w:val="44"/>
          <w:highlight w:val="none"/>
        </w:rPr>
      </w:pPr>
    </w:p>
    <w:p>
      <w:pPr>
        <w:spacing w:line="600" w:lineRule="exact"/>
        <w:jc w:val="center"/>
        <w:rPr>
          <w:rFonts w:hint="eastAsia" w:ascii="Times New Roman" w:hAnsi="Times New Roman" w:eastAsia="黑体"/>
          <w:color w:val="auto"/>
          <w:sz w:val="44"/>
          <w:szCs w:val="44"/>
          <w:highlight w:val="none"/>
        </w:rPr>
      </w:pPr>
    </w:p>
    <w:p>
      <w:pPr>
        <w:spacing w:line="600" w:lineRule="exact"/>
        <w:jc w:val="center"/>
        <w:rPr>
          <w:rFonts w:hint="eastAsia" w:ascii="Times New Roman" w:hAnsi="Times New Roman" w:eastAsia="黑体"/>
          <w:color w:val="auto"/>
          <w:sz w:val="44"/>
          <w:szCs w:val="44"/>
          <w:highlight w:val="none"/>
        </w:rPr>
      </w:pPr>
    </w:p>
    <w:p>
      <w:pPr>
        <w:spacing w:line="600" w:lineRule="exact"/>
        <w:jc w:val="center"/>
        <w:rPr>
          <w:rFonts w:hint="eastAsia" w:ascii="Times New Roman" w:hAnsi="Times New Roman" w:eastAsia="黑体"/>
          <w:color w:val="auto"/>
          <w:sz w:val="44"/>
          <w:szCs w:val="44"/>
          <w:highlight w:val="none"/>
        </w:rPr>
      </w:pPr>
    </w:p>
    <w:p>
      <w:pPr>
        <w:spacing w:line="600" w:lineRule="exact"/>
        <w:jc w:val="center"/>
        <w:rPr>
          <w:rFonts w:hint="eastAsia" w:ascii="Times New Roman" w:hAnsi="Times New Roman" w:eastAsia="黑体"/>
          <w:color w:val="auto"/>
          <w:sz w:val="44"/>
          <w:szCs w:val="44"/>
          <w:highlight w:val="none"/>
        </w:rPr>
      </w:pPr>
    </w:p>
    <w:p>
      <w:pPr>
        <w:spacing w:line="600" w:lineRule="exact"/>
        <w:jc w:val="center"/>
        <w:rPr>
          <w:rStyle w:val="14"/>
          <w:rFonts w:hint="eastAsia" w:ascii="Times New Roman" w:hAnsi="Times New Roman" w:eastAsia="黑体"/>
          <w:b w:val="0"/>
          <w:color w:val="auto"/>
          <w:highlight w:val="none"/>
          <w:lang w:eastAsia="zh-CN"/>
        </w:rPr>
      </w:pPr>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45"/>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黑体"/>
          <w:color w:val="FF0000"/>
          <w:sz w:val="32"/>
          <w:szCs w:val="32"/>
          <w:highlight w:val="none"/>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bookmarkStart w:id="47" w:name="_Toc15396618"/>
    </w:p>
    <w:p>
      <w:pPr>
        <w:spacing w:line="600" w:lineRule="exact"/>
        <w:ind w:firstLine="640" w:firstLineChars="200"/>
        <w:outlineLvl w:val="0"/>
        <w:rPr>
          <w:rFonts w:ascii="仿宋_GB2312" w:eastAsia="仿宋_GB2312" w:cs="仿宋"/>
          <w:kern w:val="0"/>
          <w:sz w:val="32"/>
          <w:szCs w:val="32"/>
        </w:rPr>
      </w:pPr>
      <w:r>
        <w:rPr>
          <w:rFonts w:hint="eastAsia" w:hAnsi="Times New Roman"/>
          <w:sz w:val="32"/>
          <w:szCs w:val="32"/>
        </w:rPr>
        <w:t>部门预算项目支出绩效自评表（202</w:t>
      </w:r>
      <w:r>
        <w:rPr>
          <w:rFonts w:hint="eastAsia" w:hAnsi="Times New Roman"/>
          <w:sz w:val="32"/>
          <w:szCs w:val="32"/>
          <w:lang w:val="en-US" w:eastAsia="zh-CN"/>
        </w:rPr>
        <w:t>4</w:t>
      </w:r>
      <w:r>
        <w:rPr>
          <w:rFonts w:hint="eastAsia" w:hAnsi="Times New Roman"/>
          <w:sz w:val="32"/>
          <w:szCs w:val="32"/>
        </w:rPr>
        <w:t>年度）</w:t>
      </w:r>
      <w:r>
        <w:rPr>
          <w:rFonts w:hint="eastAsia" w:ascii="宋体" w:hAnsi="宋体" w:cs="宋体"/>
          <w:kern w:val="0"/>
          <w:sz w:val="32"/>
          <w:szCs w:val="32"/>
        </w:rPr>
        <w:t>见附件</w:t>
      </w:r>
      <w:r>
        <w:rPr>
          <w:rFonts w:hint="eastAsia" w:ascii="宋体" w:hAnsi="宋体" w:cs="宋体"/>
          <w:kern w:val="0"/>
          <w:sz w:val="32"/>
          <w:szCs w:val="32"/>
          <w:lang w:val="en-US" w:eastAsia="zh-CN"/>
        </w:rPr>
        <w:t>3。</w:t>
      </w:r>
      <w:bookmarkStart w:id="61" w:name="_GoBack"/>
      <w:bookmarkEnd w:id="61"/>
    </w:p>
    <w:p>
      <w:pPr>
        <w:pStyle w:val="2"/>
        <w:rPr>
          <w:rFonts w:hint="eastAsia" w:ascii="Times New Roman" w:hAnsi="Times New Roman" w:eastAsia="仿宋_GB2312" w:cs="仿宋_GB2312"/>
          <w:b w:val="0"/>
          <w:bCs w:val="0"/>
          <w:kern w:val="0"/>
          <w:position w:val="0"/>
          <w:sz w:val="32"/>
          <w:szCs w:val="32"/>
          <w:highlight w:val="none"/>
          <w:lang w:val="en-US" w:eastAsia="zh-CN" w:bidi="ar-SA"/>
        </w:rPr>
      </w:pPr>
    </w:p>
    <w:p>
      <w:pPr>
        <w:pStyle w:val="3"/>
        <w:rPr>
          <w:rFonts w:hint="eastAsia" w:ascii="Times New Roman" w:hAnsi="Times New Roman" w:eastAsia="仿宋_GB2312" w:cs="仿宋_GB2312"/>
          <w:b w:val="0"/>
          <w:bCs w:val="0"/>
          <w:kern w:val="0"/>
          <w:position w:val="0"/>
          <w:sz w:val="32"/>
          <w:szCs w:val="32"/>
          <w:highlight w:val="none"/>
          <w:lang w:val="en-US" w:eastAsia="zh-CN" w:bidi="ar-SA"/>
        </w:rPr>
      </w:pPr>
    </w:p>
    <w:p>
      <w:pPr>
        <w:pStyle w:val="3"/>
        <w:rPr>
          <w:rFonts w:hint="eastAsia" w:ascii="Times New Roman" w:hAnsi="Times New Roman" w:eastAsia="仿宋_GB2312" w:cs="仿宋_GB2312"/>
          <w:b w:val="0"/>
          <w:bCs w:val="0"/>
          <w:kern w:val="0"/>
          <w:position w:val="0"/>
          <w:sz w:val="32"/>
          <w:szCs w:val="32"/>
          <w:highlight w:val="none"/>
          <w:lang w:val="en-US" w:eastAsia="zh-CN" w:bidi="ar-SA"/>
        </w:rPr>
      </w:pPr>
    </w:p>
    <w:p>
      <w:pPr>
        <w:pStyle w:val="3"/>
        <w:rPr>
          <w:rFonts w:hint="eastAsia" w:ascii="Times New Roman" w:hAnsi="Times New Roman" w:eastAsia="仿宋_GB2312" w:cs="仿宋_GB2312"/>
          <w:b w:val="0"/>
          <w:bCs w:val="0"/>
          <w:kern w:val="0"/>
          <w:position w:val="0"/>
          <w:sz w:val="32"/>
          <w:szCs w:val="32"/>
          <w:highlight w:val="none"/>
          <w:lang w:val="en-US" w:eastAsia="zh-CN" w:bidi="ar-SA"/>
        </w:rPr>
      </w:pPr>
    </w:p>
    <w:p>
      <w:pPr>
        <w:pStyle w:val="3"/>
        <w:rPr>
          <w:rFonts w:hint="eastAsia" w:ascii="Times New Roman" w:hAnsi="Times New Roman" w:eastAsia="仿宋_GB2312" w:cs="仿宋_GB2312"/>
          <w:b w:val="0"/>
          <w:bCs w:val="0"/>
          <w:kern w:val="0"/>
          <w:position w:val="0"/>
          <w:sz w:val="32"/>
          <w:szCs w:val="32"/>
          <w:highlight w:val="none"/>
          <w:lang w:val="en-US" w:eastAsia="zh-CN" w:bidi="ar-SA"/>
        </w:rPr>
      </w:pPr>
    </w:p>
    <w:p>
      <w:pPr>
        <w:pStyle w:val="3"/>
        <w:rPr>
          <w:rFonts w:hint="eastAsia" w:ascii="Times New Roman" w:hAnsi="Times New Roman" w:eastAsia="仿宋_GB2312" w:cs="仿宋_GB2312"/>
          <w:b w:val="0"/>
          <w:bCs w:val="0"/>
          <w:kern w:val="0"/>
          <w:position w:val="0"/>
          <w:sz w:val="32"/>
          <w:szCs w:val="32"/>
          <w:highlight w:val="none"/>
          <w:lang w:val="en-US" w:eastAsia="zh-CN" w:bidi="ar-SA"/>
        </w:rPr>
      </w:pPr>
    </w:p>
    <w:p>
      <w:pPr>
        <w:pStyle w:val="3"/>
        <w:rPr>
          <w:rFonts w:hint="eastAsia" w:ascii="Times New Roman" w:hAnsi="Times New Roman" w:eastAsia="仿宋_GB2312" w:cs="仿宋_GB2312"/>
          <w:b w:val="0"/>
          <w:bCs w:val="0"/>
          <w:kern w:val="0"/>
          <w:position w:val="0"/>
          <w:sz w:val="32"/>
          <w:szCs w:val="32"/>
          <w:highlight w:val="none"/>
          <w:lang w:val="en-US" w:eastAsia="zh-CN" w:bidi="ar-SA"/>
        </w:rPr>
      </w:pPr>
    </w:p>
    <w:p>
      <w:pPr>
        <w:pStyle w:val="3"/>
        <w:rPr>
          <w:rFonts w:hint="eastAsia" w:ascii="Times New Roman" w:hAnsi="Times New Roman" w:eastAsia="仿宋_GB2312" w:cs="仿宋_GB2312"/>
          <w:b w:val="0"/>
          <w:bCs w:val="0"/>
          <w:kern w:val="0"/>
          <w:position w:val="0"/>
          <w:sz w:val="32"/>
          <w:szCs w:val="32"/>
          <w:highlight w:val="none"/>
          <w:lang w:val="en-US" w:eastAsia="zh-CN" w:bidi="ar-SA"/>
        </w:rPr>
      </w:pPr>
    </w:p>
    <w:p>
      <w:pPr>
        <w:pStyle w:val="3"/>
        <w:rPr>
          <w:rFonts w:hint="eastAsia" w:ascii="Times New Roman" w:hAnsi="Times New Roman" w:eastAsia="仿宋_GB2312" w:cs="仿宋_GB2312"/>
          <w:b w:val="0"/>
          <w:bCs w:val="0"/>
          <w:kern w:val="0"/>
          <w:position w:val="0"/>
          <w:sz w:val="32"/>
          <w:szCs w:val="32"/>
          <w:highlight w:val="none"/>
          <w:lang w:val="en-US" w:eastAsia="zh-CN" w:bidi="ar-SA"/>
        </w:rPr>
      </w:pPr>
    </w:p>
    <w:p>
      <w:pPr>
        <w:pStyle w:val="3"/>
        <w:rPr>
          <w:rFonts w:hint="eastAsia" w:ascii="Times New Roman" w:hAnsi="Times New Roman" w:eastAsia="仿宋_GB2312" w:cs="仿宋_GB2312"/>
          <w:b w:val="0"/>
          <w:bCs w:val="0"/>
          <w:kern w:val="0"/>
          <w:position w:val="0"/>
          <w:sz w:val="32"/>
          <w:szCs w:val="32"/>
          <w:highlight w:val="none"/>
          <w:lang w:val="en-US" w:eastAsia="zh-CN" w:bidi="ar-SA"/>
        </w:rPr>
      </w:pPr>
    </w:p>
    <w:p>
      <w:pPr>
        <w:pStyle w:val="3"/>
        <w:rPr>
          <w:rFonts w:hint="eastAsia" w:ascii="Times New Roman" w:hAnsi="Times New Roman" w:eastAsia="仿宋_GB2312" w:cs="仿宋_GB2312"/>
          <w:b w:val="0"/>
          <w:bCs w:val="0"/>
          <w:kern w:val="0"/>
          <w:position w:val="0"/>
          <w:sz w:val="32"/>
          <w:szCs w:val="32"/>
          <w:highlight w:val="none"/>
          <w:lang w:val="en-US" w:eastAsia="zh-CN" w:bidi="ar-SA"/>
        </w:rPr>
      </w:pPr>
    </w:p>
    <w:p>
      <w:pPr>
        <w:pStyle w:val="3"/>
        <w:rPr>
          <w:rFonts w:hint="eastAsia" w:ascii="Times New Roman" w:hAnsi="Times New Roman" w:eastAsia="仿宋_GB2312" w:cs="仿宋_GB2312"/>
          <w:b w:val="0"/>
          <w:bCs w:val="0"/>
          <w:kern w:val="0"/>
          <w:position w:val="0"/>
          <w:sz w:val="32"/>
          <w:szCs w:val="32"/>
          <w:highlight w:val="none"/>
          <w:lang w:val="en-US" w:eastAsia="zh-CN" w:bidi="ar-SA"/>
        </w:rPr>
      </w:pPr>
    </w:p>
    <w:p>
      <w:pPr>
        <w:pStyle w:val="3"/>
        <w:rPr>
          <w:rFonts w:hint="eastAsia" w:ascii="Times New Roman" w:hAnsi="Times New Roman" w:eastAsia="仿宋_GB2312" w:cs="仿宋_GB2312"/>
          <w:b w:val="0"/>
          <w:bCs w:val="0"/>
          <w:kern w:val="0"/>
          <w:position w:val="0"/>
          <w:sz w:val="32"/>
          <w:szCs w:val="32"/>
          <w:highlight w:val="none"/>
          <w:lang w:val="en-US" w:eastAsia="zh-CN" w:bidi="ar-SA"/>
        </w:rPr>
      </w:pPr>
    </w:p>
    <w:p>
      <w:pPr>
        <w:pStyle w:val="3"/>
        <w:rPr>
          <w:rFonts w:hint="eastAsia" w:ascii="Times New Roman" w:hAnsi="Times New Roman" w:eastAsia="仿宋_GB2312" w:cs="仿宋_GB2312"/>
          <w:b w:val="0"/>
          <w:bCs w:val="0"/>
          <w:kern w:val="0"/>
          <w:position w:val="0"/>
          <w:sz w:val="32"/>
          <w:szCs w:val="32"/>
          <w:highlight w:val="none"/>
          <w:lang w:val="en-US" w:eastAsia="zh-CN" w:bidi="ar-SA"/>
        </w:rPr>
      </w:pPr>
    </w:p>
    <w:p>
      <w:pPr>
        <w:pStyle w:val="3"/>
        <w:rPr>
          <w:rFonts w:hint="eastAsia" w:ascii="Times New Roman" w:hAnsi="Times New Roman" w:eastAsia="仿宋_GB2312" w:cs="仿宋_GB2312"/>
          <w:b w:val="0"/>
          <w:bCs w:val="0"/>
          <w:kern w:val="0"/>
          <w:position w:val="0"/>
          <w:sz w:val="32"/>
          <w:szCs w:val="32"/>
          <w:highlight w:val="none"/>
          <w:lang w:val="en-US" w:eastAsia="zh-CN" w:bidi="ar-SA"/>
        </w:rPr>
      </w:pPr>
    </w:p>
    <w:p>
      <w:pPr>
        <w:pStyle w:val="3"/>
        <w:rPr>
          <w:rFonts w:hint="eastAsia" w:ascii="Times New Roman" w:hAnsi="Times New Roman" w:eastAsia="仿宋_GB2312" w:cs="仿宋_GB2312"/>
          <w:b w:val="0"/>
          <w:bCs w:val="0"/>
          <w:kern w:val="0"/>
          <w:position w:val="0"/>
          <w:sz w:val="32"/>
          <w:szCs w:val="32"/>
          <w:highlight w:val="none"/>
          <w:lang w:val="en-US" w:eastAsia="zh-CN" w:bidi="ar-SA"/>
        </w:rPr>
      </w:pPr>
    </w:p>
    <w:p>
      <w:pPr>
        <w:pStyle w:val="3"/>
        <w:rPr>
          <w:rFonts w:hint="eastAsia" w:ascii="Times New Roman" w:hAnsi="Times New Roman" w:eastAsia="仿宋_GB2312" w:cs="仿宋_GB2312"/>
          <w:b w:val="0"/>
          <w:bCs w:val="0"/>
          <w:kern w:val="0"/>
          <w:position w:val="0"/>
          <w:sz w:val="32"/>
          <w:szCs w:val="32"/>
          <w:highlight w:val="none"/>
          <w:lang w:val="en-US" w:eastAsia="zh-CN" w:bidi="ar-SA"/>
        </w:rPr>
      </w:pPr>
    </w:p>
    <w:p>
      <w:pPr>
        <w:widowControl/>
        <w:jc w:val="center"/>
        <w:rPr>
          <w:rFonts w:hint="eastAsia" w:ascii="Times New Roman" w:hAnsi="Times New Roman" w:eastAsia="仿宋"/>
          <w:b w:val="0"/>
          <w:color w:val="auto"/>
          <w:highlight w:val="none"/>
        </w:rPr>
      </w:pPr>
      <w:r>
        <w:rPr>
          <w:rFonts w:hint="eastAsia" w:ascii="Times New Roman" w:hAnsi="Times New Roman" w:eastAsia="黑体"/>
          <w:color w:val="auto"/>
          <w:sz w:val="44"/>
          <w:szCs w:val="44"/>
          <w:highlight w:val="none"/>
        </w:rPr>
        <w:t>第</w:t>
      </w:r>
      <w:r>
        <w:rPr>
          <w:rStyle w:val="14"/>
          <w:rFonts w:hint="eastAsia" w:ascii="Times New Roman" w:hAnsi="Times New Roman" w:eastAsia="黑体"/>
          <w:b w:val="0"/>
          <w:color w:val="auto"/>
          <w:highlight w:val="none"/>
        </w:rPr>
        <w:t>五部分 附表</w:t>
      </w:r>
      <w:bookmarkEnd w:id="46"/>
      <w:bookmarkEnd w:id="47"/>
      <w:bookmarkStart w:id="48" w:name="_Toc15396619"/>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bookmarkEnd w:id="48"/>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49" w:name="_Toc15396620"/>
      <w:r>
        <w:rPr>
          <w:rFonts w:hint="eastAsia" w:ascii="Times New Roman" w:hAnsi="Times New Roman" w:eastAsia="仿宋_GB2312" w:cs="仿宋_GB2312"/>
          <w:color w:val="auto"/>
          <w:sz w:val="32"/>
          <w:szCs w:val="32"/>
          <w:highlight w:val="none"/>
        </w:rPr>
        <w:t>二、收入决算表</w:t>
      </w:r>
      <w:bookmarkEnd w:id="49"/>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0" w:name="_Toc15396621"/>
      <w:r>
        <w:rPr>
          <w:rFonts w:hint="eastAsia" w:ascii="Times New Roman" w:hAnsi="Times New Roman" w:eastAsia="仿宋_GB2312" w:cs="仿宋_GB2312"/>
          <w:color w:val="auto"/>
          <w:sz w:val="32"/>
          <w:szCs w:val="32"/>
          <w:highlight w:val="none"/>
        </w:rPr>
        <w:t>三、支出决算表</w:t>
      </w:r>
      <w:bookmarkEnd w:id="50"/>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1" w:name="_Toc15396622"/>
      <w:r>
        <w:rPr>
          <w:rFonts w:hint="eastAsia" w:ascii="Times New Roman" w:hAnsi="Times New Roman" w:eastAsia="仿宋_GB2312" w:cs="仿宋_GB2312"/>
          <w:color w:val="auto"/>
          <w:sz w:val="32"/>
          <w:szCs w:val="32"/>
          <w:highlight w:val="none"/>
        </w:rPr>
        <w:t>四、财政拨款收入支出决算总表</w:t>
      </w:r>
      <w:bookmarkEnd w:id="51"/>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2" w:name="_Toc15396623"/>
      <w:r>
        <w:rPr>
          <w:rFonts w:hint="eastAsia" w:ascii="Times New Roman" w:hAnsi="Times New Roman" w:eastAsia="仿宋_GB2312" w:cs="仿宋_GB2312"/>
          <w:color w:val="auto"/>
          <w:sz w:val="32"/>
          <w:szCs w:val="32"/>
          <w:highlight w:val="none"/>
        </w:rPr>
        <w:t>五、财政拨款支出决算明细表</w:t>
      </w:r>
      <w:bookmarkEnd w:id="52"/>
      <w:bookmarkStart w:id="53" w:name="_Toc15396624"/>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bookmarkEnd w:id="53"/>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4" w:name="_Toc15396625"/>
      <w:r>
        <w:rPr>
          <w:rFonts w:hint="eastAsia" w:ascii="Times New Roman" w:hAnsi="Times New Roman" w:eastAsia="仿宋_GB2312" w:cs="仿宋_GB2312"/>
          <w:color w:val="auto"/>
          <w:sz w:val="32"/>
          <w:szCs w:val="32"/>
          <w:highlight w:val="none"/>
        </w:rPr>
        <w:t>七、一般公共预算财政拨款支出决算明细表</w:t>
      </w:r>
      <w:bookmarkEnd w:id="54"/>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5" w:name="_Toc15396626"/>
      <w:r>
        <w:rPr>
          <w:rFonts w:hint="eastAsia" w:ascii="Times New Roman" w:hAnsi="Times New Roman" w:eastAsia="仿宋_GB2312" w:cs="仿宋_GB2312"/>
          <w:color w:val="auto"/>
          <w:sz w:val="32"/>
          <w:szCs w:val="32"/>
          <w:highlight w:val="none"/>
        </w:rPr>
        <w:t>八、一般公共预算财政拨款基本支出决算表</w:t>
      </w:r>
      <w:bookmarkEnd w:id="55"/>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6" w:name="_Toc15396627"/>
      <w:r>
        <w:rPr>
          <w:rFonts w:hint="eastAsia" w:ascii="Times New Roman" w:hAnsi="Times New Roman" w:eastAsia="仿宋_GB2312" w:cs="仿宋_GB2312"/>
          <w:color w:val="auto"/>
          <w:sz w:val="32"/>
          <w:szCs w:val="32"/>
          <w:highlight w:val="none"/>
        </w:rPr>
        <w:t>九、一般公共预算财政拨款项目支出决算表</w:t>
      </w:r>
      <w:bookmarkEnd w:id="56"/>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7" w:name="_Toc15396628"/>
      <w:r>
        <w:rPr>
          <w:rFonts w:hint="eastAsia" w:ascii="Times New Roman" w:hAnsi="Times New Roman" w:eastAsia="仿宋_GB2312" w:cs="仿宋_GB2312"/>
          <w:color w:val="auto"/>
          <w:sz w:val="32"/>
          <w:szCs w:val="32"/>
          <w:highlight w:val="none"/>
        </w:rPr>
        <w:t>十、</w:t>
      </w:r>
      <w:bookmarkEnd w:id="57"/>
      <w:r>
        <w:rPr>
          <w:rFonts w:hint="eastAsia" w:ascii="Times New Roman" w:hAnsi="Times New Roman" w:eastAsia="仿宋_GB2312" w:cs="仿宋_GB2312"/>
          <w:color w:val="auto"/>
          <w:sz w:val="32"/>
          <w:szCs w:val="32"/>
          <w:highlight w:val="none"/>
        </w:rPr>
        <w:t>政府性基金预算财政拨款收入支出决算表</w:t>
      </w:r>
      <w:r>
        <w:rPr>
          <w:rStyle w:val="15"/>
          <w:rFonts w:hint="eastAsia" w:ascii="仿宋" w:hAnsi="仿宋" w:eastAsia="仿宋"/>
          <w:b w:val="0"/>
          <w:bCs/>
        </w:rPr>
        <w:t>（本表无数据）</w:t>
      </w:r>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8" w:name="_Toc15396629"/>
      <w:r>
        <w:rPr>
          <w:rFonts w:hint="eastAsia" w:ascii="Times New Roman" w:hAnsi="Times New Roman" w:eastAsia="仿宋_GB2312" w:cs="仿宋_GB2312"/>
          <w:color w:val="auto"/>
          <w:sz w:val="32"/>
          <w:szCs w:val="32"/>
          <w:highlight w:val="none"/>
        </w:rPr>
        <w:t>十一、</w:t>
      </w:r>
      <w:bookmarkEnd w:id="58"/>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r>
        <w:rPr>
          <w:rStyle w:val="15"/>
          <w:rFonts w:hint="eastAsia" w:ascii="仿宋" w:hAnsi="仿宋" w:eastAsia="仿宋"/>
          <w:b w:val="0"/>
          <w:bCs/>
        </w:rPr>
        <w:t>（本表无数据）</w:t>
      </w:r>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9" w:name="_Toc15396630"/>
      <w:r>
        <w:rPr>
          <w:rFonts w:hint="eastAsia" w:ascii="Times New Roman" w:hAnsi="Times New Roman" w:eastAsia="仿宋_GB2312" w:cs="仿宋_GB2312"/>
          <w:color w:val="auto"/>
          <w:sz w:val="32"/>
          <w:szCs w:val="32"/>
          <w:highlight w:val="none"/>
        </w:rPr>
        <w:t>十二、</w:t>
      </w:r>
      <w:bookmarkEnd w:id="59"/>
      <w:r>
        <w:rPr>
          <w:rFonts w:hint="eastAsia" w:ascii="Times New Roman" w:hAnsi="Times New Roman" w:eastAsia="仿宋_GB2312" w:cs="仿宋_GB2312"/>
          <w:color w:val="auto"/>
          <w:sz w:val="32"/>
          <w:szCs w:val="32"/>
          <w:highlight w:val="none"/>
          <w:lang w:eastAsia="zh-CN"/>
        </w:rPr>
        <w:t>国有资本经营预算财政拨款支出决算表</w:t>
      </w:r>
      <w:r>
        <w:rPr>
          <w:rStyle w:val="15"/>
          <w:rFonts w:hint="eastAsia" w:ascii="仿宋" w:hAnsi="仿宋" w:eastAsia="仿宋"/>
          <w:b w:val="0"/>
          <w:bCs/>
        </w:rPr>
        <w:t>（本表无数据）</w:t>
      </w:r>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60" w:name="_Toc15396631"/>
      <w:r>
        <w:rPr>
          <w:rFonts w:hint="eastAsia" w:ascii="Times New Roman" w:hAnsi="Times New Roman" w:eastAsia="仿宋_GB2312" w:cs="仿宋_GB2312"/>
          <w:color w:val="auto"/>
          <w:sz w:val="32"/>
          <w:szCs w:val="32"/>
          <w:highlight w:val="none"/>
        </w:rPr>
        <w:t>十三、</w:t>
      </w:r>
      <w:bookmarkEnd w:id="60"/>
      <w:r>
        <w:rPr>
          <w:rFonts w:hint="eastAsia" w:ascii="Times New Roman" w:hAnsi="Times New Roman" w:eastAsia="仿宋_GB2312" w:cs="仿宋_GB2312"/>
          <w:color w:val="auto"/>
          <w:sz w:val="32"/>
          <w:szCs w:val="32"/>
          <w:highlight w:val="none"/>
          <w:lang w:eastAsia="zh-CN"/>
        </w:rPr>
        <w:t>财政拨款“三公”经费支出决算表</w:t>
      </w:r>
      <w:r>
        <w:rPr>
          <w:rStyle w:val="15"/>
          <w:rFonts w:hint="eastAsia" w:ascii="仿宋" w:hAnsi="仿宋" w:eastAsia="仿宋"/>
          <w:b w:val="0"/>
          <w:bCs/>
        </w:rPr>
        <w:t>（本表无数据）</w:t>
      </w:r>
    </w:p>
    <w:p>
      <w:pPr>
        <w:rPr>
          <w:rFonts w:hint="eastAsia" w:ascii="Times New Roman" w:hAnsi="Times New Roman"/>
          <w:lang w:eastAsia="zh-CN"/>
        </w:rPr>
      </w:pPr>
    </w:p>
    <w:p/>
    <w:sectPr>
      <w:footerReference r:id="rId5"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- 2 -</w:t>
                    </w:r>
                    <w:r>
                      <w:fldChar w:fldCharType="end"/>
                    </w:r>
                  </w:p>
                </w:txbxContent>
              </v:textbox>
            </v:shape>
          </w:pict>
        </mc:Fallback>
      </mc:AlternateContent>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97F682"/>
    <w:multiLevelType w:val="singleLevel"/>
    <w:tmpl w:val="E597F68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C7226"/>
    <w:rsid w:val="14EC3C3A"/>
    <w:rsid w:val="1D530471"/>
    <w:rsid w:val="22FA5389"/>
    <w:rsid w:val="24624DFA"/>
    <w:rsid w:val="2558235A"/>
    <w:rsid w:val="25E779B1"/>
    <w:rsid w:val="2ABD2BC3"/>
    <w:rsid w:val="348D7D0F"/>
    <w:rsid w:val="3A3B3117"/>
    <w:rsid w:val="3CAE132A"/>
    <w:rsid w:val="43BF480A"/>
    <w:rsid w:val="4A5F5309"/>
    <w:rsid w:val="4B84559B"/>
    <w:rsid w:val="55345D50"/>
    <w:rsid w:val="560D5C3D"/>
    <w:rsid w:val="56CC6444"/>
    <w:rsid w:val="5E373780"/>
    <w:rsid w:val="606164B5"/>
    <w:rsid w:val="6E5C19CE"/>
    <w:rsid w:val="6FC20664"/>
    <w:rsid w:val="71B303F4"/>
    <w:rsid w:val="7B231460"/>
    <w:rsid w:val="7CCA2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7">
    <w:name w:val="Body Text"/>
    <w:basedOn w:val="1"/>
    <w:qFormat/>
    <w:uiPriority w:val="99"/>
    <w:pPr>
      <w:spacing w:beforeLines="30"/>
    </w:pPr>
    <w:rPr>
      <w:rFonts w:ascii="仿宋_GB2312" w:eastAsia="仿宋_GB2312"/>
      <w:kern w:val="0"/>
      <w:sz w:val="30"/>
    </w:rPr>
  </w:style>
  <w:style w:type="paragraph" w:styleId="8">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customStyle="1" w:styleId="14">
    <w:name w:val="标题 1 Char"/>
    <w:basedOn w:val="13"/>
    <w:link w:val="5"/>
    <w:qFormat/>
    <w:uiPriority w:val="9"/>
    <w:rPr>
      <w:b/>
      <w:bCs/>
      <w:kern w:val="44"/>
      <w:sz w:val="44"/>
      <w:szCs w:val="44"/>
    </w:rPr>
  </w:style>
  <w:style w:type="character" w:customStyle="1" w:styleId="15">
    <w:name w:val="标题 2 Char"/>
    <w:basedOn w:val="13"/>
    <w:link w:val="6"/>
    <w:qFormat/>
    <w:uiPriority w:val="9"/>
    <w:rPr>
      <w:rFonts w:asciiTheme="majorHAnsi" w:hAnsiTheme="majorHAnsi" w:eastAsiaTheme="majorEastAsia" w:cstheme="majorBidi"/>
      <w:b/>
      <w:bCs/>
      <w:sz w:val="32"/>
      <w:szCs w:val="32"/>
    </w:rPr>
  </w:style>
  <w:style w:type="paragraph" w:styleId="16">
    <w:name w:val="List Paragraph"/>
    <w:basedOn w:val="1"/>
    <w:qFormat/>
    <w:uiPriority w:val="34"/>
    <w:pPr>
      <w:ind w:firstLine="420" w:firstLineChars="200"/>
    </w:pPr>
  </w:style>
  <w:style w:type="paragraph" w:customStyle="1" w:styleId="1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2025-09-08T01:23:00Z</dcterms:created>
  <dc:creator>Lenovo</dc:creator>
  <cp:lastModifiedBy>Lenovo</cp:lastModifiedBy>
  <dcterms:modified xsi:type="dcterms:W3CDTF">2025-09-08T09:35:29Z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0E19B8A9413C4BAAB831BA6F5DAEB949</vt:lpwstr>
  </property>
</Properties>
</file>