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D7554">
      <w:pPr>
        <w:spacing w:line="600" w:lineRule="exact"/>
        <w:jc w:val="center"/>
        <w:outlineLvl w:val="0"/>
        <w:rPr>
          <w:rFonts w:ascii="方正小标宋简体" w:hAnsi="宋体" w:eastAsia="方正小标宋简体"/>
          <w:sz w:val="72"/>
          <w:szCs w:val="72"/>
        </w:rPr>
      </w:pPr>
    </w:p>
    <w:p w14:paraId="625ABE4C">
      <w:pPr>
        <w:adjustRightInd w:val="0"/>
        <w:snapToGrid w:val="0"/>
        <w:spacing w:line="360" w:lineRule="auto"/>
        <w:jc w:val="center"/>
        <w:outlineLvl w:val="0"/>
        <w:rPr>
          <w:rFonts w:hint="eastAsia" w:ascii="方正小标宋简体" w:eastAsia="方正小标宋简体"/>
          <w:sz w:val="72"/>
          <w:szCs w:val="72"/>
        </w:rPr>
      </w:pPr>
      <w:r>
        <w:rPr>
          <w:rFonts w:hint="eastAsia" w:ascii="方正小标宋简体" w:eastAsia="方正小标宋简体"/>
          <w:sz w:val="72"/>
          <w:szCs w:val="72"/>
        </w:rPr>
        <w:t>202</w:t>
      </w:r>
      <w:r>
        <w:rPr>
          <w:rFonts w:hint="eastAsia" w:ascii="方正小标宋简体" w:eastAsia="方正小标宋简体"/>
          <w:sz w:val="72"/>
          <w:szCs w:val="72"/>
          <w:lang w:val="en-US" w:eastAsia="zh-CN"/>
        </w:rPr>
        <w:t>4</w:t>
      </w:r>
      <w:r>
        <w:rPr>
          <w:rFonts w:hint="eastAsia" w:ascii="方正小标宋简体" w:eastAsia="方正小标宋简体"/>
          <w:sz w:val="72"/>
          <w:szCs w:val="72"/>
        </w:rPr>
        <w:t>年度</w:t>
      </w:r>
    </w:p>
    <w:p w14:paraId="5F03B192">
      <w:pPr>
        <w:adjustRightInd w:val="0"/>
        <w:snapToGrid w:val="0"/>
        <w:spacing w:line="360" w:lineRule="auto"/>
        <w:jc w:val="center"/>
        <w:outlineLvl w:val="0"/>
        <w:rPr>
          <w:rFonts w:hint="eastAsia" w:ascii="方正小标宋简体" w:eastAsia="方正小标宋简体"/>
          <w:sz w:val="72"/>
          <w:szCs w:val="72"/>
        </w:rPr>
      </w:pPr>
      <w:r>
        <w:rPr>
          <w:rFonts w:hint="eastAsia" w:ascii="方正小标宋简体" w:eastAsia="方正小标宋简体"/>
          <w:sz w:val="72"/>
          <w:szCs w:val="72"/>
        </w:rPr>
        <w:t>攀枝花市教育考试院</w:t>
      </w:r>
    </w:p>
    <w:p w14:paraId="61E4051B">
      <w:pPr>
        <w:adjustRightInd w:val="0"/>
        <w:snapToGrid w:val="0"/>
        <w:spacing w:line="360" w:lineRule="auto"/>
        <w:jc w:val="center"/>
        <w:outlineLvl w:val="0"/>
        <w:rPr>
          <w:rFonts w:hint="eastAsia" w:ascii="方正小标宋简体" w:eastAsia="方正小标宋简体"/>
          <w:sz w:val="72"/>
          <w:szCs w:val="72"/>
        </w:rPr>
      </w:pPr>
      <w:r>
        <w:rPr>
          <w:rFonts w:hint="eastAsia" w:ascii="方正小标宋简体" w:eastAsia="方正小标宋简体"/>
          <w:sz w:val="72"/>
          <w:szCs w:val="72"/>
        </w:rPr>
        <w:t>单位决算</w:t>
      </w:r>
    </w:p>
    <w:p w14:paraId="2C30A371">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3E30BCC3">
      <w:pPr>
        <w:widowControl/>
        <w:jc w:val="center"/>
        <w:rPr>
          <w:rFonts w:hint="eastAsia" w:ascii="黑体" w:hAnsi="黑体" w:eastAsia="黑体"/>
          <w:sz w:val="48"/>
          <w:szCs w:val="48"/>
        </w:rPr>
      </w:pPr>
      <w:r>
        <w:rPr>
          <w:rFonts w:hint="eastAsia" w:ascii="黑体" w:hAnsi="黑体" w:eastAsia="黑体"/>
          <w:sz w:val="48"/>
          <w:szCs w:val="48"/>
        </w:rPr>
        <w:t>目录</w:t>
      </w:r>
    </w:p>
    <w:p w14:paraId="4E7A342B">
      <w:pPr>
        <w:widowControl/>
        <w:jc w:val="center"/>
        <w:rPr>
          <w:rFonts w:hint="eastAsia" w:ascii="黑体" w:hAnsi="黑体" w:eastAsia="黑体"/>
          <w:sz w:val="28"/>
          <w:szCs w:val="28"/>
        </w:rPr>
      </w:pPr>
      <w:r>
        <w:rPr>
          <w:rFonts w:hint="eastAsia" w:ascii="黑体" w:hAnsi="黑体" w:eastAsia="黑体"/>
          <w:sz w:val="28"/>
          <w:szCs w:val="28"/>
        </w:rPr>
        <w:t xml:space="preserve"> </w:t>
      </w:r>
    </w:p>
    <w:p w14:paraId="3E69A042">
      <w:pPr>
        <w:pStyle w:val="11"/>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p>
    <w:p w14:paraId="1A6905E5">
      <w:pPr>
        <w:rPr>
          <w:rFonts w:hint="eastAsia"/>
        </w:rPr>
      </w:pPr>
      <w:r>
        <w:t xml:space="preserve"> </w:t>
      </w:r>
    </w:p>
    <w:p w14:paraId="3896D16A">
      <w:pPr>
        <w:pStyle w:val="11"/>
        <w:adjustRightInd w:val="0"/>
        <w:snapToGrid w:val="0"/>
        <w:spacing w:before="0" w:line="440" w:lineRule="exact"/>
        <w:jc w:val="left"/>
        <w:rPr>
          <w:sz w:val="24"/>
          <w:szCs w:val="24"/>
        </w:rPr>
      </w:pPr>
      <w:r>
        <w:rPr>
          <w:rFonts w:hint="eastAsia" w:ascii="宋体" w:hAnsi="宋体" w:eastAsia="宋体" w:cs="宋体"/>
          <w:sz w:val="24"/>
          <w:szCs w:val="24"/>
        </w:rPr>
        <w:t>第一部分 单位概况</w:t>
      </w:r>
      <w:r>
        <w:rPr>
          <w:rFonts w:hint="eastAsia"/>
          <w:sz w:val="24"/>
          <w:szCs w:val="24"/>
        </w:rPr>
        <w:tab/>
      </w:r>
      <w:r>
        <w:rPr>
          <w:rFonts w:hint="eastAsia"/>
          <w:sz w:val="24"/>
          <w:szCs w:val="24"/>
        </w:rPr>
        <w:t>..............................................1</w:t>
      </w:r>
    </w:p>
    <w:p w14:paraId="6A9F5777">
      <w:pPr>
        <w:pStyle w:val="12"/>
        <w:adjustRightInd w:val="0"/>
        <w:snapToGrid w:val="0"/>
        <w:spacing w:line="440" w:lineRule="exact"/>
        <w:jc w:val="left"/>
        <w:rPr>
          <w:sz w:val="24"/>
          <w:szCs w:val="24"/>
        </w:rPr>
      </w:pPr>
      <w:r>
        <w:rPr>
          <w:rFonts w:hint="eastAsia" w:ascii="宋体" w:hAnsi="宋体"/>
          <w:sz w:val="24"/>
          <w:szCs w:val="24"/>
        </w:rPr>
        <w:t>一、</w:t>
      </w:r>
      <w:r>
        <w:rPr>
          <w:rFonts w:hint="eastAsia" w:ascii="宋体" w:hAnsi="宋体"/>
          <w:sz w:val="24"/>
          <w:szCs w:val="24"/>
          <w:lang w:eastAsia="zh-CN"/>
        </w:rPr>
        <w:t>部门职责</w:t>
      </w:r>
      <w:r>
        <w:rPr>
          <w:sz w:val="24"/>
          <w:szCs w:val="24"/>
        </w:rPr>
        <w:tab/>
      </w:r>
      <w:r>
        <w:rPr>
          <w:rFonts w:hint="eastAsia"/>
          <w:sz w:val="24"/>
          <w:szCs w:val="24"/>
        </w:rPr>
        <w:t>............................................................................................1</w:t>
      </w:r>
    </w:p>
    <w:p w14:paraId="58F161F2">
      <w:pPr>
        <w:pStyle w:val="12"/>
        <w:adjustRightInd w:val="0"/>
        <w:snapToGrid w:val="0"/>
        <w:spacing w:line="440" w:lineRule="exact"/>
        <w:jc w:val="left"/>
      </w:pPr>
      <w:r>
        <w:rPr>
          <w:rFonts w:hint="eastAsia" w:ascii="宋体" w:hAnsi="宋体"/>
          <w:sz w:val="24"/>
          <w:szCs w:val="24"/>
        </w:rPr>
        <w:t>二、机构设置................................................1</w:t>
      </w:r>
    </w:p>
    <w:p w14:paraId="09AB6894">
      <w:pPr>
        <w:pStyle w:val="11"/>
        <w:adjustRightInd w:val="0"/>
        <w:snapToGrid w:val="0"/>
        <w:spacing w:before="0" w:line="440" w:lineRule="exact"/>
        <w:jc w:val="left"/>
        <w:rPr>
          <w:sz w:val="24"/>
          <w:szCs w:val="24"/>
        </w:rPr>
      </w:pPr>
      <w:r>
        <w:rPr>
          <w:rFonts w:hint="eastAsia" w:ascii="宋体" w:hAnsi="宋体" w:eastAsia="宋体" w:cs="宋体"/>
          <w:sz w:val="24"/>
          <w:szCs w:val="24"/>
        </w:rPr>
        <w:t>第二部分 2023年度单位决算情况说明</w:t>
      </w:r>
      <w:r>
        <w:rPr>
          <w:rFonts w:hint="eastAsia"/>
          <w:sz w:val="24"/>
          <w:szCs w:val="24"/>
        </w:rPr>
        <w:t>..............................2</w:t>
      </w:r>
    </w:p>
    <w:p w14:paraId="19014A67">
      <w:pPr>
        <w:pStyle w:val="12"/>
        <w:adjustRightInd w:val="0"/>
        <w:snapToGrid w:val="0"/>
        <w:spacing w:line="440" w:lineRule="exact"/>
        <w:jc w:val="left"/>
        <w:rPr>
          <w:rFonts w:ascii="仿宋" w:hAnsi="仿宋"/>
          <w:sz w:val="24"/>
          <w:szCs w:val="24"/>
        </w:rPr>
      </w:pPr>
      <w:r>
        <w:rPr>
          <w:rFonts w:hint="eastAsia" w:ascii="宋体" w:hAnsi="宋体"/>
          <w:sz w:val="24"/>
          <w:szCs w:val="24"/>
        </w:rPr>
        <w:t>一、收入支出决算总体情况说明................................2</w:t>
      </w:r>
    </w:p>
    <w:p w14:paraId="221F0C06">
      <w:pPr>
        <w:pStyle w:val="12"/>
        <w:adjustRightInd w:val="0"/>
        <w:snapToGrid w:val="0"/>
        <w:spacing w:line="440" w:lineRule="exact"/>
        <w:jc w:val="left"/>
        <w:rPr>
          <w:rFonts w:hint="eastAsia" w:ascii="仿宋" w:hAnsi="仿宋" w:eastAsia="宋体"/>
          <w:sz w:val="24"/>
          <w:szCs w:val="24"/>
          <w:lang w:eastAsia="zh-CN"/>
        </w:rPr>
      </w:pPr>
      <w:r>
        <w:rPr>
          <w:rFonts w:hint="eastAsia" w:ascii="宋体" w:hAnsi="宋体"/>
          <w:sz w:val="24"/>
          <w:szCs w:val="24"/>
        </w:rPr>
        <w:t>二、收入决算情况说明........................................</w:t>
      </w:r>
      <w:r>
        <w:rPr>
          <w:rFonts w:hint="eastAsia" w:ascii="宋体" w:hAnsi="宋体"/>
          <w:sz w:val="24"/>
          <w:szCs w:val="24"/>
          <w:lang w:val="en-US" w:eastAsia="zh-CN"/>
        </w:rPr>
        <w:t>2</w:t>
      </w:r>
    </w:p>
    <w:p w14:paraId="613B5517">
      <w:pPr>
        <w:pStyle w:val="12"/>
        <w:adjustRightInd w:val="0"/>
        <w:snapToGrid w:val="0"/>
        <w:spacing w:line="440" w:lineRule="exact"/>
        <w:jc w:val="left"/>
        <w:rPr>
          <w:rFonts w:ascii="仿宋" w:hAnsi="仿宋"/>
          <w:sz w:val="24"/>
          <w:szCs w:val="24"/>
        </w:rPr>
      </w:pPr>
      <w:r>
        <w:rPr>
          <w:rFonts w:hint="eastAsia" w:ascii="宋体" w:hAnsi="宋体"/>
          <w:sz w:val="24"/>
          <w:szCs w:val="24"/>
        </w:rPr>
        <w:t>三、支出决算情况说明........................................3</w:t>
      </w:r>
    </w:p>
    <w:p w14:paraId="0DF1BA28">
      <w:pPr>
        <w:pStyle w:val="12"/>
        <w:adjustRightInd w:val="0"/>
        <w:snapToGrid w:val="0"/>
        <w:spacing w:line="440" w:lineRule="exact"/>
        <w:jc w:val="left"/>
        <w:rPr>
          <w:rFonts w:ascii="仿宋" w:hAnsi="仿宋"/>
          <w:sz w:val="24"/>
          <w:szCs w:val="24"/>
        </w:rPr>
      </w:pPr>
      <w:r>
        <w:rPr>
          <w:rFonts w:hint="eastAsia" w:ascii="宋体" w:hAnsi="宋体"/>
          <w:sz w:val="24"/>
          <w:szCs w:val="24"/>
        </w:rPr>
        <w:t>四、财政拨款收入支出决算总体情况说明........................4</w:t>
      </w:r>
    </w:p>
    <w:p w14:paraId="00D43358">
      <w:pPr>
        <w:pStyle w:val="12"/>
        <w:adjustRightInd w:val="0"/>
        <w:snapToGrid w:val="0"/>
        <w:spacing w:line="440" w:lineRule="exact"/>
        <w:jc w:val="left"/>
        <w:rPr>
          <w:rFonts w:ascii="仿宋" w:hAnsi="仿宋"/>
          <w:sz w:val="24"/>
          <w:szCs w:val="24"/>
        </w:rPr>
      </w:pPr>
      <w:r>
        <w:rPr>
          <w:rFonts w:hint="eastAsia" w:ascii="宋体" w:hAnsi="宋体"/>
          <w:sz w:val="24"/>
          <w:szCs w:val="24"/>
        </w:rPr>
        <w:t>五、一般公共预算财政拨款支出决算情况说明....................5</w:t>
      </w:r>
    </w:p>
    <w:p w14:paraId="5421037E">
      <w:pPr>
        <w:pStyle w:val="12"/>
        <w:adjustRightInd w:val="0"/>
        <w:snapToGrid w:val="0"/>
        <w:spacing w:line="440" w:lineRule="exact"/>
        <w:jc w:val="left"/>
        <w:rPr>
          <w:rFonts w:hint="eastAsia" w:ascii="仿宋" w:hAnsi="仿宋" w:eastAsia="宋体"/>
          <w:sz w:val="24"/>
          <w:szCs w:val="24"/>
          <w:lang w:eastAsia="zh-CN"/>
        </w:rPr>
      </w:pPr>
      <w:r>
        <w:rPr>
          <w:rFonts w:hint="eastAsia" w:ascii="宋体" w:hAnsi="宋体"/>
          <w:sz w:val="24"/>
          <w:szCs w:val="24"/>
        </w:rPr>
        <w:t>六、一般公共预算财政拨款基本支出决算情况说明................</w:t>
      </w:r>
      <w:r>
        <w:rPr>
          <w:rFonts w:hint="eastAsia" w:ascii="宋体" w:hAnsi="宋体"/>
          <w:sz w:val="24"/>
          <w:szCs w:val="24"/>
          <w:lang w:val="en-US" w:eastAsia="zh-CN"/>
        </w:rPr>
        <w:t>7</w:t>
      </w:r>
    </w:p>
    <w:p w14:paraId="65A7B288">
      <w:pPr>
        <w:pStyle w:val="12"/>
        <w:adjustRightInd w:val="0"/>
        <w:snapToGrid w:val="0"/>
        <w:spacing w:line="440" w:lineRule="exact"/>
        <w:jc w:val="left"/>
        <w:rPr>
          <w:rFonts w:hint="eastAsia" w:ascii="仿宋" w:hAnsi="仿宋" w:eastAsia="宋体"/>
          <w:sz w:val="24"/>
          <w:szCs w:val="24"/>
          <w:lang w:eastAsia="zh-CN"/>
        </w:rPr>
      </w:pPr>
      <w:r>
        <w:rPr>
          <w:rFonts w:hint="eastAsia" w:ascii="宋体" w:hAnsi="宋体"/>
          <w:sz w:val="24"/>
          <w:szCs w:val="24"/>
        </w:rPr>
        <w:t>七、财政拨款“三公”经费支出决算情况说明....................</w:t>
      </w:r>
      <w:r>
        <w:rPr>
          <w:rFonts w:hint="eastAsia" w:ascii="宋体" w:hAnsi="宋体"/>
          <w:sz w:val="24"/>
          <w:szCs w:val="24"/>
          <w:lang w:val="en-US" w:eastAsia="zh-CN"/>
        </w:rPr>
        <w:t>8</w:t>
      </w:r>
    </w:p>
    <w:p w14:paraId="17ED9ED8">
      <w:pPr>
        <w:pStyle w:val="12"/>
        <w:adjustRightInd w:val="0"/>
        <w:snapToGrid w:val="0"/>
        <w:spacing w:line="440" w:lineRule="exact"/>
        <w:jc w:val="left"/>
        <w:rPr>
          <w:rFonts w:hint="default" w:ascii="仿宋" w:hAnsi="仿宋" w:eastAsia="宋体"/>
          <w:sz w:val="24"/>
          <w:szCs w:val="24"/>
          <w:lang w:val="en-US" w:eastAsia="zh-CN"/>
        </w:rPr>
      </w:pPr>
      <w:r>
        <w:rPr>
          <w:rFonts w:hint="eastAsia" w:ascii="宋体" w:hAnsi="宋体"/>
          <w:sz w:val="24"/>
          <w:szCs w:val="24"/>
        </w:rPr>
        <w:t>八、政府性基金预算支出决算情况说明..........................</w:t>
      </w:r>
      <w:r>
        <w:rPr>
          <w:rFonts w:hint="eastAsia" w:ascii="宋体" w:hAnsi="宋体"/>
          <w:sz w:val="24"/>
          <w:szCs w:val="24"/>
          <w:lang w:val="en-US" w:eastAsia="zh-CN"/>
        </w:rPr>
        <w:t>9</w:t>
      </w:r>
    </w:p>
    <w:p w14:paraId="2AB9B6C8">
      <w:pPr>
        <w:pStyle w:val="12"/>
        <w:adjustRightInd w:val="0"/>
        <w:snapToGrid w:val="0"/>
        <w:spacing w:line="440" w:lineRule="exact"/>
        <w:jc w:val="left"/>
        <w:rPr>
          <w:rFonts w:hint="default" w:eastAsia="宋体"/>
          <w:sz w:val="24"/>
          <w:szCs w:val="24"/>
          <w:lang w:val="en-US" w:eastAsia="zh-CN"/>
        </w:rPr>
      </w:pPr>
      <w:r>
        <w:rPr>
          <w:rFonts w:hint="eastAsia" w:ascii="宋体" w:hAnsi="宋体"/>
          <w:sz w:val="24"/>
          <w:szCs w:val="24"/>
        </w:rPr>
        <w:t>九、国有资本经营预算支出决算情况说明........................</w:t>
      </w:r>
      <w:r>
        <w:rPr>
          <w:rFonts w:hint="eastAsia" w:ascii="宋体" w:hAnsi="宋体"/>
          <w:sz w:val="24"/>
          <w:szCs w:val="24"/>
          <w:lang w:val="en-US" w:eastAsia="zh-CN"/>
        </w:rPr>
        <w:t>10</w:t>
      </w:r>
    </w:p>
    <w:p w14:paraId="293558D3">
      <w:pPr>
        <w:pStyle w:val="12"/>
        <w:adjustRightInd w:val="0"/>
        <w:snapToGrid w:val="0"/>
        <w:spacing w:line="440" w:lineRule="exact"/>
        <w:jc w:val="left"/>
        <w:rPr>
          <w:rFonts w:hint="default" w:eastAsia="宋体"/>
          <w:sz w:val="24"/>
          <w:szCs w:val="24"/>
          <w:lang w:val="en-US" w:eastAsia="zh-CN"/>
        </w:rPr>
      </w:pPr>
      <w:r>
        <w:rPr>
          <w:rFonts w:hint="eastAsia" w:ascii="宋体" w:hAnsi="宋体"/>
          <w:sz w:val="24"/>
          <w:szCs w:val="24"/>
        </w:rPr>
        <w:t>十、其他重要事项的情况说明..................................</w:t>
      </w:r>
      <w:r>
        <w:rPr>
          <w:rFonts w:hint="eastAsia" w:ascii="宋体" w:hAnsi="宋体"/>
          <w:sz w:val="24"/>
          <w:szCs w:val="24"/>
          <w:lang w:val="en-US" w:eastAsia="zh-CN"/>
        </w:rPr>
        <w:t>10</w:t>
      </w:r>
    </w:p>
    <w:p w14:paraId="34509122">
      <w:pPr>
        <w:pStyle w:val="11"/>
        <w:adjustRightInd w:val="0"/>
        <w:snapToGrid w:val="0"/>
        <w:spacing w:before="0" w:line="440" w:lineRule="exact"/>
        <w:jc w:val="left"/>
        <w:rPr>
          <w:rFonts w:hint="default" w:eastAsia="仿宋"/>
          <w:sz w:val="24"/>
          <w:szCs w:val="24"/>
          <w:lang w:val="en-US" w:eastAsia="zh-CN"/>
        </w:rPr>
      </w:pPr>
      <w:r>
        <w:rPr>
          <w:rFonts w:hint="eastAsia" w:ascii="宋体" w:hAnsi="宋体" w:eastAsia="宋体" w:cs="宋体"/>
          <w:sz w:val="24"/>
          <w:szCs w:val="24"/>
        </w:rPr>
        <w:t>第三部分 名词解释</w:t>
      </w:r>
      <w:r>
        <w:rPr>
          <w:rFonts w:hint="eastAsia"/>
          <w:sz w:val="24"/>
          <w:szCs w:val="24"/>
        </w:rPr>
        <w:t>...............................................</w:t>
      </w:r>
      <w:r>
        <w:rPr>
          <w:rFonts w:hint="eastAsia"/>
          <w:sz w:val="24"/>
          <w:szCs w:val="24"/>
          <w:lang w:val="en-US" w:eastAsia="zh-CN"/>
        </w:rPr>
        <w:t>12</w:t>
      </w:r>
    </w:p>
    <w:p w14:paraId="11E6AF71">
      <w:pPr>
        <w:pStyle w:val="11"/>
        <w:adjustRightInd w:val="0"/>
        <w:snapToGrid w:val="0"/>
        <w:spacing w:before="0" w:line="440" w:lineRule="exact"/>
        <w:jc w:val="left"/>
        <w:rPr>
          <w:rFonts w:hint="eastAsia" w:eastAsia="仿宋"/>
          <w:sz w:val="24"/>
          <w:szCs w:val="24"/>
          <w:lang w:eastAsia="zh-CN"/>
        </w:rPr>
      </w:pPr>
      <w:r>
        <w:rPr>
          <w:rFonts w:hint="eastAsia" w:ascii="宋体" w:hAnsi="宋体" w:eastAsia="宋体" w:cs="宋体"/>
          <w:sz w:val="24"/>
          <w:szCs w:val="24"/>
        </w:rPr>
        <w:t>第四部分 附件</w:t>
      </w:r>
      <w:r>
        <w:rPr>
          <w:rFonts w:hint="eastAsia"/>
          <w:sz w:val="24"/>
          <w:szCs w:val="24"/>
        </w:rPr>
        <w:t>...................................................1</w:t>
      </w:r>
      <w:r>
        <w:rPr>
          <w:rFonts w:hint="eastAsia"/>
          <w:sz w:val="24"/>
          <w:szCs w:val="24"/>
          <w:lang w:val="en-US" w:eastAsia="zh-CN"/>
        </w:rPr>
        <w:t>5</w:t>
      </w:r>
    </w:p>
    <w:p w14:paraId="5342609E">
      <w:pPr>
        <w:pStyle w:val="11"/>
        <w:adjustRightInd w:val="0"/>
        <w:snapToGrid w:val="0"/>
        <w:spacing w:before="0" w:line="440" w:lineRule="exact"/>
        <w:jc w:val="left"/>
        <w:rPr>
          <w:rFonts w:hint="eastAsia" w:ascii="宋体" w:hAnsi="宋体" w:eastAsia="宋体" w:cs="宋体"/>
          <w:sz w:val="24"/>
          <w:szCs w:val="24"/>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1B0CDB4E">
      <w:pPr>
        <w:pStyle w:val="11"/>
        <w:adjustRightInd w:val="0"/>
        <w:snapToGrid w:val="0"/>
        <w:spacing w:before="0" w:line="440" w:lineRule="exact"/>
        <w:jc w:val="left"/>
        <w:rPr>
          <w:rFonts w:hint="default" w:eastAsia="仿宋"/>
          <w:sz w:val="24"/>
          <w:szCs w:val="24"/>
          <w:lang w:val="en-US" w:eastAsia="zh-CN"/>
        </w:rPr>
      </w:pPr>
      <w:r>
        <w:rPr>
          <w:rFonts w:hint="eastAsia" w:ascii="宋体" w:hAnsi="宋体" w:eastAsia="宋体" w:cs="宋体"/>
          <w:sz w:val="24"/>
          <w:szCs w:val="24"/>
        </w:rPr>
        <w:t>第五部分 附表.</w:t>
      </w:r>
      <w:r>
        <w:rPr>
          <w:rFonts w:hint="eastAsia"/>
          <w:sz w:val="24"/>
          <w:szCs w:val="24"/>
        </w:rPr>
        <w:t>....................................................</w:t>
      </w:r>
      <w:r>
        <w:rPr>
          <w:rFonts w:hint="eastAsia"/>
          <w:sz w:val="24"/>
          <w:szCs w:val="24"/>
          <w:lang w:val="en-US" w:eastAsia="zh-CN"/>
        </w:rPr>
        <w:t>16</w:t>
      </w:r>
    </w:p>
    <w:p w14:paraId="70F86901">
      <w:pPr>
        <w:pStyle w:val="12"/>
        <w:adjustRightInd w:val="0"/>
        <w:snapToGrid w:val="0"/>
        <w:spacing w:line="440" w:lineRule="exact"/>
        <w:jc w:val="left"/>
        <w:rPr>
          <w:rFonts w:hint="default" w:eastAsia="宋体"/>
          <w:sz w:val="24"/>
          <w:szCs w:val="24"/>
          <w:lang w:val="en-US" w:eastAsia="zh-CN"/>
        </w:rPr>
      </w:pPr>
      <w:r>
        <w:rPr>
          <w:rFonts w:hint="eastAsia" w:ascii="宋体" w:hAnsi="宋体"/>
          <w:sz w:val="24"/>
          <w:szCs w:val="24"/>
        </w:rPr>
        <w:t>一、收入支出决算总表...........................................</w:t>
      </w:r>
      <w:r>
        <w:rPr>
          <w:rFonts w:hint="eastAsia" w:ascii="宋体" w:hAnsi="宋体"/>
          <w:sz w:val="24"/>
          <w:szCs w:val="24"/>
          <w:lang w:val="en-US" w:eastAsia="zh-CN"/>
        </w:rPr>
        <w:t>16</w:t>
      </w:r>
      <w:r>
        <w:rPr>
          <w:rFonts w:hint="eastAsia" w:ascii="宋体" w:hAnsi="宋体"/>
          <w:sz w:val="24"/>
          <w:szCs w:val="24"/>
        </w:rPr>
        <w:t>二、收入决算表.................................................</w:t>
      </w:r>
      <w:r>
        <w:rPr>
          <w:rFonts w:hint="eastAsia" w:ascii="宋体" w:hAnsi="宋体"/>
          <w:sz w:val="24"/>
          <w:szCs w:val="24"/>
          <w:lang w:val="en-US" w:eastAsia="zh-CN"/>
        </w:rPr>
        <w:t>16</w:t>
      </w:r>
      <w:r>
        <w:rPr>
          <w:rFonts w:hint="eastAsia" w:ascii="宋体" w:hAnsi="宋体"/>
          <w:sz w:val="24"/>
          <w:szCs w:val="24"/>
        </w:rPr>
        <w:t>三、支出决算表.................................................</w:t>
      </w:r>
      <w:r>
        <w:rPr>
          <w:rFonts w:hint="eastAsia" w:ascii="宋体" w:hAnsi="宋体"/>
          <w:sz w:val="24"/>
          <w:szCs w:val="24"/>
          <w:lang w:val="en-US" w:eastAsia="zh-CN"/>
        </w:rPr>
        <w:t>16</w:t>
      </w:r>
      <w:r>
        <w:rPr>
          <w:rFonts w:hint="eastAsia" w:ascii="宋体" w:hAnsi="宋体"/>
          <w:sz w:val="24"/>
          <w:szCs w:val="24"/>
        </w:rPr>
        <w:t>四、财政拨款收入支出决算总表...................................</w:t>
      </w:r>
      <w:r>
        <w:rPr>
          <w:rFonts w:hint="eastAsia" w:ascii="宋体" w:hAnsi="宋体"/>
          <w:sz w:val="24"/>
          <w:szCs w:val="24"/>
          <w:lang w:val="en-US" w:eastAsia="zh-CN"/>
        </w:rPr>
        <w:t>16</w:t>
      </w:r>
      <w:r>
        <w:rPr>
          <w:rFonts w:hint="eastAsia" w:ascii="宋体" w:hAnsi="宋体"/>
          <w:sz w:val="24"/>
          <w:szCs w:val="24"/>
        </w:rPr>
        <w:t>五、财政拨款支出决算明细表.....................................</w:t>
      </w:r>
      <w:r>
        <w:rPr>
          <w:rFonts w:hint="eastAsia" w:ascii="宋体" w:hAnsi="宋体"/>
          <w:sz w:val="24"/>
          <w:szCs w:val="24"/>
          <w:lang w:val="en-US" w:eastAsia="zh-CN"/>
        </w:rPr>
        <w:t>16</w:t>
      </w:r>
    </w:p>
    <w:p w14:paraId="61BCA066">
      <w:pPr>
        <w:pStyle w:val="12"/>
        <w:adjustRightInd w:val="0"/>
        <w:snapToGrid w:val="0"/>
        <w:spacing w:line="440" w:lineRule="exact"/>
        <w:jc w:val="left"/>
        <w:rPr>
          <w:rFonts w:hint="default"/>
          <w:sz w:val="24"/>
          <w:szCs w:val="24"/>
          <w:lang w:val="en-US"/>
        </w:rPr>
      </w:pPr>
      <w:r>
        <w:rPr>
          <w:rFonts w:hint="eastAsia" w:ascii="宋体" w:hAnsi="宋体"/>
          <w:sz w:val="24"/>
          <w:szCs w:val="24"/>
        </w:rPr>
        <w:t>六、一般公共预算财政拨款支出决算表.............................</w:t>
      </w:r>
      <w:r>
        <w:rPr>
          <w:rFonts w:hint="eastAsia" w:ascii="宋体" w:hAnsi="宋体"/>
          <w:sz w:val="24"/>
          <w:szCs w:val="24"/>
          <w:lang w:val="en-US" w:eastAsia="zh-CN"/>
        </w:rPr>
        <w:t>16</w:t>
      </w:r>
      <w:r>
        <w:rPr>
          <w:rFonts w:hint="eastAsia" w:ascii="宋体" w:hAnsi="宋体"/>
          <w:sz w:val="24"/>
          <w:szCs w:val="24"/>
        </w:rPr>
        <w:t>七、一般公共预算财政拨款支出决算明细表.........................</w:t>
      </w:r>
      <w:r>
        <w:rPr>
          <w:rFonts w:hint="eastAsia" w:ascii="宋体" w:hAnsi="宋体"/>
          <w:sz w:val="24"/>
          <w:szCs w:val="24"/>
          <w:lang w:val="en-US" w:eastAsia="zh-CN"/>
        </w:rPr>
        <w:t>16</w:t>
      </w:r>
      <w:r>
        <w:rPr>
          <w:rFonts w:hint="eastAsia" w:ascii="宋体" w:hAnsi="宋体"/>
          <w:sz w:val="24"/>
          <w:szCs w:val="24"/>
        </w:rPr>
        <w:t>八、一般公共预算财政拨款基本支出决算明细表.....................</w:t>
      </w:r>
      <w:r>
        <w:rPr>
          <w:rFonts w:hint="eastAsia" w:ascii="宋体" w:hAnsi="宋体"/>
          <w:sz w:val="24"/>
          <w:szCs w:val="24"/>
          <w:lang w:val="en-US" w:eastAsia="zh-CN"/>
        </w:rPr>
        <w:t>16</w:t>
      </w:r>
      <w:bookmarkStart w:id="0" w:name="_GoBack"/>
      <w:bookmarkEnd w:id="0"/>
    </w:p>
    <w:p w14:paraId="55F80A9E">
      <w:pPr>
        <w:pStyle w:val="12"/>
        <w:adjustRightInd w:val="0"/>
        <w:snapToGrid w:val="0"/>
        <w:spacing w:line="440" w:lineRule="exact"/>
        <w:jc w:val="left"/>
        <w:rPr>
          <w:rFonts w:hint="default" w:ascii="宋体" w:hAnsi="宋体"/>
          <w:sz w:val="24"/>
          <w:szCs w:val="24"/>
          <w:lang w:val="en-US" w:eastAsia="zh-CN"/>
        </w:rPr>
      </w:pPr>
      <w:r>
        <w:rPr>
          <w:rFonts w:hint="eastAsia" w:ascii="宋体" w:hAnsi="宋体"/>
          <w:sz w:val="24"/>
          <w:szCs w:val="24"/>
        </w:rPr>
        <w:t>九、一般公共预算财政拨款项目支出决算表.........................</w:t>
      </w:r>
      <w:r>
        <w:rPr>
          <w:rFonts w:hint="eastAsia" w:ascii="宋体" w:hAnsi="宋体"/>
          <w:sz w:val="24"/>
          <w:szCs w:val="24"/>
          <w:lang w:val="en-US" w:eastAsia="zh-CN"/>
        </w:rPr>
        <w:t>16</w:t>
      </w:r>
      <w:r>
        <w:rPr>
          <w:rFonts w:hint="eastAsia" w:ascii="宋体" w:hAnsi="宋体"/>
          <w:sz w:val="24"/>
          <w:szCs w:val="24"/>
        </w:rPr>
        <w:t>十、政府性基金预算财政拨款收入支出决算表.......................</w:t>
      </w:r>
      <w:r>
        <w:rPr>
          <w:rFonts w:hint="eastAsia" w:ascii="宋体" w:hAnsi="宋体"/>
          <w:sz w:val="24"/>
          <w:szCs w:val="24"/>
          <w:lang w:val="en-US" w:eastAsia="zh-CN"/>
        </w:rPr>
        <w:t>16</w:t>
      </w:r>
    </w:p>
    <w:p w14:paraId="55A52827">
      <w:pPr>
        <w:pStyle w:val="12"/>
        <w:adjustRightInd w:val="0"/>
        <w:snapToGrid w:val="0"/>
        <w:spacing w:line="440" w:lineRule="exact"/>
        <w:jc w:val="left"/>
        <w:rPr>
          <w:rFonts w:hint="default" w:ascii="宋体" w:hAnsi="宋体"/>
          <w:sz w:val="24"/>
          <w:szCs w:val="24"/>
          <w:lang w:val="en-US"/>
        </w:rPr>
      </w:pPr>
      <w:r>
        <w:rPr>
          <w:rFonts w:hint="eastAsia" w:ascii="宋体" w:hAnsi="宋体"/>
          <w:sz w:val="24"/>
          <w:szCs w:val="24"/>
        </w:rPr>
        <w:t>十一、国有资本经营预算财政拨款收入支出决算表...................</w:t>
      </w:r>
      <w:r>
        <w:rPr>
          <w:rFonts w:hint="eastAsia" w:ascii="宋体" w:hAnsi="宋体"/>
          <w:sz w:val="24"/>
          <w:szCs w:val="24"/>
          <w:lang w:val="en-US" w:eastAsia="zh-CN"/>
        </w:rPr>
        <w:t>16</w:t>
      </w:r>
      <w:r>
        <w:rPr>
          <w:rFonts w:hint="eastAsia" w:ascii="宋体" w:hAnsi="宋体"/>
          <w:sz w:val="24"/>
          <w:szCs w:val="24"/>
        </w:rPr>
        <w:t>十二、国有资本经营预算财政拨款支出决算表.......................</w:t>
      </w:r>
      <w:r>
        <w:rPr>
          <w:rFonts w:hint="eastAsia" w:ascii="宋体" w:hAnsi="宋体"/>
          <w:sz w:val="24"/>
          <w:szCs w:val="24"/>
          <w:lang w:val="en-US" w:eastAsia="zh-CN"/>
        </w:rPr>
        <w:t>16</w:t>
      </w:r>
      <w:r>
        <w:rPr>
          <w:rFonts w:hint="eastAsia" w:ascii="宋体" w:hAnsi="宋体"/>
          <w:sz w:val="24"/>
          <w:szCs w:val="24"/>
        </w:rPr>
        <w:t>十三、财政拨款“三公”经费支出决算表...........................</w:t>
      </w:r>
      <w:r>
        <w:rPr>
          <w:rFonts w:hint="eastAsia" w:ascii="宋体" w:hAnsi="宋体"/>
          <w:sz w:val="24"/>
          <w:szCs w:val="24"/>
          <w:lang w:val="en-US" w:eastAsia="zh-CN"/>
        </w:rPr>
        <w:t>16</w:t>
      </w:r>
    </w:p>
    <w:p w14:paraId="7C4EDFD8"/>
    <w:p w14:paraId="0950C964">
      <w:pPr>
        <w:widowControl/>
        <w:spacing w:line="440" w:lineRule="exact"/>
        <w:jc w:val="left"/>
        <w:rPr>
          <w:rFonts w:hint="eastAsia" w:ascii="仿宋" w:hAnsi="仿宋" w:eastAsia="仿宋"/>
          <w:bCs/>
          <w:kern w:val="44"/>
          <w:sz w:val="24"/>
          <w:szCs w:val="24"/>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58CF7150">
      <w:pPr>
        <w:widowControl/>
        <w:spacing w:line="440" w:lineRule="exact"/>
        <w:jc w:val="left"/>
        <w:rPr>
          <w:rFonts w:hint="eastAsia" w:ascii="仿宋" w:hAnsi="仿宋" w:eastAsia="仿宋"/>
          <w:bCs/>
          <w:kern w:val="44"/>
          <w:sz w:val="24"/>
          <w:szCs w:val="24"/>
        </w:rPr>
      </w:pPr>
    </w:p>
    <w:p w14:paraId="35A31695">
      <w:pPr>
        <w:pStyle w:val="5"/>
        <w:jc w:val="center"/>
        <w:rPr>
          <w:rStyle w:val="19"/>
          <w:rFonts w:hint="eastAsia" w:ascii="黑体" w:hAnsi="黑体" w:eastAsia="黑体"/>
          <w:b/>
          <w:bCs w:val="0"/>
        </w:rPr>
      </w:pPr>
      <w:r>
        <w:rPr>
          <w:rFonts w:hint="eastAsia" w:ascii="黑体" w:hAnsi="黑体" w:eastAsia="黑体"/>
          <w:b w:val="0"/>
        </w:rPr>
        <w:t>第一部分 单位</w:t>
      </w:r>
      <w:r>
        <w:rPr>
          <w:rStyle w:val="19"/>
          <w:rFonts w:hint="eastAsia" w:ascii="黑体" w:hAnsi="黑体" w:eastAsia="黑体"/>
          <w:b w:val="0"/>
          <w:bCs w:val="0"/>
        </w:rPr>
        <w:t>概况</w:t>
      </w:r>
    </w:p>
    <w:p w14:paraId="01FEB799">
      <w:pPr>
        <w:widowControl/>
        <w:jc w:val="left"/>
        <w:rPr>
          <w:rFonts w:hint="eastAsia"/>
          <w:sz w:val="32"/>
          <w:szCs w:val="32"/>
        </w:rPr>
      </w:pPr>
      <w:r>
        <w:rPr>
          <w:rFonts w:hint="eastAsia" w:ascii="黑体" w:eastAsia="黑体"/>
          <w:sz w:val="32"/>
          <w:szCs w:val="32"/>
        </w:rPr>
        <w:t xml:space="preserve"> </w:t>
      </w:r>
    </w:p>
    <w:p w14:paraId="5CF388E2">
      <w:pPr>
        <w:pStyle w:val="6"/>
        <w:numPr>
          <w:ilvl w:val="0"/>
          <w:numId w:val="1"/>
        </w:numPr>
        <w:rPr>
          <w:rStyle w:val="20"/>
          <w:rFonts w:hint="eastAsia" w:ascii="黑体" w:hAnsi="黑体" w:eastAsia="黑体"/>
          <w:b w:val="0"/>
          <w:bCs w:val="0"/>
        </w:rPr>
      </w:pPr>
      <w:r>
        <w:rPr>
          <w:rStyle w:val="20"/>
          <w:rFonts w:hint="eastAsia" w:ascii="黑体" w:hAnsi="黑体" w:eastAsia="黑体"/>
          <w:b w:val="0"/>
          <w:bCs w:val="0"/>
          <w:lang w:eastAsia="zh-CN"/>
        </w:rPr>
        <w:t>部门</w:t>
      </w:r>
      <w:r>
        <w:rPr>
          <w:rStyle w:val="20"/>
          <w:rFonts w:hint="eastAsia" w:ascii="黑体" w:hAnsi="黑体" w:eastAsia="黑体"/>
          <w:b w:val="0"/>
          <w:bCs w:val="0"/>
        </w:rPr>
        <w:t>职责</w:t>
      </w:r>
    </w:p>
    <w:p w14:paraId="0B498D94">
      <w:pPr>
        <w:rPr>
          <w:rFonts w:hint="eastAsia"/>
          <w:szCs w:val="21"/>
        </w:rPr>
      </w:pPr>
      <w:r>
        <w:rPr>
          <w:rStyle w:val="20"/>
          <w:rFonts w:hint="eastAsia" w:ascii="黑体" w:hAnsi="黑体" w:eastAsia="黑体"/>
          <w:b w:val="0"/>
          <w:bCs w:val="0"/>
        </w:rPr>
        <w:t xml:space="preserve">   </w:t>
      </w:r>
      <w:r>
        <w:rPr>
          <w:rFonts w:hint="eastAsia"/>
        </w:rPr>
        <w:t xml:space="preserve"> </w:t>
      </w:r>
      <w:r>
        <w:rPr>
          <w:rFonts w:hint="eastAsia" w:ascii="仿宋_GB2312" w:eastAsia="仿宋_GB2312"/>
          <w:kern w:val="0"/>
          <w:sz w:val="32"/>
          <w:szCs w:val="32"/>
        </w:rPr>
        <w:t>我院是市教育和体育局直属的独立核算二级预算单位，主要职责是组织实施全国普通高校招生考试、全国成人高校招生考试、全国硕士研究生招生考试、全国高等自学考试、高中学业水平考试、全国大学英语四六级考试、全国计算机等级考试、全国中小学教师资格考试、高中阶段教育学校招生考试、四川省书法等级测试等各项教育考试考务工作、招生录取工作；开展各类教育考试招生宣传和科研工作。</w:t>
      </w:r>
    </w:p>
    <w:p w14:paraId="24FB0D9D">
      <w:pPr>
        <w:pStyle w:val="6"/>
        <w:numPr>
          <w:ilvl w:val="0"/>
          <w:numId w:val="1"/>
        </w:numPr>
        <w:rPr>
          <w:rFonts w:ascii="黑体" w:hAnsi="黑体" w:eastAsia="黑体"/>
          <w:b w:val="0"/>
        </w:rPr>
      </w:pPr>
      <w:r>
        <w:rPr>
          <w:rFonts w:hint="eastAsia" w:ascii="黑体" w:hAnsi="黑体" w:eastAsia="黑体"/>
          <w:b w:val="0"/>
        </w:rPr>
        <w:t>机构设置</w:t>
      </w:r>
    </w:p>
    <w:p w14:paraId="7AF5F40E">
      <w:pPr>
        <w:ind w:firstLine="640" w:firstLineChars="200"/>
        <w:rPr>
          <w:rFonts w:hint="eastAsia" w:eastAsia="仿宋_GB2312"/>
        </w:rPr>
      </w:pPr>
      <w:r>
        <w:rPr>
          <w:rFonts w:hint="eastAsia" w:ascii="仿宋_GB2312" w:hAnsi="仿宋" w:eastAsia="仿宋_GB2312"/>
          <w:sz w:val="32"/>
          <w:szCs w:val="32"/>
        </w:rPr>
        <w:t>截止202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年年底，我单位共设6个业务科室。分别为普通高校中专招生科、高中学业水平考试科、高教自考管理科、成人高校招生科、计算机管理科、综合科。</w:t>
      </w:r>
      <w:r>
        <w:rPr>
          <w:rFonts w:hint="eastAsia" w:ascii="仿宋_GB2312" w:hAnsi="宋体" w:eastAsia="仿宋_GB2312" w:cs="楷体_GB2312"/>
          <w:sz w:val="32"/>
          <w:szCs w:val="32"/>
        </w:rPr>
        <w:t>共有财政供养人数26人，其中</w:t>
      </w:r>
      <w:r>
        <w:rPr>
          <w:rFonts w:hint="eastAsia" w:ascii="仿宋_GB2312" w:hAnsi="宋体" w:eastAsia="仿宋_GB2312" w:cs="宋体"/>
          <w:kern w:val="0"/>
          <w:sz w:val="32"/>
          <w:szCs w:val="32"/>
        </w:rPr>
        <w:t>在职人员1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人，退休人员1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p>
    <w:p w14:paraId="0EA28939">
      <w:pPr>
        <w:widowControl/>
        <w:jc w:val="left"/>
        <w:rPr>
          <w:rFonts w:hint="eastAsia" w:ascii="仿宋" w:hAnsi="仿宋" w:eastAsia="仿宋"/>
          <w:kern w:val="0"/>
          <w:sz w:val="32"/>
          <w:szCs w:val="32"/>
        </w:rPr>
      </w:pPr>
      <w:r>
        <w:rPr>
          <w:rFonts w:hint="eastAsia" w:ascii="仿宋" w:hAnsi="仿宋" w:eastAsia="仿宋"/>
          <w:sz w:val="32"/>
          <w:szCs w:val="32"/>
        </w:rPr>
        <w:br w:type="page"/>
      </w:r>
    </w:p>
    <w:p w14:paraId="68F47DFF">
      <w:pPr>
        <w:pStyle w:val="5"/>
        <w:ind w:right="440"/>
        <w:jc w:val="center"/>
        <w:rPr>
          <w:rStyle w:val="19"/>
          <w:rFonts w:hint="eastAsia" w:ascii="黑体" w:hAnsi="黑体" w:eastAsia="黑体"/>
          <w:b w:val="0"/>
          <w:bCs/>
        </w:rPr>
      </w:pPr>
      <w:r>
        <w:rPr>
          <w:rFonts w:hint="eastAsia" w:ascii="黑体" w:hAnsi="黑体" w:eastAsia="黑体"/>
          <w:b w:val="0"/>
        </w:rPr>
        <w:t>第二部分 202</w:t>
      </w:r>
      <w:r>
        <w:rPr>
          <w:rFonts w:hint="eastAsia" w:ascii="黑体" w:hAnsi="黑体" w:eastAsia="黑体"/>
          <w:b w:val="0"/>
          <w:lang w:val="en-US" w:eastAsia="zh-CN"/>
        </w:rPr>
        <w:t>4</w:t>
      </w:r>
      <w:r>
        <w:rPr>
          <w:rFonts w:hint="eastAsia" w:ascii="黑体" w:hAnsi="黑体" w:eastAsia="黑体"/>
          <w:b w:val="0"/>
        </w:rPr>
        <w:t>年度</w:t>
      </w:r>
      <w:r>
        <w:rPr>
          <w:rStyle w:val="19"/>
          <w:rFonts w:hint="eastAsia" w:ascii="黑体" w:hAnsi="黑体" w:eastAsia="黑体"/>
          <w:b w:val="0"/>
          <w:bCs/>
        </w:rPr>
        <w:t>单位决算情况说明</w:t>
      </w:r>
    </w:p>
    <w:p w14:paraId="2FCFE9E2">
      <w:pPr>
        <w:rPr>
          <w:rFonts w:hint="eastAsia"/>
          <w:szCs w:val="21"/>
        </w:rPr>
      </w:pPr>
      <w:r>
        <w:t xml:space="preserve"> </w:t>
      </w:r>
    </w:p>
    <w:p w14:paraId="71FFBCA6">
      <w:pPr>
        <w:pStyle w:val="21"/>
        <w:numPr>
          <w:ilvl w:val="0"/>
          <w:numId w:val="2"/>
        </w:numPr>
        <w:spacing w:line="600" w:lineRule="exact"/>
        <w:ind w:firstLineChars="0"/>
        <w:outlineLvl w:val="1"/>
        <w:rPr>
          <w:rStyle w:val="20"/>
          <w:rFonts w:ascii="黑体" w:hAnsi="黑体" w:eastAsia="黑体"/>
          <w:b w:val="0"/>
        </w:rPr>
      </w:pPr>
      <w:r>
        <w:rPr>
          <w:rFonts w:hint="eastAsia" w:ascii="黑体" w:hAnsi="黑体" w:eastAsia="黑体"/>
          <w:sz w:val="32"/>
          <w:szCs w:val="32"/>
        </w:rPr>
        <w:t>收</w:t>
      </w:r>
      <w:r>
        <w:rPr>
          <w:rStyle w:val="20"/>
          <w:rFonts w:hint="eastAsia" w:ascii="黑体" w:hAnsi="黑体" w:eastAsia="黑体"/>
          <w:b w:val="0"/>
        </w:rPr>
        <w:t>入支出决算总体情况说明</w:t>
      </w:r>
    </w:p>
    <w:p w14:paraId="4FC3B559">
      <w:pPr>
        <w:pStyle w:val="21"/>
        <w:spacing w:line="600" w:lineRule="exact"/>
        <w:ind w:firstLine="640"/>
        <w:outlineLvl w:val="1"/>
        <w:rPr>
          <w:rFonts w:ascii="仿宋_GB2312" w:hAnsi="宋体" w:eastAsia="仿宋_GB2312"/>
          <w:bCs/>
          <w:color w:val="000000"/>
          <w:sz w:val="32"/>
          <w:szCs w:val="32"/>
        </w:rPr>
      </w:pPr>
      <w:r>
        <w:rPr>
          <w:rFonts w:hint="eastAsia" w:eastAsia="仿宋_GB2312" w:cs="仿宋_GB2312"/>
          <w:sz w:val="32"/>
          <w:szCs w:val="32"/>
        </w:rPr>
        <w:t>2024年度收入、支出总计均为</w:t>
      </w:r>
      <w:r>
        <w:rPr>
          <w:rFonts w:hint="eastAsia" w:ascii="仿宋_GB2312" w:hAnsi="仿宋_GB2312" w:eastAsia="仿宋_GB2312" w:cs="仿宋_GB2312"/>
          <w:sz w:val="32"/>
          <w:szCs w:val="32"/>
        </w:rPr>
        <w:t>556.68</w:t>
      </w:r>
      <w:r>
        <w:rPr>
          <w:rFonts w:hint="eastAsia" w:eastAsia="仿宋_GB2312" w:cs="仿宋_GB2312"/>
          <w:sz w:val="32"/>
          <w:szCs w:val="32"/>
        </w:rPr>
        <w:t>万元。与2023年度相比，收入、支出总计各减少</w:t>
      </w:r>
      <w:r>
        <w:rPr>
          <w:rFonts w:hint="eastAsia" w:eastAsia="仿宋_GB2312" w:cs="仿宋_GB2312"/>
          <w:sz w:val="32"/>
          <w:szCs w:val="32"/>
          <w:lang w:val="en-US" w:eastAsia="zh-CN"/>
        </w:rPr>
        <w:t>18.63</w:t>
      </w:r>
      <w:r>
        <w:rPr>
          <w:rFonts w:hint="eastAsia" w:eastAsia="仿宋_GB2312" w:cs="仿宋_GB2312"/>
          <w:sz w:val="32"/>
          <w:szCs w:val="32"/>
        </w:rPr>
        <w:t>万元，下降</w:t>
      </w:r>
      <w:r>
        <w:rPr>
          <w:rFonts w:hint="eastAsia" w:eastAsia="仿宋_GB2312" w:cs="仿宋_GB2312"/>
          <w:sz w:val="32"/>
          <w:szCs w:val="32"/>
          <w:lang w:val="en-US" w:eastAsia="zh-CN"/>
        </w:rPr>
        <w:t>3</w:t>
      </w:r>
      <w:r>
        <w:rPr>
          <w:rFonts w:hint="eastAsia" w:eastAsia="仿宋_GB2312" w:cs="仿宋_GB2312"/>
          <w:sz w:val="32"/>
          <w:szCs w:val="32"/>
        </w:rPr>
        <w:t>%</w:t>
      </w:r>
      <w:r>
        <w:rPr>
          <w:rFonts w:hint="eastAsia" w:eastAsia="仿宋_GB2312" w:cs="仿宋_GB2312"/>
          <w:sz w:val="32"/>
          <w:szCs w:val="32"/>
          <w:lang w:eastAsia="zh-CN"/>
        </w:rPr>
        <w:t>。</w:t>
      </w:r>
      <w:r>
        <w:rPr>
          <w:rFonts w:hint="eastAsia" w:ascii="仿宋_GB2312" w:hAnsi="宋体" w:eastAsia="仿宋_GB2312"/>
          <w:bCs/>
          <w:color w:val="000000"/>
          <w:sz w:val="32"/>
          <w:szCs w:val="32"/>
        </w:rPr>
        <w:t>主要原因为考试院为教育收费单位，</w:t>
      </w:r>
      <w:r>
        <w:rPr>
          <w:rFonts w:hint="eastAsia" w:ascii="仿宋_GB2312" w:hAnsi="宋体" w:eastAsia="仿宋_GB2312"/>
          <w:bCs/>
          <w:color w:val="000000"/>
          <w:sz w:val="32"/>
          <w:szCs w:val="32"/>
          <w:lang w:eastAsia="zh-CN"/>
        </w:rPr>
        <w:t>财政资金由我院收取的报名费确定</w:t>
      </w:r>
      <w:r>
        <w:rPr>
          <w:rFonts w:hint="eastAsia" w:ascii="仿宋_GB2312" w:hAnsi="宋体" w:eastAsia="仿宋_GB2312"/>
          <w:bCs/>
          <w:color w:val="000000"/>
          <w:sz w:val="32"/>
          <w:szCs w:val="32"/>
        </w:rPr>
        <w:t>。</w:t>
      </w:r>
    </w:p>
    <w:p w14:paraId="04AE001C">
      <w:pPr>
        <w:pStyle w:val="7"/>
        <w:spacing w:before="93"/>
        <w:rPr>
          <w:rFonts w:hint="eastAsia" w:ascii="仿宋" w:hAnsi="仿宋" w:eastAsia="仿宋"/>
          <w:sz w:val="32"/>
          <w:szCs w:val="32"/>
        </w:rPr>
      </w:pPr>
      <w:r>
        <w:rPr>
          <w:rFonts w:hint="eastAsia" w:ascii="仿宋" w:hAnsi="仿宋" w:eastAsia="仿宋"/>
          <w:sz w:val="32"/>
          <w:szCs w:val="32"/>
        </w:rPr>
        <w:t xml:space="preserve"> </w:t>
      </w:r>
    </w:p>
    <w:p w14:paraId="7C815912">
      <w:pPr>
        <w:pStyle w:val="7"/>
        <w:spacing w:before="93"/>
        <w:rPr>
          <w:rFonts w:hint="eastAsia" w:ascii="仿宋" w:hAnsi="仿宋" w:eastAsia="仿宋"/>
          <w:sz w:val="32"/>
          <w:szCs w:val="32"/>
        </w:rPr>
      </w:pPr>
      <w:r>
        <w:rPr>
          <w:rFonts w:hint="eastAsia" w:ascii="仿宋_GB2312" w:hAnsi="仿宋" w:eastAsia="仿宋_GB2312"/>
          <w:color w:val="FF0000"/>
          <w:sz w:val="32"/>
          <w:szCs w:val="32"/>
        </w:rPr>
        <w:drawing>
          <wp:inline distT="0" distB="0" distL="0" distR="0">
            <wp:extent cx="4766310" cy="2148840"/>
            <wp:effectExtent l="5080" t="4445" r="1397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 w:hAnsi="仿宋" w:eastAsia="仿宋"/>
          <w:sz w:val="32"/>
          <w:szCs w:val="32"/>
        </w:rPr>
        <w:t xml:space="preserve"> </w:t>
      </w:r>
    </w:p>
    <w:p w14:paraId="0F8DCADA">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（图1：收、支决算总计变动情况图）（柱状图）</w:t>
      </w:r>
    </w:p>
    <w:p w14:paraId="0049EA87">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p>
    <w:p w14:paraId="706AA10B">
      <w:pPr>
        <w:pStyle w:val="21"/>
        <w:numPr>
          <w:ilvl w:val="0"/>
          <w:numId w:val="2"/>
        </w:numPr>
        <w:spacing w:line="600" w:lineRule="exact"/>
        <w:ind w:firstLineChars="0"/>
        <w:outlineLvl w:val="1"/>
        <w:rPr>
          <w:rStyle w:val="20"/>
          <w:rFonts w:hint="eastAsia" w:ascii="黑体" w:hAnsi="黑体" w:eastAsia="黑体"/>
          <w:b w:val="0"/>
        </w:rPr>
      </w:pPr>
      <w:r>
        <w:rPr>
          <w:rFonts w:hint="eastAsia" w:ascii="黑体" w:hAnsi="黑体" w:eastAsia="黑体"/>
          <w:sz w:val="32"/>
          <w:szCs w:val="32"/>
        </w:rPr>
        <w:t>收</w:t>
      </w:r>
      <w:r>
        <w:rPr>
          <w:rStyle w:val="20"/>
          <w:rFonts w:hint="eastAsia" w:ascii="黑体" w:hAnsi="黑体" w:eastAsia="黑体"/>
          <w:b w:val="0"/>
        </w:rPr>
        <w:t>入决算情况说明</w:t>
      </w:r>
    </w:p>
    <w:p w14:paraId="5D66BBED">
      <w:pPr>
        <w:pStyle w:val="7"/>
        <w:spacing w:before="93"/>
        <w:ind w:firstLine="640" w:firstLineChars="200"/>
        <w:rPr>
          <w:rFonts w:hint="eastAsia" w:ascii="仿宋" w:hAnsi="仿宋" w:eastAsia="仿宋"/>
          <w:sz w:val="32"/>
          <w:szCs w:val="32"/>
        </w:rPr>
      </w:pPr>
      <w:r>
        <w:rPr>
          <w:rFonts w:hint="eastAsia" w:ascii="仿宋_GB2312" w:hAnsi="仿宋_GB2312" w:eastAsia="仿宋_GB2312" w:cs="仿宋_GB2312"/>
          <w:sz w:val="32"/>
          <w:szCs w:val="32"/>
        </w:rPr>
        <w:t>2024年度本年收入合计539.86万元，其中：一般公共预算财政拨款收入427.33万元，占79.15%；政府性基金预算财政拨款收入0万元，占0%%；国有资本经营预算财政拨款收入0万元，占0%；上级补助收入0万元，占0%；事业收入112.53万元，占20.84%；经营收入0万元，占0%；附属单位上缴收入0万元，占0%；其他收入0万元，占0%。</w:t>
      </w:r>
      <w:r>
        <w:rPr>
          <w:rFonts w:hint="eastAsia" w:ascii="仿宋" w:hAnsi="仿宋" w:eastAsia="仿宋"/>
          <w:sz w:val="32"/>
          <w:szCs w:val="32"/>
        </w:rPr>
        <w:t xml:space="preserve"> </w:t>
      </w:r>
    </w:p>
    <w:p w14:paraId="15C44917">
      <w:pPr>
        <w:pStyle w:val="7"/>
        <w:spacing w:before="93"/>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object>
          <v:shape id="_x0000_i1025" o:spt="75" type="#_x0000_t75" style="height:242.9pt;width:416.7pt;" o:ole="t" filled="f" stroked="f" coordsize="21600,21600">
            <v:path/>
            <v:fill on="f" focussize="0,0"/>
            <v:stroke on="f"/>
            <v:imagedata r:id="rId11" o:title=""/>
            <o:lock v:ext="edit" grouping="f" rotation="f" text="f" aspectratio="f"/>
            <w10:wrap type="none"/>
            <w10:anchorlock/>
          </v:shape>
          <o:OLEObject Type="Embed" ProgID="Excel.Chart.8" ShapeID="_x0000_i1025" DrawAspect="Content" ObjectID="_1468075725" r:id="rId10">
            <o:LockedField>false</o:LockedField>
          </o:OLEObject>
        </w:object>
      </w:r>
    </w:p>
    <w:p w14:paraId="31716DEA">
      <w:pPr>
        <w:spacing w:line="600" w:lineRule="exact"/>
        <w:ind w:firstLine="1280" w:firstLineChars="400"/>
        <w:rPr>
          <w:rFonts w:hint="eastAsia" w:ascii="仿宋" w:hAnsi="仿宋" w:eastAsia="仿宋"/>
          <w:sz w:val="32"/>
          <w:szCs w:val="32"/>
        </w:rPr>
      </w:pPr>
      <w:r>
        <w:rPr>
          <w:rFonts w:hint="eastAsia" w:ascii="仿宋" w:hAnsi="仿宋" w:eastAsia="仿宋"/>
          <w:sz w:val="32"/>
          <w:szCs w:val="32"/>
        </w:rPr>
        <w:t>（图2：收入决算结构图）（饼状图）</w:t>
      </w:r>
    </w:p>
    <w:p w14:paraId="50ADF56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7B75E075">
      <w:pPr>
        <w:pStyle w:val="21"/>
        <w:numPr>
          <w:ilvl w:val="0"/>
          <w:numId w:val="2"/>
        </w:numPr>
        <w:spacing w:line="600" w:lineRule="exact"/>
        <w:ind w:firstLineChars="0"/>
        <w:outlineLvl w:val="1"/>
        <w:rPr>
          <w:rStyle w:val="20"/>
          <w:rFonts w:hint="eastAsia" w:ascii="黑体" w:hAnsi="黑体" w:eastAsia="黑体"/>
          <w:b w:val="0"/>
        </w:rPr>
      </w:pPr>
      <w:r>
        <w:rPr>
          <w:rFonts w:hint="eastAsia" w:ascii="黑体" w:hAnsi="黑体" w:eastAsia="黑体"/>
          <w:sz w:val="32"/>
          <w:szCs w:val="32"/>
        </w:rPr>
        <w:t>支</w:t>
      </w:r>
      <w:r>
        <w:rPr>
          <w:rStyle w:val="20"/>
          <w:rFonts w:hint="eastAsia" w:ascii="黑体" w:hAnsi="黑体" w:eastAsia="黑体"/>
          <w:b w:val="0"/>
        </w:rPr>
        <w:t>出决算情况说明</w:t>
      </w:r>
    </w:p>
    <w:p w14:paraId="4D374B11">
      <w:pPr>
        <w:spacing w:line="600" w:lineRule="exact"/>
        <w:ind w:firstLine="640" w:firstLineChars="200"/>
        <w:rPr>
          <w:rFonts w:hint="eastAsia" w:ascii="仿宋" w:hAnsi="仿宋" w:eastAsia="仿宋_GB2312"/>
          <w:sz w:val="32"/>
          <w:szCs w:val="32"/>
          <w:shd w:val="clear" w:color="auto" w:fill="7F7F7F"/>
          <w:lang w:eastAsia="zh-CN"/>
        </w:rPr>
      </w:pPr>
      <w:r>
        <w:rPr>
          <w:rFonts w:hint="eastAsia" w:ascii="仿宋_GB2312" w:hAnsi="仿宋_GB2312" w:eastAsia="仿宋_GB2312" w:cs="仿宋_GB2312"/>
          <w:sz w:val="32"/>
          <w:szCs w:val="32"/>
        </w:rPr>
        <w:t>2024年度本年支出合计556.68万元，其中：基本支出354.15万元，占63.61%；项目支出202.53万元，占36.38%；上缴上级支出0万元，占0%；经营支出0万元，占0%；对附属单位补助支出0万元，占0%</w:t>
      </w:r>
      <w:r>
        <w:rPr>
          <w:rFonts w:hint="eastAsia" w:ascii="仿宋_GB2312" w:hAnsi="仿宋_GB2312" w:eastAsia="仿宋_GB2312" w:cs="仿宋_GB2312"/>
          <w:sz w:val="32"/>
          <w:szCs w:val="32"/>
          <w:lang w:eastAsia="zh-CN"/>
        </w:rPr>
        <w:t>。</w:t>
      </w:r>
    </w:p>
    <w:p w14:paraId="08FB2101">
      <w:pPr>
        <w:pStyle w:val="7"/>
        <w:spacing w:before="93"/>
        <w:rPr>
          <w:rFonts w:hint="eastAsia" w:ascii="仿宋" w:hAnsi="仿宋" w:eastAsia="仿宋"/>
          <w:sz w:val="32"/>
          <w:szCs w:val="32"/>
          <w:shd w:val="clear" w:color="auto" w:fill="7F7F7F"/>
        </w:rPr>
      </w:pPr>
      <w:r>
        <w:object>
          <v:shape id="_x0000_i1026" o:spt="75" type="#_x0000_t75" style="height:242.9pt;width:416.7pt;" o:ole="t" filled="f" stroked="f" coordsize="21600,21600">
            <v:path/>
            <v:fill on="f" focussize="0,0"/>
            <v:stroke on="f"/>
            <v:imagedata r:id="rId13" o:title=""/>
            <o:lock v:ext="edit" grouping="f" rotation="f" text="f" aspectratio="f"/>
            <w10:wrap type="none"/>
            <w10:anchorlock/>
          </v:shape>
          <o:OLEObject Type="Embed" ProgID="Excel.Chart.8" ShapeID="_x0000_i1026" DrawAspect="Content" ObjectID="_1468075726" r:id="rId12">
            <o:LockedField>false</o:LockedField>
          </o:OLEObject>
        </w:object>
      </w:r>
    </w:p>
    <w:p w14:paraId="01ECCD5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0A6E168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7D2C9759">
      <w:pPr>
        <w:spacing w:line="600" w:lineRule="exact"/>
        <w:ind w:firstLine="640" w:firstLineChars="200"/>
        <w:outlineLvl w:val="1"/>
        <w:rPr>
          <w:rStyle w:val="20"/>
          <w:rFonts w:hint="eastAsia" w:ascii="黑体" w:hAnsi="黑体" w:eastAsia="黑体"/>
          <w:b w:val="0"/>
        </w:rPr>
      </w:pPr>
      <w:r>
        <w:rPr>
          <w:rFonts w:hint="eastAsia" w:ascii="黑体" w:hAnsi="黑体" w:eastAsia="黑体"/>
          <w:sz w:val="32"/>
          <w:szCs w:val="32"/>
        </w:rPr>
        <w:t>四、财</w:t>
      </w:r>
      <w:r>
        <w:rPr>
          <w:rStyle w:val="20"/>
          <w:rFonts w:hint="eastAsia" w:ascii="黑体" w:hAnsi="黑体" w:eastAsia="黑体"/>
          <w:b w:val="0"/>
        </w:rPr>
        <w:t>政拨款收入支出决算总体情况说明</w:t>
      </w:r>
    </w:p>
    <w:p w14:paraId="46B3A844">
      <w:pPr>
        <w:spacing w:line="360" w:lineRule="auto"/>
        <w:ind w:firstLine="691" w:firstLineChars="216"/>
        <w:rPr>
          <w:rFonts w:hint="eastAsia" w:ascii="仿宋_GB2312" w:hAnsi="宋体" w:eastAsia="仿宋_GB2312"/>
          <w:bCs/>
          <w:color w:val="000000"/>
          <w:sz w:val="32"/>
          <w:szCs w:val="32"/>
        </w:rPr>
      </w:pPr>
      <w:r>
        <w:rPr>
          <w:rFonts w:hint="eastAsia" w:eastAsia="仿宋_GB2312" w:cs="仿宋_GB2312"/>
          <w:sz w:val="32"/>
          <w:szCs w:val="32"/>
        </w:rPr>
        <w:t>2024年度财政拨款收入、支出总计均为</w:t>
      </w:r>
      <w:r>
        <w:rPr>
          <w:rFonts w:hint="eastAsia" w:ascii="仿宋_GB2312" w:hAnsi="仿宋_GB2312" w:eastAsia="仿宋_GB2312" w:cs="仿宋_GB2312"/>
          <w:sz w:val="32"/>
          <w:szCs w:val="32"/>
        </w:rPr>
        <w:t>427.33</w:t>
      </w:r>
      <w:r>
        <w:rPr>
          <w:rFonts w:hint="eastAsia" w:eastAsia="仿宋_GB2312" w:cs="仿宋_GB2312"/>
          <w:sz w:val="32"/>
          <w:szCs w:val="32"/>
        </w:rPr>
        <w:t>万元。</w:t>
      </w:r>
    </w:p>
    <w:p w14:paraId="42500EC1">
      <w:pPr>
        <w:pStyle w:val="21"/>
        <w:spacing w:line="600" w:lineRule="exact"/>
        <w:ind w:firstLine="640"/>
        <w:outlineLvl w:val="1"/>
        <w:rPr>
          <w:rFonts w:ascii="仿宋_GB2312" w:hAnsi="宋体" w:eastAsia="仿宋_GB2312"/>
          <w:bCs/>
          <w:color w:val="000000"/>
          <w:sz w:val="32"/>
          <w:szCs w:val="32"/>
        </w:rPr>
      </w:pPr>
      <w:r>
        <w:rPr>
          <w:rFonts w:hint="eastAsia" w:ascii="仿宋_GB2312" w:hAnsi="宋体" w:eastAsia="仿宋_GB2312"/>
          <w:bCs/>
          <w:color w:val="000000"/>
          <w:sz w:val="32"/>
          <w:szCs w:val="32"/>
        </w:rPr>
        <w:t>202</w:t>
      </w:r>
      <w:r>
        <w:rPr>
          <w:rFonts w:hint="eastAsia" w:ascii="仿宋_GB2312" w:hAnsi="宋体" w:eastAsia="仿宋_GB2312"/>
          <w:bCs/>
          <w:color w:val="000000"/>
          <w:sz w:val="32"/>
          <w:szCs w:val="32"/>
          <w:lang w:val="en-US" w:eastAsia="zh-CN"/>
        </w:rPr>
        <w:t>4</w:t>
      </w:r>
      <w:r>
        <w:rPr>
          <w:rFonts w:hint="eastAsia" w:ascii="仿宋_GB2312" w:hAnsi="宋体" w:eastAsia="仿宋_GB2312"/>
          <w:bCs/>
          <w:color w:val="000000"/>
          <w:sz w:val="32"/>
          <w:szCs w:val="32"/>
        </w:rPr>
        <w:t>年较202</w:t>
      </w:r>
      <w:r>
        <w:rPr>
          <w:rFonts w:hint="eastAsia" w:ascii="仿宋_GB2312" w:hAnsi="宋体" w:eastAsia="仿宋_GB2312"/>
          <w:bCs/>
          <w:color w:val="000000"/>
          <w:sz w:val="32"/>
          <w:szCs w:val="32"/>
          <w:lang w:val="en-US" w:eastAsia="zh-CN"/>
        </w:rPr>
        <w:t>3</w:t>
      </w:r>
      <w:r>
        <w:rPr>
          <w:rFonts w:hint="eastAsia" w:ascii="仿宋_GB2312" w:hAnsi="宋体" w:eastAsia="仿宋_GB2312"/>
          <w:bCs/>
          <w:color w:val="000000"/>
          <w:sz w:val="32"/>
          <w:szCs w:val="32"/>
        </w:rPr>
        <w:t>年收入</w:t>
      </w:r>
      <w:r>
        <w:rPr>
          <w:rFonts w:hint="eastAsia" w:ascii="仿宋_GB2312" w:hAnsi="宋体" w:eastAsia="仿宋_GB2312"/>
          <w:bCs/>
          <w:color w:val="000000"/>
          <w:sz w:val="32"/>
          <w:szCs w:val="32"/>
          <w:lang w:eastAsia="zh-CN"/>
        </w:rPr>
        <w:t>减少</w:t>
      </w:r>
      <w:r>
        <w:rPr>
          <w:rFonts w:hint="eastAsia" w:ascii="仿宋_GB2312" w:hAnsi="宋体" w:eastAsia="仿宋_GB2312"/>
          <w:bCs/>
          <w:color w:val="000000"/>
          <w:sz w:val="32"/>
          <w:szCs w:val="32"/>
          <w:lang w:val="en-US" w:eastAsia="zh-CN"/>
        </w:rPr>
        <w:t>129.67</w:t>
      </w:r>
      <w:r>
        <w:rPr>
          <w:rFonts w:hint="eastAsia" w:ascii="仿宋_GB2312" w:hAnsi="宋体" w:eastAsia="仿宋_GB2312"/>
          <w:bCs/>
          <w:color w:val="000000"/>
          <w:sz w:val="32"/>
          <w:szCs w:val="32"/>
        </w:rPr>
        <w:t>万元。主要原因为2023年考试院正式定为教育收费单位，主要原因为考试院为教育收费单位，</w:t>
      </w:r>
      <w:r>
        <w:rPr>
          <w:rFonts w:hint="eastAsia" w:ascii="仿宋_GB2312" w:hAnsi="宋体" w:eastAsia="仿宋_GB2312"/>
          <w:bCs/>
          <w:color w:val="000000"/>
          <w:sz w:val="32"/>
          <w:szCs w:val="32"/>
          <w:lang w:eastAsia="zh-CN"/>
        </w:rPr>
        <w:t>财政资金由我院收取的报名费确定</w:t>
      </w:r>
      <w:r>
        <w:rPr>
          <w:rFonts w:hint="eastAsia" w:ascii="仿宋_GB2312" w:hAnsi="宋体" w:eastAsia="仿宋_GB2312"/>
          <w:bCs/>
          <w:color w:val="000000"/>
          <w:sz w:val="32"/>
          <w:szCs w:val="32"/>
        </w:rPr>
        <w:t>。</w:t>
      </w:r>
    </w:p>
    <w:p w14:paraId="6281331B">
      <w:pPr>
        <w:spacing w:line="360" w:lineRule="auto"/>
        <w:rPr>
          <w:rFonts w:hint="eastAsia" w:ascii="仿宋_GB2312" w:hAnsi="宋体" w:eastAsia="仿宋_GB2312"/>
          <w:bCs/>
          <w:color w:val="000000"/>
          <w:sz w:val="32"/>
          <w:szCs w:val="32"/>
        </w:rPr>
      </w:pPr>
      <w:r>
        <w:rPr>
          <w:rFonts w:hint="eastAsia" w:ascii="仿宋_GB2312" w:hAnsi="仿宋" w:eastAsia="仿宋_GB2312"/>
          <w:sz w:val="32"/>
          <w:szCs w:val="32"/>
        </w:rPr>
        <w:drawing>
          <wp:inline distT="0" distB="0" distL="0" distR="0">
            <wp:extent cx="3649980" cy="1840230"/>
            <wp:effectExtent l="4445" t="4445" r="1841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9C2852">
      <w:pPr>
        <w:rPr>
          <w:rFonts w:hint="eastAsia"/>
        </w:rPr>
      </w:pPr>
    </w:p>
    <w:p w14:paraId="7DA085ED">
      <w:r>
        <w:rPr>
          <w:rFonts w:hint="eastAsia" w:ascii="仿宋" w:hAnsi="仿宋" w:eastAsia="仿宋"/>
          <w:sz w:val="32"/>
          <w:szCs w:val="32"/>
        </w:rPr>
        <w:t>（图4：财政拨款收、支决算总计变动情况）（柱状图）</w:t>
      </w:r>
    </w:p>
    <w:p w14:paraId="76E6D1F6">
      <w:pPr>
        <w:spacing w:line="600" w:lineRule="exact"/>
        <w:ind w:firstLine="640" w:firstLineChars="200"/>
        <w:outlineLvl w:val="1"/>
        <w:rPr>
          <w:rStyle w:val="20"/>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0"/>
          <w:rFonts w:hint="eastAsia" w:ascii="黑体" w:hAnsi="黑体" w:eastAsia="黑体"/>
          <w:b w:val="0"/>
        </w:rPr>
        <w:t>般公共预算财政拨款支出决算情况说明</w:t>
      </w:r>
    </w:p>
    <w:p w14:paraId="12939DDF">
      <w:pPr>
        <w:spacing w:line="600" w:lineRule="exact"/>
        <w:ind w:firstLine="643" w:firstLineChars="200"/>
        <w:outlineLvl w:val="2"/>
        <w:rPr>
          <w:rFonts w:hint="eastAsia" w:ascii="仿宋" w:hAnsi="仿宋" w:eastAsia="仿宋"/>
          <w:b/>
        </w:rPr>
      </w:pPr>
      <w:r>
        <w:rPr>
          <w:rFonts w:hint="eastAsia" w:ascii="仿宋" w:hAnsi="仿宋" w:eastAsia="仿宋"/>
          <w:b/>
          <w:sz w:val="32"/>
          <w:szCs w:val="32"/>
        </w:rPr>
        <w:t>（一）一般公共预算财政拨款支出决算总体情况</w:t>
      </w:r>
    </w:p>
    <w:p w14:paraId="029E1D61">
      <w:pPr>
        <w:spacing w:line="600" w:lineRule="exact"/>
        <w:ind w:firstLine="640"/>
        <w:rPr>
          <w:rFonts w:hint="default" w:eastAsia="仿宋_GB2312" w:cs="仿宋_GB2312"/>
          <w:sz w:val="32"/>
          <w:szCs w:val="32"/>
          <w:lang w:val="en-US" w:eastAsia="zh-CN"/>
        </w:rPr>
      </w:pPr>
      <w:r>
        <w:rPr>
          <w:rFonts w:hint="eastAsia" w:ascii="仿宋_GB2312" w:hAnsi="仿宋_GB2312" w:eastAsia="仿宋_GB2312" w:cs="仿宋_GB2312"/>
          <w:sz w:val="32"/>
          <w:szCs w:val="32"/>
        </w:rPr>
        <w:t>2024年度一般公共预算财政拨款支出427.33万元，占本年支出合计的76.76%。与2023年度相比，一般公共预算财政拨款支出减少</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2023年下半年退休一人。</w:t>
      </w:r>
    </w:p>
    <w:p w14:paraId="644077FE">
      <w:pPr>
        <w:rPr>
          <w:rFonts w:hint="eastAsia"/>
        </w:rPr>
      </w:pPr>
    </w:p>
    <w:p w14:paraId="0E6BBAEE">
      <w:pPr>
        <w:rPr>
          <w:rFonts w:hint="eastAsia"/>
        </w:rPr>
      </w:pPr>
    </w:p>
    <w:p w14:paraId="553AD951">
      <w:pPr>
        <w:rPr>
          <w:rFonts w:hint="eastAsia"/>
        </w:rPr>
      </w:pPr>
      <w:r>
        <w:rPr>
          <w:rFonts w:hint="eastAsia" w:ascii="仿宋_GB2312" w:hAnsi="仿宋" w:eastAsia="仿宋_GB2312"/>
          <w:color w:val="FF0000"/>
          <w:sz w:val="32"/>
          <w:szCs w:val="32"/>
        </w:rPr>
        <w:drawing>
          <wp:inline distT="0" distB="0" distL="0" distR="0">
            <wp:extent cx="4766310" cy="2148840"/>
            <wp:effectExtent l="5080" t="4445" r="13970"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9139E9">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5FF3D769">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p>
    <w:p w14:paraId="682052C2">
      <w:pPr>
        <w:ind w:firstLine="640" w:firstLineChars="200"/>
        <w:rPr>
          <w:rFonts w:hint="eastAsia"/>
        </w:rPr>
      </w:pPr>
      <w:r>
        <w:rPr>
          <w:rFonts w:hint="eastAsia" w:eastAsia="仿宋_GB2312" w:cs="仿宋_GB2312"/>
          <w:sz w:val="32"/>
          <w:szCs w:val="32"/>
        </w:rPr>
        <w:t>2024年度一般公共预算财政拨款支出</w:t>
      </w:r>
      <w:r>
        <w:rPr>
          <w:rFonts w:hint="eastAsia" w:ascii="仿宋_GB2312" w:hAnsi="仿宋_GB2312" w:eastAsia="仿宋_GB2312" w:cs="仿宋_GB2312"/>
          <w:sz w:val="32"/>
          <w:szCs w:val="32"/>
        </w:rPr>
        <w:t>427.33万元</w:t>
      </w:r>
      <w:r>
        <w:rPr>
          <w:rFonts w:hint="eastAsia" w:eastAsia="仿宋_GB2312" w:cs="仿宋_GB2312"/>
          <w:sz w:val="32"/>
          <w:szCs w:val="32"/>
        </w:rPr>
        <w:t>，主要用于以下方面：教育支出</w:t>
      </w:r>
      <w:r>
        <w:rPr>
          <w:rFonts w:hint="eastAsia" w:eastAsia="仿宋_GB2312" w:cs="仿宋_GB2312"/>
          <w:sz w:val="32"/>
          <w:szCs w:val="32"/>
          <w:lang w:val="en-US" w:eastAsia="zh-CN"/>
        </w:rPr>
        <w:t>312.99</w:t>
      </w:r>
      <w:r>
        <w:rPr>
          <w:rFonts w:hint="eastAsia" w:eastAsia="仿宋_GB2312" w:cs="仿宋_GB2312"/>
          <w:sz w:val="32"/>
          <w:szCs w:val="32"/>
        </w:rPr>
        <w:t>万元，占</w:t>
      </w:r>
      <w:r>
        <w:rPr>
          <w:rFonts w:hint="eastAsia" w:eastAsia="仿宋_GB2312" w:cs="仿宋_GB2312"/>
          <w:sz w:val="32"/>
          <w:szCs w:val="32"/>
          <w:lang w:val="en-US" w:eastAsia="zh-CN"/>
        </w:rPr>
        <w:t>73</w:t>
      </w:r>
      <w:r>
        <w:rPr>
          <w:rFonts w:hint="eastAsia" w:eastAsia="仿宋_GB2312" w:cs="仿宋_GB2312"/>
          <w:sz w:val="32"/>
          <w:szCs w:val="32"/>
        </w:rPr>
        <w:t>%；社会保障和就业支出</w:t>
      </w:r>
      <w:r>
        <w:rPr>
          <w:rFonts w:hint="eastAsia" w:eastAsia="仿宋_GB2312" w:cs="仿宋_GB2312"/>
          <w:sz w:val="32"/>
          <w:szCs w:val="32"/>
          <w:lang w:val="en-US" w:eastAsia="zh-CN"/>
        </w:rPr>
        <w:t>70.5</w:t>
      </w:r>
      <w:r>
        <w:rPr>
          <w:rFonts w:hint="eastAsia" w:eastAsia="仿宋_GB2312" w:cs="仿宋_GB2312"/>
          <w:sz w:val="32"/>
          <w:szCs w:val="32"/>
        </w:rPr>
        <w:t>万元，占</w:t>
      </w:r>
      <w:r>
        <w:rPr>
          <w:rFonts w:hint="eastAsia" w:eastAsia="仿宋_GB2312" w:cs="仿宋_GB2312"/>
          <w:sz w:val="32"/>
          <w:szCs w:val="32"/>
          <w:lang w:val="en-US" w:eastAsia="zh-CN"/>
        </w:rPr>
        <w:t>16</w:t>
      </w:r>
      <w:r>
        <w:rPr>
          <w:rFonts w:hint="eastAsia" w:eastAsia="仿宋_GB2312" w:cs="仿宋_GB2312"/>
          <w:sz w:val="32"/>
          <w:szCs w:val="32"/>
        </w:rPr>
        <w:t>%；卫生健康支出</w:t>
      </w:r>
      <w:r>
        <w:rPr>
          <w:rFonts w:hint="eastAsia" w:eastAsia="仿宋_GB2312" w:cs="仿宋_GB2312"/>
          <w:sz w:val="32"/>
          <w:szCs w:val="32"/>
          <w:lang w:val="en-US" w:eastAsia="zh-CN"/>
        </w:rPr>
        <w:t>19.39</w:t>
      </w:r>
      <w:r>
        <w:rPr>
          <w:rFonts w:hint="eastAsia" w:eastAsia="仿宋_GB2312" w:cs="仿宋_GB2312"/>
          <w:sz w:val="32"/>
          <w:szCs w:val="32"/>
        </w:rPr>
        <w:t>万元，占</w:t>
      </w:r>
      <w:r>
        <w:rPr>
          <w:rFonts w:hint="eastAsia" w:eastAsia="仿宋_GB2312" w:cs="仿宋_GB2312"/>
          <w:sz w:val="32"/>
          <w:szCs w:val="32"/>
          <w:lang w:val="en-US" w:eastAsia="zh-CN"/>
        </w:rPr>
        <w:t>4</w:t>
      </w:r>
      <w:r>
        <w:rPr>
          <w:rFonts w:hint="eastAsia" w:eastAsia="仿宋_GB2312" w:cs="仿宋_GB2312"/>
          <w:sz w:val="32"/>
          <w:szCs w:val="32"/>
        </w:rPr>
        <w:t>%；住房保障支出</w:t>
      </w:r>
      <w:r>
        <w:rPr>
          <w:rFonts w:hint="eastAsia" w:eastAsia="仿宋_GB2312" w:cs="仿宋_GB2312"/>
          <w:sz w:val="32"/>
          <w:szCs w:val="32"/>
          <w:lang w:val="en-US" w:eastAsia="zh-CN"/>
        </w:rPr>
        <w:t>24.45</w:t>
      </w:r>
      <w:r>
        <w:rPr>
          <w:rFonts w:hint="eastAsia" w:eastAsia="仿宋_GB2312" w:cs="仿宋_GB2312"/>
          <w:sz w:val="32"/>
          <w:szCs w:val="32"/>
        </w:rPr>
        <w:t>万元，占</w:t>
      </w:r>
      <w:r>
        <w:rPr>
          <w:rFonts w:hint="eastAsia" w:eastAsia="仿宋_GB2312" w:cs="仿宋_GB2312"/>
          <w:sz w:val="32"/>
          <w:szCs w:val="32"/>
          <w:lang w:val="en-US" w:eastAsia="zh-CN"/>
        </w:rPr>
        <w:t>5</w:t>
      </w:r>
      <w:r>
        <w:rPr>
          <w:rFonts w:hint="eastAsia" w:eastAsia="仿宋_GB2312" w:cs="仿宋_GB2312"/>
          <w:sz w:val="32"/>
          <w:szCs w:val="32"/>
        </w:rPr>
        <w:t>%；</w:t>
      </w:r>
    </w:p>
    <w:p w14:paraId="28DD3A7A">
      <w:pPr>
        <w:rPr>
          <w:rFonts w:hint="eastAsia"/>
        </w:rPr>
      </w:pPr>
      <w:r>
        <w:object>
          <v:shape id="_x0000_i1027" o:spt="75" type="#_x0000_t75" style="height:242.9pt;width:416.7pt;" o:ole="t" filled="f" stroked="f" coordsize="21600,21600">
            <v:path/>
            <v:fill on="f" focussize="0,0"/>
            <v:stroke on="f"/>
            <v:imagedata r:id="rId17" o:title=""/>
            <o:lock v:ext="edit" grouping="f" rotation="f" text="f" aspectratio="f"/>
            <w10:wrap type="none"/>
            <w10:anchorlock/>
          </v:shape>
          <o:OLEObject Type="Embed" ProgID="Excel.Chart.8" ShapeID="_x0000_i1027" DrawAspect="Content" ObjectID="_1468075727" r:id="rId16">
            <o:LockedField>false</o:LockedField>
          </o:OLEObject>
        </w:object>
      </w:r>
    </w:p>
    <w:p w14:paraId="0EEB5C0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0003542">
      <w:pPr>
        <w:spacing w:line="600" w:lineRule="exact"/>
        <w:ind w:firstLine="643" w:firstLineChars="200"/>
        <w:outlineLvl w:val="2"/>
        <w:rPr>
          <w:rFonts w:ascii="仿宋" w:hAnsi="仿宋" w:eastAsia="仿宋"/>
          <w:bCs/>
          <w:sz w:val="32"/>
          <w:szCs w:val="32"/>
        </w:rPr>
      </w:pPr>
      <w:r>
        <w:rPr>
          <w:rFonts w:hint="eastAsia" w:ascii="仿宋" w:hAnsi="仿宋" w:eastAsia="仿宋"/>
          <w:b/>
          <w:sz w:val="32"/>
          <w:szCs w:val="32"/>
        </w:rPr>
        <w:t>（三）</w:t>
      </w:r>
      <w:r>
        <w:rPr>
          <w:rFonts w:hint="eastAsia" w:ascii="仿宋" w:hAnsi="仿宋" w:eastAsia="仿宋"/>
          <w:bCs/>
          <w:sz w:val="32"/>
          <w:szCs w:val="32"/>
        </w:rPr>
        <w:t>一般公共预算财政拨款支出决算具体情况</w:t>
      </w:r>
    </w:p>
    <w:p w14:paraId="4DD446AF">
      <w:pPr>
        <w:spacing w:line="600" w:lineRule="exact"/>
        <w:ind w:firstLine="640" w:firstLineChars="200"/>
        <w:outlineLvl w:val="2"/>
        <w:rPr>
          <w:rFonts w:hint="eastAsia" w:ascii="仿宋" w:hAnsi="仿宋" w:eastAsia="仿宋"/>
          <w:bCs/>
          <w:sz w:val="32"/>
          <w:szCs w:val="32"/>
        </w:rPr>
      </w:pPr>
      <w:r>
        <w:rPr>
          <w:rFonts w:hint="eastAsia" w:ascii="仿宋" w:hAnsi="仿宋" w:eastAsia="仿宋"/>
          <w:bCs/>
          <w:sz w:val="32"/>
          <w:szCs w:val="32"/>
        </w:rPr>
        <w:t>202</w:t>
      </w:r>
      <w:r>
        <w:rPr>
          <w:rFonts w:hint="eastAsia" w:ascii="仿宋" w:hAnsi="仿宋" w:eastAsia="仿宋"/>
          <w:bCs/>
          <w:sz w:val="32"/>
          <w:szCs w:val="32"/>
          <w:lang w:val="en-US" w:eastAsia="zh-CN"/>
        </w:rPr>
        <w:t>4</w:t>
      </w:r>
      <w:r>
        <w:rPr>
          <w:rFonts w:hint="eastAsia" w:ascii="仿宋" w:hAnsi="仿宋" w:eastAsia="仿宋"/>
          <w:bCs/>
          <w:sz w:val="32"/>
          <w:szCs w:val="32"/>
        </w:rPr>
        <w:t>年一般公共预算支出决算数为4</w:t>
      </w:r>
      <w:r>
        <w:rPr>
          <w:rFonts w:hint="eastAsia" w:ascii="仿宋" w:hAnsi="仿宋" w:eastAsia="仿宋"/>
          <w:bCs/>
          <w:sz w:val="32"/>
          <w:szCs w:val="32"/>
          <w:lang w:val="en-US" w:eastAsia="zh-CN"/>
        </w:rPr>
        <w:t>27.33</w:t>
      </w:r>
      <w:r>
        <w:rPr>
          <w:rFonts w:hint="eastAsia" w:ascii="仿宋" w:hAnsi="仿宋" w:eastAsia="仿宋"/>
          <w:bCs/>
          <w:sz w:val="32"/>
          <w:szCs w:val="32"/>
        </w:rPr>
        <w:t>万元，</w:t>
      </w:r>
      <w:r>
        <w:rPr>
          <w:rStyle w:val="20"/>
          <w:rFonts w:hint="eastAsia" w:ascii="仿宋" w:hAnsi="仿宋" w:eastAsia="仿宋"/>
          <w:b w:val="0"/>
        </w:rPr>
        <w:t>完成预算100%。其中：</w:t>
      </w:r>
    </w:p>
    <w:p w14:paraId="7B386F47">
      <w:pPr>
        <w:numPr>
          <w:ilvl w:val="0"/>
          <w:numId w:val="3"/>
        </w:numPr>
        <w:spacing w:line="600" w:lineRule="exact"/>
        <w:ind w:firstLine="643"/>
        <w:rPr>
          <w:rStyle w:val="20"/>
          <w:rFonts w:hint="eastAsia" w:ascii="仿宋" w:hAnsi="仿宋" w:eastAsia="仿宋"/>
          <w:b w:val="0"/>
          <w:color w:val="000000"/>
        </w:rPr>
      </w:pPr>
      <w:r>
        <w:rPr>
          <w:rStyle w:val="20"/>
          <w:rFonts w:hint="eastAsia" w:ascii="仿宋" w:hAnsi="仿宋" w:eastAsia="仿宋"/>
          <w:b w:val="0"/>
          <w:color w:val="000000"/>
        </w:rPr>
        <w:t>教育（类）教育管理事务（款）行政运行（项）: 支出决算为</w:t>
      </w:r>
      <w:r>
        <w:rPr>
          <w:rStyle w:val="20"/>
          <w:rFonts w:hint="eastAsia" w:ascii="仿宋" w:hAnsi="仿宋" w:eastAsia="仿宋"/>
          <w:b w:val="0"/>
          <w:color w:val="000000"/>
          <w:lang w:val="en-US" w:eastAsia="zh-CN"/>
        </w:rPr>
        <w:t>66.24</w:t>
      </w:r>
      <w:r>
        <w:rPr>
          <w:rStyle w:val="20"/>
          <w:rFonts w:hint="eastAsia" w:ascii="仿宋" w:hAnsi="仿宋" w:eastAsia="仿宋"/>
          <w:b w:val="0"/>
          <w:color w:val="000000"/>
        </w:rPr>
        <w:t>万元，完成预算100%，决算数等于预算数。</w:t>
      </w:r>
    </w:p>
    <w:p w14:paraId="5C40C419">
      <w:pPr>
        <w:spacing w:line="600" w:lineRule="exact"/>
        <w:rPr>
          <w:rStyle w:val="20"/>
          <w:rFonts w:hint="eastAsia" w:ascii="仿宋" w:hAnsi="仿宋" w:eastAsia="仿宋"/>
          <w:b w:val="0"/>
          <w:color w:val="000000"/>
        </w:rPr>
      </w:pPr>
      <w:r>
        <w:rPr>
          <w:rStyle w:val="20"/>
          <w:rFonts w:hint="eastAsia" w:ascii="仿宋" w:hAnsi="仿宋" w:eastAsia="仿宋"/>
          <w:b w:val="0"/>
          <w:color w:val="000000"/>
        </w:rPr>
        <w:t xml:space="preserve">       教育（类）教育管理事务（款）其他教育管理事务支出（项）: 支出决算为</w:t>
      </w:r>
      <w:r>
        <w:rPr>
          <w:rStyle w:val="20"/>
          <w:rFonts w:hint="eastAsia" w:ascii="仿宋" w:hAnsi="仿宋" w:eastAsia="仿宋"/>
          <w:b w:val="0"/>
          <w:color w:val="000000"/>
          <w:lang w:val="en-US" w:eastAsia="zh-CN"/>
        </w:rPr>
        <w:t>142.48</w:t>
      </w:r>
      <w:r>
        <w:rPr>
          <w:rStyle w:val="20"/>
          <w:rFonts w:hint="eastAsia" w:ascii="仿宋" w:hAnsi="仿宋" w:eastAsia="仿宋"/>
          <w:b w:val="0"/>
          <w:color w:val="000000"/>
        </w:rPr>
        <w:t>万元，完成预算100%，决算数等于预算数。</w:t>
      </w:r>
    </w:p>
    <w:p w14:paraId="3FE1D363">
      <w:pPr>
        <w:spacing w:line="600" w:lineRule="exact"/>
        <w:ind w:firstLine="643"/>
        <w:rPr>
          <w:rStyle w:val="20"/>
          <w:rFonts w:hint="eastAsia" w:ascii="仿宋" w:hAnsi="仿宋" w:eastAsia="仿宋"/>
          <w:b w:val="0"/>
          <w:color w:val="000000"/>
        </w:rPr>
      </w:pPr>
      <w:r>
        <w:rPr>
          <w:rFonts w:hint="eastAsia"/>
          <w:bCs/>
          <w:sz w:val="32"/>
          <w:szCs w:val="32"/>
        </w:rPr>
        <w:t xml:space="preserve">   </w:t>
      </w:r>
      <w:r>
        <w:rPr>
          <w:rStyle w:val="20"/>
          <w:rFonts w:hint="eastAsia" w:ascii="仿宋" w:hAnsi="仿宋" w:eastAsia="仿宋"/>
          <w:b w:val="0"/>
          <w:color w:val="000000"/>
        </w:rPr>
        <w:t>教育（类）教育附加安排的支出（款）其他教育费附加安排的支出（项）支出决算为</w:t>
      </w:r>
      <w:r>
        <w:rPr>
          <w:rStyle w:val="20"/>
          <w:rFonts w:hint="eastAsia" w:ascii="仿宋" w:hAnsi="仿宋" w:eastAsia="仿宋"/>
          <w:b w:val="0"/>
          <w:color w:val="000000"/>
          <w:lang w:val="en-US" w:eastAsia="zh-CN"/>
        </w:rPr>
        <w:t>104.26</w:t>
      </w:r>
      <w:r>
        <w:rPr>
          <w:rStyle w:val="20"/>
          <w:rFonts w:hint="eastAsia" w:ascii="仿宋" w:hAnsi="仿宋" w:eastAsia="仿宋"/>
          <w:b w:val="0"/>
          <w:color w:val="000000"/>
        </w:rPr>
        <w:t>万元，完成预算100%，决算数等于预算数。</w:t>
      </w:r>
    </w:p>
    <w:p w14:paraId="20AF2204">
      <w:pPr>
        <w:spacing w:line="600" w:lineRule="exact"/>
        <w:ind w:firstLine="643"/>
        <w:rPr>
          <w:rStyle w:val="20"/>
          <w:rFonts w:hint="eastAsia" w:ascii="仿宋" w:hAnsi="仿宋" w:eastAsia="仿宋"/>
          <w:b w:val="0"/>
          <w:color w:val="000000"/>
        </w:rPr>
      </w:pPr>
      <w:r>
        <w:rPr>
          <w:rStyle w:val="20"/>
          <w:rFonts w:hint="eastAsia" w:ascii="仿宋" w:hAnsi="仿宋" w:eastAsia="仿宋"/>
          <w:b w:val="0"/>
          <w:color w:val="000000"/>
        </w:rPr>
        <w:t xml:space="preserve">  教育（类）其他教育支出（款）其他教育支出（项）: 支出决算为4.92万元，完成预算100%，决算数等于预算数。</w:t>
      </w:r>
    </w:p>
    <w:p w14:paraId="28F1F894">
      <w:pPr>
        <w:numPr>
          <w:ilvl w:val="0"/>
          <w:numId w:val="3"/>
        </w:numPr>
        <w:spacing w:line="600" w:lineRule="exact"/>
        <w:ind w:firstLine="643"/>
        <w:jc w:val="both"/>
        <w:rPr>
          <w:rStyle w:val="20"/>
          <w:rFonts w:hint="eastAsia" w:ascii="仿宋" w:hAnsi="仿宋" w:eastAsia="仿宋"/>
          <w:b w:val="0"/>
          <w:color w:val="000000"/>
        </w:rPr>
      </w:pPr>
      <w:r>
        <w:rPr>
          <w:rStyle w:val="20"/>
          <w:rFonts w:hint="eastAsia" w:ascii="仿宋" w:hAnsi="仿宋" w:eastAsia="仿宋"/>
          <w:b w:val="0"/>
          <w:color w:val="000000"/>
        </w:rPr>
        <w:t>社会保障和就业（类）行政事业单位养老保险（款）行政单位离退休（项）: 支出决算为</w:t>
      </w:r>
      <w:r>
        <w:rPr>
          <w:rStyle w:val="20"/>
          <w:rFonts w:hint="eastAsia" w:ascii="仿宋" w:hAnsi="仿宋" w:eastAsia="仿宋"/>
          <w:b w:val="0"/>
          <w:color w:val="000000"/>
          <w:lang w:val="en-US" w:eastAsia="zh-CN"/>
        </w:rPr>
        <w:t>31.12</w:t>
      </w:r>
      <w:r>
        <w:rPr>
          <w:rStyle w:val="20"/>
          <w:rFonts w:hint="eastAsia" w:ascii="仿宋" w:hAnsi="仿宋" w:eastAsia="仿宋"/>
          <w:b w:val="0"/>
          <w:color w:val="000000"/>
        </w:rPr>
        <w:t>万元，完成预算100%，决算数等于预算数。</w:t>
      </w:r>
    </w:p>
    <w:p w14:paraId="7AAEBABA">
      <w:pPr>
        <w:spacing w:line="600" w:lineRule="exact"/>
        <w:ind w:firstLine="960" w:firstLineChars="300"/>
        <w:jc w:val="both"/>
        <w:rPr>
          <w:rStyle w:val="20"/>
          <w:rFonts w:hint="eastAsia" w:ascii="仿宋" w:hAnsi="仿宋" w:eastAsia="仿宋"/>
          <w:b w:val="0"/>
          <w:color w:val="000000"/>
        </w:rPr>
      </w:pPr>
      <w:r>
        <w:rPr>
          <w:rStyle w:val="20"/>
          <w:rFonts w:hint="eastAsia" w:ascii="仿宋" w:hAnsi="仿宋" w:eastAsia="仿宋"/>
          <w:b w:val="0"/>
          <w:color w:val="000000"/>
        </w:rPr>
        <w:t>社会保障和就业（类）行政事业单位养老保险（款）机关事业单位养老保险缴费支出（项）: 支出决算为</w:t>
      </w:r>
      <w:r>
        <w:rPr>
          <w:rStyle w:val="20"/>
          <w:rFonts w:hint="eastAsia" w:ascii="仿宋" w:hAnsi="仿宋" w:eastAsia="仿宋"/>
          <w:b w:val="0"/>
          <w:color w:val="000000"/>
          <w:lang w:val="en-US" w:eastAsia="zh-CN"/>
        </w:rPr>
        <w:t>30.72</w:t>
      </w:r>
      <w:r>
        <w:rPr>
          <w:rStyle w:val="20"/>
          <w:rFonts w:hint="eastAsia" w:ascii="仿宋" w:hAnsi="仿宋" w:eastAsia="仿宋"/>
          <w:b w:val="0"/>
          <w:color w:val="000000"/>
        </w:rPr>
        <w:t>万元，完成预算100%，决算数等于预算数。</w:t>
      </w:r>
    </w:p>
    <w:p w14:paraId="0A206B45">
      <w:pPr>
        <w:pStyle w:val="2"/>
        <w:numPr>
          <w:ilvl w:val="0"/>
          <w:numId w:val="3"/>
        </w:numPr>
        <w:ind w:left="0" w:leftChars="0" w:firstLine="643" w:firstLineChars="0"/>
        <w:jc w:val="both"/>
        <w:rPr>
          <w:rStyle w:val="20"/>
          <w:rFonts w:hint="eastAsia" w:ascii="仿宋_GB2312" w:hAnsi="仿宋_GB2312" w:eastAsia="仿宋_GB2312" w:cs="仿宋_GB2312"/>
          <w:b w:val="0"/>
          <w:color w:val="000000"/>
        </w:rPr>
      </w:pPr>
      <w:r>
        <w:rPr>
          <w:rFonts w:hint="eastAsia" w:ascii="仿宋_GB2312" w:hAnsi="仿宋_GB2312" w:eastAsia="仿宋_GB2312" w:cs="仿宋_GB2312"/>
          <w:sz w:val="32"/>
          <w:szCs w:val="32"/>
        </w:rPr>
        <w:t>卫生健康（类）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w:t>
      </w:r>
      <w:r>
        <w:rPr>
          <w:rStyle w:val="20"/>
          <w:rFonts w:hint="eastAsia" w:ascii="仿宋_GB2312" w:hAnsi="仿宋_GB2312" w:eastAsia="仿宋_GB2312" w:cs="仿宋_GB2312"/>
          <w:b w:val="0"/>
          <w:color w:val="000000"/>
        </w:rPr>
        <w:t>支出决算为</w:t>
      </w:r>
      <w:r>
        <w:rPr>
          <w:rStyle w:val="20"/>
          <w:rFonts w:hint="eastAsia" w:ascii="仿宋_GB2312" w:hAnsi="仿宋_GB2312" w:eastAsia="仿宋_GB2312" w:cs="仿宋_GB2312"/>
          <w:b w:val="0"/>
          <w:color w:val="000000"/>
          <w:lang w:val="en-US" w:eastAsia="zh-CN"/>
        </w:rPr>
        <w:t>6.12</w:t>
      </w:r>
      <w:r>
        <w:rPr>
          <w:rStyle w:val="20"/>
          <w:rFonts w:hint="eastAsia" w:ascii="仿宋_GB2312" w:hAnsi="仿宋_GB2312" w:eastAsia="仿宋_GB2312" w:cs="仿宋_GB2312"/>
          <w:b w:val="0"/>
          <w:color w:val="000000"/>
        </w:rPr>
        <w:t>万元，完成预算100%，决算数等于预算数。</w:t>
      </w:r>
    </w:p>
    <w:p w14:paraId="15F62CBB">
      <w:pPr>
        <w:pStyle w:val="3"/>
        <w:numPr>
          <w:ilvl w:val="0"/>
          <w:numId w:val="0"/>
        </w:numPr>
        <w:ind w:firstLine="960" w:firstLineChars="300"/>
        <w:jc w:val="both"/>
        <w:rPr>
          <w:rStyle w:val="20"/>
          <w:rFonts w:hint="eastAsia" w:ascii="仿宋_GB2312" w:hAnsi="仿宋_GB2312" w:eastAsia="仿宋_GB2312" w:cs="仿宋_GB2312"/>
          <w:b w:val="0"/>
          <w:color w:val="000000"/>
        </w:rPr>
      </w:pPr>
      <w:r>
        <w:rPr>
          <w:rFonts w:hint="eastAsia" w:ascii="仿宋_GB2312" w:hAnsi="仿宋_GB2312" w:eastAsia="仿宋_GB2312" w:cs="仿宋_GB2312"/>
          <w:sz w:val="32"/>
          <w:szCs w:val="32"/>
        </w:rPr>
        <w:t>卫生健康（类）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w:t>
      </w:r>
      <w:r>
        <w:rPr>
          <w:rStyle w:val="20"/>
          <w:rFonts w:hint="eastAsia" w:ascii="仿宋_GB2312" w:hAnsi="仿宋_GB2312" w:eastAsia="仿宋_GB2312" w:cs="仿宋_GB2312"/>
          <w:b w:val="0"/>
          <w:color w:val="000000"/>
        </w:rPr>
        <w:t>支出决算为</w:t>
      </w:r>
      <w:r>
        <w:rPr>
          <w:rStyle w:val="20"/>
          <w:rFonts w:hint="eastAsia" w:ascii="仿宋_GB2312" w:hAnsi="仿宋_GB2312" w:eastAsia="仿宋_GB2312" w:cs="仿宋_GB2312"/>
          <w:b w:val="0"/>
          <w:color w:val="000000"/>
          <w:lang w:val="en-US" w:eastAsia="zh-CN"/>
        </w:rPr>
        <w:t>10.72</w:t>
      </w:r>
      <w:r>
        <w:rPr>
          <w:rStyle w:val="20"/>
          <w:rFonts w:hint="eastAsia" w:ascii="仿宋_GB2312" w:hAnsi="仿宋_GB2312" w:eastAsia="仿宋_GB2312" w:cs="仿宋_GB2312"/>
          <w:b w:val="0"/>
          <w:color w:val="000000"/>
        </w:rPr>
        <w:t>万元，完成预算100%，决算数等于预算数。</w:t>
      </w:r>
    </w:p>
    <w:p w14:paraId="0C6890A4">
      <w:pPr>
        <w:pStyle w:val="3"/>
        <w:numPr>
          <w:ilvl w:val="0"/>
          <w:numId w:val="0"/>
        </w:numPr>
        <w:ind w:firstLine="960" w:firstLineChars="300"/>
        <w:jc w:val="both"/>
        <w:rPr>
          <w:rStyle w:val="20"/>
          <w:rFonts w:hint="eastAsia" w:ascii="仿宋_GB2312" w:hAnsi="仿宋_GB2312" w:eastAsia="仿宋_GB2312" w:cs="仿宋_GB2312"/>
          <w:b w:val="0"/>
          <w:color w:val="000000"/>
        </w:rPr>
      </w:pPr>
      <w:r>
        <w:rPr>
          <w:rFonts w:hint="eastAsia" w:ascii="仿宋_GB2312" w:hAnsi="仿宋_GB2312" w:eastAsia="仿宋_GB2312" w:cs="仿宋_GB2312"/>
          <w:sz w:val="32"/>
          <w:szCs w:val="32"/>
        </w:rPr>
        <w:t>卫生健康（类）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公务员医疗补助</w:t>
      </w:r>
      <w:r>
        <w:rPr>
          <w:rFonts w:hint="eastAsia" w:ascii="仿宋_GB2312" w:hAnsi="仿宋_GB2312" w:eastAsia="仿宋_GB2312" w:cs="仿宋_GB2312"/>
          <w:sz w:val="32"/>
          <w:szCs w:val="32"/>
        </w:rPr>
        <w:t>（项）：</w:t>
      </w:r>
      <w:r>
        <w:rPr>
          <w:rStyle w:val="20"/>
          <w:rFonts w:hint="eastAsia" w:ascii="仿宋_GB2312" w:hAnsi="仿宋_GB2312" w:eastAsia="仿宋_GB2312" w:cs="仿宋_GB2312"/>
          <w:b w:val="0"/>
          <w:color w:val="000000"/>
        </w:rPr>
        <w:t>支出决算为</w:t>
      </w:r>
      <w:r>
        <w:rPr>
          <w:rStyle w:val="20"/>
          <w:rFonts w:hint="eastAsia" w:ascii="仿宋_GB2312" w:hAnsi="仿宋_GB2312" w:eastAsia="仿宋_GB2312" w:cs="仿宋_GB2312"/>
          <w:b w:val="0"/>
          <w:color w:val="000000"/>
          <w:lang w:val="en-US" w:eastAsia="zh-CN"/>
        </w:rPr>
        <w:t>2.55</w:t>
      </w:r>
      <w:r>
        <w:rPr>
          <w:rStyle w:val="20"/>
          <w:rFonts w:hint="eastAsia" w:ascii="仿宋_GB2312" w:hAnsi="仿宋_GB2312" w:eastAsia="仿宋_GB2312" w:cs="仿宋_GB2312"/>
          <w:b w:val="0"/>
          <w:color w:val="000000"/>
        </w:rPr>
        <w:t>万元，完成预算100%，决算数等于预算数。</w:t>
      </w:r>
    </w:p>
    <w:p w14:paraId="08B3745F">
      <w:pPr>
        <w:spacing w:line="600" w:lineRule="exact"/>
        <w:ind w:firstLine="480" w:firstLineChars="150"/>
        <w:jc w:val="both"/>
        <w:rPr>
          <w:rStyle w:val="20"/>
          <w:rFonts w:hint="eastAsia" w:ascii="仿宋" w:hAnsi="仿宋" w:eastAsia="仿宋"/>
          <w:b w:val="0"/>
          <w:color w:val="000000"/>
        </w:rPr>
      </w:pPr>
      <w:r>
        <w:rPr>
          <w:rStyle w:val="20"/>
          <w:rFonts w:hint="eastAsia" w:ascii="仿宋" w:hAnsi="仿宋" w:eastAsia="仿宋"/>
          <w:b w:val="0"/>
          <w:color w:val="000000"/>
          <w:lang w:val="en-US" w:eastAsia="zh-CN"/>
        </w:rPr>
        <w:t>4</w:t>
      </w:r>
      <w:r>
        <w:rPr>
          <w:rStyle w:val="20"/>
          <w:rFonts w:hint="eastAsia" w:ascii="仿宋" w:hAnsi="仿宋" w:eastAsia="仿宋"/>
          <w:b w:val="0"/>
          <w:color w:val="000000"/>
        </w:rPr>
        <w:t>.</w:t>
      </w:r>
      <w:r>
        <w:rPr>
          <w:rFonts w:hint="eastAsia" w:ascii="仿宋" w:hAnsi="仿宋" w:eastAsia="仿宋"/>
          <w:bCs/>
          <w:color w:val="000000"/>
          <w:sz w:val="32"/>
          <w:szCs w:val="32"/>
        </w:rPr>
        <w:t>住房保障支出</w:t>
      </w:r>
      <w:r>
        <w:rPr>
          <w:rStyle w:val="20"/>
          <w:rFonts w:hint="eastAsia" w:ascii="仿宋" w:hAnsi="仿宋" w:eastAsia="仿宋"/>
          <w:b w:val="0"/>
          <w:color w:val="000000"/>
        </w:rPr>
        <w:t>（类）住房改革支出（款）住房公积金（项）:支出决算为</w:t>
      </w:r>
      <w:r>
        <w:rPr>
          <w:rStyle w:val="20"/>
          <w:rFonts w:hint="eastAsia" w:ascii="仿宋" w:hAnsi="仿宋" w:eastAsia="仿宋"/>
          <w:b w:val="0"/>
          <w:color w:val="000000"/>
          <w:lang w:val="en-US" w:eastAsia="zh-CN"/>
        </w:rPr>
        <w:t>24.45</w:t>
      </w:r>
      <w:r>
        <w:rPr>
          <w:rStyle w:val="20"/>
          <w:rFonts w:hint="eastAsia" w:ascii="仿宋" w:hAnsi="仿宋" w:eastAsia="仿宋"/>
          <w:b w:val="0"/>
          <w:color w:val="000000"/>
        </w:rPr>
        <w:t>万元，完成预算100%，决算数等于预算数。</w:t>
      </w:r>
    </w:p>
    <w:p w14:paraId="2B440E7B">
      <w:pPr>
        <w:spacing w:line="600" w:lineRule="exact"/>
        <w:ind w:firstLine="640" w:firstLineChars="200"/>
        <w:outlineLvl w:val="1"/>
        <w:rPr>
          <w:rStyle w:val="19"/>
          <w:rFonts w:hint="eastAsia"/>
        </w:rPr>
      </w:pPr>
      <w:r>
        <w:rPr>
          <w:rFonts w:hint="eastAsia" w:ascii="黑体" w:hAnsi="黑体" w:eastAsia="黑体"/>
          <w:sz w:val="32"/>
          <w:szCs w:val="32"/>
        </w:rPr>
        <w:t>六</w:t>
      </w:r>
      <w:r>
        <w:rPr>
          <w:rFonts w:hint="eastAsia" w:ascii="黑体" w:hAnsi="黑体" w:eastAsia="黑体"/>
          <w:b/>
          <w:sz w:val="32"/>
          <w:szCs w:val="32"/>
        </w:rPr>
        <w:t>、一</w:t>
      </w:r>
      <w:r>
        <w:rPr>
          <w:rStyle w:val="19"/>
          <w:rFonts w:hint="eastAsia" w:ascii="黑体" w:hAnsi="黑体" w:eastAsia="黑体"/>
          <w:b w:val="0"/>
          <w:sz w:val="32"/>
          <w:szCs w:val="32"/>
        </w:rPr>
        <w:t>般公共预算财政拨款基本支出决算情况说明</w:t>
      </w:r>
      <w:r>
        <w:rPr>
          <w:rStyle w:val="19"/>
          <w:rFonts w:hint="eastAsia" w:ascii="黑体" w:hAnsi="黑体" w:eastAsia="黑体"/>
          <w:b w:val="0"/>
          <w:sz w:val="32"/>
          <w:szCs w:val="32"/>
        </w:rPr>
        <w:tab/>
      </w:r>
    </w:p>
    <w:p w14:paraId="62E3BB16">
      <w:pPr>
        <w:spacing w:line="600" w:lineRule="exact"/>
        <w:ind w:firstLine="645"/>
        <w:rPr>
          <w:rFonts w:ascii="仿宋" w:hAnsi="仿宋" w:eastAsia="仿宋"/>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年一般公共预算财政拨款基本支出32</w:t>
      </w:r>
      <w:r>
        <w:rPr>
          <w:rFonts w:hint="eastAsia" w:ascii="仿宋" w:hAnsi="仿宋" w:eastAsia="仿宋"/>
          <w:sz w:val="32"/>
          <w:szCs w:val="32"/>
          <w:lang w:val="en-US" w:eastAsia="zh-CN"/>
        </w:rPr>
        <w:t>3.06</w:t>
      </w:r>
      <w:r>
        <w:rPr>
          <w:rFonts w:hint="eastAsia" w:ascii="仿宋" w:hAnsi="仿宋" w:eastAsia="仿宋"/>
          <w:sz w:val="32"/>
          <w:szCs w:val="32"/>
        </w:rPr>
        <w:t>万元，其中：</w:t>
      </w:r>
    </w:p>
    <w:p w14:paraId="03C4CC4D">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317.92</w:t>
      </w:r>
      <w:r>
        <w:rPr>
          <w:rFonts w:hint="eastAsia" w:ascii="仿宋" w:hAnsi="仿宋" w:eastAsia="仿宋"/>
          <w:sz w:val="32"/>
          <w:szCs w:val="32"/>
        </w:rPr>
        <w:t>万元，主要包括：基本工资、津贴补贴、奖金、绩效工资、机关事业单位基本养老保险缴费、职业年金缴费、其他社会保障缴费、其他工资福利支出、退休费、抚恤金、生活补助、奖励金、住房公积金、其他对个人和家庭的补助支出等。</w:t>
      </w:r>
    </w:p>
    <w:p w14:paraId="0413F4C5">
      <w:pPr>
        <w:spacing w:line="600" w:lineRule="exact"/>
        <w:ind w:firstLine="645"/>
        <w:rPr>
          <w:rFonts w:hint="eastAsia" w:ascii="仿宋" w:hAnsi="仿宋" w:eastAsia="仿宋"/>
          <w:sz w:val="32"/>
          <w:szCs w:val="32"/>
        </w:rPr>
      </w:pPr>
      <w:r>
        <w:rPr>
          <w:rFonts w:hint="eastAsia" w:ascii="仿宋" w:hAnsi="仿宋" w:eastAsia="仿宋"/>
          <w:sz w:val="32"/>
          <w:szCs w:val="32"/>
        </w:rPr>
        <w:t xml:space="preserve">  公用经费</w:t>
      </w:r>
      <w:r>
        <w:rPr>
          <w:rFonts w:hint="eastAsia" w:ascii="仿宋" w:hAnsi="仿宋" w:eastAsia="仿宋"/>
          <w:sz w:val="32"/>
          <w:szCs w:val="32"/>
          <w:lang w:val="en-US" w:eastAsia="zh-CN"/>
        </w:rPr>
        <w:t>5.14</w:t>
      </w:r>
      <w:r>
        <w:rPr>
          <w:rFonts w:hint="eastAsia" w:ascii="仿宋" w:hAnsi="仿宋" w:eastAsia="仿宋"/>
          <w:sz w:val="32"/>
          <w:szCs w:val="32"/>
        </w:rPr>
        <w:t>万元，主要包括：办公费、工会经费、福利费等。</w:t>
      </w:r>
    </w:p>
    <w:p w14:paraId="4D53310C">
      <w:pPr>
        <w:spacing w:line="600" w:lineRule="exact"/>
        <w:ind w:firstLine="640"/>
        <w:rPr>
          <w:rFonts w:hint="eastAsia" w:ascii="仿宋" w:hAnsi="仿宋" w:eastAsia="仿宋"/>
          <w:b/>
          <w:sz w:val="32"/>
          <w:szCs w:val="32"/>
        </w:rPr>
      </w:pPr>
      <w:r>
        <w:rPr>
          <w:rFonts w:hint="eastAsia" w:ascii="仿宋" w:hAnsi="仿宋" w:eastAsia="仿宋"/>
          <w:b/>
          <w:sz w:val="32"/>
          <w:szCs w:val="32"/>
        </w:rPr>
        <w:t xml:space="preserve"> </w:t>
      </w:r>
    </w:p>
    <w:p w14:paraId="2980FBFD">
      <w:pPr>
        <w:spacing w:line="600" w:lineRule="exact"/>
        <w:ind w:firstLine="640"/>
        <w:outlineLvl w:val="1"/>
        <w:rPr>
          <w:rStyle w:val="19"/>
          <w:rFonts w:hint="eastAsia" w:ascii="黑体" w:hAnsi="黑体" w:eastAsia="黑体"/>
          <w:sz w:val="32"/>
          <w:szCs w:val="32"/>
        </w:rPr>
      </w:pPr>
      <w:r>
        <w:rPr>
          <w:rFonts w:hint="eastAsia" w:ascii="黑体" w:hAnsi="黑体" w:eastAsia="黑体"/>
          <w:sz w:val="32"/>
          <w:szCs w:val="32"/>
        </w:rPr>
        <w:t>七、</w:t>
      </w:r>
      <w:r>
        <w:rPr>
          <w:rStyle w:val="19"/>
          <w:rFonts w:hint="eastAsia" w:ascii="黑体" w:hAnsi="黑体" w:eastAsia="黑体"/>
          <w:b w:val="0"/>
          <w:sz w:val="32"/>
          <w:szCs w:val="32"/>
        </w:rPr>
        <w:t>财政拨款</w:t>
      </w:r>
      <w:r>
        <w:rPr>
          <w:rStyle w:val="19"/>
          <w:rFonts w:hint="eastAsia" w:ascii="黑体" w:hAnsi="黑体" w:eastAsia="黑体"/>
          <w:sz w:val="32"/>
          <w:szCs w:val="32"/>
        </w:rPr>
        <w:t>“</w:t>
      </w:r>
      <w:r>
        <w:rPr>
          <w:rStyle w:val="19"/>
          <w:rFonts w:hint="eastAsia" w:ascii="黑体" w:hAnsi="黑体" w:eastAsia="黑体"/>
          <w:b w:val="0"/>
          <w:sz w:val="32"/>
          <w:szCs w:val="32"/>
        </w:rPr>
        <w:t>三公”经费支出决算情况说明</w:t>
      </w:r>
    </w:p>
    <w:p w14:paraId="7DAF8214">
      <w:pPr>
        <w:spacing w:line="600" w:lineRule="exact"/>
        <w:ind w:firstLine="640"/>
        <w:outlineLvl w:val="2"/>
        <w:rPr>
          <w:rFonts w:hint="eastAsia" w:ascii="仿宋" w:hAnsi="仿宋" w:eastAsia="仿宋"/>
          <w:b/>
        </w:rPr>
      </w:pPr>
      <w:r>
        <w:rPr>
          <w:rFonts w:hint="eastAsia" w:ascii="仿宋" w:hAnsi="仿宋" w:eastAsia="仿宋"/>
          <w:b/>
          <w:sz w:val="32"/>
          <w:szCs w:val="32"/>
        </w:rPr>
        <w:t>（一）“三公”经费财政拨款支出决算总体情况说明</w:t>
      </w:r>
    </w:p>
    <w:p w14:paraId="7F4F598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年“三公”经费财政拨款支出决算为0万元。主要变动原因是2023年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“三公”经费在教育收费支出。</w:t>
      </w:r>
    </w:p>
    <w:p w14:paraId="0FDCE4E3">
      <w:pPr>
        <w:spacing w:line="600" w:lineRule="exact"/>
        <w:ind w:firstLine="643" w:firstLineChars="200"/>
        <w:outlineLvl w:val="2"/>
        <w:rPr>
          <w:rFonts w:hint="eastAsia" w:ascii="仿宋" w:hAnsi="仿宋" w:eastAsia="仿宋"/>
          <w:b/>
          <w:sz w:val="32"/>
          <w:szCs w:val="32"/>
        </w:rPr>
      </w:pPr>
      <w:r>
        <w:rPr>
          <w:rFonts w:hint="eastAsia" w:ascii="仿宋" w:hAnsi="仿宋" w:eastAsia="仿宋"/>
          <w:b/>
          <w:sz w:val="32"/>
          <w:szCs w:val="32"/>
        </w:rPr>
        <w:t>（二）“三公”经费财政拨款支出决算具体情况说明</w:t>
      </w:r>
    </w:p>
    <w:p w14:paraId="711C7365">
      <w:pPr>
        <w:spacing w:line="600" w:lineRule="exact"/>
        <w:ind w:firstLine="640"/>
        <w:rPr>
          <w:rFonts w:hint="eastAsia"/>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年“三公”经费财政拨款支出决算中，因公出国（境）费支出决算0万元，占0%；公务用车购置及运行维护费支出决算0万元，占0%；公务接待费支出决算0万元，占0%。</w:t>
      </w:r>
    </w:p>
    <w:p w14:paraId="6C36C954">
      <w:pPr>
        <w:spacing w:line="600" w:lineRule="exact"/>
        <w:ind w:firstLine="640"/>
        <w:rPr>
          <w:rFonts w:hint="eastAsia"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eastAsia="仿宋"/>
          <w:b w:val="0"/>
          <w:bCs/>
          <w:sz w:val="32"/>
          <w:szCs w:val="32"/>
        </w:rPr>
        <w:t>完成预算0</w:t>
      </w:r>
      <w:r>
        <w:rPr>
          <w:rStyle w:val="15"/>
          <w:rFonts w:ascii="仿宋" w:eastAsia="仿宋"/>
          <w:b w:val="0"/>
          <w:bCs/>
          <w:sz w:val="32"/>
          <w:szCs w:val="32"/>
        </w:rPr>
        <w:t>%</w:t>
      </w:r>
      <w:r>
        <w:rPr>
          <w:rStyle w:val="15"/>
          <w:rFonts w:hint="eastAsia" w:asci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w:t>
      </w:r>
      <w:r>
        <w:rPr>
          <w:rFonts w:hint="eastAsia" w:ascii="仿宋" w:eastAsia="仿宋"/>
          <w:color w:val="000000"/>
          <w:sz w:val="32"/>
          <w:szCs w:val="32"/>
        </w:rPr>
        <w:t>因公出国（境）支出决算与</w:t>
      </w:r>
      <w:r>
        <w:rPr>
          <w:rFonts w:ascii="仿宋" w:eastAsia="仿宋"/>
          <w:color w:val="000000"/>
          <w:sz w:val="32"/>
          <w:szCs w:val="32"/>
        </w:rPr>
        <w:t>20</w:t>
      </w:r>
      <w:r>
        <w:rPr>
          <w:rFonts w:hint="eastAsia" w:ascii="仿宋" w:eastAsia="仿宋"/>
          <w:color w:val="000000"/>
          <w:sz w:val="32"/>
          <w:szCs w:val="32"/>
        </w:rPr>
        <w:t>2</w:t>
      </w:r>
      <w:r>
        <w:rPr>
          <w:rFonts w:ascii="仿宋" w:eastAsia="仿宋"/>
          <w:color w:val="000000"/>
          <w:sz w:val="32"/>
          <w:szCs w:val="32"/>
        </w:rPr>
        <w:t>1</w:t>
      </w:r>
      <w:r>
        <w:rPr>
          <w:rFonts w:hint="eastAsia" w:ascii="仿宋" w:eastAsia="仿宋"/>
          <w:color w:val="000000"/>
          <w:sz w:val="32"/>
          <w:szCs w:val="32"/>
        </w:rPr>
        <w:t>年持平。</w:t>
      </w:r>
    </w:p>
    <w:p w14:paraId="17F4E957">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rPr>
        <w:t>0万元,</w:t>
      </w:r>
      <w:r>
        <w:rPr>
          <w:rStyle w:val="20"/>
          <w:rFonts w:hint="eastAsia" w:ascii="仿宋" w:hAnsi="仿宋" w:eastAsia="仿宋"/>
          <w:b w:val="0"/>
          <w:bCs w:val="0"/>
        </w:rPr>
        <w:t>完成预算0%。</w:t>
      </w:r>
      <w:r>
        <w:rPr>
          <w:rFonts w:hint="eastAsia" w:ascii="仿宋" w:hAnsi="仿宋" w:eastAsia="仿宋"/>
          <w:sz w:val="32"/>
          <w:szCs w:val="32"/>
        </w:rPr>
        <w:t>主要变动原因是202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“三公”经费在教育收费支出。</w:t>
      </w:r>
    </w:p>
    <w:p w14:paraId="35CB1681">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辆、金额0万元，越野车</w:t>
      </w:r>
      <w:r>
        <w:rPr>
          <w:rFonts w:ascii="仿宋_GB2312" w:eastAsia="仿宋_GB2312"/>
          <w:sz w:val="32"/>
          <w:szCs w:val="32"/>
        </w:rPr>
        <w:t>0</w:t>
      </w:r>
      <w:r>
        <w:rPr>
          <w:rFonts w:hint="eastAsia" w:ascii="仿宋_GB2312" w:eastAsia="仿宋_GB2312"/>
          <w:sz w:val="32"/>
          <w:szCs w:val="32"/>
        </w:rPr>
        <w:t>辆、金额0万元，载客汽车</w:t>
      </w:r>
      <w:r>
        <w:rPr>
          <w:rFonts w:ascii="仿宋_GB2312" w:eastAsia="仿宋_GB2312"/>
          <w:sz w:val="32"/>
          <w:szCs w:val="32"/>
        </w:rPr>
        <w:t>0</w:t>
      </w:r>
      <w:r>
        <w:rPr>
          <w:rFonts w:hint="eastAsia" w:ascii="仿宋_GB2312" w:eastAsia="仿宋_GB2312"/>
          <w:sz w:val="32"/>
          <w:szCs w:val="32"/>
        </w:rPr>
        <w:t>辆、金额0万元。截至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月底，单位共有公务用车2辆，其中：轿车0辆、越野车1辆、试卷运输车1辆。</w:t>
      </w:r>
    </w:p>
    <w:p w14:paraId="42399FD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5"/>
          <w:rFonts w:hint="eastAsia" w:ascii="仿宋" w:eastAsia="仿宋"/>
          <w:b w:val="0"/>
          <w:bCs/>
          <w:sz w:val="32"/>
          <w:szCs w:val="32"/>
        </w:rPr>
        <w:t>完成预算0</w:t>
      </w:r>
      <w:r>
        <w:rPr>
          <w:rStyle w:val="15"/>
          <w:rFonts w:ascii="仿宋" w:eastAsia="仿宋"/>
          <w:b w:val="0"/>
          <w:bCs/>
          <w:sz w:val="32"/>
          <w:szCs w:val="32"/>
        </w:rPr>
        <w:t>%</w:t>
      </w:r>
      <w:r>
        <w:rPr>
          <w:rStyle w:val="15"/>
          <w:rFonts w:hint="eastAsia" w:ascii="仿宋" w:eastAsia="仿宋"/>
          <w:b w:val="0"/>
          <w:bCs/>
          <w:sz w:val="32"/>
          <w:szCs w:val="32"/>
        </w:rPr>
        <w:t>。</w:t>
      </w:r>
      <w:r>
        <w:rPr>
          <w:rFonts w:hint="eastAsia" w:ascii="仿宋" w:hAnsi="仿宋" w:eastAsia="仿宋"/>
          <w:sz w:val="32"/>
          <w:szCs w:val="32"/>
        </w:rPr>
        <w:t>主要变动原因是2023年</w:t>
      </w:r>
      <w:r>
        <w:rPr>
          <w:rFonts w:hint="eastAsia" w:ascii="仿宋_GB2312" w:hAnsi="宋体" w:eastAsia="仿宋_GB2312"/>
          <w:bCs/>
          <w:color w:val="000000"/>
          <w:sz w:val="32"/>
          <w:szCs w:val="32"/>
        </w:rPr>
        <w:t>考试院正式定为教育收费单位，</w:t>
      </w:r>
      <w:r>
        <w:rPr>
          <w:rFonts w:hint="eastAsia" w:ascii="仿宋" w:hAnsi="仿宋" w:eastAsia="仿宋"/>
          <w:sz w:val="32"/>
          <w:szCs w:val="32"/>
        </w:rPr>
        <w:t>“三公”经费在教育收费支出。</w:t>
      </w:r>
    </w:p>
    <w:p w14:paraId="7988C2DF">
      <w:pPr>
        <w:spacing w:line="600" w:lineRule="exact"/>
        <w:ind w:firstLine="640"/>
        <w:rPr>
          <w:rFonts w:ascii="仿宋_GB2312" w:eastAsia="仿宋_GB2312"/>
          <w:sz w:val="32"/>
          <w:szCs w:val="32"/>
        </w:rPr>
      </w:pPr>
      <w:r>
        <w:rPr>
          <w:rFonts w:hint="eastAsia" w:ascii="仿宋" w:eastAsia="仿宋"/>
          <w:b/>
          <w:sz w:val="32"/>
          <w:szCs w:val="32"/>
        </w:rPr>
        <w:t>国内公务接待支出</w:t>
      </w:r>
      <w:r>
        <w:rPr>
          <w:rFonts w:hint="eastAsia" w:ascii="仿宋" w:eastAsia="仿宋"/>
          <w:sz w:val="32"/>
          <w:szCs w:val="32"/>
        </w:rPr>
        <w:t>0</w:t>
      </w:r>
      <w:r>
        <w:rPr>
          <w:rFonts w:hint="eastAsia" w:ascii="仿宋_GB2312" w:eastAsia="仿宋_GB2312"/>
          <w:sz w:val="32"/>
          <w:szCs w:val="32"/>
        </w:rPr>
        <w:t>万元。国内公务接待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人次（不包括陪同人员），共计支出0万元。</w:t>
      </w:r>
    </w:p>
    <w:p w14:paraId="788A41B7">
      <w:pPr>
        <w:spacing w:line="600" w:lineRule="exact"/>
        <w:ind w:firstLine="643" w:firstLineChars="200"/>
        <w:rPr>
          <w:rFonts w:hint="eastAsia" w:ascii="仿宋_GB2312" w:eastAsia="仿宋_GB2312"/>
          <w:sz w:val="32"/>
          <w:szCs w:val="32"/>
        </w:rPr>
      </w:pPr>
      <w:r>
        <w:rPr>
          <w:rFonts w:hint="eastAsia" w:ascii="仿宋" w:eastAsia="仿宋"/>
          <w:b/>
          <w:sz w:val="32"/>
          <w:szCs w:val="32"/>
        </w:rPr>
        <w:t>外事接待支出</w:t>
      </w:r>
      <w:r>
        <w:rPr>
          <w:rFonts w:hint="eastAsia" w:asci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人次（不包括陪同人员），共计支出0万元。</w:t>
      </w:r>
    </w:p>
    <w:p w14:paraId="69B88A91"/>
    <w:p w14:paraId="4297CD30"/>
    <w:p w14:paraId="785AA02B">
      <w: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AFB153">
      <w:r>
        <w:rPr>
          <w:rFonts w:hint="eastAsia" w:ascii="仿宋" w:hAnsi="仿宋" w:eastAsia="仿宋"/>
          <w:color w:val="auto"/>
          <w:sz w:val="32"/>
          <w:szCs w:val="32"/>
          <w:highlight w:val="none"/>
        </w:rPr>
        <w:t>（图7：“三公”经费财政拨款支出结构）（饼状图）</w:t>
      </w:r>
    </w:p>
    <w:p w14:paraId="33DA2589">
      <w:pPr>
        <w:spacing w:line="600" w:lineRule="exact"/>
        <w:ind w:firstLine="640"/>
        <w:outlineLvl w:val="1"/>
        <w:rPr>
          <w:rStyle w:val="19"/>
          <w:rFonts w:hint="eastAsia" w:ascii="黑体" w:hAnsi="黑体" w:eastAsia="黑体"/>
          <w:sz w:val="36"/>
          <w:szCs w:val="36"/>
        </w:rPr>
      </w:pPr>
      <w:r>
        <w:rPr>
          <w:rFonts w:hint="eastAsia" w:ascii="黑体" w:hAnsi="黑体" w:eastAsia="黑体"/>
          <w:sz w:val="32"/>
          <w:szCs w:val="32"/>
        </w:rPr>
        <w:t>八、</w:t>
      </w:r>
      <w:r>
        <w:rPr>
          <w:rStyle w:val="19"/>
          <w:rFonts w:hint="eastAsia" w:ascii="黑体" w:hAnsi="黑体" w:eastAsia="黑体"/>
          <w:b w:val="0"/>
          <w:sz w:val="36"/>
          <w:szCs w:val="36"/>
        </w:rPr>
        <w:t>政府性基金预算支出决算情况说明</w:t>
      </w:r>
    </w:p>
    <w:p w14:paraId="03B1C50A">
      <w:pPr>
        <w:spacing w:line="600" w:lineRule="exact"/>
        <w:ind w:firstLine="640"/>
        <w:rPr>
          <w:rFonts w:hint="eastAsia" w:ascii="仿宋_GB2312" w:eastAsia="仿宋_GB231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年政府性基金预算财政拨款支出0万元。</w:t>
      </w:r>
    </w:p>
    <w:p w14:paraId="3988EE45">
      <w:pPr>
        <w:spacing w:line="600" w:lineRule="exact"/>
        <w:ind w:firstLine="640"/>
        <w:rPr>
          <w:rFonts w:hint="eastAsia" w:ascii="仿宋_GB2312" w:eastAsia="仿宋_GB2312"/>
          <w:sz w:val="32"/>
          <w:szCs w:val="32"/>
        </w:rPr>
      </w:pPr>
      <w:r>
        <w:rPr>
          <w:rFonts w:hint="eastAsia" w:ascii="仿宋_GB2312" w:eastAsia="仿宋_GB2312"/>
          <w:sz w:val="32"/>
          <w:szCs w:val="32"/>
        </w:rPr>
        <w:t xml:space="preserve"> </w:t>
      </w:r>
    </w:p>
    <w:p w14:paraId="0CE4D290">
      <w:pPr>
        <w:numPr>
          <w:ilvl w:val="0"/>
          <w:numId w:val="4"/>
        </w:numPr>
        <w:spacing w:line="600" w:lineRule="exact"/>
        <w:ind w:firstLine="640"/>
        <w:outlineLvl w:val="1"/>
        <w:rPr>
          <w:rStyle w:val="19"/>
          <w:rFonts w:hint="eastAsia" w:ascii="黑体" w:hAnsi="黑体" w:eastAsia="黑体"/>
          <w:b w:val="0"/>
          <w:sz w:val="36"/>
          <w:szCs w:val="36"/>
        </w:rPr>
      </w:pPr>
      <w:r>
        <w:rPr>
          <w:rStyle w:val="19"/>
          <w:rFonts w:hint="eastAsia" w:ascii="黑体" w:hAnsi="黑体" w:eastAsia="黑体"/>
          <w:b w:val="0"/>
          <w:sz w:val="36"/>
          <w:szCs w:val="36"/>
        </w:rPr>
        <w:t>国有资本经营预算支出决算情况说明</w:t>
      </w:r>
    </w:p>
    <w:p w14:paraId="0D44F5F9">
      <w:pPr>
        <w:spacing w:line="580" w:lineRule="exact"/>
        <w:ind w:firstLine="960" w:firstLineChars="300"/>
        <w:jc w:val="left"/>
        <w:rPr>
          <w:rFonts w:hint="eastAsia" w:ascii="方正小标宋简体" w:eastAsia="方正小标宋简体"/>
          <w:sz w:val="44"/>
          <w:szCs w:val="44"/>
        </w:rPr>
      </w:pPr>
      <w:r>
        <w:rPr>
          <w:rFonts w:hint="eastAsia" w:eastAsia="仿宋_GB2312" w:cs="仿宋_GB2312"/>
          <w:sz w:val="32"/>
          <w:szCs w:val="32"/>
        </w:rPr>
        <w:t>2024年度国有资本经营预算财政拨款支出</w:t>
      </w:r>
      <w:r>
        <w:rPr>
          <w:rFonts w:hint="eastAsia" w:ascii="仿宋_GB2312" w:hAnsi="仿宋_GB2312" w:eastAsia="仿宋_GB2312" w:cs="仿宋_GB2312"/>
          <w:sz w:val="32"/>
          <w:szCs w:val="32"/>
        </w:rPr>
        <w:t>0万元，占本年支出合计的0%</w:t>
      </w:r>
      <w:r>
        <w:rPr>
          <w:rFonts w:hint="eastAsia" w:eastAsia="仿宋_GB2312" w:cs="仿宋_GB2312"/>
          <w:sz w:val="32"/>
          <w:szCs w:val="32"/>
        </w:rPr>
        <w:t>。</w:t>
      </w:r>
      <w:r>
        <w:rPr>
          <w:rFonts w:hint="eastAsia" w:ascii="方正小标宋简体" w:eastAsia="方正小标宋简体"/>
          <w:sz w:val="44"/>
          <w:szCs w:val="44"/>
        </w:rPr>
        <w:t xml:space="preserve"> </w:t>
      </w:r>
    </w:p>
    <w:p w14:paraId="210D5DC3">
      <w:pPr>
        <w:numPr>
          <w:ilvl w:val="0"/>
          <w:numId w:val="4"/>
        </w:numPr>
        <w:spacing w:line="600" w:lineRule="exact"/>
        <w:ind w:firstLine="640"/>
        <w:outlineLvl w:val="1"/>
        <w:rPr>
          <w:rStyle w:val="19"/>
          <w:rFonts w:hint="eastAsia" w:ascii="黑体" w:hAnsi="黑体" w:eastAsia="黑体"/>
          <w:b w:val="0"/>
          <w:sz w:val="36"/>
          <w:szCs w:val="36"/>
        </w:rPr>
      </w:pPr>
      <w:r>
        <w:rPr>
          <w:rStyle w:val="19"/>
          <w:rFonts w:hint="eastAsia" w:ascii="黑体" w:hAnsi="黑体" w:eastAsia="黑体"/>
          <w:b w:val="0"/>
          <w:sz w:val="36"/>
          <w:szCs w:val="36"/>
        </w:rPr>
        <w:t>其他重要事项的情况说明</w:t>
      </w:r>
    </w:p>
    <w:p w14:paraId="31B3048A">
      <w:pPr>
        <w:spacing w:line="600" w:lineRule="exact"/>
        <w:ind w:firstLine="643" w:firstLineChars="200"/>
        <w:outlineLvl w:val="2"/>
        <w:rPr>
          <w:rFonts w:hint="eastAsia" w:ascii="仿宋" w:hAnsi="仿宋" w:eastAsia="仿宋"/>
        </w:rPr>
      </w:pPr>
      <w:r>
        <w:rPr>
          <w:rFonts w:hint="eastAsia" w:ascii="仿宋" w:hAnsi="仿宋" w:eastAsia="仿宋"/>
          <w:b/>
          <w:sz w:val="32"/>
          <w:szCs w:val="32"/>
        </w:rPr>
        <w:t>（一）机关运行经费支出情况</w:t>
      </w:r>
    </w:p>
    <w:p w14:paraId="174D893A">
      <w:pPr>
        <w:autoSpaceDE w:val="0"/>
        <w:autoSpaceDN w:val="0"/>
        <w:adjustRightInd w:val="0"/>
        <w:spacing w:line="600" w:lineRule="exact"/>
        <w:ind w:firstLine="640" w:firstLineChars="200"/>
        <w:jc w:val="left"/>
        <w:outlineLvl w:val="2"/>
        <w:rPr>
          <w:rFonts w:hint="eastAsia" w:eastAsia="仿宋_GB2312" w:cs="仿宋_GB2312"/>
          <w:sz w:val="32"/>
          <w:szCs w:val="32"/>
          <w:lang w:val="en-US" w:eastAsia="zh-CN"/>
        </w:rPr>
      </w:pPr>
      <w:r>
        <w:rPr>
          <w:rFonts w:hint="eastAsia" w:eastAsia="仿宋_GB2312" w:cs="仿宋_GB2312"/>
          <w:sz w:val="32"/>
          <w:szCs w:val="32"/>
        </w:rPr>
        <w:t>2024年度</w:t>
      </w:r>
      <w:r>
        <w:rPr>
          <w:rFonts w:hint="eastAsia" w:ascii="仿宋_GB2312" w:hAnsi="仿宋_GB2312" w:eastAsia="仿宋_GB2312" w:cs="仿宋_GB2312"/>
          <w:sz w:val="32"/>
          <w:szCs w:val="32"/>
        </w:rPr>
        <w:t>，四川省攀枝花市教育考试院机关运行经费支出0万</w:t>
      </w:r>
      <w:r>
        <w:rPr>
          <w:rFonts w:hint="eastAsia" w:eastAsia="仿宋_GB2312" w:cs="仿宋_GB2312"/>
          <w:sz w:val="32"/>
          <w:szCs w:val="32"/>
        </w:rPr>
        <w:t>元</w:t>
      </w:r>
      <w:r>
        <w:rPr>
          <w:rFonts w:hint="eastAsia" w:eastAsia="仿宋_GB2312" w:cs="仿宋_GB2312"/>
          <w:sz w:val="32"/>
          <w:szCs w:val="32"/>
          <w:lang w:val="en-US" w:eastAsia="zh-CN"/>
        </w:rPr>
        <w:t xml:space="preserve"> 。</w:t>
      </w:r>
    </w:p>
    <w:p w14:paraId="07E8ADE8">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（二）政府采购支出情况</w:t>
      </w:r>
    </w:p>
    <w:p w14:paraId="7F5616BE">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2024年度，四川省攀枝花市教育考试院政府采购支出总额80.74万元，其中：政府采购货物支出74.5万元、政府采购工程支出0万元、政府采购服务支出6.23万元。主要用于</w:t>
      </w:r>
      <w:r>
        <w:rPr>
          <w:rFonts w:hint="eastAsia" w:ascii="仿宋_GB2312" w:hAnsi="仿宋_GB2312" w:eastAsia="仿宋_GB2312" w:cs="仿宋_GB2312"/>
          <w:sz w:val="32"/>
          <w:szCs w:val="32"/>
          <w:lang w:eastAsia="zh-CN"/>
        </w:rPr>
        <w:t>攀枝花学院智能安检门采购</w:t>
      </w:r>
      <w:r>
        <w:rPr>
          <w:rFonts w:hint="eastAsia" w:ascii="仿宋_GB2312" w:hAnsi="仿宋_GB2312" w:eastAsia="仿宋_GB2312" w:cs="仿宋_GB2312"/>
          <w:sz w:val="32"/>
          <w:szCs w:val="32"/>
        </w:rPr>
        <w:t>。授予中小企业合同金额16.14万元，占政府采购支出总额的19.99%，其中：授予小微企业合同金额12.14万元，占政府采购支出总额的15.03%。</w:t>
      </w:r>
    </w:p>
    <w:p w14:paraId="098D7044">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（三）国有资产占有使用情况</w:t>
      </w:r>
    </w:p>
    <w:p w14:paraId="744B2562">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w:t>
      </w:r>
      <w:r>
        <w:rPr>
          <w:rFonts w:hint="eastAsia" w:ascii="仿宋_GB2312" w:eastAsia="仿宋_GB2312"/>
          <w:sz w:val="32"/>
          <w:szCs w:val="32"/>
          <w:lang w:val="en-US" w:eastAsia="zh-CN"/>
        </w:rPr>
        <w:t>4</w:t>
      </w:r>
      <w:r>
        <w:rPr>
          <w:rFonts w:hint="eastAsia" w:ascii="仿宋_GB2312" w:eastAsia="仿宋_GB2312"/>
          <w:sz w:val="32"/>
          <w:szCs w:val="32"/>
        </w:rPr>
        <w:t>年12月31日，市教育考试院共有车辆2辆，其中：主要领导干部用车0辆、机要通信用车0辆、应急保障用车0辆、其他用车2辆，其他用车主要是用于领取试卷。单价100万元以上专用设备0台（套）。</w:t>
      </w:r>
    </w:p>
    <w:p w14:paraId="44A15D4F">
      <w:pPr>
        <w:autoSpaceDE w:val="0"/>
        <w:autoSpaceDN w:val="0"/>
        <w:adjustRightInd w:val="0"/>
        <w:spacing w:line="600" w:lineRule="exact"/>
        <w:ind w:firstLine="643"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14:paraId="1F73C0BC">
      <w:pPr>
        <w:pStyle w:val="7"/>
        <w:spacing w:before="93"/>
        <w:ind w:firstLine="640" w:firstLineChars="200"/>
        <w:rPr>
          <w:rFonts w:hint="eastAsia"/>
          <w:highlight w:val="yellow"/>
        </w:rPr>
      </w:pPr>
      <w:r>
        <w:rPr>
          <w:rFonts w:hint="eastAsia"/>
          <w:sz w:val="32"/>
          <w:szCs w:val="32"/>
        </w:rPr>
        <w:t>根据预算绩效管理要求，本单位在202</w:t>
      </w:r>
      <w:r>
        <w:rPr>
          <w:rFonts w:hint="eastAsia"/>
          <w:sz w:val="32"/>
          <w:szCs w:val="32"/>
          <w:lang w:val="en-US" w:eastAsia="zh-CN"/>
        </w:rPr>
        <w:t>4</w:t>
      </w:r>
      <w:r>
        <w:rPr>
          <w:rFonts w:hint="eastAsia"/>
          <w:sz w:val="32"/>
          <w:szCs w:val="32"/>
        </w:rPr>
        <w:t>年度预算编制阶段，组织对招生组考经费等</w:t>
      </w:r>
      <w:r>
        <w:rPr>
          <w:rFonts w:hint="eastAsia"/>
          <w:sz w:val="32"/>
          <w:szCs w:val="32"/>
          <w:lang w:val="en-US" w:eastAsia="zh-CN"/>
        </w:rPr>
        <w:t>6</w:t>
      </w:r>
      <w:r>
        <w:rPr>
          <w:rFonts w:hint="eastAsia"/>
          <w:sz w:val="32"/>
          <w:szCs w:val="32"/>
        </w:rPr>
        <w:t>个项目开展了预算事前绩效评估，对1个项目编制了绩效目标，预算执行过程中，选取1个项目开展绩效监控。</w:t>
      </w:r>
    </w:p>
    <w:p w14:paraId="1D665581">
      <w:pPr>
        <w:widowControl/>
        <w:jc w:val="left"/>
        <w:rPr>
          <w:rFonts w:hint="eastAsia" w:ascii="仿宋_GB2312" w:eastAsia="仿宋_GB2312"/>
          <w:b/>
          <w:sz w:val="32"/>
          <w:szCs w:val="32"/>
        </w:rPr>
      </w:pPr>
      <w:r>
        <w:rPr>
          <w:rFonts w:hint="eastAsia" w:ascii="仿宋_GB2312" w:eastAsia="仿宋_GB2312"/>
          <w:b/>
          <w:sz w:val="32"/>
          <w:szCs w:val="32"/>
        </w:rPr>
        <w:br w:type="page"/>
      </w:r>
    </w:p>
    <w:p w14:paraId="1F601E54">
      <w:pPr>
        <w:spacing w:line="600" w:lineRule="exact"/>
        <w:ind w:firstLine="663" w:firstLineChars="150"/>
        <w:jc w:val="center"/>
        <w:outlineLvl w:val="0"/>
        <w:rPr>
          <w:rStyle w:val="22"/>
          <w:rFonts w:hint="eastAsia" w:ascii="黑体" w:hAnsi="黑体" w:eastAsia="黑体"/>
        </w:rPr>
      </w:pPr>
      <w:r>
        <w:rPr>
          <w:rFonts w:hint="eastAsia" w:ascii="黑体" w:hAnsi="黑体" w:eastAsia="黑体"/>
          <w:b/>
          <w:bCs/>
          <w:kern w:val="44"/>
          <w:sz w:val="44"/>
          <w:szCs w:val="44"/>
        </w:rPr>
        <w:t>第三部分</w:t>
      </w:r>
      <w:r>
        <w:rPr>
          <w:rFonts w:hint="eastAsia" w:ascii="黑体" w:hAnsi="黑体" w:eastAsia="黑体"/>
          <w:sz w:val="44"/>
          <w:szCs w:val="44"/>
        </w:rPr>
        <w:t>名</w:t>
      </w:r>
      <w:r>
        <w:rPr>
          <w:rStyle w:val="22"/>
          <w:rFonts w:hint="eastAsia" w:ascii="黑体" w:hAnsi="黑体" w:eastAsia="黑体"/>
          <w:b w:val="0"/>
        </w:rPr>
        <w:t>词解释</w:t>
      </w:r>
    </w:p>
    <w:p w14:paraId="7E839AFE">
      <w:pPr>
        <w:spacing w:line="600" w:lineRule="exact"/>
        <w:jc w:val="left"/>
        <w:rPr>
          <w:rFonts w:hint="eastAsia" w:ascii="宋体"/>
          <w:b/>
        </w:rPr>
      </w:pPr>
      <w:r>
        <w:rPr>
          <w:rFonts w:hint="eastAsia" w:ascii="宋体"/>
          <w:b/>
          <w:sz w:val="44"/>
          <w:szCs w:val="44"/>
        </w:rPr>
        <w:t xml:space="preserve"> </w:t>
      </w:r>
    </w:p>
    <w:p w14:paraId="43DDA5FA">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A80E515">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4F2711E0">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25DCE12C">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14:paraId="3BCBB5DF">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14:paraId="210EE367">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35689A22">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63104228">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14492034">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教育（类）教育管理事务 （款）行政运行（项）：指反映行政单位（包括实行公务员管理的事业单位）的基本支出。</w:t>
      </w:r>
    </w:p>
    <w:p w14:paraId="72490CDF">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教育（类）教育管理事务 （款）机关服务（项）：指反映为行政单位（包括实行公务员管理的事业单位）提供后勤服务的各类后勤服务中心、医务室等附属事业单位的支出。其他事业单位的支出，凡单独设置了项级科目的，在单独设置项级科目中反映。</w:t>
      </w:r>
    </w:p>
    <w:p w14:paraId="5AE3473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教育（类）教育管理事务 （款）其他教育管理事务支出（项）：反映除上述项目以外的其他用于教育管理事务方面的支出。</w:t>
      </w:r>
    </w:p>
    <w:p w14:paraId="2748641C">
      <w:pPr>
        <w:ind w:firstLine="640" w:firstLineChars="200"/>
        <w:rPr>
          <w:rFonts w:ascii="仿宋_GB2312" w:eastAsia="仿宋_GB2312"/>
          <w:color w:val="000000"/>
          <w:sz w:val="32"/>
          <w:szCs w:val="32"/>
        </w:rPr>
      </w:pPr>
      <w:r>
        <w:rPr>
          <w:rFonts w:hint="eastAsia" w:ascii="仿宋_GB2312" w:eastAsia="仿宋_GB2312"/>
          <w:color w:val="000000"/>
          <w:sz w:val="32"/>
          <w:szCs w:val="32"/>
        </w:rPr>
        <w:t>教育（类）教育费附加安排的支出 （款）其他教育费附加安排的支出（项）：指反映除上述以外的教育费附加支出。</w:t>
      </w:r>
    </w:p>
    <w:p w14:paraId="3A697F2E">
      <w:pPr>
        <w:ind w:firstLine="640" w:firstLineChars="200"/>
        <w:rPr>
          <w:rFonts w:ascii="仿宋_GB2312" w:eastAsia="仿宋_GB2312"/>
          <w:color w:val="000000"/>
          <w:sz w:val="32"/>
          <w:szCs w:val="32"/>
        </w:rPr>
      </w:pPr>
      <w:r>
        <w:rPr>
          <w:rFonts w:hint="eastAsia" w:ascii="仿宋_GB2312" w:eastAsia="仿宋_GB2312"/>
          <w:color w:val="000000"/>
          <w:sz w:val="32"/>
          <w:szCs w:val="32"/>
        </w:rPr>
        <w:t>教育（类）其他教育支出 （款）其他教育支出（项）：指反映除上述以外的其他教育支出。</w:t>
      </w:r>
    </w:p>
    <w:p w14:paraId="662497CA">
      <w:pPr>
        <w:ind w:firstLine="320" w:firstLineChars="1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社会保障和就业（类）行政事业单位养老支出（款）机关事业单位养老保险缴费支出（项）：指反映机关事业单位实施养老保险制度由单位缴纳的基本养老保险支出。</w:t>
      </w:r>
    </w:p>
    <w:p w14:paraId="3871DAD1">
      <w:pPr>
        <w:ind w:firstLine="480" w:firstLineChars="15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住房保障（类）住房改革支出（款）住房公积金（项）：指反映行政事业单位勇财政拨款资金和其他资金安排的住房改革支出。</w:t>
      </w:r>
    </w:p>
    <w:p w14:paraId="106409E9">
      <w:pPr>
        <w:ind w:firstLine="480" w:firstLineChars="15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1F45487F">
      <w:pPr>
        <w:ind w:firstLine="480" w:firstLineChars="15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4B482D92">
      <w:pPr>
        <w:ind w:firstLine="480" w:firstLineChars="15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8E1C638">
      <w:pPr>
        <w:pStyle w:val="23"/>
        <w:spacing w:line="560" w:lineRule="exact"/>
        <w:ind w:firstLine="480" w:firstLineChars="15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34C9DBB">
      <w:pPr>
        <w:pStyle w:val="23"/>
        <w:spacing w:line="560" w:lineRule="exact"/>
        <w:ind w:firstLine="480" w:firstLineChars="15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C6871BD">
      <w:pPr>
        <w:spacing w:line="600" w:lineRule="exact"/>
        <w:jc w:val="center"/>
        <w:outlineLvl w:val="0"/>
        <w:rPr>
          <w:rFonts w:hint="eastAsia" w:ascii="黑体" w:hAnsi="黑体" w:eastAsia="黑体"/>
          <w:sz w:val="44"/>
          <w:szCs w:val="44"/>
        </w:rPr>
      </w:pPr>
    </w:p>
    <w:p w14:paraId="128D1F6E">
      <w:pPr>
        <w:spacing w:line="600" w:lineRule="exact"/>
        <w:jc w:val="center"/>
        <w:outlineLvl w:val="0"/>
        <w:rPr>
          <w:rFonts w:hint="eastAsia" w:ascii="黑体" w:hAnsi="黑体" w:eastAsia="黑体"/>
          <w:sz w:val="44"/>
          <w:szCs w:val="44"/>
        </w:rPr>
      </w:pPr>
    </w:p>
    <w:p w14:paraId="67854DB6">
      <w:pPr>
        <w:spacing w:line="600" w:lineRule="exact"/>
        <w:jc w:val="center"/>
        <w:outlineLvl w:val="0"/>
        <w:rPr>
          <w:rFonts w:hint="eastAsia" w:ascii="黑体" w:hAnsi="黑体" w:eastAsia="黑体"/>
          <w:sz w:val="44"/>
          <w:szCs w:val="44"/>
        </w:rPr>
      </w:pPr>
    </w:p>
    <w:p w14:paraId="024340A1">
      <w:pPr>
        <w:spacing w:line="600" w:lineRule="exact"/>
        <w:jc w:val="center"/>
        <w:outlineLvl w:val="0"/>
        <w:rPr>
          <w:rFonts w:hint="eastAsia" w:ascii="黑体" w:hAnsi="黑体" w:eastAsia="黑体"/>
          <w:sz w:val="44"/>
          <w:szCs w:val="44"/>
        </w:rPr>
      </w:pPr>
    </w:p>
    <w:p w14:paraId="080017D9">
      <w:pPr>
        <w:spacing w:line="600" w:lineRule="exact"/>
        <w:jc w:val="center"/>
        <w:outlineLvl w:val="0"/>
        <w:rPr>
          <w:rFonts w:hint="eastAsia" w:ascii="黑体" w:hAnsi="黑体" w:eastAsia="黑体"/>
          <w:sz w:val="44"/>
          <w:szCs w:val="44"/>
        </w:rPr>
      </w:pPr>
    </w:p>
    <w:p w14:paraId="7F0C21EE">
      <w:pPr>
        <w:spacing w:line="600" w:lineRule="exact"/>
        <w:jc w:val="center"/>
        <w:outlineLvl w:val="0"/>
        <w:rPr>
          <w:rFonts w:hint="eastAsia" w:ascii="黑体" w:hAnsi="黑体" w:eastAsia="黑体"/>
          <w:sz w:val="44"/>
          <w:szCs w:val="44"/>
        </w:rPr>
      </w:pPr>
    </w:p>
    <w:p w14:paraId="5F7F471D">
      <w:pPr>
        <w:outlineLvl w:val="0"/>
        <w:rPr>
          <w:rFonts w:hint="eastAsia" w:ascii="黑体" w:hAnsi="黑体" w:eastAsia="黑体"/>
          <w:sz w:val="44"/>
          <w:szCs w:val="44"/>
        </w:rPr>
      </w:pPr>
    </w:p>
    <w:p w14:paraId="623DF6A9">
      <w:pPr>
        <w:spacing w:line="600" w:lineRule="exact"/>
        <w:jc w:val="center"/>
        <w:outlineLvl w:val="0"/>
        <w:rPr>
          <w:rFonts w:hint="eastAsia" w:ascii="黑体" w:hAnsi="黑体" w:eastAsia="黑体"/>
          <w:sz w:val="44"/>
          <w:szCs w:val="44"/>
        </w:rPr>
      </w:pPr>
    </w:p>
    <w:p w14:paraId="16D46D01">
      <w:pPr>
        <w:spacing w:line="600" w:lineRule="exact"/>
        <w:outlineLvl w:val="0"/>
        <w:rPr>
          <w:rFonts w:hint="eastAsia" w:ascii="黑体" w:hAnsi="黑体" w:eastAsia="黑体"/>
          <w:sz w:val="44"/>
          <w:szCs w:val="44"/>
        </w:rPr>
      </w:pPr>
    </w:p>
    <w:p w14:paraId="448C87B8">
      <w:pPr>
        <w:spacing w:line="600" w:lineRule="exact"/>
        <w:outlineLvl w:val="0"/>
        <w:rPr>
          <w:rFonts w:hint="eastAsia" w:ascii="黑体" w:hAnsi="黑体" w:eastAsia="黑体"/>
          <w:sz w:val="44"/>
          <w:szCs w:val="44"/>
        </w:rPr>
      </w:pPr>
    </w:p>
    <w:p w14:paraId="368F0AB4">
      <w:pPr>
        <w:spacing w:line="600" w:lineRule="exact"/>
        <w:jc w:val="center"/>
        <w:outlineLvl w:val="0"/>
        <w:rPr>
          <w:rFonts w:hint="eastAsia" w:ascii="黑体" w:hAnsi="黑体" w:eastAsia="黑体"/>
          <w:sz w:val="44"/>
          <w:szCs w:val="44"/>
        </w:rPr>
      </w:pPr>
    </w:p>
    <w:p w14:paraId="287D7A42">
      <w:pPr>
        <w:numPr>
          <w:ilvl w:val="0"/>
          <w:numId w:val="5"/>
        </w:numPr>
        <w:spacing w:line="600" w:lineRule="exact"/>
        <w:jc w:val="center"/>
        <w:outlineLvl w:val="0"/>
        <w:rPr>
          <w:rStyle w:val="22"/>
          <w:rFonts w:hint="eastAsia" w:ascii="黑体" w:hAnsi="黑体" w:eastAsia="黑体"/>
          <w:b w:val="0"/>
        </w:rPr>
      </w:pPr>
      <w:r>
        <w:rPr>
          <w:rStyle w:val="22"/>
          <w:rFonts w:hint="eastAsia" w:ascii="黑体" w:hAnsi="黑体" w:eastAsia="黑体"/>
          <w:b w:val="0"/>
        </w:rPr>
        <w:t>附件</w:t>
      </w:r>
    </w:p>
    <w:p w14:paraId="72623D91">
      <w:pPr>
        <w:pStyle w:val="2"/>
        <w:numPr>
          <w:ilvl w:val="0"/>
          <w:numId w:val="0"/>
        </w:numPr>
        <w:rPr>
          <w:rFonts w:hint="eastAsia"/>
        </w:rPr>
      </w:pPr>
    </w:p>
    <w:p w14:paraId="688A4028">
      <w:pPr>
        <w:spacing w:line="572" w:lineRule="exact"/>
        <w:jc w:val="left"/>
        <w:outlineLvl w:val="0"/>
        <w:rPr>
          <w:rFonts w:hint="eastAsia" w:ascii="仿宋_GB2312" w:eastAsia="仿宋_GB2312"/>
          <w:sz w:val="32"/>
          <w:szCs w:val="32"/>
        </w:rPr>
      </w:pPr>
      <w:r>
        <w:rPr>
          <w:rFonts w:hint="eastAsia" w:ascii="仿宋_GB2312" w:eastAsia="仿宋_GB2312"/>
          <w:sz w:val="32"/>
          <w:szCs w:val="32"/>
        </w:rPr>
        <w:t xml:space="preserve"> </w:t>
      </w:r>
    </w:p>
    <w:p w14:paraId="2C4F8FF1">
      <w:pPr>
        <w:pStyle w:val="7"/>
        <w:spacing w:before="93"/>
        <w:rPr>
          <w:rFonts w:hint="eastAsia" w:hAnsi="Calibri" w:eastAsia="仿宋_GB2312" w:cs="仿宋"/>
          <w:sz w:val="32"/>
          <w:szCs w:val="32"/>
          <w:lang w:eastAsia="zh-CN"/>
        </w:rPr>
      </w:pPr>
    </w:p>
    <w:p w14:paraId="46EB11C7">
      <w:pPr>
        <w:pStyle w:val="7"/>
        <w:spacing w:before="93"/>
        <w:rPr>
          <w:rFonts w:hint="eastAsia" w:hAnsi="Calibri" w:cs="仿宋"/>
          <w:sz w:val="32"/>
          <w:szCs w:val="32"/>
        </w:rPr>
      </w:pPr>
    </w:p>
    <w:p w14:paraId="2DE6B2BD">
      <w:pPr>
        <w:pStyle w:val="7"/>
        <w:spacing w:before="93"/>
        <w:rPr>
          <w:rFonts w:hint="eastAsia" w:hAnsi="Calibri" w:cs="仿宋"/>
          <w:sz w:val="32"/>
          <w:szCs w:val="32"/>
        </w:rPr>
      </w:pPr>
    </w:p>
    <w:p w14:paraId="1D2936A8">
      <w:pPr>
        <w:pStyle w:val="7"/>
        <w:spacing w:before="93"/>
        <w:rPr>
          <w:rFonts w:hint="eastAsia" w:hAnsi="Calibri" w:cs="仿宋"/>
          <w:sz w:val="32"/>
          <w:szCs w:val="32"/>
        </w:rPr>
      </w:pPr>
    </w:p>
    <w:p w14:paraId="12C0215F">
      <w:pPr>
        <w:pStyle w:val="7"/>
        <w:spacing w:before="93"/>
        <w:rPr>
          <w:rFonts w:hint="eastAsia" w:hAnsi="Calibri" w:cs="仿宋"/>
          <w:sz w:val="32"/>
          <w:szCs w:val="32"/>
        </w:rPr>
      </w:pPr>
    </w:p>
    <w:p w14:paraId="466AE995">
      <w:pPr>
        <w:pStyle w:val="7"/>
        <w:spacing w:before="93"/>
        <w:rPr>
          <w:rFonts w:hint="eastAsia" w:hAnsi="Calibri" w:cs="仿宋"/>
          <w:sz w:val="32"/>
          <w:szCs w:val="32"/>
        </w:rPr>
      </w:pPr>
    </w:p>
    <w:p w14:paraId="5654B81D">
      <w:pPr>
        <w:pStyle w:val="7"/>
        <w:spacing w:before="93"/>
        <w:rPr>
          <w:rFonts w:hint="eastAsia" w:hAnsi="Calibri" w:cs="仿宋"/>
          <w:sz w:val="32"/>
          <w:szCs w:val="32"/>
        </w:rPr>
      </w:pPr>
    </w:p>
    <w:p w14:paraId="23FA2804">
      <w:pPr>
        <w:pStyle w:val="7"/>
        <w:spacing w:before="93"/>
        <w:rPr>
          <w:rFonts w:hint="eastAsia" w:hAnsi="Calibri" w:cs="仿宋"/>
          <w:sz w:val="32"/>
          <w:szCs w:val="32"/>
        </w:rPr>
      </w:pPr>
    </w:p>
    <w:p w14:paraId="0FAA91BC">
      <w:pPr>
        <w:pStyle w:val="7"/>
        <w:spacing w:before="93"/>
        <w:rPr>
          <w:rFonts w:hint="eastAsia" w:hAnsi="Calibri" w:cs="仿宋"/>
          <w:sz w:val="32"/>
          <w:szCs w:val="32"/>
        </w:rPr>
      </w:pPr>
    </w:p>
    <w:p w14:paraId="49916194">
      <w:pPr>
        <w:pStyle w:val="7"/>
        <w:spacing w:before="93"/>
        <w:rPr>
          <w:rFonts w:hint="eastAsia" w:hAnsi="Calibri" w:cs="仿宋"/>
          <w:sz w:val="32"/>
          <w:szCs w:val="32"/>
        </w:rPr>
      </w:pPr>
    </w:p>
    <w:p w14:paraId="3D175FA7">
      <w:pPr>
        <w:pStyle w:val="7"/>
        <w:spacing w:before="93"/>
        <w:rPr>
          <w:rFonts w:hint="eastAsia" w:hAnsi="Calibri" w:cs="仿宋"/>
          <w:sz w:val="32"/>
          <w:szCs w:val="32"/>
        </w:rPr>
      </w:pPr>
    </w:p>
    <w:p w14:paraId="6EF9FFFC">
      <w:pPr>
        <w:pStyle w:val="7"/>
        <w:spacing w:before="93"/>
        <w:ind w:firstLine="2420" w:firstLineChars="550"/>
        <w:rPr>
          <w:rFonts w:hint="eastAsia" w:ascii="黑体" w:hAnsi="黑体" w:eastAsia="黑体"/>
          <w:bCs/>
          <w:kern w:val="44"/>
          <w:sz w:val="44"/>
          <w:szCs w:val="44"/>
        </w:rPr>
      </w:pPr>
    </w:p>
    <w:p w14:paraId="673ABEDA">
      <w:pPr>
        <w:pStyle w:val="7"/>
        <w:spacing w:before="93"/>
        <w:ind w:firstLine="2420" w:firstLineChars="550"/>
        <w:rPr>
          <w:rFonts w:hint="eastAsia" w:ascii="黑体" w:hAnsi="黑体" w:eastAsia="黑体"/>
          <w:bCs/>
          <w:kern w:val="44"/>
          <w:sz w:val="44"/>
          <w:szCs w:val="44"/>
        </w:rPr>
      </w:pPr>
    </w:p>
    <w:p w14:paraId="11A03023">
      <w:pPr>
        <w:pStyle w:val="7"/>
        <w:spacing w:before="93"/>
        <w:ind w:firstLine="2420" w:firstLineChars="550"/>
        <w:rPr>
          <w:rFonts w:hint="eastAsia" w:ascii="黑体" w:hAnsi="黑体" w:eastAsia="黑体"/>
          <w:bCs/>
          <w:kern w:val="44"/>
          <w:sz w:val="44"/>
          <w:szCs w:val="44"/>
        </w:rPr>
      </w:pPr>
    </w:p>
    <w:p w14:paraId="3289B45D">
      <w:pPr>
        <w:pStyle w:val="7"/>
        <w:spacing w:before="93"/>
        <w:ind w:firstLine="2420" w:firstLineChars="550"/>
        <w:rPr>
          <w:rStyle w:val="22"/>
          <w:rFonts w:hint="eastAsia" w:ascii="黑体" w:hAnsi="黑体" w:eastAsia="黑体"/>
          <w:b w:val="0"/>
        </w:rPr>
      </w:pPr>
      <w:r>
        <w:rPr>
          <w:rFonts w:hint="eastAsia" w:ascii="黑体" w:hAnsi="黑体" w:eastAsia="黑体"/>
          <w:bCs/>
          <w:kern w:val="44"/>
          <w:sz w:val="44"/>
          <w:szCs w:val="44"/>
        </w:rPr>
        <w:t>第五部分</w:t>
      </w:r>
      <w:r>
        <w:rPr>
          <w:rStyle w:val="22"/>
          <w:rFonts w:hint="eastAsia" w:ascii="黑体" w:hAnsi="黑体" w:eastAsia="黑体"/>
          <w:b w:val="0"/>
        </w:rPr>
        <w:t xml:space="preserve">  附表</w:t>
      </w:r>
    </w:p>
    <w:p w14:paraId="27492911">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收</w:t>
      </w:r>
      <w:r>
        <w:rPr>
          <w:rStyle w:val="19"/>
          <w:rFonts w:hint="eastAsia" w:ascii="仿宋_GB2312" w:hAnsi="仿宋_GB2312" w:cs="仿宋_GB2312"/>
          <w:b w:val="0"/>
          <w:sz w:val="36"/>
          <w:szCs w:val="36"/>
        </w:rPr>
        <w:t>入支出决算总表</w:t>
      </w:r>
    </w:p>
    <w:p w14:paraId="7B319EAD">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收</w:t>
      </w:r>
      <w:r>
        <w:rPr>
          <w:rStyle w:val="19"/>
          <w:rFonts w:hint="eastAsia" w:ascii="仿宋_GB2312" w:hAnsi="仿宋_GB2312" w:cs="仿宋_GB2312"/>
          <w:b w:val="0"/>
          <w:sz w:val="36"/>
          <w:szCs w:val="36"/>
        </w:rPr>
        <w:t>入决算表</w:t>
      </w:r>
    </w:p>
    <w:p w14:paraId="547B013D">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支</w:t>
      </w:r>
      <w:r>
        <w:rPr>
          <w:rStyle w:val="19"/>
          <w:rFonts w:hint="eastAsia" w:ascii="仿宋_GB2312" w:hAnsi="仿宋_GB2312" w:cs="仿宋_GB2312"/>
          <w:b w:val="0"/>
          <w:sz w:val="36"/>
          <w:szCs w:val="36"/>
        </w:rPr>
        <w:t>出决算表</w:t>
      </w:r>
    </w:p>
    <w:p w14:paraId="42A2F5D2">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财</w:t>
      </w:r>
      <w:r>
        <w:rPr>
          <w:rStyle w:val="19"/>
          <w:rFonts w:hint="eastAsia" w:ascii="仿宋_GB2312" w:hAnsi="仿宋_GB2312" w:cs="仿宋_GB2312"/>
          <w:b w:val="0"/>
          <w:sz w:val="36"/>
          <w:szCs w:val="36"/>
        </w:rPr>
        <w:t>政拨款收入支出决算总表</w:t>
      </w:r>
    </w:p>
    <w:p w14:paraId="5558F62C">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财</w:t>
      </w:r>
      <w:r>
        <w:rPr>
          <w:rStyle w:val="19"/>
          <w:rFonts w:hint="eastAsia" w:ascii="仿宋_GB2312" w:hAnsi="仿宋_GB2312" w:cs="仿宋_GB2312"/>
          <w:b w:val="0"/>
          <w:sz w:val="36"/>
          <w:szCs w:val="36"/>
        </w:rPr>
        <w:t>政拨款支出决算明细表</w:t>
      </w:r>
    </w:p>
    <w:p w14:paraId="754036A8">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一</w:t>
      </w:r>
      <w:r>
        <w:rPr>
          <w:rStyle w:val="19"/>
          <w:rFonts w:hint="eastAsia" w:ascii="仿宋_GB2312" w:hAnsi="仿宋_GB2312" w:cs="仿宋_GB2312"/>
          <w:b w:val="0"/>
          <w:sz w:val="36"/>
          <w:szCs w:val="36"/>
        </w:rPr>
        <w:t>般公共预算财政拨款支出决算表</w:t>
      </w:r>
    </w:p>
    <w:p w14:paraId="6A539C2F">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一</w:t>
      </w:r>
      <w:r>
        <w:rPr>
          <w:rStyle w:val="19"/>
          <w:rFonts w:hint="eastAsia" w:ascii="仿宋_GB2312" w:hAnsi="仿宋_GB2312" w:cs="仿宋_GB2312"/>
          <w:b w:val="0"/>
          <w:sz w:val="36"/>
          <w:szCs w:val="36"/>
        </w:rPr>
        <w:t>般公共预算财政拨款支出决算明细表</w:t>
      </w:r>
    </w:p>
    <w:p w14:paraId="4B57F00A">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一</w:t>
      </w:r>
      <w:r>
        <w:rPr>
          <w:rStyle w:val="19"/>
          <w:rFonts w:hint="eastAsia" w:ascii="仿宋_GB2312" w:hAnsi="仿宋_GB2312" w:cs="仿宋_GB2312"/>
          <w:b w:val="0"/>
          <w:sz w:val="36"/>
          <w:szCs w:val="36"/>
        </w:rPr>
        <w:t>般公共预算财政拨款基本支出决算表</w:t>
      </w:r>
    </w:p>
    <w:p w14:paraId="53D8DDE7">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一</w:t>
      </w:r>
      <w:r>
        <w:rPr>
          <w:rStyle w:val="19"/>
          <w:rFonts w:hint="eastAsia" w:ascii="仿宋_GB2312" w:hAnsi="仿宋_GB2312" w:cs="仿宋_GB2312"/>
          <w:b w:val="0"/>
          <w:sz w:val="36"/>
          <w:szCs w:val="36"/>
        </w:rPr>
        <w:t>般公共预算财政拨款项目支出决算表</w:t>
      </w:r>
    </w:p>
    <w:p w14:paraId="4FD8FF3A">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政</w:t>
      </w:r>
      <w:r>
        <w:rPr>
          <w:rStyle w:val="19"/>
          <w:rFonts w:hint="eastAsia" w:ascii="仿宋_GB2312" w:hAnsi="仿宋_GB2312" w:cs="仿宋_GB2312"/>
          <w:b w:val="0"/>
          <w:sz w:val="36"/>
          <w:szCs w:val="36"/>
        </w:rPr>
        <w:t>府性基金预算财政拨款收入支出决算表</w:t>
      </w:r>
      <w:r>
        <w:rPr>
          <w:rStyle w:val="24"/>
          <w:rFonts w:hint="eastAsia" w:ascii="仿宋" w:hAnsi="仿宋" w:eastAsia="仿宋"/>
          <w:b w:val="0"/>
          <w:bCs w:val="0"/>
        </w:rPr>
        <w:t>（此表无数据）</w:t>
      </w:r>
    </w:p>
    <w:p w14:paraId="7A4626BA">
      <w:pPr>
        <w:pStyle w:val="7"/>
        <w:numPr>
          <w:ilvl w:val="0"/>
          <w:numId w:val="6"/>
        </w:numPr>
        <w:spacing w:before="93"/>
        <w:ind w:left="315" w:leftChars="150"/>
        <w:rPr>
          <w:rStyle w:val="19"/>
          <w:rFonts w:hint="eastAsia" w:ascii="仿宋_GB2312" w:hAnsi="仿宋_GB2312" w:cs="仿宋_GB2312"/>
          <w:b w:val="0"/>
          <w:sz w:val="36"/>
          <w:szCs w:val="36"/>
        </w:rPr>
      </w:pPr>
      <w:r>
        <w:rPr>
          <w:rFonts w:hint="eastAsia" w:hAnsi="仿宋_GB2312" w:cs="仿宋_GB2312"/>
          <w:bCs/>
          <w:sz w:val="36"/>
          <w:szCs w:val="36"/>
        </w:rPr>
        <w:t>国</w:t>
      </w:r>
      <w:r>
        <w:rPr>
          <w:rStyle w:val="19"/>
          <w:rFonts w:hint="eastAsia" w:ascii="仿宋_GB2312" w:hAnsi="仿宋_GB2312" w:cs="仿宋_GB2312"/>
          <w:b w:val="0"/>
          <w:sz w:val="36"/>
          <w:szCs w:val="36"/>
        </w:rPr>
        <w:t>有资本经营预算财政拨款收入支出决算表</w:t>
      </w:r>
      <w:r>
        <w:rPr>
          <w:rStyle w:val="24"/>
          <w:rFonts w:hint="eastAsia" w:ascii="仿宋" w:hAnsi="仿宋" w:eastAsia="仿宋"/>
          <w:b w:val="0"/>
          <w:bCs w:val="0"/>
        </w:rPr>
        <w:t>（此表无数据）</w:t>
      </w:r>
    </w:p>
    <w:p w14:paraId="5396A276">
      <w:pPr>
        <w:pStyle w:val="7"/>
        <w:numPr>
          <w:ilvl w:val="0"/>
          <w:numId w:val="6"/>
        </w:numPr>
        <w:spacing w:before="93"/>
        <w:ind w:left="315" w:leftChars="150"/>
        <w:rPr>
          <w:rStyle w:val="19"/>
          <w:rFonts w:hint="eastAsia" w:ascii="仿宋_GB2312" w:hAnsi="仿宋_GB2312" w:cs="仿宋_GB2312"/>
          <w:b w:val="0"/>
          <w:sz w:val="36"/>
          <w:szCs w:val="36"/>
        </w:rPr>
      </w:pPr>
      <w:r>
        <w:rPr>
          <w:rStyle w:val="19"/>
          <w:rFonts w:hint="eastAsia" w:ascii="仿宋_GB2312" w:hAnsi="仿宋_GB2312" w:cs="仿宋_GB2312"/>
          <w:b w:val="0"/>
          <w:sz w:val="36"/>
          <w:szCs w:val="36"/>
        </w:rPr>
        <w:t>国有资本经营预算财政拨款支出决算表</w:t>
      </w:r>
      <w:r>
        <w:rPr>
          <w:rStyle w:val="24"/>
          <w:rFonts w:hint="eastAsia" w:ascii="仿宋" w:hAnsi="仿宋" w:eastAsia="仿宋"/>
          <w:b w:val="0"/>
          <w:bCs w:val="0"/>
        </w:rPr>
        <w:t>（此表无数据）</w:t>
      </w:r>
    </w:p>
    <w:p w14:paraId="2B9682EA">
      <w:pPr>
        <w:pStyle w:val="7"/>
        <w:numPr>
          <w:ilvl w:val="0"/>
          <w:numId w:val="6"/>
        </w:numPr>
        <w:spacing w:before="93"/>
        <w:ind w:left="315" w:leftChars="150"/>
        <w:rPr>
          <w:rStyle w:val="19"/>
          <w:rFonts w:hint="eastAsia" w:ascii="仿宋_GB2312" w:hAnsi="仿宋_GB2312" w:cs="仿宋_GB2312"/>
          <w:b w:val="0"/>
          <w:sz w:val="36"/>
          <w:szCs w:val="36"/>
        </w:rPr>
      </w:pPr>
      <w:r>
        <w:rPr>
          <w:rStyle w:val="19"/>
          <w:rFonts w:hint="eastAsia" w:ascii="仿宋_GB2312" w:hAnsi="仿宋_GB2312" w:cs="仿宋_GB2312"/>
          <w:b w:val="0"/>
          <w:sz w:val="36"/>
          <w:szCs w:val="36"/>
        </w:rPr>
        <w:t>财政拨款“三公”经费支出决算表</w:t>
      </w:r>
      <w:r>
        <w:rPr>
          <w:rStyle w:val="24"/>
          <w:rFonts w:hint="eastAsia" w:ascii="仿宋" w:hAnsi="仿宋" w:eastAsia="仿宋"/>
          <w:b w:val="0"/>
          <w:bCs w:val="0"/>
        </w:rPr>
        <w:t>（此表无数据）</w:t>
      </w:r>
    </w:p>
    <w:p w14:paraId="6B60892B">
      <w:pPr>
        <w:pStyle w:val="7"/>
        <w:spacing w:before="93"/>
        <w:ind w:left="315" w:leftChars="150"/>
      </w:pPr>
    </w:p>
    <w:p w14:paraId="1E33CD9F"/>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937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734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58A7">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FDCB7">
    <w:pPr>
      <w:pStyle w:val="9"/>
    </w:pPr>
    <w:r>
      <w:rPr>
        <w:sz w:val="18"/>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A08331D">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F79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C2D23"/>
    <w:multiLevelType w:val="singleLevel"/>
    <w:tmpl w:val="CDDC2D23"/>
    <w:lvl w:ilvl="0" w:tentative="0">
      <w:start w:val="4"/>
      <w:numFmt w:val="chineseCounting"/>
      <w:suff w:val="space"/>
      <w:lvlText w:val="第%1部分"/>
      <w:lvlJc w:val="left"/>
      <w:rPr>
        <w:rFonts w:hint="eastAsia"/>
      </w:rPr>
    </w:lvl>
  </w:abstractNum>
  <w:abstractNum w:abstractNumId="1">
    <w:nsid w:val="160E48C8"/>
    <w:multiLevelType w:val="multilevel"/>
    <w:tmpl w:val="160E48C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105501"/>
    <w:multiLevelType w:val="multilevel"/>
    <w:tmpl w:val="1F10550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D0201CE"/>
    <w:multiLevelType w:val="singleLevel"/>
    <w:tmpl w:val="2D0201CE"/>
    <w:lvl w:ilvl="0" w:tentative="0">
      <w:start w:val="1"/>
      <w:numFmt w:val="chineseCounting"/>
      <w:suff w:val="nothing"/>
      <w:lvlText w:val="%1、"/>
      <w:lvlJc w:val="left"/>
      <w:rPr>
        <w:rFonts w:hint="eastAsia"/>
      </w:rPr>
    </w:lvl>
  </w:abstractNum>
  <w:abstractNum w:abstractNumId="4">
    <w:nsid w:val="5CC11B93"/>
    <w:multiLevelType w:val="multilevel"/>
    <w:tmpl w:val="5CC11B93"/>
    <w:lvl w:ilvl="0" w:tentative="0">
      <w:start w:val="1"/>
      <w:numFmt w:val="japaneseCounting"/>
      <w:lvlText w:val="%1、"/>
      <w:lvlJc w:val="left"/>
      <w:pPr>
        <w:ind w:left="1360" w:hanging="720"/>
      </w:pPr>
      <w:rPr>
        <w:rFonts w:hint="default" w:ascii="Times New Roman" w:hAnsi="Times New Roman" w:cs="Times New Roman"/>
        <w:b w:val="0"/>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abstractNum w:abstractNumId="5">
    <w:nsid w:val="76C708F4"/>
    <w:multiLevelType w:val="multilevel"/>
    <w:tmpl w:val="76C708F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jVjNTgyZGRhOWJiNDk5ODk3OTEwYjUxZjgyZTcyNmIifQ=="/>
  </w:docVars>
  <w:rsids>
    <w:rsidRoot w:val="009024BA"/>
    <w:rsid w:val="0042342C"/>
    <w:rsid w:val="004A1DF4"/>
    <w:rsid w:val="009024BA"/>
    <w:rsid w:val="049C6112"/>
    <w:rsid w:val="05E41A4E"/>
    <w:rsid w:val="0FC94901"/>
    <w:rsid w:val="10374EA5"/>
    <w:rsid w:val="204701E2"/>
    <w:rsid w:val="27D67D8A"/>
    <w:rsid w:val="281E08F4"/>
    <w:rsid w:val="2EF52364"/>
    <w:rsid w:val="3B7B4455"/>
    <w:rsid w:val="40AF1DD7"/>
    <w:rsid w:val="40E75DBD"/>
    <w:rsid w:val="4C82512A"/>
    <w:rsid w:val="4DC5587B"/>
    <w:rsid w:val="5AA3722A"/>
    <w:rsid w:val="5EA20E56"/>
    <w:rsid w:val="630A4381"/>
    <w:rsid w:val="68E31AEC"/>
    <w:rsid w:val="69EF45BF"/>
    <w:rsid w:val="79BE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basedOn w:val="1"/>
    <w:next w:val="1"/>
    <w:link w:val="24"/>
    <w:qFormat/>
    <w:uiPriority w:val="99"/>
    <w:pPr>
      <w:keepNext/>
      <w:keepLines/>
      <w:spacing w:before="260" w:after="260" w:line="415"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7">
    <w:name w:val="Body Text"/>
    <w:basedOn w:val="1"/>
    <w:unhideWhenUsed/>
    <w:qFormat/>
    <w:uiPriority w:val="99"/>
    <w:pPr>
      <w:spacing w:beforeLines="30" w:after="100" w:afterAutospacing="1"/>
    </w:pPr>
    <w:rPr>
      <w:rFonts w:ascii="仿宋_GB2312" w:hAnsi="Times New Roman" w:eastAsia="仿宋_GB2312" w:cs="Times New Roman"/>
      <w:kern w:val="0"/>
      <w:sz w:val="30"/>
      <w:szCs w:val="30"/>
    </w:r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99"/>
    <w:pPr>
      <w:spacing w:before="93" w:after="100" w:afterAutospacing="1"/>
      <w:jc w:val="center"/>
    </w:pPr>
    <w:rPr>
      <w:rFonts w:ascii="仿宋" w:hAnsi="仿宋" w:eastAsia="仿宋" w:cs="Times New Roman"/>
      <w:sz w:val="28"/>
      <w:szCs w:val="28"/>
    </w:rPr>
  </w:style>
  <w:style w:type="paragraph" w:styleId="12">
    <w:name w:val="toc 2"/>
    <w:basedOn w:val="1"/>
    <w:next w:val="1"/>
    <w:unhideWhenUsed/>
    <w:qFormat/>
    <w:uiPriority w:val="99"/>
    <w:pPr>
      <w:spacing w:before="100" w:beforeAutospacing="1" w:after="100" w:afterAutospacing="1"/>
      <w:ind w:left="420" w:leftChars="200"/>
    </w:pPr>
    <w:rPr>
      <w:rFonts w:ascii="Times New Roman" w:hAnsi="Times New Roman" w:eastAsia="宋体" w:cs="Times New Roman"/>
      <w:szCs w:val="21"/>
    </w:rPr>
  </w:style>
  <w:style w:type="character" w:styleId="15">
    <w:name w:val="Strong"/>
    <w:basedOn w:val="14"/>
    <w:qFormat/>
    <w:uiPriority w:val="0"/>
    <w:rPr>
      <w:b/>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批注框文本 Char"/>
    <w:basedOn w:val="14"/>
    <w:link w:val="8"/>
    <w:semiHidden/>
    <w:qFormat/>
    <w:uiPriority w:val="99"/>
    <w:rPr>
      <w:sz w:val="18"/>
      <w:szCs w:val="18"/>
    </w:rPr>
  </w:style>
  <w:style w:type="character" w:customStyle="1" w:styleId="19">
    <w:name w:val="16"/>
    <w:basedOn w:val="14"/>
    <w:qFormat/>
    <w:uiPriority w:val="0"/>
    <w:rPr>
      <w:rFonts w:hint="default" w:ascii="Times New Roman" w:hAnsi="Times New Roman" w:cs="Times New Roman"/>
      <w:b/>
      <w:bCs/>
      <w:kern w:val="44"/>
      <w:sz w:val="44"/>
      <w:szCs w:val="44"/>
    </w:rPr>
  </w:style>
  <w:style w:type="character" w:customStyle="1" w:styleId="20">
    <w:name w:val="15"/>
    <w:basedOn w:val="14"/>
    <w:qFormat/>
    <w:uiPriority w:val="0"/>
    <w:rPr>
      <w:rFonts w:hint="default" w:ascii="Cambria" w:hAnsi="Cambria" w:eastAsia="宋体" w:cs="Times New Roman"/>
      <w:b/>
      <w:bCs/>
      <w:kern w:val="2"/>
      <w:sz w:val="32"/>
      <w:szCs w:val="32"/>
    </w:rPr>
  </w:style>
  <w:style w:type="paragraph" w:customStyle="1" w:styleId="21">
    <w:name w:val="List Paragraph"/>
    <w:basedOn w:val="1"/>
    <w:qFormat/>
    <w:uiPriority w:val="0"/>
    <w:pPr>
      <w:ind w:firstLine="420" w:firstLineChars="200"/>
    </w:pPr>
    <w:rPr>
      <w:rFonts w:ascii="Times New Roman" w:hAnsi="Times New Roman" w:eastAsia="宋体" w:cs="Times New Roman"/>
      <w:szCs w:val="21"/>
    </w:rPr>
  </w:style>
  <w:style w:type="character" w:customStyle="1" w:styleId="22">
    <w:name w:val="17"/>
    <w:basedOn w:val="14"/>
    <w:qFormat/>
    <w:uiPriority w:val="0"/>
    <w:rPr>
      <w:rFonts w:hint="default" w:ascii="Times New Roman" w:hAnsi="Times New Roman" w:cs="Times New Roman"/>
      <w:b/>
      <w:bCs/>
      <w:kern w:val="44"/>
      <w:sz w:val="44"/>
      <w:szCs w:val="44"/>
    </w:rPr>
  </w:style>
  <w:style w:type="paragraph" w:customStyle="1" w:styleId="23">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4">
    <w:name w:val="标题 2 Char"/>
    <w:basedOn w:val="14"/>
    <w:link w:val="6"/>
    <w:qFormat/>
    <w:uiPriority w:val="9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4.xml"/><Relationship Id="rId17" Type="http://schemas.openxmlformats.org/officeDocument/2006/relationships/image" Target="media/image3.png"/><Relationship Id="rId16" Type="http://schemas.openxmlformats.org/officeDocument/2006/relationships/oleObject" Target="embeddings/oleObject3.bin"/><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image" Target="media/image2.png"/><Relationship Id="rId12" Type="http://schemas.openxmlformats.org/officeDocument/2006/relationships/oleObject" Target="embeddings/oleObject2.bin"/><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2023</a:t>
            </a:r>
            <a:r>
              <a:rPr lang="zh-CN" altLang="en-US" sz="1200"/>
              <a:t>年与</a:t>
            </a:r>
            <a:r>
              <a:rPr lang="en-US" altLang="zh-CN" sz="1200"/>
              <a:t>2024</a:t>
            </a:r>
            <a:r>
              <a:rPr lang="zh-CN" altLang="en-US" sz="1200"/>
              <a:t>年年初预算收入情况</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年初预算收入</c:v>
                </c:pt>
              </c:strCache>
            </c:strRef>
          </c:tx>
          <c:invertIfNegative val="0"/>
          <c:dLbls>
            <c:delete val="1"/>
          </c:dLbls>
          <c:cat>
            <c:strRef>
              <c:f>Sheet1!$A$2:$A$5</c:f>
              <c:strCache>
                <c:ptCount val="4"/>
                <c:pt idx="0">
                  <c:v>2024年</c:v>
                </c:pt>
                <c:pt idx="1">
                  <c:v>2023年</c:v>
                </c:pt>
              </c:strCache>
            </c:strRef>
          </c:cat>
          <c:val>
            <c:numRef>
              <c:f>Sheet1!$B$2:$B$5</c:f>
              <c:numCache>
                <c:formatCode>General</c:formatCode>
                <c:ptCount val="4"/>
                <c:pt idx="0">
                  <c:v>330.04</c:v>
                </c:pt>
                <c:pt idx="1">
                  <c:v>435.12</c:v>
                </c:pt>
              </c:numCache>
            </c:numRef>
          </c:val>
        </c:ser>
        <c:dLbls>
          <c:showLegendKey val="0"/>
          <c:showVal val="0"/>
          <c:showCatName val="0"/>
          <c:showSerName val="0"/>
          <c:showPercent val="0"/>
          <c:showBubbleSize val="0"/>
        </c:dLbls>
        <c:gapWidth val="150"/>
        <c:axId val="100577280"/>
        <c:axId val="100578816"/>
      </c:barChart>
      <c:catAx>
        <c:axId val="10057728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578816"/>
        <c:crosses val="autoZero"/>
        <c:auto val="1"/>
        <c:lblAlgn val="ctr"/>
        <c:lblOffset val="100"/>
        <c:noMultiLvlLbl val="0"/>
      </c:catAx>
      <c:valAx>
        <c:axId val="10057881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5772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bc372ab-e9da-44fc-8858-e9ccd8c8ea35}"/>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lang="zh-CN" altLang="en-US"/>
              <a:t>年与</a:t>
            </a:r>
            <a:r>
              <a:rPr lang="en-US" altLang="zh-CN"/>
              <a:t>2024</a:t>
            </a:r>
            <a:r>
              <a:rPr lang="zh-CN" altLang="en-US"/>
              <a:t>年全年收入支出情况</a:t>
            </a:r>
            <a:endParaRPr lang="zh-CN" altLang="en-US"/>
          </a:p>
        </c:rich>
      </c:tx>
      <c:layout/>
      <c:overlay val="0"/>
    </c:title>
    <c:autoTitleDeleted val="0"/>
    <c:plotArea>
      <c:layout/>
      <c:barChart>
        <c:barDir val="col"/>
        <c:grouping val="clustered"/>
        <c:varyColors val="0"/>
        <c:ser>
          <c:idx val="0"/>
          <c:order val="0"/>
          <c:tx>
            <c:strRef>
              <c:f>Sheet1!$B$1</c:f>
              <c:strCache>
                <c:ptCount val="1"/>
                <c:pt idx="0">
                  <c:v>2024年</c:v>
                </c:pt>
              </c:strCache>
            </c:strRef>
          </c:tx>
          <c:invertIfNegative val="0"/>
          <c:dLbls>
            <c:delete val="1"/>
          </c:dLbls>
          <c:cat>
            <c:strRef>
              <c:f>Sheet1!$A$2:$A$5</c:f>
              <c:strCache>
                <c:ptCount val="4"/>
                <c:pt idx="0">
                  <c:v>全年收入</c:v>
                </c:pt>
                <c:pt idx="1">
                  <c:v>全年支出</c:v>
                </c:pt>
              </c:strCache>
            </c:strRef>
          </c:cat>
          <c:val>
            <c:numRef>
              <c:f>Sheet1!$B$2:$B$5</c:f>
              <c:numCache>
                <c:formatCode>General</c:formatCode>
                <c:ptCount val="4"/>
                <c:pt idx="0">
                  <c:v>427.32</c:v>
                </c:pt>
                <c:pt idx="1">
                  <c:v>427.32</c:v>
                </c:pt>
              </c:numCache>
            </c:numRef>
          </c:val>
        </c:ser>
        <c:ser>
          <c:idx val="1"/>
          <c:order val="1"/>
          <c:tx>
            <c:strRef>
              <c:f>Sheet1!$C$1</c:f>
              <c:strCache>
                <c:ptCount val="1"/>
                <c:pt idx="0">
                  <c:v>2023年</c:v>
                </c:pt>
              </c:strCache>
            </c:strRef>
          </c:tx>
          <c:invertIfNegative val="0"/>
          <c:dLbls>
            <c:delete val="1"/>
          </c:dLbls>
          <c:cat>
            <c:strRef>
              <c:f>Sheet1!$A$2:$A$5</c:f>
              <c:strCache>
                <c:ptCount val="4"/>
                <c:pt idx="0">
                  <c:v>全年收入</c:v>
                </c:pt>
                <c:pt idx="1">
                  <c:v>全年支出</c:v>
                </c:pt>
              </c:strCache>
            </c:strRef>
          </c:cat>
          <c:val>
            <c:numRef>
              <c:f>Sheet1!$C$2:$C$5</c:f>
              <c:numCache>
                <c:formatCode>General</c:formatCode>
                <c:ptCount val="4"/>
                <c:pt idx="0">
                  <c:v>558.5</c:v>
                </c:pt>
                <c:pt idx="1">
                  <c:v>558.5</c:v>
                </c:pt>
              </c:numCache>
            </c:numRef>
          </c:val>
        </c:ser>
        <c:dLbls>
          <c:showLegendKey val="0"/>
          <c:showVal val="0"/>
          <c:showCatName val="0"/>
          <c:showSerName val="0"/>
          <c:showPercent val="0"/>
          <c:showBubbleSize val="0"/>
        </c:dLbls>
        <c:gapWidth val="150"/>
        <c:axId val="49162880"/>
        <c:axId val="49172864"/>
      </c:barChart>
      <c:catAx>
        <c:axId val="491628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72864"/>
        <c:crosses val="autoZero"/>
        <c:auto val="1"/>
        <c:lblAlgn val="ctr"/>
        <c:lblOffset val="100"/>
        <c:noMultiLvlLbl val="0"/>
      </c:catAx>
      <c:valAx>
        <c:axId val="4917286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628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cd088af-43bc-4e32-8748-69e1afbcbf6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en-US" altLang="zh-CN" sz="1200"/>
              <a:t>2023</a:t>
            </a:r>
            <a:r>
              <a:rPr lang="zh-CN" altLang="en-US" sz="1200"/>
              <a:t>年与</a:t>
            </a:r>
            <a:r>
              <a:rPr lang="en-US" altLang="zh-CN" sz="1200"/>
              <a:t>2024</a:t>
            </a:r>
            <a:r>
              <a:rPr lang="zh-CN" altLang="en-US" sz="1200"/>
              <a:t>年年初预算收入情况</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年初预算收入</c:v>
                </c:pt>
              </c:strCache>
            </c:strRef>
          </c:tx>
          <c:invertIfNegative val="0"/>
          <c:dLbls>
            <c:delete val="1"/>
          </c:dLbls>
          <c:cat>
            <c:strRef>
              <c:f>Sheet1!$A$2:$A$5</c:f>
              <c:strCache>
                <c:ptCount val="4"/>
                <c:pt idx="0">
                  <c:v>2024年</c:v>
                </c:pt>
                <c:pt idx="1">
                  <c:v>2023年</c:v>
                </c:pt>
              </c:strCache>
            </c:strRef>
          </c:cat>
          <c:val>
            <c:numRef>
              <c:f>Sheet1!$B$2:$B$5</c:f>
              <c:numCache>
                <c:formatCode>General</c:formatCode>
                <c:ptCount val="4"/>
                <c:pt idx="0">
                  <c:v>330.04</c:v>
                </c:pt>
                <c:pt idx="1">
                  <c:v>435.12</c:v>
                </c:pt>
              </c:numCache>
            </c:numRef>
          </c:val>
        </c:ser>
        <c:dLbls>
          <c:showLegendKey val="0"/>
          <c:showVal val="0"/>
          <c:showCatName val="0"/>
          <c:showSerName val="0"/>
          <c:showPercent val="0"/>
          <c:showBubbleSize val="0"/>
        </c:dLbls>
        <c:gapWidth val="150"/>
        <c:axId val="100577280"/>
        <c:axId val="100578816"/>
      </c:barChart>
      <c:catAx>
        <c:axId val="10057728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578816"/>
        <c:crosses val="autoZero"/>
        <c:auto val="1"/>
        <c:lblAlgn val="ctr"/>
        <c:lblOffset val="100"/>
        <c:noMultiLvlLbl val="0"/>
      </c:catAx>
      <c:valAx>
        <c:axId val="10057881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5772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bc372ab-e9da-44fc-8858-e9ccd8c8ea3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“三公”经费支出情况表</c:v>
                </c:pt>
              </c:strCache>
            </c:strRef>
          </c:tx>
          <c:explosion val="0"/>
          <c:dPt>
            <c:idx val="0"/>
            <c:bubble3D val="0"/>
          </c:dPt>
          <c:dPt>
            <c:idx val="1"/>
            <c:bubble3D val="0"/>
          </c:dPt>
          <c:dPt>
            <c:idx val="2"/>
            <c:bubble3D val="0"/>
          </c:dPt>
          <c:dPt>
            <c:idx val="3"/>
            <c:bubble3D val="0"/>
          </c:dPt>
          <c:dLbls>
            <c:delete val="1"/>
          </c:dLbls>
          <c:cat>
            <c:strRef>
              <c:f>Sheet1!$A$2:$A$5</c:f>
              <c:strCache>
                <c:ptCount val="3"/>
                <c:pt idx="0">
                  <c:v>公务接待费</c:v>
                </c:pt>
                <c:pt idx="1">
                  <c:v>公务用车运行及维护费</c:v>
                </c:pt>
                <c:pt idx="2">
                  <c:v>因公出境费用</c:v>
                </c:pt>
              </c:strCache>
            </c:strRef>
          </c:cat>
          <c:val>
            <c:numRef>
              <c:f>Sheet1!$B$2:$B$5</c:f>
              <c:numCache>
                <c:formatCode>General</c:formatCode>
                <c:ptCount val="4"/>
                <c:pt idx="0">
                  <c:v>0</c:v>
                </c:pt>
                <c:pt idx="1">
                  <c:v>0</c:v>
                </c:pt>
                <c:pt idx="2">
                  <c:v>0</c:v>
                </c:pt>
                <c:pt idx="3">
                  <c:v>1.2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3fbba18-ad12-43bb-9e6a-3322e20ab127}"/>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4801</Words>
  <Characters>6248</Characters>
  <Lines>1</Lines>
  <Paragraphs>1</Paragraphs>
  <TotalTime>8</TotalTime>
  <ScaleCrop>false</ScaleCrop>
  <LinksUpToDate>false</LinksUpToDate>
  <CharactersWithSpaces>6309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2024-09-13T03:52:00Z</dcterms:created>
  <dc:creator>User</dc:creator>
  <cp:lastModifiedBy>邱然</cp:lastModifiedBy>
  <cp:lastPrinted>2025-09-04T08:36:00Z</cp:lastPrinted>
  <dcterms:modified xsi:type="dcterms:W3CDTF">2025-09-15T08:34:56Z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83B28F7687154DCAA97CA397D9C17EA1_12</vt:lpwstr>
  </property>
  <property fmtid="{D5CDD505-2E9C-101B-9397-08002B2CF9AE}" pid="4" name="KSOTemplateDocerSaveRecord">
    <vt:lpwstr>eyJoZGlkIjoiMjVjNTgyZGRhOWJiNDk5ODk3OTEwYjUxZjgyZTcyNmIiLCJ1c2VySWQiOiI3NzIwNTQ4MzQifQ==</vt:lpwstr>
  </property>
</Properties>
</file>