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96597"/>
      <w:bookmarkStart w:id="2" w:name="_Toc15396475"/>
      <w:bookmarkStart w:id="3" w:name="_Toc15377193"/>
      <w:bookmarkStart w:id="4" w:name="_Toc15306267"/>
      <w:bookmarkStart w:id="5" w:name="_Toc15378441"/>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spacing w:line="600" w:lineRule="exact"/>
        <w:jc w:val="center"/>
        <w:outlineLvl w:val="0"/>
        <w:rPr>
          <w:rFonts w:hint="eastAsia" w:eastAsia="方正小标宋简体" w:cs="Times New Roman"/>
          <w:color w:val="auto"/>
          <w:kern w:val="2"/>
          <w:sz w:val="48"/>
          <w:szCs w:val="48"/>
          <w:highlight w:val="none"/>
          <w:lang w:val="en-US" w:eastAsia="zh-CN" w:bidi="ar-SA"/>
        </w:rPr>
      </w:pPr>
      <w:r>
        <w:rPr>
          <w:rFonts w:hint="eastAsia" w:ascii="Times New Roman" w:hAnsi="Times New Roman" w:eastAsia="方正小标宋简体" w:cs="Times New Roman"/>
          <w:color w:val="auto"/>
          <w:kern w:val="2"/>
          <w:sz w:val="48"/>
          <w:szCs w:val="48"/>
          <w:highlight w:val="none"/>
          <w:lang w:val="en-US" w:eastAsia="zh-CN" w:bidi="ar-SA"/>
        </w:rPr>
        <w:t>2024年度</w:t>
      </w:r>
      <w:r>
        <w:rPr>
          <w:rFonts w:hint="eastAsia" w:eastAsia="方正小标宋简体" w:cs="Times New Roman"/>
          <w:color w:val="auto"/>
          <w:kern w:val="2"/>
          <w:sz w:val="48"/>
          <w:szCs w:val="48"/>
          <w:highlight w:val="none"/>
          <w:lang w:val="en-US" w:eastAsia="zh-CN" w:bidi="ar-SA"/>
        </w:rPr>
        <w:t>四川省</w:t>
      </w:r>
    </w:p>
    <w:p>
      <w:pPr>
        <w:spacing w:line="600" w:lineRule="exact"/>
        <w:jc w:val="center"/>
        <w:outlineLvl w:val="0"/>
        <w:rPr>
          <w:rFonts w:hint="eastAsia" w:eastAsia="方正小标宋简体" w:cs="Times New Roman"/>
          <w:color w:val="auto"/>
          <w:kern w:val="2"/>
          <w:sz w:val="48"/>
          <w:szCs w:val="48"/>
          <w:highlight w:val="none"/>
          <w:lang w:val="en-US" w:eastAsia="zh-CN" w:bidi="ar-SA"/>
        </w:rPr>
      </w:pPr>
      <w:r>
        <w:rPr>
          <w:rFonts w:hint="eastAsia" w:eastAsia="方正小标宋简体" w:cs="Times New Roman"/>
          <w:color w:val="auto"/>
          <w:kern w:val="2"/>
          <w:sz w:val="48"/>
          <w:szCs w:val="48"/>
          <w:highlight w:val="none"/>
          <w:lang w:val="en-US" w:eastAsia="zh-CN" w:bidi="ar-SA"/>
        </w:rPr>
        <w:t>攀枝花市建筑工程学校</w:t>
      </w:r>
    </w:p>
    <w:p>
      <w:pPr>
        <w:spacing w:line="600" w:lineRule="exact"/>
        <w:jc w:val="center"/>
        <w:outlineLvl w:val="0"/>
        <w:rPr>
          <w:rFonts w:hint="eastAsia" w:ascii="Times New Roman" w:hAnsi="Times New Roman" w:eastAsia="方正小标宋简体" w:cs="Times New Roman"/>
          <w:color w:val="auto"/>
          <w:kern w:val="2"/>
          <w:sz w:val="48"/>
          <w:szCs w:val="48"/>
          <w:highlight w:val="none"/>
          <w:lang w:val="en-US" w:eastAsia="zh-CN" w:bidi="ar-SA"/>
        </w:rPr>
      </w:pPr>
      <w:r>
        <w:rPr>
          <w:rFonts w:hint="eastAsia" w:ascii="Times New Roman" w:hAnsi="Times New Roman" w:eastAsia="方正小标宋简体" w:cs="Times New Roman"/>
          <w:color w:val="auto"/>
          <w:kern w:val="2"/>
          <w:sz w:val="48"/>
          <w:szCs w:val="48"/>
          <w:highlight w:val="none"/>
          <w:lang w:val="en-US" w:eastAsia="zh-CN" w:bidi="ar-SA"/>
        </w:rPr>
        <w:t>单位决算</w:t>
      </w:r>
    </w:p>
    <w:p>
      <w:pPr>
        <w:pStyle w:val="2"/>
        <w:jc w:val="center"/>
        <w:rPr>
          <w:rFonts w:hint="eastAsia"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pStyle w:val="2"/>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16 </w:t>
      </w:r>
      <w:r>
        <w:rPr>
          <w:rFonts w:hint="eastAsia" w:ascii="Times New Roman" w:hAnsi="Times New Roman" w:eastAsia="仿宋_GB2312" w:cs="仿宋_GB2312"/>
          <w:color w:val="auto"/>
          <w:sz w:val="32"/>
          <w:szCs w:val="32"/>
          <w:highlight w:val="none"/>
        </w:rPr>
        <w:t>日</w:t>
      </w:r>
    </w:p>
    <w:p>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4"/>
        <w:adjustRightInd w:val="0"/>
        <w:snapToGrid w:val="0"/>
        <w:spacing w:line="440" w:lineRule="exact"/>
        <w:jc w:val="left"/>
        <w:rPr>
          <w:sz w:val="24"/>
        </w:rPr>
      </w:pPr>
      <w:r>
        <w:rPr>
          <w:rFonts w:hint="eastAsia"/>
          <w:sz w:val="24"/>
        </w:rPr>
        <w:t>一、主要职责</w:t>
      </w:r>
      <w:r>
        <w:rPr>
          <w:rFonts w:cstheme="minorBidi"/>
          <w:sz w:val="24"/>
          <w:szCs w:val="24"/>
        </w:rPr>
        <w:tab/>
      </w:r>
      <w:r>
        <w:rPr>
          <w:rFonts w:hint="eastAsia" w:cstheme="minorBidi"/>
          <w:sz w:val="24"/>
          <w:szCs w:val="24"/>
        </w:rPr>
        <w:t>4</w:t>
      </w:r>
    </w:p>
    <w:p>
      <w:pPr>
        <w:pStyle w:val="14"/>
        <w:adjustRightInd w:val="0"/>
        <w:snapToGrid w:val="0"/>
        <w:spacing w:line="440" w:lineRule="exact"/>
        <w:jc w:val="left"/>
        <w:rPr>
          <w:rFonts w:hint="eastAsia" w:eastAsia="宋体"/>
          <w:lang w:eastAsia="zh-CN"/>
        </w:rPr>
      </w:pPr>
      <w:r>
        <w:rPr>
          <w:rFonts w:hint="eastAsia"/>
          <w:sz w:val="24"/>
        </w:rPr>
        <w:t>二、机构设置</w:t>
      </w:r>
      <w:r>
        <w:rPr>
          <w:rFonts w:cstheme="minorBidi"/>
          <w:sz w:val="24"/>
          <w:szCs w:val="24"/>
        </w:rPr>
        <w:tab/>
      </w:r>
      <w:r>
        <w:rPr>
          <w:rFonts w:hint="eastAsia" w:cstheme="minorBidi"/>
          <w:sz w:val="24"/>
          <w:szCs w:val="24"/>
          <w:lang w:val="en-US" w:eastAsia="zh-CN"/>
        </w:rPr>
        <w:t>4</w:t>
      </w:r>
    </w:p>
    <w:p>
      <w:pPr>
        <w:pStyle w:val="13"/>
        <w:adjustRightInd w:val="0"/>
        <w:snapToGrid w:val="0"/>
        <w:spacing w:before="0" w:line="440" w:lineRule="exact"/>
        <w:jc w:val="left"/>
        <w:rPr>
          <w:rFonts w:hint="eastAsia" w:eastAsia="仿宋"/>
          <w:sz w:val="24"/>
          <w:szCs w:val="24"/>
          <w:lang w:eastAsia="zh-CN"/>
        </w:rPr>
      </w:pPr>
      <w:r>
        <w:rPr>
          <w:rFonts w:hint="eastAsia"/>
          <w:sz w:val="24"/>
        </w:rPr>
        <w:t>第二部分 202</w:t>
      </w:r>
      <w:r>
        <w:rPr>
          <w:rFonts w:hint="eastAsia"/>
          <w:sz w:val="24"/>
          <w:lang w:val="en-US" w:eastAsia="zh-CN"/>
        </w:rPr>
        <w:t>4</w:t>
      </w:r>
      <w:r>
        <w:rPr>
          <w:rFonts w:hint="eastAsia"/>
          <w:sz w:val="24"/>
        </w:rPr>
        <w:t>年度单位决算情况说明</w:t>
      </w:r>
      <w:r>
        <w:rPr>
          <w:rFonts w:cstheme="minorBidi"/>
          <w:sz w:val="24"/>
          <w:szCs w:val="24"/>
        </w:rPr>
        <w:tab/>
      </w:r>
      <w:r>
        <w:rPr>
          <w:rFonts w:hint="eastAsia" w:cstheme="minorBidi"/>
          <w:sz w:val="24"/>
          <w:szCs w:val="24"/>
          <w:lang w:val="en-US" w:eastAsia="zh-CN"/>
        </w:rPr>
        <w:t>5</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一、收入支出决算总体情况说明</w:t>
      </w:r>
      <w:r>
        <w:rPr>
          <w:rFonts w:cstheme="minorBidi"/>
          <w:sz w:val="24"/>
          <w:szCs w:val="24"/>
        </w:rPr>
        <w:tab/>
      </w:r>
      <w:r>
        <w:rPr>
          <w:rFonts w:hint="eastAsia" w:cstheme="minorBidi"/>
          <w:sz w:val="24"/>
          <w:szCs w:val="24"/>
          <w:lang w:val="en-US" w:eastAsia="zh-CN"/>
        </w:rPr>
        <w:t>5</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二、收入决算情况说明</w:t>
      </w:r>
      <w:r>
        <w:rPr>
          <w:rFonts w:cstheme="minorBidi"/>
          <w:sz w:val="24"/>
          <w:szCs w:val="24"/>
        </w:rPr>
        <w:tab/>
      </w:r>
      <w:r>
        <w:rPr>
          <w:rFonts w:hint="eastAsia" w:cstheme="minorBidi"/>
          <w:sz w:val="24"/>
          <w:szCs w:val="24"/>
          <w:lang w:val="en-US" w:eastAsia="zh-CN"/>
        </w:rPr>
        <w:t>5</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三、支出决算情况说明</w:t>
      </w:r>
      <w:r>
        <w:rPr>
          <w:rFonts w:cstheme="minorBidi"/>
          <w:sz w:val="24"/>
          <w:szCs w:val="24"/>
        </w:rPr>
        <w:tab/>
      </w:r>
      <w:r>
        <w:rPr>
          <w:rFonts w:hint="eastAsia" w:cstheme="minorBidi"/>
          <w:sz w:val="24"/>
          <w:szCs w:val="24"/>
          <w:lang w:val="en-US" w:eastAsia="zh-CN"/>
        </w:rPr>
        <w:t>6</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四、财政拨款收入支出决算总体情况说明</w:t>
      </w:r>
      <w:r>
        <w:rPr>
          <w:rFonts w:cstheme="minorBidi"/>
          <w:sz w:val="24"/>
          <w:szCs w:val="24"/>
        </w:rPr>
        <w:tab/>
      </w:r>
      <w:r>
        <w:rPr>
          <w:rFonts w:hint="eastAsia" w:cstheme="minorBidi"/>
          <w:sz w:val="24"/>
          <w:szCs w:val="24"/>
          <w:lang w:val="en-US" w:eastAsia="zh-CN"/>
        </w:rPr>
        <w:t>6</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五、一般公共预算财政拨款支出决算情况说明</w:t>
      </w:r>
      <w:r>
        <w:rPr>
          <w:rFonts w:cstheme="minorBidi"/>
          <w:sz w:val="24"/>
          <w:szCs w:val="24"/>
        </w:rPr>
        <w:tab/>
      </w:r>
      <w:r>
        <w:rPr>
          <w:rFonts w:hint="eastAsia" w:cstheme="minorBidi"/>
          <w:sz w:val="24"/>
          <w:szCs w:val="24"/>
          <w:lang w:val="en-US" w:eastAsia="zh-CN"/>
        </w:rPr>
        <w:t>7</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szCs w:val="24"/>
        </w:rPr>
        <w:tab/>
      </w:r>
      <w:r>
        <w:rPr>
          <w:rFonts w:hint="eastAsia" w:cstheme="minorBidi"/>
          <w:sz w:val="24"/>
          <w:szCs w:val="24"/>
          <w:lang w:val="en-US" w:eastAsia="zh-CN"/>
        </w:rPr>
        <w:t>10</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szCs w:val="24"/>
        </w:rPr>
        <w:tab/>
      </w:r>
      <w:r>
        <w:rPr>
          <w:rFonts w:hint="eastAsia" w:cstheme="minorBidi"/>
          <w:sz w:val="24"/>
          <w:szCs w:val="24"/>
          <w:lang w:val="en-US" w:eastAsia="zh-CN"/>
        </w:rPr>
        <w:t>11</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szCs w:val="24"/>
        </w:rPr>
        <w:tab/>
      </w:r>
      <w:r>
        <w:rPr>
          <w:rFonts w:hint="eastAsia" w:cstheme="minorBidi"/>
          <w:sz w:val="24"/>
          <w:szCs w:val="24"/>
          <w:lang w:val="en-US" w:eastAsia="zh-CN"/>
        </w:rPr>
        <w:t>12</w:t>
      </w:r>
    </w:p>
    <w:p>
      <w:pPr>
        <w:pStyle w:val="14"/>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szCs w:val="24"/>
        </w:rPr>
        <w:tab/>
      </w:r>
      <w:r>
        <w:rPr>
          <w:rFonts w:hint="eastAsia" w:cstheme="minorBidi"/>
          <w:sz w:val="24"/>
          <w:szCs w:val="24"/>
          <w:lang w:val="en-US" w:eastAsia="zh-CN"/>
        </w:rPr>
        <w:t>12</w:t>
      </w:r>
    </w:p>
    <w:p>
      <w:pPr>
        <w:pStyle w:val="14"/>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cstheme="minorBidi"/>
          <w:sz w:val="24"/>
          <w:szCs w:val="24"/>
          <w:lang w:val="en-US" w:eastAsia="zh-CN"/>
        </w:rPr>
        <w:t>12</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13</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lang w:val="en-US" w:eastAsia="zh-CN"/>
        </w:rPr>
        <w:t>15</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sz w:val="24"/>
        </w:rPr>
      </w:pPr>
      <w:r>
        <w:rPr>
          <w:rFonts w:hint="eastAsia"/>
          <w:sz w:val="24"/>
        </w:rPr>
        <w:t>一、收入支出决算总表</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sz w:val="24"/>
        </w:rPr>
      </w:pPr>
      <w:r>
        <w:rPr>
          <w:rFonts w:hint="eastAsia"/>
          <w:sz w:val="24"/>
        </w:rPr>
        <w:t>二、收入决算表</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sz w:val="24"/>
        </w:rPr>
      </w:pPr>
      <w:r>
        <w:rPr>
          <w:rFonts w:hint="eastAsia"/>
          <w:sz w:val="24"/>
        </w:rPr>
        <w:t>三、支出决算表</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sz w:val="24"/>
        </w:rPr>
      </w:pPr>
      <w:r>
        <w:rPr>
          <w:rFonts w:hint="eastAsia"/>
          <w:sz w:val="24"/>
        </w:rPr>
        <w:t>四、财政拨款收入支出决算总表</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sz w:val="24"/>
        </w:rPr>
      </w:pPr>
      <w:r>
        <w:rPr>
          <w:rFonts w:hint="eastAsia"/>
          <w:sz w:val="24"/>
        </w:rPr>
        <w:t>五、财政拨款支出决算明细表</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sz w:val="24"/>
        </w:rPr>
      </w:pPr>
      <w:r>
        <w:rPr>
          <w:rFonts w:hint="eastAsia"/>
          <w:sz w:val="24"/>
        </w:rPr>
        <w:t>六、一般公共预算财政拨款支出决算表</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sz w:val="24"/>
        </w:rPr>
      </w:pPr>
      <w:r>
        <w:rPr>
          <w:rFonts w:hint="eastAsia"/>
          <w:sz w:val="24"/>
        </w:rPr>
        <w:t>七、一般公共预算财政拨款支出决算明细表</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sz w:val="24"/>
        </w:rPr>
      </w:pPr>
      <w:r>
        <w:rPr>
          <w:rFonts w:hint="eastAsia"/>
          <w:sz w:val="24"/>
        </w:rPr>
        <w:t>八、一般公共预算财政拨款基本支出决算明细表</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sz w:val="24"/>
        </w:rPr>
      </w:pPr>
      <w:r>
        <w:rPr>
          <w:rFonts w:hint="eastAsia"/>
          <w:sz w:val="24"/>
        </w:rPr>
        <w:t>九、一般公共预算财政拨款项目支出决算表</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sz w:val="24"/>
        </w:rPr>
      </w:pPr>
      <w:r>
        <w:rPr>
          <w:rFonts w:hint="eastAsia"/>
          <w:sz w:val="24"/>
        </w:rPr>
        <w:t>十、政府性基金预算财政拨款收入支出决算表</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sz w:val="24"/>
        </w:rPr>
      </w:pPr>
      <w:r>
        <w:rPr>
          <w:rFonts w:hint="eastAsia"/>
          <w:sz w:val="24"/>
        </w:rPr>
        <w:t>十一、国有资本经营预算财政拨款收入支出决算表</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sz w:val="24"/>
        </w:rPr>
      </w:pPr>
      <w:r>
        <w:rPr>
          <w:rFonts w:hint="eastAsia"/>
          <w:sz w:val="24"/>
        </w:rPr>
        <w:t>十二、国有资本经营预算财政拨款支出决算表</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jc w:val="left"/>
        <w:rPr>
          <w:sz w:val="24"/>
        </w:rPr>
      </w:pPr>
      <w:r>
        <w:rPr>
          <w:rFonts w:hint="eastAsia"/>
          <w:sz w:val="24"/>
        </w:rPr>
        <w:t>十三、财政拨款“三公”经费支出决算表</w:t>
      </w:r>
      <w:r>
        <w:rPr>
          <w:rFonts w:cstheme="minorBidi"/>
          <w:sz w:val="24"/>
          <w:szCs w:val="24"/>
        </w:rPr>
        <w:tab/>
      </w:r>
      <w:r>
        <w:rPr>
          <w:rFonts w:hint="eastAsia" w:cstheme="minorBidi"/>
          <w:sz w:val="24"/>
          <w:szCs w:val="24"/>
          <w:lang w:val="en-US" w:eastAsia="zh-CN"/>
        </w:rPr>
        <w:t>16</w:t>
      </w:r>
    </w:p>
    <w:p>
      <w:pPr>
        <w:widowControl/>
        <w:jc w:val="both"/>
        <w:rPr>
          <w:rFonts w:hint="eastAsia" w:eastAsia="黑体" w:cstheme="minorBidi"/>
          <w:color w:val="auto"/>
          <w:sz w:val="28"/>
          <w:szCs w:val="28"/>
          <w:highlight w:val="none"/>
          <w:lang w:val="en-US" w:eastAsia="zh-CN"/>
        </w:rPr>
      </w:pPr>
      <w:r>
        <w:rPr>
          <w:rFonts w:hint="eastAsia" w:eastAsia="黑体" w:cstheme="minorBidi"/>
          <w:color w:val="auto"/>
          <w:sz w:val="28"/>
          <w:szCs w:val="28"/>
          <w:highlight w:val="none"/>
          <w:lang w:val="en-US" w:eastAsia="zh-CN"/>
        </w:rPr>
        <w:t xml:space="preserve">          </w:t>
      </w:r>
    </w:p>
    <w:p>
      <w:pPr>
        <w:pStyle w:val="2"/>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3"/>
        <w:rPr>
          <w:rFonts w:hint="eastAsia" w:eastAsia="黑体" w:cstheme="minorBidi"/>
          <w:color w:val="auto"/>
          <w:sz w:val="28"/>
          <w:szCs w:val="28"/>
          <w:highlight w:val="none"/>
          <w:lang w:val="en-US" w:eastAsia="zh-CN"/>
        </w:rPr>
      </w:pPr>
    </w:p>
    <w:p>
      <w:pPr>
        <w:pStyle w:val="5"/>
        <w:jc w:val="center"/>
        <w:rPr>
          <w:rFonts w:ascii="Times New Roman" w:hAnsi="Times New Roman"/>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p>
    <w:p>
      <w:pPr>
        <w:pStyle w:val="6"/>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黑体"/>
          <w:b w:val="0"/>
          <w:color w:val="auto"/>
          <w:highlight w:val="none"/>
        </w:rPr>
        <w:t>一、</w:t>
      </w:r>
      <w:r>
        <w:rPr>
          <w:rFonts w:hint="eastAsia" w:ascii="Times New Roman" w:hAnsi="Times New Roman" w:eastAsia="黑体"/>
          <w:b w:val="0"/>
          <w:color w:val="auto"/>
          <w:highlight w:val="none"/>
          <w:lang w:eastAsia="zh-CN"/>
        </w:rPr>
        <w:t>部门职责</w:t>
      </w:r>
    </w:p>
    <w:p>
      <w:pPr>
        <w:ind w:firstLine="640" w:firstLineChars="200"/>
        <w:rPr>
          <w:rFonts w:hint="eastAsia"/>
        </w:rPr>
      </w:pPr>
      <w:r>
        <w:rPr>
          <w:rFonts w:hint="eastAsia" w:ascii="仿宋" w:hAnsi="仿宋" w:eastAsia="仿宋" w:cs="仿宋"/>
          <w:sz w:val="32"/>
          <w:szCs w:val="32"/>
        </w:rPr>
        <w:t>攀枝花市建筑工程学校创办于1978年，系攀枝花市政府主办、攀枝花市教育和体育局直属的公办学校，占地面积145亩，现有学生3000余人。202</w:t>
      </w:r>
      <w:r>
        <w:rPr>
          <w:rFonts w:hint="eastAsia" w:ascii="仿宋" w:hAnsi="仿宋" w:eastAsia="仿宋" w:cs="仿宋"/>
          <w:sz w:val="32"/>
          <w:szCs w:val="32"/>
          <w:lang w:val="en-US" w:eastAsia="zh-CN"/>
        </w:rPr>
        <w:t>4</w:t>
      </w:r>
      <w:r>
        <w:rPr>
          <w:rFonts w:hint="eastAsia" w:ascii="仿宋" w:hAnsi="仿宋" w:eastAsia="仿宋" w:cs="仿宋"/>
          <w:sz w:val="32"/>
          <w:szCs w:val="32"/>
        </w:rPr>
        <w:t>年学校继续保持了国家中等职业教育改革发展示范学校、四川省精神文明单位、卫生先进单位，四川省校风示范学校、中职学生内务管理示范学校；四川省中等职业学校教学诊断与改进工作试点学校、现代学徒制试点学校、全国“1+X”证书制度试点学校等荣誉称号，成功立项四川省中等职业学校“三名工程”四星名校建设单位。全面贯彻国家职业教育方针，坚持为社会主义现代化建设服务，以就业为导向，努力培养和造就市场需要的有一技之长的专业人才。以立德树人为根本任务，加强学生思想道德和职业道德教育。加强校企合作，发挥校企联合办学的整体优势。主动适应企业用人需求，努力提高人才培养质量，使毕业生素质与企业的需求相适应</w:t>
      </w:r>
      <w:r>
        <w:rPr>
          <w:rFonts w:hint="eastAsia" w:ascii="仿宋" w:hAnsi="仿宋" w:eastAsia="仿宋" w:cs="仿宋"/>
          <w:sz w:val="32"/>
          <w:szCs w:val="32"/>
          <w:lang w:eastAsia="zh-CN"/>
        </w:rPr>
        <w:t>。</w:t>
      </w:r>
    </w:p>
    <w:p>
      <w:pPr>
        <w:pStyle w:val="6"/>
        <w:numPr>
          <w:ilvl w:val="0"/>
          <w:numId w:val="1"/>
        </w:numPr>
        <w:rPr>
          <w:rStyle w:val="29"/>
          <w:rFonts w:hint="eastAsia" w:ascii="Times New Roman" w:hAnsi="Times New Roman" w:eastAsia="黑体"/>
          <w:b w:val="0"/>
          <w:bCs w:val="0"/>
          <w:color w:val="auto"/>
          <w:highlight w:val="none"/>
        </w:rPr>
      </w:pPr>
      <w:r>
        <w:rPr>
          <w:rFonts w:hint="eastAsia" w:ascii="Times New Roman" w:hAnsi="Times New Roman" w:eastAsia="黑体"/>
          <w:b w:val="0"/>
          <w:color w:val="auto"/>
          <w:highlight w:val="none"/>
        </w:rPr>
        <w:t>机</w:t>
      </w:r>
      <w:r>
        <w:rPr>
          <w:rStyle w:val="29"/>
          <w:rFonts w:hint="eastAsia" w:ascii="Times New Roman" w:hAnsi="Times New Roman" w:eastAsia="黑体"/>
          <w:b w:val="0"/>
          <w:bCs w:val="0"/>
          <w:color w:val="auto"/>
          <w:highlight w:val="none"/>
        </w:rPr>
        <w:t>构设置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四川省攀枝花市建筑工程学校下属二级</w:t>
      </w:r>
      <w:r>
        <w:rPr>
          <w:rFonts w:hint="eastAsia" w:ascii="仿宋" w:hAnsi="仿宋" w:eastAsia="仿宋" w:cs="仿宋"/>
          <w:sz w:val="32"/>
          <w:szCs w:val="32"/>
          <w:lang w:eastAsia="zh-CN"/>
        </w:rPr>
        <w:t>预算</w:t>
      </w:r>
      <w:r>
        <w:rPr>
          <w:rFonts w:hint="eastAsia" w:ascii="仿宋" w:hAnsi="仿宋" w:eastAsia="仿宋" w:cs="仿宋"/>
          <w:sz w:val="32"/>
          <w:szCs w:val="32"/>
        </w:rPr>
        <w:t>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个，参照公务员法管理的事业单位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个，其本单位为攀枝花市教育和体育局所属2级预算单位</w:t>
      </w:r>
      <w:r>
        <w:rPr>
          <w:rFonts w:hint="eastAsia" w:ascii="仿宋" w:hAnsi="仿宋" w:eastAsia="仿宋" w:cs="仿宋"/>
          <w:sz w:val="32"/>
          <w:szCs w:val="32"/>
          <w:lang w:eastAsia="zh-CN"/>
        </w:rPr>
        <w:t>，单位内共</w:t>
      </w:r>
      <w:r>
        <w:rPr>
          <w:rFonts w:hint="eastAsia" w:ascii="仿宋" w:hAnsi="仿宋" w:eastAsia="仿宋" w:cs="仿宋"/>
          <w:sz w:val="32"/>
          <w:szCs w:val="32"/>
          <w:lang w:val="en-US" w:eastAsia="zh-CN"/>
        </w:rPr>
        <w:t>15个科室部门。</w:t>
      </w:r>
    </w:p>
    <w:p>
      <w:pPr>
        <w:pStyle w:val="5"/>
        <w:jc w:val="center"/>
        <w:rPr>
          <w:rFonts w:hint="eastAsia" w:ascii="Times New Roman" w:hAnsi="Times New Roman" w:eastAsia="方正小标宋简体" w:cs="方正小标宋简体"/>
          <w:b w:val="0"/>
          <w:color w:val="auto"/>
          <w:highlight w:val="none"/>
        </w:rPr>
      </w:pPr>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p>
    <w:p>
      <w:pPr>
        <w:snapToGrid w:val="0"/>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年度收、支总计均为7,322.39</w:t>
      </w:r>
      <w:r>
        <w:rPr>
          <w:rFonts w:hint="eastAsia" w:ascii="仿宋" w:hAnsi="仿宋" w:eastAsia="仿宋"/>
          <w:sz w:val="32"/>
          <w:szCs w:val="32"/>
          <w:lang w:val="en-US" w:eastAsia="zh-CN"/>
        </w:rPr>
        <w:t>万元。</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w:t>
      </w:r>
      <w:r>
        <w:rPr>
          <w:rFonts w:hint="eastAsia" w:ascii="仿宋" w:hAnsi="仿宋" w:eastAsia="仿宋"/>
          <w:sz w:val="32"/>
          <w:szCs w:val="32"/>
          <w:lang w:val="en-US" w:eastAsia="zh-CN"/>
        </w:rPr>
        <w:t>增加166.53</w:t>
      </w:r>
      <w:r>
        <w:rPr>
          <w:rFonts w:hint="eastAsia" w:ascii="仿宋" w:hAnsi="仿宋" w:eastAsia="仿宋"/>
          <w:sz w:val="32"/>
          <w:szCs w:val="32"/>
        </w:rPr>
        <w:t>万元，</w:t>
      </w:r>
      <w:r>
        <w:rPr>
          <w:rFonts w:hint="eastAsia" w:ascii="仿宋" w:hAnsi="仿宋" w:eastAsia="仿宋"/>
          <w:sz w:val="32"/>
          <w:szCs w:val="32"/>
          <w:lang w:val="en-US" w:eastAsia="zh-CN"/>
        </w:rPr>
        <w:t>上升2.33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与2023年度相比采购资金增加，同时2024年度使用部分2023年度结转资金。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2"/>
        <w:rPr>
          <w:rFonts w:hint="eastAsia"/>
          <w:lang w:val="en-US" w:eastAsia="zh-CN"/>
        </w:rPr>
      </w:pPr>
      <w:r>
        <w:drawing>
          <wp:anchor distT="0" distB="0" distL="114300" distR="114300" simplePos="0" relativeHeight="251658240" behindDoc="1" locked="0" layoutInCell="1" allowOverlap="1">
            <wp:simplePos x="0" y="0"/>
            <wp:positionH relativeFrom="column">
              <wp:posOffset>349250</wp:posOffset>
            </wp:positionH>
            <wp:positionV relativeFrom="paragraph">
              <wp:posOffset>63500</wp:posOffset>
            </wp:positionV>
            <wp:extent cx="4628515" cy="2799715"/>
            <wp:effectExtent l="0" t="0" r="635" b="635"/>
            <wp:wrapTight wrapText="bothSides">
              <wp:wrapPolygon>
                <wp:start x="0" y="0"/>
                <wp:lineTo x="0" y="21458"/>
                <wp:lineTo x="21514" y="21458"/>
                <wp:lineTo x="2151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a:stretch>
                      <a:fillRect/>
                    </a:stretch>
                  </pic:blipFill>
                  <pic:spPr>
                    <a:xfrm>
                      <a:off x="0" y="0"/>
                      <a:ext cx="4628515" cy="2799715"/>
                    </a:xfrm>
                    <a:prstGeom prst="rect">
                      <a:avLst/>
                    </a:prstGeom>
                    <a:noFill/>
                    <a:ln w="9525">
                      <a:noFill/>
                      <a:miter/>
                    </a:ln>
                  </pic:spPr>
                </pic:pic>
              </a:graphicData>
            </a:graphic>
          </wp:anchor>
        </w:drawing>
      </w:r>
    </w:p>
    <w:p>
      <w:pPr>
        <w:pStyle w:val="2"/>
        <w:rPr>
          <w:rFonts w:hint="eastAsia" w:ascii="仿宋" w:hAnsi="仿宋" w:eastAsia="仿宋"/>
          <w:sz w:val="32"/>
          <w:szCs w:val="32"/>
          <w:lang w:val="en-US" w:eastAsia="zh-CN"/>
        </w:rPr>
      </w:pPr>
    </w:p>
    <w:p>
      <w:pPr>
        <w:pStyle w:val="3"/>
        <w:rPr>
          <w:rFonts w:hint="eastAsia" w:ascii="仿宋" w:hAnsi="仿宋" w:eastAsia="仿宋"/>
          <w:sz w:val="32"/>
          <w:szCs w:val="32"/>
          <w:lang w:val="en-US" w:eastAsia="zh-CN"/>
        </w:rPr>
      </w:pPr>
    </w:p>
    <w:p>
      <w:pPr>
        <w:pStyle w:val="3"/>
        <w:rPr>
          <w:rFonts w:hint="eastAsia" w:ascii="仿宋" w:hAnsi="仿宋" w:eastAsia="仿宋"/>
          <w:sz w:val="32"/>
          <w:szCs w:val="32"/>
          <w:lang w:val="en-US" w:eastAsia="zh-CN"/>
        </w:rPr>
      </w:pPr>
    </w:p>
    <w:p>
      <w:pPr>
        <w:pStyle w:val="3"/>
        <w:rPr>
          <w:rFonts w:hint="eastAsia" w:ascii="仿宋" w:hAnsi="仿宋" w:eastAsia="仿宋"/>
          <w:sz w:val="32"/>
          <w:szCs w:val="32"/>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p>
    <w:p>
      <w:pPr>
        <w:spacing w:line="600" w:lineRule="exact"/>
        <w:ind w:firstLine="640" w:firstLineChars="200"/>
        <w:outlineLvl w:val="1"/>
        <w:rPr>
          <w:rFonts w:hint="eastAsia" w:ascii="仿宋" w:hAnsi="仿宋" w:eastAsia="仿宋"/>
          <w:b w:val="0"/>
          <w:bCs w:val="0"/>
          <w:sz w:val="32"/>
          <w:szCs w:val="32"/>
          <w:lang w:eastAsia="zh-CN"/>
        </w:rPr>
      </w:pPr>
      <w:r>
        <w:rPr>
          <w:rFonts w:hint="eastAsia" w:ascii="仿宋" w:hAnsi="仿宋" w:eastAsia="仿宋"/>
          <w:b w:val="0"/>
          <w:bCs w:val="0"/>
          <w:sz w:val="32"/>
          <w:szCs w:val="32"/>
        </w:rPr>
        <w:t>202</w:t>
      </w:r>
      <w:r>
        <w:rPr>
          <w:rFonts w:hint="eastAsia" w:ascii="仿宋" w:hAnsi="仿宋" w:eastAsia="仿宋"/>
          <w:b w:val="0"/>
          <w:bCs w:val="0"/>
          <w:sz w:val="32"/>
          <w:szCs w:val="32"/>
          <w:lang w:val="en-US" w:eastAsia="zh-CN"/>
        </w:rPr>
        <w:t>4</w:t>
      </w:r>
      <w:r>
        <w:rPr>
          <w:rFonts w:hint="eastAsia" w:ascii="仿宋" w:hAnsi="仿宋" w:eastAsia="仿宋"/>
          <w:b w:val="0"/>
          <w:bCs w:val="0"/>
          <w:sz w:val="32"/>
          <w:szCs w:val="32"/>
        </w:rPr>
        <w:t>年度本年收入合计7,250.69万元，其中：一般公共预算财政拨款收入7,075.66万元，</w:t>
      </w:r>
      <w:r>
        <w:rPr>
          <w:rFonts w:hint="eastAsia" w:ascii="仿宋_GB2312" w:hAnsi="仿宋_GB2312" w:eastAsia="仿宋_GB2312" w:cs="仿宋_GB2312"/>
          <w:b w:val="0"/>
          <w:bCs w:val="0"/>
          <w:color w:val="auto"/>
          <w:sz w:val="32"/>
          <w:szCs w:val="32"/>
          <w:highlight w:val="none"/>
          <w:lang w:eastAsia="zh-CN"/>
        </w:rPr>
        <w:t>占</w:t>
      </w:r>
      <w:r>
        <w:rPr>
          <w:rFonts w:hint="eastAsia" w:ascii="仿宋_GB2312" w:hAnsi="仿宋_GB2312" w:eastAsia="仿宋_GB2312" w:cs="仿宋_GB2312"/>
          <w:b w:val="0"/>
          <w:bCs w:val="0"/>
          <w:sz w:val="32"/>
          <w:szCs w:val="32"/>
        </w:rPr>
        <w:t>97.58</w:t>
      </w:r>
      <w:r>
        <w:rPr>
          <w:rFonts w:hint="eastAsia" w:ascii="仿宋_GB2312" w:hAnsi="仿宋_GB2312" w:eastAsia="仿宋_GB2312" w:cs="仿宋_GB2312"/>
          <w:b w:val="0"/>
          <w:bCs w:val="0"/>
          <w:color w:val="auto"/>
          <w:sz w:val="32"/>
          <w:szCs w:val="32"/>
          <w:highlight w:val="none"/>
          <w:lang w:eastAsia="zh-CN"/>
        </w:rPr>
        <w:t>%</w:t>
      </w:r>
      <w:r>
        <w:rPr>
          <w:rFonts w:hint="eastAsia" w:ascii="仿宋" w:hAnsi="仿宋" w:eastAsia="仿宋"/>
          <w:b w:val="0"/>
          <w:bCs w:val="0"/>
          <w:sz w:val="32"/>
          <w:szCs w:val="32"/>
        </w:rPr>
        <w:t>；事业收入82.23万元，占</w:t>
      </w:r>
      <w:r>
        <w:rPr>
          <w:rFonts w:ascii="仿宋" w:hAnsi="仿宋" w:eastAsia="仿宋"/>
          <w:b w:val="0"/>
          <w:bCs w:val="0"/>
          <w:sz w:val="32"/>
          <w:szCs w:val="32"/>
        </w:rPr>
        <w:t>1.</w:t>
      </w:r>
      <w:r>
        <w:rPr>
          <w:rFonts w:hint="eastAsia" w:ascii="仿宋" w:hAnsi="仿宋" w:eastAsia="仿宋"/>
          <w:b w:val="0"/>
          <w:bCs w:val="0"/>
          <w:sz w:val="32"/>
          <w:szCs w:val="32"/>
          <w:lang w:val="en-US" w:eastAsia="zh-CN"/>
        </w:rPr>
        <w:t>13</w:t>
      </w:r>
      <w:r>
        <w:rPr>
          <w:rFonts w:ascii="仿宋" w:hAnsi="仿宋" w:eastAsia="仿宋"/>
          <w:b w:val="0"/>
          <w:bCs w:val="0"/>
          <w:sz w:val="32"/>
          <w:szCs w:val="32"/>
        </w:rPr>
        <w:t>%</w:t>
      </w:r>
      <w:r>
        <w:rPr>
          <w:rFonts w:hint="eastAsia" w:ascii="仿宋" w:hAnsi="仿宋" w:eastAsia="仿宋"/>
          <w:b w:val="0"/>
          <w:bCs w:val="0"/>
          <w:sz w:val="32"/>
          <w:szCs w:val="32"/>
        </w:rPr>
        <w:t>；其他收入92.80万元，</w:t>
      </w:r>
      <w:r>
        <w:rPr>
          <w:rFonts w:hint="eastAsia" w:ascii="仿宋_GB2312" w:hAnsi="仿宋_GB2312" w:eastAsia="仿宋_GB2312" w:cs="仿宋_GB2312"/>
          <w:b w:val="0"/>
          <w:bCs w:val="0"/>
          <w:color w:val="auto"/>
          <w:sz w:val="32"/>
          <w:szCs w:val="32"/>
          <w:highlight w:val="none"/>
          <w:lang w:eastAsia="zh-CN"/>
        </w:rPr>
        <w:t>占</w:t>
      </w:r>
      <w:r>
        <w:rPr>
          <w:rFonts w:hint="eastAsia" w:ascii="仿宋_GB2312" w:hAnsi="仿宋_GB2312" w:eastAsia="仿宋_GB2312" w:cs="仿宋_GB2312"/>
          <w:b w:val="0"/>
          <w:bCs w:val="0"/>
          <w:sz w:val="32"/>
          <w:szCs w:val="32"/>
        </w:rPr>
        <w:t>1.27</w:t>
      </w:r>
      <w:r>
        <w:rPr>
          <w:rFonts w:hint="eastAsia" w:ascii="仿宋_GB2312" w:hAnsi="仿宋_GB2312" w:eastAsia="仿宋_GB2312" w:cs="仿宋_GB2312"/>
          <w:b w:val="0"/>
          <w:bCs w:val="0"/>
          <w:color w:val="auto"/>
          <w:sz w:val="32"/>
          <w:szCs w:val="32"/>
          <w:highlight w:val="none"/>
          <w:lang w:eastAsia="zh-CN"/>
        </w:rPr>
        <w:t>%</w:t>
      </w:r>
      <w:r>
        <w:rPr>
          <w:rFonts w:hint="eastAsia" w:ascii="仿宋" w:hAnsi="仿宋" w:eastAsia="仿宋"/>
          <w:b w:val="0"/>
          <w:bCs w:val="0"/>
          <w:sz w:val="32"/>
          <w:szCs w:val="32"/>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
        <w:rPr>
          <w:rFonts w:hint="eastAsia"/>
          <w:lang w:eastAsia="zh-CN"/>
        </w:rPr>
      </w:pPr>
    </w:p>
    <w:p>
      <w:pPr>
        <w:pStyle w:val="2"/>
        <w:rPr>
          <w:rFonts w:hint="eastAsia"/>
          <w:lang w:eastAsia="zh-CN"/>
        </w:rPr>
      </w:pPr>
    </w:p>
    <w:p>
      <w:pPr>
        <w:numPr>
          <w:ilvl w:val="0"/>
          <w:numId w:val="0"/>
        </w:numPr>
        <w:ind w:leftChars="200"/>
        <w:rPr>
          <w:rFonts w:hint="eastAsia"/>
        </w:rPr>
      </w:pPr>
      <w:r>
        <w:drawing>
          <wp:inline distT="0" distB="0" distL="114300" distR="114300">
            <wp:extent cx="4618990" cy="27711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rcRect/>
                    <a:stretch>
                      <a:fillRect/>
                    </a:stretch>
                  </pic:blipFill>
                  <pic:spPr>
                    <a:xfrm>
                      <a:off x="0" y="0"/>
                      <a:ext cx="4618990" cy="2771140"/>
                    </a:xfrm>
                    <a:prstGeom prst="rect">
                      <a:avLst/>
                    </a:prstGeom>
                    <a:noFill/>
                    <a:ln w="9525">
                      <a:noFill/>
                      <a:miter/>
                    </a:ln>
                  </pic:spPr>
                </pic:pic>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p>
    <w:p>
      <w:pPr>
        <w:spacing w:line="600" w:lineRule="exact"/>
        <w:ind w:firstLine="640" w:firstLineChars="200"/>
        <w:outlineLvl w:val="1"/>
        <w:rPr>
          <w:rFonts w:hint="eastAsia" w:ascii="仿宋" w:hAnsi="仿宋" w:eastAsia="仿宋"/>
          <w:b w:val="0"/>
          <w:bCs w:val="0"/>
          <w:sz w:val="32"/>
          <w:szCs w:val="32"/>
          <w:lang w:eastAsia="zh-CN"/>
        </w:rPr>
      </w:pPr>
      <w:r>
        <w:rPr>
          <w:rFonts w:hint="eastAsia" w:ascii="仿宋" w:hAnsi="仿宋" w:eastAsia="仿宋"/>
          <w:b w:val="0"/>
          <w:bCs w:val="0"/>
          <w:sz w:val="32"/>
          <w:szCs w:val="32"/>
        </w:rPr>
        <w:t>202</w:t>
      </w:r>
      <w:r>
        <w:rPr>
          <w:rFonts w:hint="eastAsia" w:ascii="仿宋" w:hAnsi="仿宋" w:eastAsia="仿宋"/>
          <w:b w:val="0"/>
          <w:bCs w:val="0"/>
          <w:sz w:val="32"/>
          <w:szCs w:val="32"/>
          <w:lang w:val="en-US" w:eastAsia="zh-CN"/>
        </w:rPr>
        <w:t>4</w:t>
      </w:r>
      <w:r>
        <w:rPr>
          <w:rFonts w:hint="eastAsia" w:ascii="仿宋" w:hAnsi="仿宋" w:eastAsia="仿宋"/>
          <w:b w:val="0"/>
          <w:bCs w:val="0"/>
          <w:sz w:val="32"/>
          <w:szCs w:val="32"/>
        </w:rPr>
        <w:t>年度本年支出合计7,300.71万元，其中：基本支出5,472.05万元，占</w:t>
      </w:r>
      <w:r>
        <w:rPr>
          <w:rFonts w:hint="eastAsia" w:ascii="仿宋" w:hAnsi="仿宋" w:eastAsia="仿宋"/>
          <w:b w:val="0"/>
          <w:bCs w:val="0"/>
          <w:sz w:val="32"/>
          <w:szCs w:val="32"/>
          <w:lang w:val="en-US" w:eastAsia="zh-CN"/>
        </w:rPr>
        <w:t>74.95</w:t>
      </w:r>
      <w:r>
        <w:rPr>
          <w:rFonts w:ascii="仿宋" w:hAnsi="仿宋" w:eastAsia="仿宋"/>
          <w:b w:val="0"/>
          <w:bCs w:val="0"/>
          <w:sz w:val="32"/>
          <w:szCs w:val="32"/>
        </w:rPr>
        <w:t>%</w:t>
      </w:r>
      <w:r>
        <w:rPr>
          <w:rFonts w:hint="eastAsia" w:ascii="仿宋" w:hAnsi="仿宋" w:eastAsia="仿宋"/>
          <w:b w:val="0"/>
          <w:bCs w:val="0"/>
          <w:sz w:val="32"/>
          <w:szCs w:val="32"/>
        </w:rPr>
        <w:t>；项目支出1,828.67万元，占</w:t>
      </w:r>
      <w:r>
        <w:rPr>
          <w:rFonts w:hint="eastAsia" w:ascii="仿宋" w:hAnsi="仿宋" w:eastAsia="仿宋"/>
          <w:b w:val="0"/>
          <w:bCs w:val="0"/>
          <w:sz w:val="32"/>
          <w:szCs w:val="32"/>
          <w:lang w:val="en-US" w:eastAsia="zh-CN"/>
        </w:rPr>
        <w:t>25.05</w:t>
      </w:r>
      <w:r>
        <w:rPr>
          <w:rFonts w:ascii="仿宋" w:hAnsi="仿宋" w:eastAsia="仿宋"/>
          <w:b w:val="0"/>
          <w:bCs w:val="0"/>
          <w:sz w:val="32"/>
          <w:szCs w:val="32"/>
        </w:rPr>
        <w:t>%</w:t>
      </w:r>
      <w:r>
        <w:rPr>
          <w:rFonts w:hint="eastAsia" w:ascii="仿宋" w:hAnsi="仿宋" w:eastAsia="仿宋"/>
          <w:b w:val="0"/>
          <w:bCs w:val="0"/>
          <w:sz w:val="32"/>
          <w:szCs w:val="32"/>
          <w:lang w:eastAsia="zh-CN"/>
        </w:rPr>
        <w:t>。</w:t>
      </w:r>
    </w:p>
    <w:p>
      <w:pPr>
        <w:ind w:firstLine="800" w:firstLineChars="250"/>
        <w:rPr>
          <w:rFonts w:hint="eastAsia"/>
          <w:lang w:eastAsia="zh-CN"/>
        </w:rPr>
      </w:pPr>
      <w:r>
        <w:rPr>
          <w:rFonts w:hint="eastAsia" w:ascii="Times New Roman" w:hAnsi="Times New Roman" w:eastAsia="仿宋_GB2312" w:cs="仿宋_GB2312"/>
          <w:color w:val="auto"/>
          <w:sz w:val="32"/>
          <w:szCs w:val="32"/>
          <w:highlight w:val="none"/>
          <w:lang w:eastAsia="zh-CN"/>
        </w:rPr>
        <w:t>（图2：</w:t>
      </w:r>
      <w:r>
        <w:rPr>
          <w:rFonts w:hint="eastAsia" w:eastAsia="仿宋_GB2312" w:cs="仿宋_GB2312"/>
          <w:color w:val="auto"/>
          <w:sz w:val="32"/>
          <w:szCs w:val="32"/>
          <w:highlight w:val="none"/>
          <w:lang w:val="en-US" w:eastAsia="zh-CN"/>
        </w:rPr>
        <w:t>支出</w:t>
      </w:r>
      <w:r>
        <w:rPr>
          <w:rFonts w:hint="eastAsia" w:ascii="Times New Roman" w:hAnsi="Times New Roman" w:eastAsia="仿宋_GB2312" w:cs="仿宋_GB2312"/>
          <w:color w:val="auto"/>
          <w:sz w:val="32"/>
          <w:szCs w:val="32"/>
          <w:highlight w:val="none"/>
          <w:lang w:eastAsia="zh-CN"/>
        </w:rPr>
        <w:t>决算结构图）</w:t>
      </w:r>
    </w:p>
    <w:p>
      <w:pPr>
        <w:pStyle w:val="2"/>
      </w:pPr>
      <w:r>
        <w:drawing>
          <wp:anchor distT="0" distB="0" distL="114300" distR="114300" simplePos="0" relativeHeight="251659264" behindDoc="1" locked="0" layoutInCell="1" allowOverlap="1">
            <wp:simplePos x="0" y="0"/>
            <wp:positionH relativeFrom="column">
              <wp:posOffset>229870</wp:posOffset>
            </wp:positionH>
            <wp:positionV relativeFrom="paragraph">
              <wp:posOffset>127000</wp:posOffset>
            </wp:positionV>
            <wp:extent cx="4628515" cy="2780665"/>
            <wp:effectExtent l="0" t="0" r="635" b="635"/>
            <wp:wrapTight wrapText="bothSides">
              <wp:wrapPolygon>
                <wp:start x="0" y="0"/>
                <wp:lineTo x="0" y="21457"/>
                <wp:lineTo x="21514" y="21457"/>
                <wp:lineTo x="21514"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rcRect/>
                    <a:stretch>
                      <a:fillRect/>
                    </a:stretch>
                  </pic:blipFill>
                  <pic:spPr>
                    <a:xfrm>
                      <a:off x="0" y="0"/>
                      <a:ext cx="4628515" cy="2780665"/>
                    </a:xfrm>
                    <a:prstGeom prst="rect">
                      <a:avLst/>
                    </a:prstGeom>
                    <a:noFill/>
                    <a:ln w="9525">
                      <a:noFill/>
                      <a:miter/>
                    </a:ln>
                  </pic:spPr>
                </pic:pic>
              </a:graphicData>
            </a:graphic>
          </wp:anchor>
        </w:drawing>
      </w:r>
    </w:p>
    <w:p>
      <w:pPr>
        <w:numPr>
          <w:ilvl w:val="0"/>
          <w:numId w:val="0"/>
        </w:numPr>
        <w:ind w:leftChars="200"/>
        <w:rPr>
          <w:rFonts w:hint="eastAsia"/>
        </w:rPr>
      </w:pPr>
    </w:p>
    <w:p>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p>
    <w:p>
      <w:pPr>
        <w:numPr>
          <w:ilvl w:val="0"/>
          <w:numId w:val="0"/>
        </w:numPr>
        <w:ind w:leftChars="200"/>
        <w:rPr>
          <w:rFonts w:hint="eastAsia" w:ascii="仿宋_GB2312" w:hAnsi="仿宋" w:eastAsia="仿宋_GB2312" w:cs="Times New Roman"/>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年度财政拨款收、支总计</w:t>
      </w:r>
      <w:r>
        <w:rPr>
          <w:rFonts w:hint="eastAsia" w:ascii="仿宋" w:hAnsi="仿宋" w:eastAsia="仿宋"/>
          <w:b w:val="0"/>
          <w:bCs w:val="0"/>
          <w:sz w:val="32"/>
          <w:szCs w:val="32"/>
        </w:rPr>
        <w:t>均为7,075.66万元。与202</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年度相比，财政拨款收、支总</w:t>
      </w:r>
      <w:r>
        <w:rPr>
          <w:rFonts w:hint="eastAsia" w:ascii="仿宋" w:hAnsi="仿宋" w:eastAsia="仿宋"/>
          <w:sz w:val="32"/>
          <w:szCs w:val="32"/>
        </w:rPr>
        <w:t>计各</w:t>
      </w:r>
      <w:r>
        <w:rPr>
          <w:rFonts w:hint="eastAsia" w:ascii="仿宋" w:hAnsi="仿宋" w:eastAsia="仿宋"/>
          <w:sz w:val="32"/>
          <w:szCs w:val="32"/>
          <w:lang w:val="en-US" w:eastAsia="zh-CN"/>
        </w:rPr>
        <w:t>增加128.74</w:t>
      </w:r>
      <w:r>
        <w:rPr>
          <w:rFonts w:hint="eastAsia" w:ascii="仿宋" w:hAnsi="仿宋" w:eastAsia="仿宋"/>
          <w:sz w:val="32"/>
          <w:szCs w:val="32"/>
        </w:rPr>
        <w:t>万元，</w:t>
      </w:r>
      <w:r>
        <w:rPr>
          <w:rFonts w:hint="eastAsia" w:ascii="仿宋" w:hAnsi="仿宋" w:eastAsia="仿宋"/>
          <w:sz w:val="32"/>
          <w:szCs w:val="32"/>
          <w:lang w:val="en-US" w:eastAsia="zh-CN"/>
        </w:rPr>
        <w:t>上升1.85</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4年度采购资金增加且使用部分2023年度结转资金。</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1" locked="0" layoutInCell="1" allowOverlap="1">
            <wp:simplePos x="0" y="0"/>
            <wp:positionH relativeFrom="column">
              <wp:posOffset>390525</wp:posOffset>
            </wp:positionH>
            <wp:positionV relativeFrom="paragraph">
              <wp:posOffset>556895</wp:posOffset>
            </wp:positionV>
            <wp:extent cx="4609465" cy="2799715"/>
            <wp:effectExtent l="0" t="0" r="635" b="635"/>
            <wp:wrapTight wrapText="bothSides">
              <wp:wrapPolygon>
                <wp:start x="0" y="0"/>
                <wp:lineTo x="0" y="21458"/>
                <wp:lineTo x="21514" y="21458"/>
                <wp:lineTo x="21514"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rcRect/>
                    <a:stretch>
                      <a:fillRect/>
                    </a:stretch>
                  </pic:blipFill>
                  <pic:spPr>
                    <a:xfrm>
                      <a:off x="0" y="0"/>
                      <a:ext cx="4609465" cy="2799715"/>
                    </a:xfrm>
                    <a:prstGeom prst="rect">
                      <a:avLst/>
                    </a:prstGeom>
                    <a:noFill/>
                    <a:ln w="9525">
                      <a:noFill/>
                      <a:miter/>
                    </a:ln>
                  </pic:spPr>
                </pic:pic>
              </a:graphicData>
            </a:graphic>
          </wp:anchor>
        </w:drawing>
      </w: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pStyle w:val="2"/>
        <w:rPr>
          <w:rFonts w:hint="eastAsia"/>
          <w:lang w:val="en-US" w:eastAsia="zh-CN"/>
        </w:rPr>
      </w:pPr>
    </w:p>
    <w:p>
      <w:pPr>
        <w:pStyle w:val="2"/>
        <w:rPr>
          <w:rFonts w:hint="eastAsia"/>
          <w:lang w:val="en-US"/>
        </w:rPr>
      </w:pPr>
    </w:p>
    <w:p>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p>
    <w:p>
      <w:pPr>
        <w:numPr>
          <w:ilvl w:val="0"/>
          <w:numId w:val="0"/>
        </w:numPr>
        <w:ind w:leftChars="200"/>
        <w:rPr>
          <w:rFonts w:hint="eastAsia" w:ascii="仿宋_GB2312" w:hAnsi="仿宋" w:eastAsia="仿宋_GB2312" w:cs="Times New Roman"/>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年度一般公共预算财政拨款</w:t>
      </w:r>
      <w:r>
        <w:rPr>
          <w:rFonts w:hint="eastAsia" w:ascii="仿宋" w:hAnsi="仿宋" w:eastAsia="仿宋"/>
          <w:b w:val="0"/>
          <w:bCs w:val="0"/>
          <w:sz w:val="32"/>
          <w:szCs w:val="32"/>
        </w:rPr>
        <w:t>支出7,075.66万元，占本年支出合计的</w:t>
      </w:r>
      <w:r>
        <w:rPr>
          <w:rFonts w:ascii="仿宋" w:hAnsi="仿宋" w:eastAsia="仿宋"/>
          <w:b w:val="0"/>
          <w:bCs w:val="0"/>
          <w:sz w:val="32"/>
          <w:szCs w:val="32"/>
        </w:rPr>
        <w:t>9</w:t>
      </w:r>
      <w:r>
        <w:rPr>
          <w:rFonts w:hint="eastAsia" w:ascii="仿宋" w:hAnsi="仿宋" w:eastAsia="仿宋"/>
          <w:b w:val="0"/>
          <w:bCs w:val="0"/>
          <w:sz w:val="32"/>
          <w:szCs w:val="32"/>
          <w:lang w:val="en-US" w:eastAsia="zh-CN"/>
        </w:rPr>
        <w:t>6.92</w:t>
      </w:r>
      <w:r>
        <w:rPr>
          <w:rFonts w:ascii="仿宋" w:hAnsi="仿宋" w:eastAsia="仿宋"/>
          <w:b w:val="0"/>
          <w:bCs w:val="0"/>
          <w:sz w:val="32"/>
          <w:szCs w:val="32"/>
        </w:rPr>
        <w:t>%</w:t>
      </w:r>
      <w:r>
        <w:rPr>
          <w:rFonts w:hint="eastAsia" w:ascii="仿宋" w:hAnsi="仿宋" w:eastAsia="仿宋"/>
          <w:b w:val="0"/>
          <w:bCs w:val="0"/>
          <w:sz w:val="32"/>
          <w:szCs w:val="32"/>
        </w:rPr>
        <w:t>。与202</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年度相比，一般公共预算财政拨款支出</w:t>
      </w:r>
      <w:r>
        <w:rPr>
          <w:rFonts w:hint="eastAsia" w:ascii="仿宋" w:hAnsi="仿宋" w:eastAsia="仿宋"/>
          <w:b w:val="0"/>
          <w:bCs w:val="0"/>
          <w:sz w:val="32"/>
          <w:szCs w:val="32"/>
          <w:lang w:val="en-US" w:eastAsia="zh-CN"/>
        </w:rPr>
        <w:t>增加128.74</w:t>
      </w:r>
      <w:r>
        <w:rPr>
          <w:rFonts w:hint="eastAsia" w:ascii="仿宋" w:hAnsi="仿宋" w:eastAsia="仿宋"/>
          <w:b w:val="0"/>
          <w:bCs w:val="0"/>
          <w:sz w:val="32"/>
          <w:szCs w:val="32"/>
        </w:rPr>
        <w:t>万元，</w:t>
      </w:r>
      <w:r>
        <w:rPr>
          <w:rFonts w:hint="eastAsia" w:ascii="仿宋" w:hAnsi="仿宋" w:eastAsia="仿宋"/>
          <w:b w:val="0"/>
          <w:bCs w:val="0"/>
          <w:sz w:val="32"/>
          <w:szCs w:val="32"/>
          <w:lang w:val="en-US" w:eastAsia="zh-CN"/>
        </w:rPr>
        <w:t>上升1.85</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_GB2312" w:hAnsi="仿宋" w:eastAsia="仿宋_GB2312" w:cs="Times New Roman"/>
          <w:b w:val="0"/>
          <w:bCs w:val="0"/>
          <w:sz w:val="32"/>
          <w:szCs w:val="32"/>
        </w:rPr>
        <w:t>202</w:t>
      </w:r>
      <w:r>
        <w:rPr>
          <w:rFonts w:hint="eastAsia" w:ascii="仿宋_GB2312" w:hAnsi="仿宋" w:eastAsia="仿宋_GB2312" w:cs="Times New Roman"/>
          <w:b w:val="0"/>
          <w:bCs w:val="0"/>
          <w:sz w:val="32"/>
          <w:szCs w:val="32"/>
          <w:lang w:val="en-US" w:eastAsia="zh-CN"/>
        </w:rPr>
        <w:t>4年度采购资金增加且使</w:t>
      </w:r>
      <w:r>
        <w:rPr>
          <w:rFonts w:hint="eastAsia" w:ascii="仿宋_GB2312" w:hAnsi="仿宋" w:eastAsia="仿宋_GB2312" w:cs="Times New Roman"/>
          <w:sz w:val="32"/>
          <w:szCs w:val="32"/>
          <w:lang w:val="en-US" w:eastAsia="zh-CN"/>
        </w:rPr>
        <w:t>用部分2023年度结转资金。</w:t>
      </w:r>
    </w:p>
    <w:p>
      <w:pPr>
        <w:numPr>
          <w:ilvl w:val="0"/>
          <w:numId w:val="0"/>
        </w:numPr>
        <w:ind w:leftChars="200"/>
        <w:rPr>
          <w:rFonts w:hint="eastAsi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r>
        <w:rPr>
          <w:rFonts w:hint="eastAsia" w:eastAsia="仿宋_GB2312" w:cs="仿宋_GB2312"/>
          <w:color w:val="auto"/>
          <w:kern w:val="2"/>
          <w:sz w:val="32"/>
          <w:szCs w:val="32"/>
          <w:highlight w:val="none"/>
          <w:lang w:val="en-US" w:eastAsia="zh-CN" w:bidi="ar-SA"/>
        </w:rPr>
        <w:t>）</w:t>
      </w:r>
    </w:p>
    <w:p>
      <w:pPr>
        <w:pStyle w:val="2"/>
        <w:rPr>
          <w:rFonts w:hint="eastAsia"/>
        </w:rPr>
      </w:pPr>
      <w:r>
        <w:drawing>
          <wp:anchor distT="0" distB="0" distL="114300" distR="114300" simplePos="0" relativeHeight="251660288" behindDoc="1" locked="0" layoutInCell="1" allowOverlap="1">
            <wp:simplePos x="0" y="0"/>
            <wp:positionH relativeFrom="column">
              <wp:posOffset>356235</wp:posOffset>
            </wp:positionH>
            <wp:positionV relativeFrom="paragraph">
              <wp:posOffset>173355</wp:posOffset>
            </wp:positionV>
            <wp:extent cx="4609465" cy="2818765"/>
            <wp:effectExtent l="0" t="0" r="635" b="635"/>
            <wp:wrapTight wrapText="bothSides">
              <wp:wrapPolygon>
                <wp:start x="0" y="0"/>
                <wp:lineTo x="0" y="21459"/>
                <wp:lineTo x="21514" y="21459"/>
                <wp:lineTo x="21514"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rcRect/>
                    <a:stretch>
                      <a:fillRect/>
                    </a:stretch>
                  </pic:blipFill>
                  <pic:spPr>
                    <a:xfrm>
                      <a:off x="0" y="0"/>
                      <a:ext cx="4609465" cy="2818765"/>
                    </a:xfrm>
                    <a:prstGeom prst="rect">
                      <a:avLst/>
                    </a:prstGeom>
                    <a:noFill/>
                    <a:ln w="9525">
                      <a:noFill/>
                      <a:miter/>
                    </a:ln>
                  </pic:spPr>
                </pic:pic>
              </a:graphicData>
            </a:graphic>
          </wp:anchor>
        </w:drawing>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p>
    <w:p>
      <w:pPr>
        <w:spacing w:line="60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年度一般公共预算财政拨款支出7,075.66万元，主要用于以下方面:一般公共服务支出</w:t>
      </w:r>
      <w:r>
        <w:rPr>
          <w:rFonts w:hint="eastAsia" w:ascii="仿宋" w:hAnsi="仿宋" w:eastAsia="仿宋"/>
          <w:sz w:val="32"/>
          <w:szCs w:val="32"/>
          <w:lang w:val="en-US" w:eastAsia="zh-CN"/>
        </w:rPr>
        <w:t>2.15</w:t>
      </w:r>
      <w:r>
        <w:rPr>
          <w:rFonts w:hint="eastAsia" w:ascii="仿宋" w:hAnsi="仿宋" w:eastAsia="仿宋"/>
          <w:sz w:val="32"/>
          <w:szCs w:val="32"/>
        </w:rPr>
        <w:t>万元，占</w:t>
      </w:r>
      <w:r>
        <w:rPr>
          <w:rFonts w:hint="eastAsia" w:ascii="仿宋" w:hAnsi="仿宋" w:eastAsia="仿宋"/>
          <w:sz w:val="32"/>
          <w:szCs w:val="32"/>
          <w:lang w:val="en-US" w:eastAsia="zh-CN"/>
        </w:rPr>
        <w:t>0.03</w:t>
      </w:r>
      <w:r>
        <w:rPr>
          <w:rFonts w:hint="eastAsia" w:ascii="仿宋" w:hAnsi="仿宋" w:eastAsia="仿宋"/>
          <w:sz w:val="32"/>
          <w:szCs w:val="32"/>
        </w:rPr>
        <w:t>%；教育支出</w:t>
      </w:r>
      <w:r>
        <w:rPr>
          <w:rFonts w:hint="eastAsia" w:ascii="仿宋" w:hAnsi="仿宋" w:eastAsia="仿宋"/>
          <w:sz w:val="32"/>
          <w:szCs w:val="32"/>
          <w:lang w:val="en-US" w:eastAsia="zh-CN"/>
        </w:rPr>
        <w:t>5,546.82</w:t>
      </w:r>
      <w:r>
        <w:rPr>
          <w:rFonts w:hint="eastAsia" w:ascii="仿宋" w:hAnsi="仿宋" w:eastAsia="仿宋"/>
          <w:sz w:val="32"/>
          <w:szCs w:val="32"/>
        </w:rPr>
        <w:t>万元，占</w:t>
      </w:r>
      <w:r>
        <w:rPr>
          <w:rFonts w:hint="eastAsia" w:ascii="仿宋" w:hAnsi="仿宋" w:eastAsia="仿宋"/>
          <w:sz w:val="32"/>
          <w:szCs w:val="32"/>
          <w:lang w:val="en-US" w:eastAsia="zh-CN"/>
        </w:rPr>
        <w:t>78.42</w:t>
      </w:r>
      <w:r>
        <w:rPr>
          <w:rFonts w:hint="eastAsia" w:ascii="仿宋" w:hAnsi="仿宋" w:eastAsia="仿宋"/>
          <w:sz w:val="32"/>
          <w:szCs w:val="32"/>
        </w:rPr>
        <w:t>%；社会保障和就业支出</w:t>
      </w:r>
      <w:r>
        <w:rPr>
          <w:rFonts w:hint="eastAsia" w:ascii="仿宋" w:hAnsi="仿宋" w:eastAsia="仿宋"/>
          <w:sz w:val="32"/>
          <w:szCs w:val="32"/>
          <w:lang w:val="en-US" w:eastAsia="zh-CN"/>
        </w:rPr>
        <w:t>889.45</w:t>
      </w:r>
      <w:r>
        <w:rPr>
          <w:rFonts w:hint="eastAsia" w:ascii="仿宋" w:hAnsi="仿宋" w:eastAsia="仿宋"/>
          <w:sz w:val="32"/>
          <w:szCs w:val="32"/>
        </w:rPr>
        <w:t>万元，占</w:t>
      </w:r>
      <w:r>
        <w:rPr>
          <w:rFonts w:hint="eastAsia" w:ascii="仿宋" w:hAnsi="仿宋" w:eastAsia="仿宋"/>
          <w:sz w:val="32"/>
          <w:szCs w:val="32"/>
          <w:lang w:val="en-US" w:eastAsia="zh-CN"/>
        </w:rPr>
        <w:t>12.57</w:t>
      </w:r>
      <w:r>
        <w:rPr>
          <w:rFonts w:hint="eastAsia" w:ascii="仿宋" w:hAnsi="仿宋" w:eastAsia="仿宋"/>
          <w:sz w:val="32"/>
          <w:szCs w:val="32"/>
        </w:rPr>
        <w:t>%；卫生健康支出</w:t>
      </w:r>
      <w:r>
        <w:rPr>
          <w:rFonts w:hint="eastAsia" w:ascii="仿宋" w:hAnsi="仿宋" w:eastAsia="仿宋"/>
          <w:sz w:val="32"/>
          <w:szCs w:val="32"/>
          <w:lang w:val="en-US" w:eastAsia="zh-CN"/>
        </w:rPr>
        <w:t>264.26</w:t>
      </w:r>
      <w:r>
        <w:rPr>
          <w:rFonts w:hint="eastAsia" w:ascii="仿宋" w:hAnsi="仿宋" w:eastAsia="仿宋"/>
          <w:sz w:val="32"/>
          <w:szCs w:val="32"/>
        </w:rPr>
        <w:t>万元，占</w:t>
      </w:r>
      <w:r>
        <w:rPr>
          <w:rFonts w:hint="eastAsia" w:ascii="仿宋" w:hAnsi="仿宋" w:eastAsia="仿宋"/>
          <w:sz w:val="32"/>
          <w:szCs w:val="32"/>
          <w:lang w:val="en-US" w:eastAsia="zh-CN"/>
        </w:rPr>
        <w:t>3.74</w:t>
      </w:r>
      <w:r>
        <w:rPr>
          <w:rFonts w:hint="eastAsia" w:ascii="仿宋" w:hAnsi="仿宋" w:eastAsia="仿宋"/>
          <w:sz w:val="32"/>
          <w:szCs w:val="32"/>
        </w:rPr>
        <w:t>%；住房保障支出</w:t>
      </w:r>
      <w:r>
        <w:rPr>
          <w:rFonts w:hint="eastAsia" w:ascii="仿宋" w:hAnsi="仿宋" w:eastAsia="仿宋"/>
          <w:sz w:val="32"/>
          <w:szCs w:val="32"/>
          <w:lang w:val="en-US" w:eastAsia="zh-CN"/>
        </w:rPr>
        <w:t>372.99</w:t>
      </w:r>
      <w:r>
        <w:rPr>
          <w:rFonts w:hint="eastAsia" w:ascii="仿宋" w:hAnsi="仿宋" w:eastAsia="仿宋"/>
          <w:sz w:val="32"/>
          <w:szCs w:val="32"/>
        </w:rPr>
        <w:t>万元，占</w:t>
      </w:r>
      <w:r>
        <w:rPr>
          <w:rFonts w:hint="eastAsia" w:ascii="仿宋" w:hAnsi="仿宋" w:eastAsia="仿宋"/>
          <w:sz w:val="32"/>
          <w:szCs w:val="32"/>
          <w:lang w:val="en-US" w:eastAsia="zh-CN"/>
        </w:rPr>
        <w:t>5.27</w:t>
      </w:r>
      <w:r>
        <w:rPr>
          <w:rFonts w:hint="eastAsia" w:ascii="仿宋" w:hAnsi="仿宋" w:eastAsia="仿宋"/>
          <w:sz w:val="32"/>
          <w:szCs w:val="32"/>
        </w:rPr>
        <w:t>%。</w:t>
      </w:r>
    </w:p>
    <w:p>
      <w:pPr>
        <w:pStyle w:val="2"/>
        <w:rPr>
          <w:rFonts w:hint="eastAsi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pStyle w:val="2"/>
      </w:pPr>
      <w:r>
        <w:drawing>
          <wp:anchor distT="0" distB="0" distL="114300" distR="114300" simplePos="0" relativeHeight="251662336" behindDoc="1" locked="0" layoutInCell="1" allowOverlap="1">
            <wp:simplePos x="0" y="0"/>
            <wp:positionH relativeFrom="column">
              <wp:posOffset>452120</wp:posOffset>
            </wp:positionH>
            <wp:positionV relativeFrom="paragraph">
              <wp:posOffset>64135</wp:posOffset>
            </wp:positionV>
            <wp:extent cx="4628515" cy="2790190"/>
            <wp:effectExtent l="0" t="0" r="635" b="10160"/>
            <wp:wrapTight wrapText="bothSides">
              <wp:wrapPolygon>
                <wp:start x="0" y="0"/>
                <wp:lineTo x="0" y="21384"/>
                <wp:lineTo x="21514" y="21384"/>
                <wp:lineTo x="21514"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rcRect/>
                    <a:stretch>
                      <a:fillRect/>
                    </a:stretch>
                  </pic:blipFill>
                  <pic:spPr>
                    <a:xfrm>
                      <a:off x="0" y="0"/>
                      <a:ext cx="4628515" cy="2790190"/>
                    </a:xfrm>
                    <a:prstGeom prst="rect">
                      <a:avLst/>
                    </a:prstGeom>
                    <a:noFill/>
                    <a:ln w="9525">
                      <a:noFill/>
                      <a:miter/>
                    </a:ln>
                  </pic:spPr>
                </pic:pic>
              </a:graphicData>
            </a:graphic>
          </wp:anchor>
        </w:drawing>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pPr>
        <w:spacing w:line="600" w:lineRule="exact"/>
        <w:ind w:firstLine="643" w:firstLineChars="200"/>
        <w:outlineLvl w:val="2"/>
        <w:rPr>
          <w:rFonts w:ascii="仿宋" w:hAnsi="仿宋" w:eastAsia="仿宋"/>
          <w:b w:val="0"/>
          <w:bCs/>
          <w:sz w:val="32"/>
          <w:szCs w:val="32"/>
        </w:rPr>
      </w:pPr>
      <w:r>
        <w:rPr>
          <w:rFonts w:hint="eastAsia" w:ascii="仿宋" w:hAnsi="仿宋" w:eastAsia="仿宋"/>
          <w:b w:val="0"/>
          <w:bCs/>
          <w:sz w:val="32"/>
          <w:szCs w:val="32"/>
        </w:rPr>
        <w:t>202</w:t>
      </w:r>
      <w:r>
        <w:rPr>
          <w:rFonts w:hint="eastAsia" w:ascii="仿宋" w:hAnsi="仿宋" w:eastAsia="仿宋"/>
          <w:b w:val="0"/>
          <w:bCs/>
          <w:sz w:val="32"/>
          <w:szCs w:val="32"/>
          <w:lang w:val="en-US" w:eastAsia="zh-CN"/>
        </w:rPr>
        <w:t>4</w:t>
      </w:r>
      <w:r>
        <w:rPr>
          <w:rFonts w:hint="eastAsia" w:ascii="仿宋" w:hAnsi="仿宋" w:eastAsia="仿宋"/>
          <w:b w:val="0"/>
          <w:bCs/>
          <w:sz w:val="32"/>
          <w:szCs w:val="32"/>
        </w:rPr>
        <w:t>年度一般公共预算支出决算数为7,075.66</w:t>
      </w:r>
      <w:r>
        <w:rPr>
          <w:rFonts w:hint="eastAsia" w:ascii="仿宋" w:hAnsi="仿宋" w:eastAsia="仿宋"/>
          <w:b w:val="0"/>
          <w:bCs/>
          <w:sz w:val="32"/>
          <w:szCs w:val="32"/>
          <w:lang w:eastAsia="zh-CN"/>
        </w:rPr>
        <w:t>万元</w:t>
      </w:r>
      <w:r>
        <w:rPr>
          <w:rFonts w:hint="eastAsia" w:ascii="仿宋" w:hAnsi="仿宋" w:eastAsia="仿宋"/>
          <w:b w:val="0"/>
          <w:bCs/>
          <w:sz w:val="32"/>
          <w:szCs w:val="32"/>
        </w:rPr>
        <w:t>，</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。其中：</w:t>
      </w:r>
    </w:p>
    <w:p>
      <w:pPr>
        <w:spacing w:line="600" w:lineRule="exact"/>
        <w:ind w:firstLine="643" w:firstLineChars="200"/>
        <w:rPr>
          <w:rStyle w:val="16"/>
          <w:rFonts w:ascii="仿宋" w:hAnsi="仿宋" w:eastAsia="仿宋"/>
          <w:bCs/>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一般公共服务支出</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类）组织事务（款）其他组织事务支出（项）：支出决算为2.15万元，完成预算100%，与预算持平。</w:t>
      </w:r>
    </w:p>
    <w:p>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2.</w:t>
      </w:r>
      <w:r>
        <w:rPr>
          <w:rStyle w:val="16"/>
          <w:rFonts w:hint="eastAsia" w:ascii="仿宋" w:hAnsi="仿宋" w:eastAsia="仿宋"/>
          <w:bCs/>
          <w:sz w:val="32"/>
          <w:szCs w:val="32"/>
        </w:rPr>
        <w:t>教育</w:t>
      </w:r>
      <w:r>
        <w:rPr>
          <w:rStyle w:val="16"/>
          <w:rFonts w:hint="eastAsia" w:ascii="仿宋" w:hAnsi="仿宋" w:eastAsia="仿宋"/>
          <w:bCs/>
          <w:sz w:val="32"/>
          <w:szCs w:val="32"/>
          <w:lang w:eastAsia="zh-CN"/>
        </w:rPr>
        <w:t>支出</w:t>
      </w:r>
      <w:r>
        <w:rPr>
          <w:rStyle w:val="16"/>
          <w:rFonts w:hint="eastAsia" w:ascii="仿宋" w:hAnsi="仿宋" w:eastAsia="仿宋"/>
          <w:bCs/>
          <w:sz w:val="32"/>
          <w:szCs w:val="32"/>
        </w:rPr>
        <w:t>（类）职业教育（款）中等职业教育（项）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Fonts w:hint="eastAsia" w:ascii="仿宋" w:hAnsi="仿宋" w:eastAsia="仿宋"/>
          <w:sz w:val="32"/>
          <w:szCs w:val="32"/>
          <w:lang w:val="en-US" w:eastAsia="zh-CN"/>
        </w:rPr>
        <w:t>5,503.00</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，与预算数持平。</w:t>
      </w:r>
    </w:p>
    <w:p>
      <w:pPr>
        <w:spacing w:line="600" w:lineRule="exact"/>
        <w:ind w:firstLine="643" w:firstLineChars="200"/>
        <w:rPr>
          <w:rStyle w:val="16"/>
          <w:rFonts w:hint="eastAsia" w:ascii="仿宋" w:hAnsi="仿宋" w:eastAsia="仿宋"/>
          <w:bCs/>
          <w:sz w:val="32"/>
          <w:szCs w:val="32"/>
          <w:lang w:val="en-US" w:eastAsia="zh-CN"/>
        </w:rPr>
      </w:pPr>
      <w:r>
        <w:rPr>
          <w:rStyle w:val="16"/>
          <w:rFonts w:hint="eastAsia" w:ascii="仿宋" w:hAnsi="仿宋" w:eastAsia="仿宋"/>
          <w:bCs/>
          <w:sz w:val="32"/>
          <w:szCs w:val="32"/>
          <w:lang w:val="en-US" w:eastAsia="zh-CN"/>
        </w:rPr>
        <w:t>3.</w:t>
      </w:r>
      <w:r>
        <w:rPr>
          <w:rStyle w:val="16"/>
          <w:rFonts w:hint="eastAsia" w:ascii="仿宋" w:hAnsi="仿宋" w:eastAsia="仿宋"/>
          <w:bCs/>
          <w:sz w:val="32"/>
          <w:szCs w:val="32"/>
        </w:rPr>
        <w:t>教育</w:t>
      </w:r>
      <w:r>
        <w:rPr>
          <w:rStyle w:val="16"/>
          <w:rFonts w:hint="eastAsia" w:ascii="仿宋" w:hAnsi="仿宋" w:eastAsia="仿宋"/>
          <w:bCs/>
          <w:sz w:val="32"/>
          <w:szCs w:val="32"/>
          <w:lang w:eastAsia="zh-CN"/>
        </w:rPr>
        <w:t>支出</w:t>
      </w:r>
      <w:r>
        <w:rPr>
          <w:rStyle w:val="16"/>
          <w:rFonts w:hint="eastAsia" w:ascii="仿宋" w:hAnsi="仿宋" w:eastAsia="仿宋"/>
          <w:bCs/>
          <w:sz w:val="32"/>
          <w:szCs w:val="32"/>
        </w:rPr>
        <w:t>（类）教育费附加安排的支出（款）其他教育费附加安排的支出（项）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43.81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，与预算数持平。</w:t>
      </w:r>
    </w:p>
    <w:p>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4.</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支出</w:t>
      </w:r>
      <w:r>
        <w:rPr>
          <w:rStyle w:val="16"/>
          <w:rFonts w:hint="eastAsia" w:ascii="仿宋" w:hAnsi="仿宋" w:eastAsia="仿宋"/>
          <w:bCs/>
          <w:sz w:val="32"/>
          <w:szCs w:val="32"/>
        </w:rPr>
        <w:t>（类）行政事业单位养老支出（款）机关事业单位基本养老保险缴费支出（项）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498.10</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，与预算数持平。</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Style w:val="16"/>
          <w:rFonts w:hint="eastAsia" w:ascii="仿宋" w:hAnsi="仿宋" w:eastAsia="仿宋" w:cs="Times New Roman"/>
          <w:bCs/>
          <w:kern w:val="2"/>
          <w:sz w:val="32"/>
          <w:szCs w:val="32"/>
          <w:lang w:val="en-US" w:eastAsia="zh-CN" w:bidi="ar-SA"/>
        </w:rPr>
      </w:pPr>
      <w:r>
        <w:rPr>
          <w:rStyle w:val="16"/>
          <w:rFonts w:hint="eastAsia" w:ascii="仿宋" w:hAnsi="仿宋" w:eastAsia="仿宋" w:cs="Times New Roman"/>
          <w:bCs/>
          <w:kern w:val="2"/>
          <w:sz w:val="32"/>
          <w:szCs w:val="32"/>
          <w:lang w:val="en-US" w:eastAsia="zh-CN" w:bidi="ar-SA"/>
        </w:rPr>
        <w:t>5.社会保障和就业支出（类）行政事业单位养老支出（款）机关事业单位基本养老保险缴费支出（项）:支出决算为498.10万元，完成预算100%，与预算数持平。</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Style w:val="16"/>
          <w:rFonts w:hint="eastAsia" w:ascii="仿宋" w:hAnsi="仿宋" w:eastAsia="仿宋" w:cs="Times New Roman"/>
          <w:bCs/>
          <w:kern w:val="2"/>
          <w:sz w:val="32"/>
          <w:szCs w:val="32"/>
          <w:lang w:val="en-US" w:eastAsia="zh-CN" w:bidi="ar-SA"/>
        </w:rPr>
      </w:pPr>
      <w:r>
        <w:rPr>
          <w:rStyle w:val="16"/>
          <w:rFonts w:hint="eastAsia" w:ascii="仿宋" w:hAnsi="仿宋" w:eastAsia="仿宋" w:cs="Times New Roman"/>
          <w:bCs/>
          <w:kern w:val="2"/>
          <w:sz w:val="32"/>
          <w:szCs w:val="32"/>
          <w:lang w:val="en-US" w:eastAsia="zh-CN" w:bidi="ar-SA"/>
        </w:rPr>
        <w:t>6.社会保障和就业支出（类）行政事业单位养老支出（款）事业单位离退休（项）:支出决算为346.06万元，完成预算100%，与预算数持平。</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Style w:val="16"/>
          <w:rFonts w:hint="eastAsia" w:ascii="仿宋" w:hAnsi="仿宋" w:eastAsia="仿宋" w:cs="Times New Roman"/>
          <w:bCs/>
          <w:kern w:val="2"/>
          <w:sz w:val="32"/>
          <w:szCs w:val="32"/>
          <w:lang w:val="en-US" w:eastAsia="zh-CN" w:bidi="ar-SA"/>
        </w:rPr>
      </w:pPr>
      <w:r>
        <w:rPr>
          <w:rStyle w:val="16"/>
          <w:rFonts w:hint="eastAsia" w:ascii="仿宋" w:hAnsi="仿宋" w:eastAsia="仿宋" w:cs="Times New Roman"/>
          <w:bCs/>
          <w:kern w:val="2"/>
          <w:sz w:val="32"/>
          <w:szCs w:val="32"/>
          <w:lang w:val="en-US" w:eastAsia="zh-CN" w:bidi="ar-SA"/>
        </w:rPr>
        <w:t>7.社会保障和就业支出（类）行政事业单位养老支出（款）机关事业单位职业年金缴费支出（项）:支出决算为23.08万元，完成预算100%，与预算数持平。</w:t>
      </w:r>
    </w:p>
    <w:p>
      <w:pPr>
        <w:pStyle w:val="3"/>
        <w:ind w:left="0" w:leftChars="0" w:firstLine="0" w:firstLineChars="0"/>
      </w:pPr>
      <w:r>
        <w:rPr>
          <w:rStyle w:val="16"/>
          <w:rFonts w:hint="eastAsia" w:ascii="仿宋" w:hAnsi="仿宋" w:eastAsia="仿宋" w:cs="Times New Roman"/>
          <w:bCs/>
          <w:kern w:val="2"/>
          <w:sz w:val="32"/>
          <w:szCs w:val="32"/>
          <w:lang w:val="en-US" w:eastAsia="zh-CN" w:bidi="ar-SA"/>
        </w:rPr>
        <w:t xml:space="preserve">    8.社会保障和就业支出（类）抚恤（款）死亡抚恤（项）:支出决算为22.21万元，完成预算100%，与预算数持平。</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left"/>
        <w:textAlignment w:val="auto"/>
        <w:rPr>
          <w:rStyle w:val="16"/>
          <w:rFonts w:hint="eastAsia" w:ascii="仿宋" w:hAnsi="仿宋" w:eastAsia="仿宋"/>
          <w:b w:val="0"/>
          <w:bCs/>
          <w:sz w:val="32"/>
          <w:szCs w:val="32"/>
        </w:rPr>
      </w:pPr>
      <w:r>
        <w:rPr>
          <w:rFonts w:hint="eastAsia" w:ascii="仿宋" w:hAnsi="仿宋" w:eastAsia="仿宋"/>
          <w:b/>
          <w:bCs/>
          <w:sz w:val="32"/>
          <w:szCs w:val="32"/>
          <w:lang w:val="en-US" w:eastAsia="zh-CN"/>
        </w:rPr>
        <w:t xml:space="preserve">  9.</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行政事业单位医疗</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事业单位医疗</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238.75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numPr>
          <w:ilvl w:val="0"/>
          <w:numId w:val="0"/>
        </w:numPr>
        <w:ind w:firstLine="640" w:firstLineChars="200"/>
        <w:rPr>
          <w:rStyle w:val="16"/>
          <w:rFonts w:hint="eastAsia" w:ascii="仿宋" w:hAnsi="仿宋" w:eastAsia="仿宋"/>
          <w:b w:val="0"/>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行政事业单位医疗</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公务员医疗补助</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25.51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numPr>
          <w:ilvl w:val="0"/>
          <w:numId w:val="0"/>
        </w:numPr>
        <w:ind w:firstLine="640" w:firstLineChars="200"/>
        <w:rPr>
          <w:rStyle w:val="16"/>
          <w:rFonts w:hint="eastAsia" w:ascii="仿宋" w:hAnsi="仿宋" w:eastAsia="仿宋"/>
          <w:b w:val="0"/>
          <w:bCs/>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rPr>
        <w:t>住房保障支出</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住房改革支出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住房公积金</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372.99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ind w:firstLine="640" w:firstLineChars="200"/>
        <w:rPr>
          <w:rFonts w:hint="eastAsia"/>
        </w:rPr>
      </w:pPr>
    </w:p>
    <w:p>
      <w:pPr>
        <w:numPr>
          <w:ilvl w:val="0"/>
          <w:numId w:val="2"/>
        </w:numPr>
        <w:spacing w:line="600" w:lineRule="exact"/>
        <w:ind w:firstLine="645"/>
        <w:rPr>
          <w:rStyle w:val="29"/>
          <w:rFonts w:hint="eastAsia" w:ascii="Times New Roman" w:hAnsi="Times New Roman" w:eastAsia="黑体"/>
          <w:b w:val="0"/>
          <w:color w:val="auto"/>
          <w:highlight w:val="none"/>
        </w:rPr>
      </w:pP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p>
    <w:p>
      <w:pPr>
        <w:numPr>
          <w:ilvl w:val="0"/>
          <w:numId w:val="0"/>
        </w:numPr>
        <w:spacing w:line="600" w:lineRule="exact"/>
        <w:rPr>
          <w:rFonts w:ascii="仿宋" w:hAnsi="仿宋" w:eastAsia="仿宋"/>
          <w:b w:val="0"/>
          <w:bCs w:val="0"/>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w:t>
      </w:r>
      <w:r>
        <w:rPr>
          <w:rFonts w:hint="eastAsia" w:ascii="仿宋" w:hAnsi="仿宋" w:eastAsia="仿宋"/>
          <w:b w:val="0"/>
          <w:bCs w:val="0"/>
          <w:sz w:val="32"/>
          <w:szCs w:val="32"/>
        </w:rPr>
        <w:t>算财政拨款基本支出5,247.00万元，其中：</w:t>
      </w:r>
    </w:p>
    <w:p>
      <w:pPr>
        <w:spacing w:line="600" w:lineRule="exact"/>
        <w:ind w:firstLine="645"/>
        <w:rPr>
          <w:rFonts w:hint="eastAsia"/>
        </w:rPr>
      </w:pPr>
      <w:r>
        <w:rPr>
          <w:rFonts w:hint="eastAsia" w:ascii="仿宋" w:hAnsi="仿宋" w:eastAsia="仿宋"/>
          <w:b w:val="0"/>
          <w:bCs w:val="0"/>
          <w:sz w:val="32"/>
          <w:szCs w:val="32"/>
        </w:rPr>
        <w:t>人员经费</w:t>
      </w:r>
      <w:r>
        <w:rPr>
          <w:rFonts w:hint="eastAsia" w:ascii="仿宋" w:hAnsi="仿宋" w:eastAsia="仿宋"/>
          <w:b w:val="0"/>
          <w:bCs w:val="0"/>
          <w:sz w:val="32"/>
          <w:szCs w:val="32"/>
          <w:lang w:val="en-US" w:eastAsia="zh-CN"/>
        </w:rPr>
        <w:t>5173.09</w:t>
      </w:r>
      <w:r>
        <w:rPr>
          <w:rFonts w:hint="eastAsia" w:ascii="仿宋" w:hAnsi="仿宋" w:eastAsia="仿宋"/>
          <w:b w:val="0"/>
          <w:bCs w:val="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b w:val="0"/>
          <w:bCs w:val="0"/>
          <w:sz w:val="32"/>
          <w:szCs w:val="32"/>
        </w:rPr>
        <w:br w:type="textWrapping"/>
      </w:r>
      <w:r>
        <w:rPr>
          <w:rFonts w:hint="eastAsia" w:ascii="仿宋" w:hAnsi="仿宋" w:eastAsia="仿宋"/>
          <w:b w:val="0"/>
          <w:bCs w:val="0"/>
          <w:sz w:val="32"/>
          <w:szCs w:val="32"/>
        </w:rPr>
        <w:t>　　公用经费73.90万元，主</w:t>
      </w:r>
      <w:r>
        <w:rPr>
          <w:rFonts w:hint="eastAsia" w:ascii="仿宋" w:hAnsi="仿宋" w:eastAsia="仿宋"/>
          <w:sz w:val="32"/>
          <w:szCs w:val="32"/>
        </w:rPr>
        <w:t>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p>
    <w:p>
      <w:pPr>
        <w:spacing w:line="60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无变动</w:t>
      </w:r>
      <w:r>
        <w:rPr>
          <w:rFonts w:hint="eastAsia" w:ascii="仿宋_GB2312" w:eastAsia="仿宋_GB2312"/>
          <w:sz w:val="32"/>
          <w:szCs w:val="32"/>
        </w:rPr>
        <w:t>。主要原因是</w:t>
      </w:r>
      <w:r>
        <w:rPr>
          <w:rFonts w:hint="eastAsia" w:ascii="仿宋_GB2312" w:eastAsia="仿宋_GB2312"/>
          <w:sz w:val="32"/>
          <w:szCs w:val="32"/>
          <w:lang w:eastAsia="zh-CN"/>
        </w:rPr>
        <w:t>本年度无三公经费预算</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1</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3" w:firstLineChars="200"/>
        <w:rPr>
          <w:rFonts w:hint="eastAsia"/>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无变动</w:t>
      </w:r>
      <w:r>
        <w:rPr>
          <w:rFonts w:hint="eastAsia" w:ascii="仿宋_GB2312" w:eastAsia="仿宋_GB2312"/>
          <w:sz w:val="32"/>
          <w:szCs w:val="32"/>
        </w:rPr>
        <w:t>。主要原因是</w:t>
      </w:r>
      <w:r>
        <w:rPr>
          <w:rFonts w:hint="eastAsia" w:ascii="仿宋_GB2312" w:eastAsia="仿宋_GB2312"/>
          <w:sz w:val="32"/>
          <w:szCs w:val="32"/>
          <w:lang w:eastAsia="zh-CN"/>
        </w:rPr>
        <w:t>本年度无三公经费预算。</w:t>
      </w:r>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p>
    <w:p>
      <w:pPr>
        <w:spacing w:line="600" w:lineRule="exact"/>
        <w:ind w:firstLine="640"/>
        <w:rPr>
          <w:rFonts w:hint="eastAsia"/>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0"/>
        </w:numPr>
        <w:spacing w:line="600" w:lineRule="exact"/>
        <w:ind w:left="630" w:leftChars="0"/>
        <w:outlineLvl w:val="1"/>
        <w:rPr>
          <w:rStyle w:val="29"/>
          <w:rFonts w:ascii="Times New Roman" w:hAnsi="Times New Roman" w:eastAsia="黑体"/>
          <w:b w:val="0"/>
          <w:color w:val="auto"/>
          <w:highlight w:val="none"/>
        </w:rPr>
      </w:pPr>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p>
    <w:p>
      <w:pPr>
        <w:numPr>
          <w:ilvl w:val="0"/>
          <w:numId w:val="0"/>
        </w:numPr>
        <w:ind w:leftChars="200"/>
        <w:rPr>
          <w:rFonts w:hint="eastAsia"/>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p>
    <w:p>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val="0"/>
          <w:bCs/>
          <w:sz w:val="32"/>
          <w:szCs w:val="32"/>
        </w:rPr>
        <w:t>四川省攀枝花市建筑工程学校</w:t>
      </w:r>
      <w:r>
        <w:rPr>
          <w:rFonts w:hint="eastAsia" w:ascii="仿宋_GB2312" w:eastAsia="仿宋_GB2312"/>
          <w:b w:val="0"/>
          <w:bCs/>
          <w:sz w:val="32"/>
          <w:szCs w:val="32"/>
        </w:rPr>
        <w:t>机</w:t>
      </w:r>
      <w:r>
        <w:rPr>
          <w:rFonts w:hint="eastAsia" w:ascii="仿宋_GB2312" w:eastAsia="仿宋_GB2312"/>
          <w:sz w:val="32"/>
          <w:szCs w:val="32"/>
        </w:rPr>
        <w:t>关运行经费支出</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numPr>
          <w:ilvl w:val="0"/>
          <w:numId w:val="0"/>
        </w:numPr>
        <w:ind w:leftChars="200"/>
        <w:rPr>
          <w:rFonts w:hint="eastAsia"/>
        </w:rPr>
      </w:pP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四川省攀枝花市建筑工程学校</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487.25</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130.48</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286.85</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69.92</w:t>
      </w:r>
      <w:r>
        <w:rPr>
          <w:rFonts w:hint="eastAsia" w:ascii="仿宋_GB2312" w:hAnsi="仿宋_GB2312" w:eastAsia="仿宋_GB2312" w:cs="仿宋_GB2312"/>
          <w:color w:val="auto"/>
          <w:kern w:val="2"/>
          <w:sz w:val="32"/>
          <w:szCs w:val="32"/>
          <w:highlight w:val="none"/>
          <w:lang w:val="en-US" w:eastAsia="zh-CN" w:bidi="ar-SA"/>
        </w:rPr>
        <w:t>万元。主要用于办公设备、教学仪器设备、实训设施设备以及宿舍楼修缮。授予中小企业合同金额</w:t>
      </w:r>
      <w:r>
        <w:rPr>
          <w:rFonts w:hint="eastAsia" w:ascii="仿宋_GB2312" w:hAnsi="仿宋_GB2312" w:eastAsia="仿宋_GB2312" w:cs="仿宋_GB2312"/>
          <w:sz w:val="32"/>
          <w:szCs w:val="32"/>
        </w:rPr>
        <w:t>486.9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99.92</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199.24</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40.89</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eastAsia="仿宋_GB2312"/>
          <w:sz w:val="32"/>
          <w:szCs w:val="32"/>
          <w:lang w:val="en-US" w:eastAsia="zh-CN"/>
        </w:rPr>
        <w:t xml:space="preserve"> </w:t>
      </w:r>
    </w:p>
    <w:p>
      <w:pPr>
        <w:autoSpaceDE w:val="0"/>
        <w:autoSpaceDN w:val="0"/>
        <w:adjustRightInd w:val="0"/>
        <w:spacing w:line="600" w:lineRule="exact"/>
        <w:ind w:firstLine="321" w:firstLineChars="1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val="0"/>
          <w:bCs/>
          <w:sz w:val="32"/>
          <w:szCs w:val="32"/>
        </w:rPr>
        <w:t>四川省攀枝花市建筑工程学校</w:t>
      </w:r>
      <w:r>
        <w:rPr>
          <w:rFonts w:hint="eastAsia" w:ascii="仿宋_GB2312" w:eastAsia="仿宋_GB2312"/>
          <w:b w:val="0"/>
          <w:bCs/>
          <w:sz w:val="32"/>
          <w:szCs w:val="32"/>
        </w:rPr>
        <w:t>共</w:t>
      </w:r>
      <w:r>
        <w:rPr>
          <w:rFonts w:hint="eastAsia" w:ascii="仿宋_GB2312" w:eastAsia="仿宋_GB2312"/>
          <w:sz w:val="32"/>
          <w:szCs w:val="32"/>
        </w:rPr>
        <w:t>有车辆</w:t>
      </w:r>
      <w:r>
        <w:rPr>
          <w:rFonts w:hint="eastAsia" w:ascii="仿宋_GB2312" w:eastAsia="仿宋_GB2312"/>
          <w:b w:val="0"/>
          <w:bCs/>
          <w:sz w:val="32"/>
          <w:szCs w:val="32"/>
        </w:rPr>
        <w:t>20辆，其</w:t>
      </w:r>
      <w:r>
        <w:rPr>
          <w:rFonts w:hint="eastAsia" w:ascii="仿宋_GB2312" w:eastAsia="仿宋_GB2312"/>
          <w:sz w:val="32"/>
          <w:szCs w:val="32"/>
        </w:rPr>
        <w:t>中：主要领导干部用车0辆、机要通信用车0辆、应急保障用车0辆、其他用车20辆，</w:t>
      </w:r>
      <w:r>
        <w:rPr>
          <w:rFonts w:hint="eastAsia" w:ascii="仿宋_GB2312" w:eastAsia="仿宋_GB2312"/>
          <w:sz w:val="32"/>
          <w:szCs w:val="32"/>
          <w:lang w:eastAsia="zh-CN"/>
        </w:rPr>
        <w:t>其中除</w:t>
      </w:r>
      <w:r>
        <w:rPr>
          <w:rFonts w:hint="eastAsia" w:ascii="仿宋_GB2312" w:eastAsia="仿宋_GB2312"/>
          <w:sz w:val="32"/>
          <w:szCs w:val="32"/>
          <w:lang w:val="en-US" w:eastAsia="zh-CN"/>
        </w:rPr>
        <w:t>2辆公务用车外</w:t>
      </w:r>
      <w:r>
        <w:rPr>
          <w:rFonts w:hint="eastAsia" w:ascii="仿宋_GB2312" w:eastAsia="仿宋_GB2312"/>
          <w:sz w:val="32"/>
          <w:szCs w:val="32"/>
        </w:rPr>
        <w:t>其他车主要是驾驶训练教学用。单价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根据预算绩效管理要求，本单位在202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年度预算编制阶段，组织对中央现代职业教育质量提升计划等</w:t>
      </w:r>
      <w:r>
        <w:rPr>
          <w:rFonts w:hint="eastAsia" w:ascii="仿宋_GB2312" w:eastAsia="仿宋_GB2312"/>
          <w:b w:val="0"/>
          <w:bCs/>
          <w:sz w:val="32"/>
          <w:szCs w:val="32"/>
          <w:lang w:val="en-US" w:eastAsia="zh-CN"/>
        </w:rPr>
        <w:t>17</w:t>
      </w:r>
      <w:r>
        <w:rPr>
          <w:rFonts w:hint="eastAsia" w:ascii="仿宋_GB2312" w:eastAsia="仿宋_GB2312"/>
          <w:b w:val="0"/>
          <w:bCs/>
          <w:sz w:val="32"/>
          <w:szCs w:val="32"/>
        </w:rPr>
        <w:t>个项目开展了预算事前绩效评估，对</w:t>
      </w:r>
      <w:r>
        <w:rPr>
          <w:rFonts w:hint="eastAsia" w:ascii="仿宋_GB2312" w:eastAsia="仿宋_GB2312"/>
          <w:b w:val="0"/>
          <w:bCs/>
          <w:sz w:val="32"/>
          <w:szCs w:val="32"/>
          <w:lang w:val="en-US" w:eastAsia="zh-CN"/>
        </w:rPr>
        <w:t>17</w:t>
      </w:r>
      <w:r>
        <w:rPr>
          <w:rFonts w:hint="eastAsia" w:ascii="仿宋_GB2312" w:eastAsia="仿宋_GB2312"/>
          <w:b w:val="0"/>
          <w:bCs/>
          <w:sz w:val="32"/>
          <w:szCs w:val="32"/>
        </w:rPr>
        <w:t>个项目编制了绩效目标，预算执行过程中，选取</w:t>
      </w:r>
      <w:r>
        <w:rPr>
          <w:rFonts w:hint="eastAsia" w:ascii="仿宋_GB2312" w:eastAsia="仿宋_GB2312"/>
          <w:b w:val="0"/>
          <w:bCs/>
          <w:sz w:val="32"/>
          <w:szCs w:val="32"/>
          <w:lang w:val="en-US" w:eastAsia="zh-CN"/>
        </w:rPr>
        <w:t>17</w:t>
      </w:r>
      <w:r>
        <w:rPr>
          <w:rFonts w:hint="eastAsia" w:ascii="仿宋_GB2312" w:eastAsia="仿宋_GB2312"/>
          <w:b w:val="0"/>
          <w:bCs/>
          <w:sz w:val="32"/>
          <w:szCs w:val="32"/>
        </w:rPr>
        <w:t>个项目开展绩效监控，组织对</w:t>
      </w:r>
      <w:r>
        <w:rPr>
          <w:rFonts w:hint="eastAsia" w:ascii="仿宋_GB2312" w:eastAsia="仿宋_GB2312"/>
          <w:b w:val="0"/>
          <w:bCs/>
          <w:sz w:val="32"/>
          <w:szCs w:val="32"/>
          <w:lang w:val="en-US" w:eastAsia="zh-CN"/>
        </w:rPr>
        <w:t>17</w:t>
      </w:r>
      <w:r>
        <w:rPr>
          <w:rFonts w:hint="eastAsia" w:ascii="仿宋_GB2312" w:eastAsia="仿宋_GB2312"/>
          <w:b w:val="0"/>
          <w:bCs/>
          <w:sz w:val="32"/>
          <w:szCs w:val="32"/>
        </w:rPr>
        <w:t>个项目开展绩效自评，绩效自评表详见第四部分附件。</w:t>
      </w: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其他收入：指单位取得的除上述收入以外的各项收入。主要是区县承担的民区学生免学费等。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9.一般公共服务（类）组织事务（款）其他组织事务支出（项）：反映政府提供一般公共服务支出。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教育（类）职业教育（款）中等职业教育（项）：指各部门举办的中等职业教育支出。</w:t>
      </w:r>
    </w:p>
    <w:p>
      <w:pPr>
        <w:pStyle w:val="26"/>
        <w:spacing w:line="560" w:lineRule="exact"/>
        <w:ind w:firstLine="640" w:firstLineChars="200"/>
        <w:rPr>
          <w:rStyle w:val="16"/>
          <w:rFonts w:hAnsi="仿宋"/>
          <w:bCs/>
          <w:sz w:val="32"/>
          <w:szCs w:val="32"/>
        </w:rPr>
      </w:pPr>
      <w:r>
        <w:rPr>
          <w:rFonts w:hint="eastAsia" w:ascii="仿宋_GB2312" w:hAnsi="Times New Roman" w:eastAsia="仿宋_GB2312" w:cs="Times New Roman"/>
          <w:kern w:val="2"/>
          <w:sz w:val="32"/>
          <w:szCs w:val="32"/>
        </w:rPr>
        <w:t>11.教育（类）进修及培训（款）教师进修（项）：指用于教师培训的支出。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12.教育（类）教育费附加安排的支出（款）其他教育费附加安排的支出（项）：民区学生免费教育经费，用于改善办学条件，充实学校公用经费等支出。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13.社会保障和就业（类）人力资源和社会保障管理事务（款）其他人力资源和社会保障管理事务支出（项）：用于引进高层次人才的安家费及房租支出。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14.社会保障和就业（类）行政事业单位养老支出（款）机关事业单位基本养老保险缴费支出（项）：用于机关事业单位职工基本养老保险单位部份缴费支出。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15.社会保障和就业（类）抚恤（款）死亡抚恤（项）：指国家机关，企事业单位对死者家属发放的一次性补助。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spacing w:line="600" w:lineRule="exact"/>
        <w:ind w:firstLine="640"/>
        <w:jc w:val="left"/>
        <w:outlineLvl w:val="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ind w:firstLine="640" w:firstLineChars="200"/>
        <w:rPr>
          <w:rFonts w:hint="eastAsia"/>
        </w:rPr>
      </w:pPr>
    </w:p>
    <w:p>
      <w:pPr>
        <w:pStyle w:val="13"/>
        <w:keepNext w:val="0"/>
        <w:keepLines w:val="0"/>
        <w:pageBreakBefore w:val="0"/>
        <w:kinsoku/>
        <w:wordWrap/>
        <w:overflowPunct/>
        <w:topLinePunct w:val="0"/>
        <w:autoSpaceDE/>
        <w:autoSpaceDN/>
        <w:bidi w:val="0"/>
        <w:adjustRightInd w:val="0"/>
        <w:snapToGrid w:val="0"/>
        <w:spacing w:before="0" w:line="560" w:lineRule="exact"/>
        <w:jc w:val="center"/>
        <w:textAlignment w:val="auto"/>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Start w:id="9" w:name="_GoBack"/>
      <w:bookmarkEnd w:id="9"/>
    </w:p>
    <w:p>
      <w:pPr>
        <w:rPr>
          <w:rFonts w:hint="eastAsia"/>
        </w:rPr>
      </w:pPr>
    </w:p>
    <w:p>
      <w:pPr>
        <w:ind w:firstLine="640" w:firstLineChars="200"/>
        <w:jc w:val="center"/>
        <w:rPr>
          <w:rFonts w:hint="eastAsia" w:ascii="仿宋_GB2312" w:eastAsia="仿宋_GB2312" w:cs="Times New Roman"/>
          <w:color w:val="auto"/>
          <w:sz w:val="32"/>
          <w:szCs w:val="32"/>
          <w:highlight w:val="none"/>
          <w:lang w:val="en-US" w:eastAsia="zh-CN"/>
        </w:rPr>
      </w:pPr>
      <w:bookmarkStart w:id="6" w:name="_Toc11989"/>
      <w:r>
        <w:rPr>
          <w:rFonts w:hint="eastAsia" w:ascii="仿宋_GB2312" w:eastAsia="仿宋_GB2312" w:cs="Times New Roman"/>
          <w:color w:val="auto"/>
          <w:sz w:val="32"/>
          <w:szCs w:val="32"/>
          <w:highlight w:val="none"/>
          <w:lang w:val="en-US" w:eastAsia="zh-CN"/>
        </w:rPr>
        <w:t>部门预算项目支出绩效自评表（2024年度）</w:t>
      </w:r>
      <w:bookmarkEnd w:id="6"/>
      <w:r>
        <w:rPr>
          <w:rFonts w:hint="eastAsia" w:ascii="仿宋_GB2312" w:eastAsia="仿宋_GB2312" w:cs="Times New Roman"/>
          <w:color w:val="auto"/>
          <w:sz w:val="32"/>
          <w:szCs w:val="32"/>
          <w:highlight w:val="none"/>
          <w:lang w:val="en-US" w:eastAsia="zh-CN"/>
        </w:rPr>
        <w:t>见附件2</w:t>
      </w:r>
    </w:p>
    <w:p>
      <w:pPr>
        <w:rPr>
          <w:rFonts w:hint="eastAsia"/>
        </w:rPr>
      </w:pPr>
    </w:p>
    <w:p>
      <w:pPr>
        <w:widowControl/>
        <w:jc w:val="center"/>
        <w:rPr>
          <w:rFonts w:hint="eastAsia" w:ascii="Times New Roman" w:hAnsi="Times New Roman" w:eastAsia="仿宋"/>
          <w:b w:val="0"/>
          <w:color w:val="auto"/>
          <w:highlight w:val="none"/>
        </w:rPr>
      </w:pPr>
      <w:bookmarkStart w:id="7" w:name="_Toc15377196"/>
      <w:bookmarkStart w:id="8" w:name="_Toc15396599"/>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十、政府性基金预算财政拨款收入支出决算表</w:t>
      </w:r>
      <w:r>
        <w:rPr>
          <w:rFonts w:hint="eastAsia" w:ascii="Times New Roman" w:hAnsi="Times New Roman" w:eastAsia="仿宋_GB2312" w:cs="仿宋_GB2312"/>
          <w:color w:val="auto"/>
          <w:sz w:val="32"/>
          <w:szCs w:val="32"/>
          <w:highlight w:val="none"/>
          <w:lang w:val="en-US" w:eastAsia="zh-CN"/>
        </w:rPr>
        <w:t>（本表无数据）</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r>
        <w:rPr>
          <w:rFonts w:hint="eastAsia" w:ascii="Times New Roman" w:hAnsi="Times New Roman" w:eastAsia="仿宋_GB2312" w:cs="仿宋_GB2312"/>
          <w:color w:val="auto"/>
          <w:sz w:val="32"/>
          <w:szCs w:val="32"/>
          <w:highlight w:val="none"/>
          <w:lang w:val="en-US" w:eastAsia="zh-CN"/>
        </w:rPr>
        <w:t>（本表无数据）</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eastAsia="zh-CN"/>
        </w:rPr>
        <w:t>国有资本经营预算财政拨款支出决算表</w:t>
      </w:r>
      <w:r>
        <w:rPr>
          <w:rFonts w:hint="eastAsia" w:ascii="Times New Roman" w:hAnsi="Times New Roman" w:eastAsia="仿宋_GB2312" w:cs="仿宋_GB2312"/>
          <w:color w:val="auto"/>
          <w:sz w:val="32"/>
          <w:szCs w:val="32"/>
          <w:highlight w:val="none"/>
          <w:lang w:val="en-US" w:eastAsia="zh-CN"/>
        </w:rPr>
        <w:t>（本表无数据）</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十三、</w:t>
      </w:r>
      <w:r>
        <w:rPr>
          <w:rFonts w:hint="eastAsia" w:ascii="Times New Roman" w:hAnsi="Times New Roman" w:eastAsia="仿宋_GB2312" w:cs="仿宋_GB2312"/>
          <w:color w:val="auto"/>
          <w:sz w:val="32"/>
          <w:szCs w:val="32"/>
          <w:highlight w:val="none"/>
          <w:lang w:eastAsia="zh-CN"/>
        </w:rPr>
        <w:t>财政拨款“三公”经费支出决算表</w:t>
      </w:r>
      <w:r>
        <w:rPr>
          <w:rFonts w:hint="eastAsia" w:ascii="Times New Roman" w:hAnsi="Times New Roman" w:eastAsia="仿宋_GB2312" w:cs="仿宋_GB2312"/>
          <w:color w:val="auto"/>
          <w:sz w:val="32"/>
          <w:szCs w:val="32"/>
          <w:highlight w:val="none"/>
          <w:lang w:val="en-US" w:eastAsia="zh-CN"/>
        </w:rPr>
        <w:t>（本表无数据）</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p>
    <w:bookmarkEnd w:id="7"/>
    <w:bookmarkEnd w:id="8"/>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Arial">
    <w:panose1 w:val="020B0604020202020204"/>
    <w:charset w:val="00"/>
    <w:family w:val="roman"/>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decorative"/>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Liberation Sans">
    <w:altName w:val="微软雅黑"/>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
    <w:altName w:val="Segoe Print"/>
    <w:panose1 w:val="00000000000000000000"/>
    <w:charset w:val="00"/>
    <w:family w:val="decorative"/>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Liberation Sans">
    <w:altName w:val="微软雅黑"/>
    <w:panose1 w:val="00000000000000000000"/>
    <w:charset w:val="00"/>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
    <w:altName w:val="Segoe Print"/>
    <w:panose1 w:val="00000000000000000000"/>
    <w:charset w:val="00"/>
    <w:family w:val="modern"/>
    <w:pitch w:val="default"/>
    <w:sig w:usb0="00000000" w:usb1="00000000" w:usb2="00000000" w:usb3="00000000" w:csb0="00000000" w:csb1="00000000"/>
  </w:font>
  <w:font w:name="Arial">
    <w:panose1 w:val="020B0604020202020204"/>
    <w:charset w:val="00"/>
    <w:family w:val="decorative"/>
    <w:pitch w:val="default"/>
    <w:sig w:usb0="E0002EFF" w:usb1="C000785B"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Liberation Sans">
    <w:altName w:val="微软雅黑"/>
    <w:panose1 w:val="00000000000000000000"/>
    <w:charset w:val="00"/>
    <w:family w:val="decorative"/>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6980441">
    <w:nsid w:val="68B964D9"/>
    <w:multiLevelType w:val="singleLevel"/>
    <w:tmpl w:val="68B964D9"/>
    <w:lvl w:ilvl="0" w:tentative="1">
      <w:start w:val="2"/>
      <w:numFmt w:val="chineseCounting"/>
      <w:suff w:val="nothing"/>
      <w:lvlText w:val="%1、"/>
      <w:lvlJc w:val="left"/>
    </w:lvl>
  </w:abstractNum>
  <w:abstractNum w:abstractNumId="1756980741">
    <w:nsid w:val="68B96605"/>
    <w:multiLevelType w:val="singleLevel"/>
    <w:tmpl w:val="68B96605"/>
    <w:lvl w:ilvl="0" w:tentative="1">
      <w:start w:val="6"/>
      <w:numFmt w:val="chineseCounting"/>
      <w:suff w:val="nothing"/>
      <w:lvlText w:val="%1、"/>
      <w:lvlJc w:val="left"/>
    </w:lvl>
  </w:abstractNum>
  <w:num w:numId="1">
    <w:abstractNumId w:val="1756980441"/>
  </w:num>
  <w:num w:numId="2">
    <w:abstractNumId w:val="17569807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840C04"/>
    <w:rsid w:val="0F98263C"/>
    <w:rsid w:val="101860EC"/>
    <w:rsid w:val="101F47CC"/>
    <w:rsid w:val="10C055FF"/>
    <w:rsid w:val="11694EBD"/>
    <w:rsid w:val="11772AA4"/>
    <w:rsid w:val="118107EC"/>
    <w:rsid w:val="12E24EE2"/>
    <w:rsid w:val="12F572A6"/>
    <w:rsid w:val="13D50BC4"/>
    <w:rsid w:val="14B17F78"/>
    <w:rsid w:val="163B4B05"/>
    <w:rsid w:val="165E0673"/>
    <w:rsid w:val="16B831D5"/>
    <w:rsid w:val="16BB723D"/>
    <w:rsid w:val="17E50567"/>
    <w:rsid w:val="186504BB"/>
    <w:rsid w:val="19A445FC"/>
    <w:rsid w:val="1BE8440E"/>
    <w:rsid w:val="1BF530EC"/>
    <w:rsid w:val="1D155CEE"/>
    <w:rsid w:val="1D1638FE"/>
    <w:rsid w:val="1E312DEB"/>
    <w:rsid w:val="1E740ACF"/>
    <w:rsid w:val="1FF35744"/>
    <w:rsid w:val="1FF6BC77"/>
    <w:rsid w:val="20703EFE"/>
    <w:rsid w:val="2186353C"/>
    <w:rsid w:val="23860B96"/>
    <w:rsid w:val="240371BF"/>
    <w:rsid w:val="244F3473"/>
    <w:rsid w:val="24C97D99"/>
    <w:rsid w:val="259941BD"/>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698695F"/>
    <w:rsid w:val="486A6C7A"/>
    <w:rsid w:val="49365106"/>
    <w:rsid w:val="4A627F82"/>
    <w:rsid w:val="4B0E749A"/>
    <w:rsid w:val="4B2477C4"/>
    <w:rsid w:val="4B4F25DA"/>
    <w:rsid w:val="4BE068DB"/>
    <w:rsid w:val="4D577224"/>
    <w:rsid w:val="4DBF1CEB"/>
    <w:rsid w:val="4DF0007C"/>
    <w:rsid w:val="4EAB630A"/>
    <w:rsid w:val="4ECE2238"/>
    <w:rsid w:val="4F833267"/>
    <w:rsid w:val="4FE9BD67"/>
    <w:rsid w:val="4FFB052F"/>
    <w:rsid w:val="5028288F"/>
    <w:rsid w:val="518B3B8D"/>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35818"/>
    <w:rsid w:val="5DE7D9E5"/>
    <w:rsid w:val="5ECEC941"/>
    <w:rsid w:val="5FBF9FF3"/>
    <w:rsid w:val="5FCD4E2C"/>
    <w:rsid w:val="5FEF394A"/>
    <w:rsid w:val="5FF67715"/>
    <w:rsid w:val="62AA446C"/>
    <w:rsid w:val="62BF3928"/>
    <w:rsid w:val="63B3701E"/>
    <w:rsid w:val="647F5392"/>
    <w:rsid w:val="65E66580"/>
    <w:rsid w:val="664B1D71"/>
    <w:rsid w:val="664B4E8E"/>
    <w:rsid w:val="665922C5"/>
    <w:rsid w:val="67277B67"/>
    <w:rsid w:val="67AA3209"/>
    <w:rsid w:val="698D0931"/>
    <w:rsid w:val="6A7FE5F3"/>
    <w:rsid w:val="6B053271"/>
    <w:rsid w:val="6BDD78B3"/>
    <w:rsid w:val="6C4A05C8"/>
    <w:rsid w:val="6C8742B8"/>
    <w:rsid w:val="6DBF5E93"/>
    <w:rsid w:val="6DFF077E"/>
    <w:rsid w:val="6E5B561D"/>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4F48EF"/>
    <w:rsid w:val="7B6C7DFB"/>
    <w:rsid w:val="7B8D2142"/>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character" w:customStyle="1" w:styleId="28">
    <w:name w:val="标题 1 Char"/>
    <w:basedOn w:val="15"/>
    <w:link w:val="5"/>
    <w:qFormat/>
    <w:uiPriority w:val="9"/>
    <w:rPr>
      <w:rFonts w:ascii="Times New Roman" w:hAnsi="Times New Roman"/>
      <w:b/>
      <w:bCs/>
      <w:kern w:val="44"/>
      <w:sz w:val="44"/>
      <w:szCs w:val="44"/>
    </w:rPr>
  </w:style>
  <w:style w:type="character" w:customStyle="1" w:styleId="29">
    <w:name w:val="标题 2 Char"/>
    <w:basedOn w:val="15"/>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5"/>
    <w:link w:val="10"/>
    <w:semiHidden/>
    <w:qFormat/>
    <w:uiPriority w:val="99"/>
    <w:rPr>
      <w:rFonts w:ascii="Times New Roman" w:hAnsi="Times New Roman"/>
      <w:kern w:val="2"/>
      <w:sz w:val="18"/>
      <w:szCs w:val="18"/>
    </w:rPr>
  </w:style>
  <w:style w:type="character" w:customStyle="1" w:styleId="32">
    <w:name w:val="标题 3 Char"/>
    <w:basedOn w:val="15"/>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ScaleCrop>false</ScaleCrop>
  <LinksUpToDate>false</LinksUpToDate>
  <CharactersWithSpaces>8692</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2025-09-15T02:04:46Z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04787F2533EB45DC91BCDE4AB213247F</vt:lpwstr>
  </property>
</Properties>
</file>