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A499C">
      <w:pPr>
        <w:pStyle w:val="5"/>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96597"/>
      <w:bookmarkStart w:id="2" w:name="_Toc15396475"/>
      <w:bookmarkStart w:id="3" w:name="_Toc15377425"/>
      <w:bookmarkStart w:id="4" w:name="_Toc15377193"/>
      <w:bookmarkStart w:id="5" w:name="_Toc15306267"/>
    </w:p>
    <w:p w14:paraId="18246647">
      <w:pPr>
        <w:pStyle w:val="5"/>
        <w:rPr>
          <w:rFonts w:hint="eastAsia" w:ascii="Times New Roman" w:hAnsi="Times New Roman" w:eastAsia="方正小标宋简体" w:cs="Times New Roman"/>
          <w:color w:val="auto"/>
          <w:kern w:val="2"/>
          <w:sz w:val="72"/>
          <w:szCs w:val="72"/>
          <w:highlight w:val="none"/>
          <w:lang w:val="en-US" w:eastAsia="zh-CN" w:bidi="ar-SA"/>
        </w:rPr>
      </w:pPr>
    </w:p>
    <w:p w14:paraId="70131D5E">
      <w:pPr>
        <w:pStyle w:val="5"/>
        <w:rPr>
          <w:rFonts w:hint="eastAsia" w:ascii="Times New Roman" w:hAnsi="Times New Roman" w:eastAsia="方正小标宋简体" w:cs="Times New Roman"/>
          <w:color w:val="auto"/>
          <w:kern w:val="2"/>
          <w:sz w:val="72"/>
          <w:szCs w:val="72"/>
          <w:highlight w:val="none"/>
          <w:lang w:val="en-US" w:eastAsia="zh-CN" w:bidi="ar-SA"/>
        </w:rPr>
      </w:pPr>
    </w:p>
    <w:p w14:paraId="3849E464">
      <w:pPr>
        <w:pStyle w:val="5"/>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攀枝花市体育场馆中心</w:t>
      </w:r>
    </w:p>
    <w:p w14:paraId="125C2898">
      <w:pPr>
        <w:pStyle w:val="5"/>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单位决算</w:t>
      </w:r>
    </w:p>
    <w:p w14:paraId="038D6059">
      <w:pPr>
        <w:spacing w:line="600" w:lineRule="exact"/>
        <w:jc w:val="center"/>
        <w:outlineLvl w:val="0"/>
        <w:rPr>
          <w:rFonts w:ascii="Times New Roman" w:hAnsi="Times New Roman" w:eastAsia="方正小标宋简体"/>
          <w:color w:val="auto"/>
          <w:sz w:val="72"/>
          <w:szCs w:val="72"/>
          <w:highlight w:val="none"/>
        </w:rPr>
      </w:pPr>
    </w:p>
    <w:p w14:paraId="1BF11D2A">
      <w:pPr>
        <w:pStyle w:val="1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24E6861E">
      <w:pPr>
        <w:rPr>
          <w:rFonts w:ascii="Times New Roman" w:hAnsi="Times New Roman"/>
        </w:rPr>
      </w:pPr>
    </w:p>
    <w:p w14:paraId="27332612">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08C9F15F">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6C6C790A">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7C6CBB36">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24082E8D">
      <w:pPr>
        <w:pStyle w:val="5"/>
        <w:jc w:val="center"/>
        <w:rPr>
          <w:rFonts w:hint="eastAsia" w:ascii="Times New Roman" w:eastAsia="方正小标宋简体" w:cs="Times New Roman"/>
          <w:color w:val="auto"/>
          <w:kern w:val="2"/>
          <w:sz w:val="44"/>
          <w:szCs w:val="44"/>
          <w:highlight w:val="none"/>
          <w:lang w:val="en-US" w:eastAsia="zh-CN" w:bidi="ar-SA"/>
        </w:rPr>
      </w:pPr>
      <w:bookmarkStart w:id="6" w:name="_Toc15396476"/>
      <w:bookmarkStart w:id="7" w:name="_Toc15377194"/>
      <w:bookmarkStart w:id="8" w:name="_Toc15378442"/>
      <w:bookmarkStart w:id="9" w:name="_Toc15377426"/>
      <w:bookmarkStart w:id="10" w:name="_Toc15396598"/>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攀枝花市体育场馆中心</w:t>
      </w:r>
    </w:p>
    <w:p w14:paraId="12E67DE2">
      <w:pPr>
        <w:pStyle w:val="5"/>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r>
        <w:rPr>
          <w:rFonts w:hint="eastAsia" w:ascii="Times New Roman" w:eastAsia="方正小标宋简体" w:cs="Times New Roman"/>
          <w:color w:val="auto"/>
          <w:kern w:val="2"/>
          <w:sz w:val="44"/>
          <w:szCs w:val="44"/>
          <w:highlight w:val="none"/>
          <w:lang w:val="en-US" w:eastAsia="zh-CN" w:bidi="ar-SA"/>
        </w:rPr>
        <w:t>公开编制说明</w:t>
      </w:r>
    </w:p>
    <w:p w14:paraId="59D719C4">
      <w:pPr>
        <w:widowControl/>
        <w:jc w:val="center"/>
        <w:rPr>
          <w:rFonts w:hint="eastAsia" w:ascii="Times New Roman" w:hAnsi="Times New Roman" w:eastAsia="黑体"/>
          <w:color w:val="auto"/>
          <w:sz w:val="48"/>
          <w:szCs w:val="48"/>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14:paraId="38CCF8D6">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0C9C902E">
      <w:pPr>
        <w:widowControl/>
        <w:jc w:val="center"/>
        <w:rPr>
          <w:rFonts w:ascii="Times New Roman" w:hAnsi="Times New Roman" w:eastAsia="黑体" w:cstheme="minorBidi"/>
          <w:color w:val="auto"/>
          <w:sz w:val="28"/>
          <w:szCs w:val="28"/>
          <w:highlight w:val="none"/>
        </w:rPr>
      </w:pPr>
    </w:p>
    <w:p w14:paraId="1140D133">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日</w:t>
      </w:r>
    </w:p>
    <w:p w14:paraId="7CA61BA7">
      <w:pPr>
        <w:rPr>
          <w:rFonts w:ascii="Times New Roman" w:hAnsi="Times New Roman"/>
          <w:color w:val="auto"/>
          <w:highlight w:val="none"/>
        </w:rPr>
      </w:pPr>
    </w:p>
    <w:p w14:paraId="4E06B27F">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第一部分 部门概况</w:t>
      </w:r>
      <w:r>
        <w:rPr>
          <w:rFonts w:hint="eastAsia" w:eastAsia="仿宋_GB2312" w:cs="仿宋_GB2312"/>
          <w:color w:val="auto"/>
          <w:sz w:val="32"/>
          <w:szCs w:val="32"/>
          <w:highlight w:val="none"/>
          <w:lang w:val="en-US" w:eastAsia="zh-CN"/>
        </w:rPr>
        <w:t>·································1</w:t>
      </w:r>
    </w:p>
    <w:p w14:paraId="1FEFD73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···································1</w:t>
      </w:r>
    </w:p>
    <w:p w14:paraId="51790CB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···································1</w:t>
      </w:r>
    </w:p>
    <w:p w14:paraId="4894E1E1">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eastAsia="仿宋_GB2312" w:cs="仿宋_GB2312"/>
          <w:color w:val="auto"/>
          <w:sz w:val="32"/>
          <w:szCs w:val="32"/>
          <w:highlight w:val="none"/>
          <w:lang w:val="en-US" w:eastAsia="zh-CN"/>
        </w:rPr>
        <w:t>·················2</w:t>
      </w:r>
    </w:p>
    <w:p w14:paraId="004E499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···················2</w:t>
      </w:r>
    </w:p>
    <w:p w14:paraId="6F3B615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···························2</w:t>
      </w:r>
    </w:p>
    <w:p w14:paraId="35800A4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···························3</w:t>
      </w:r>
    </w:p>
    <w:p w14:paraId="40436C4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···········4</w:t>
      </w:r>
    </w:p>
    <w:p w14:paraId="5156082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·······5</w:t>
      </w:r>
    </w:p>
    <w:p w14:paraId="4E464D9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···7</w:t>
      </w:r>
    </w:p>
    <w:p w14:paraId="3D5570D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·········8</w:t>
      </w:r>
    </w:p>
    <w:p w14:paraId="0BD8EB3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············10</w:t>
      </w:r>
    </w:p>
    <w:p w14:paraId="3490BF5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··········10</w:t>
      </w:r>
    </w:p>
    <w:p w14:paraId="708B5CA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····················11</w:t>
      </w:r>
    </w:p>
    <w:p w14:paraId="7DA0B931">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eastAsia="仿宋_GB2312" w:cs="仿宋_GB2312"/>
          <w:color w:val="auto"/>
          <w:sz w:val="32"/>
          <w:szCs w:val="32"/>
          <w:highlight w:val="none"/>
          <w:lang w:val="en-US" w:eastAsia="zh-CN"/>
        </w:rPr>
        <w:t>································12</w:t>
      </w:r>
    </w:p>
    <w:p w14:paraId="18DEF190">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eastAsia="仿宋_GB2312" w:cs="仿宋_GB2312"/>
          <w:color w:val="auto"/>
          <w:sz w:val="32"/>
          <w:szCs w:val="32"/>
          <w:highlight w:val="none"/>
          <w:lang w:val="en-US" w:eastAsia="zh-CN"/>
        </w:rPr>
        <w:t>····································16</w:t>
      </w:r>
    </w:p>
    <w:p w14:paraId="17775A07">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eastAsia" w:eastAsia="仿宋_GB2312" w:cs="仿宋_GB2312"/>
          <w:color w:val="auto"/>
          <w:sz w:val="32"/>
          <w:szCs w:val="32"/>
          <w:highlight w:val="none"/>
          <w:lang w:val="en-US" w:eastAsia="zh-CN"/>
        </w:rPr>
        <w:t>····································17</w:t>
      </w:r>
    </w:p>
    <w:p w14:paraId="01E0E60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··························17</w:t>
      </w:r>
    </w:p>
    <w:p w14:paraId="102A131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································17</w:t>
      </w:r>
    </w:p>
    <w:p w14:paraId="7AA8B42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································17</w:t>
      </w:r>
    </w:p>
    <w:p w14:paraId="3BCDD3A1">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··················17</w:t>
      </w:r>
    </w:p>
    <w:p w14:paraId="5667ACF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····················17</w:t>
      </w:r>
    </w:p>
    <w:p w14:paraId="4C98419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············17</w:t>
      </w:r>
    </w:p>
    <w:p w14:paraId="4F08D83D">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········17</w:t>
      </w:r>
    </w:p>
    <w:p w14:paraId="46353C9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····17</w:t>
      </w:r>
    </w:p>
    <w:p w14:paraId="2590CC0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·······17</w:t>
      </w:r>
    </w:p>
    <w:p w14:paraId="6022C7D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·····17</w:t>
      </w:r>
    </w:p>
    <w:p w14:paraId="2E9B7E8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··17</w:t>
      </w:r>
    </w:p>
    <w:p w14:paraId="3FEF149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·····17</w:t>
      </w:r>
    </w:p>
    <w:p w14:paraId="431B1C6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w:t>
      </w:r>
      <w:r>
        <w:rPr>
          <w:rFonts w:hint="eastAsia" w:ascii="Times New Roman" w:hAnsi="Times New Roman" w:eastAsia="仿宋_GB2312" w:cs="仿宋_GB2312"/>
          <w:color w:val="auto"/>
          <w:sz w:val="32"/>
          <w:szCs w:val="32"/>
          <w:highlight w:val="none"/>
          <w:lang w:eastAsia="zh-CN"/>
        </w:rPr>
        <w:t>非财政拨款收入支出决算表</w:t>
      </w:r>
      <w:r>
        <w:rPr>
          <w:rFonts w:hint="eastAsia" w:eastAsia="仿宋_GB2312" w:cs="仿宋_GB2312"/>
          <w:color w:val="auto"/>
          <w:sz w:val="32"/>
          <w:szCs w:val="32"/>
          <w:highlight w:val="none"/>
          <w:lang w:val="en-US" w:eastAsia="zh-CN"/>
        </w:rPr>
        <w:t>···············17</w:t>
      </w:r>
    </w:p>
    <w:p w14:paraId="21F1EBCD">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w:t>
      </w:r>
      <w:r>
        <w:rPr>
          <w:rFonts w:hint="eastAsia" w:ascii="Times New Roman" w:hAnsi="Times New Roman" w:eastAsia="仿宋_GB2312" w:cs="仿宋_GB2312"/>
          <w:color w:val="auto"/>
          <w:sz w:val="32"/>
          <w:szCs w:val="32"/>
          <w:highlight w:val="none"/>
          <w:lang w:val="en-US" w:eastAsia="zh-CN"/>
        </w:rPr>
        <w:t>四</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非财政拨款支出决算明细表</w:t>
      </w:r>
      <w:r>
        <w:rPr>
          <w:rFonts w:hint="eastAsia" w:ascii="Times New Roman" w:hAnsi="Times New Roman" w:eastAsia="仿宋_GB2312" w:cs="仿宋_GB2312"/>
          <w:color w:val="auto"/>
          <w:sz w:val="32"/>
          <w:szCs w:val="32"/>
          <w:highlight w:val="none"/>
          <w:lang w:val="en-US" w:eastAsia="zh-CN"/>
        </w:rPr>
        <w:t>···············17</w:t>
      </w:r>
    </w:p>
    <w:p w14:paraId="6AD6261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7" w:type="default"/>
          <w:pgSz w:w="11906" w:h="16838"/>
          <w:pgMar w:top="1440" w:right="1800" w:bottom="1440" w:left="1800" w:header="851" w:footer="992" w:gutter="0"/>
          <w:pgNumType w:fmt="numberInDash" w:start="1"/>
          <w:cols w:space="425" w:num="1"/>
          <w:docGrid w:type="lines" w:linePitch="312" w:charSpace="0"/>
        </w:sectPr>
      </w:pPr>
    </w:p>
    <w:p w14:paraId="25DC9D3F">
      <w:pPr>
        <w:pStyle w:val="2"/>
        <w:jc w:val="center"/>
        <w:rPr>
          <w:rStyle w:val="28"/>
          <w:rFonts w:hint="eastAsia" w:ascii="Times New Roman" w:hAnsi="Times New Roman" w:eastAsia="方正小标宋简体" w:cs="方正小标宋简体"/>
          <w:b/>
          <w:bCs w:val="0"/>
          <w:color w:val="auto"/>
          <w:highlight w:val="none"/>
        </w:rPr>
      </w:pPr>
      <w:bookmarkStart w:id="12" w:name="_Toc15377196"/>
      <w:bookmarkStart w:id="13" w:name="_Toc15396599"/>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2"/>
      <w:bookmarkEnd w:id="13"/>
    </w:p>
    <w:p w14:paraId="0B5D9599">
      <w:pPr>
        <w:widowControl/>
        <w:jc w:val="left"/>
        <w:rPr>
          <w:rFonts w:ascii="Times New Roman" w:hAnsi="Times New Roman" w:eastAsia="黑体"/>
          <w:color w:val="auto"/>
          <w:sz w:val="32"/>
          <w:szCs w:val="32"/>
          <w:highlight w:val="none"/>
        </w:rPr>
      </w:pPr>
    </w:p>
    <w:p w14:paraId="7401DD01">
      <w:pPr>
        <w:pStyle w:val="3"/>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42EEAD57">
      <w:pPr>
        <w:ind w:firstLine="640" w:firstLineChars="200"/>
        <w:rPr>
          <w:rFonts w:hint="eastAsia"/>
          <w:lang w:eastAsia="zh-CN"/>
        </w:rPr>
      </w:pPr>
      <w:bookmarkStart w:id="14" w:name="_Toc31989"/>
      <w:r>
        <w:rPr>
          <w:rFonts w:hint="eastAsia" w:ascii="仿宋" w:hAnsi="仿宋" w:eastAsia="仿宋"/>
          <w:sz w:val="32"/>
          <w:szCs w:val="32"/>
        </w:rPr>
        <w:t>做好场馆的维护、管理和养护，保证安全使用；为市民提供免费低收费健身场地服务及应急避难场所；为全市文化、体育等大型活动提供场所，开展社会热点体育项目的辅导、培训；拓宽体育产业渠道，引进高水平体育竞赛活动；为全市业余训练项目提供训练、比赛场地，承担游泳、赛艇、皮划艇、羽毛球、乒乓球、网球、少儿棒球、跆拳道8个项目的业余训练工作及省级以上重大赛事的参赛任务，向省级各类专业运动队输送优秀运动员，并为社会培训体育骨干；免费为全市体育场馆建设提供咨询服务和相关技术指导。</w:t>
      </w:r>
      <w:r>
        <w:rPr>
          <w:rFonts w:hint="eastAsia" w:ascii="仿宋" w:hAnsi="仿宋" w:eastAsia="仿宋"/>
          <w:kern w:val="0"/>
          <w:sz w:val="32"/>
          <w:szCs w:val="32"/>
        </w:rPr>
        <w:t>承办市教育和体育局交办的其他事项。</w:t>
      </w:r>
      <w:bookmarkEnd w:id="14"/>
    </w:p>
    <w:p w14:paraId="2DDBF8A8">
      <w:pPr>
        <w:pStyle w:val="3"/>
        <w:rPr>
          <w:rStyle w:val="29"/>
          <w:rFonts w:ascii="Times New Roman" w:hAnsi="Times New Roman"/>
          <w:b w:val="0"/>
          <w:bCs w:val="0"/>
          <w:color w:val="auto"/>
          <w:highlight w:val="none"/>
        </w:rPr>
      </w:pPr>
      <w:bookmarkStart w:id="15" w:name="_Toc15396601"/>
      <w:bookmarkStart w:id="16"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5"/>
      <w:bookmarkEnd w:id="16"/>
    </w:p>
    <w:p w14:paraId="02080572">
      <w:pPr>
        <w:ind w:firstLine="640" w:firstLineChars="200"/>
        <w:rPr>
          <w:rFonts w:ascii="仿宋" w:hAnsi="仿宋" w:eastAsia="仿宋"/>
          <w:sz w:val="32"/>
          <w:szCs w:val="32"/>
        </w:rPr>
      </w:pPr>
      <w:bookmarkStart w:id="17" w:name="_Toc15377201"/>
      <w:bookmarkStart w:id="18" w:name="_Toc15378448"/>
      <w:bookmarkStart w:id="19" w:name="_Toc15306275"/>
      <w:bookmarkStart w:id="20" w:name="_Toc15377432"/>
      <w:r>
        <w:rPr>
          <w:rFonts w:hint="eastAsia" w:ascii="仿宋" w:hAnsi="仿宋" w:eastAsia="仿宋"/>
          <w:sz w:val="32"/>
          <w:szCs w:val="32"/>
        </w:rPr>
        <w:t>攀枝花市体育场馆中心是市教育和体育局下属独立核算差额拨款事业单位，单位事业编制31人，内设机构4个。</w:t>
      </w:r>
    </w:p>
    <w:bookmarkEnd w:id="17"/>
    <w:bookmarkEnd w:id="18"/>
    <w:bookmarkEnd w:id="19"/>
    <w:bookmarkEnd w:id="20"/>
    <w:p w14:paraId="0A6F01E5">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05D0CFD8">
      <w:pPr>
        <w:pStyle w:val="2"/>
        <w:jc w:val="center"/>
        <w:rPr>
          <w:rFonts w:hint="eastAsia" w:ascii="Times New Roman" w:hAnsi="Times New Roman" w:eastAsia="方正小标宋简体" w:cs="方正小标宋简体"/>
          <w:b w:val="0"/>
          <w:color w:val="auto"/>
          <w:highlight w:val="none"/>
        </w:rPr>
      </w:pPr>
      <w:bookmarkStart w:id="21" w:name="_Toc15377204"/>
      <w:bookmarkStart w:id="22"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21"/>
      <w:bookmarkEnd w:id="22"/>
    </w:p>
    <w:p w14:paraId="58E8457D">
      <w:pPr>
        <w:rPr>
          <w:rFonts w:ascii="Times New Roman" w:hAnsi="Times New Roman"/>
          <w:color w:val="auto"/>
          <w:highlight w:val="none"/>
        </w:rPr>
      </w:pPr>
    </w:p>
    <w:p w14:paraId="158A375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3" w:name="_Toc15396603"/>
      <w:bookmarkStart w:id="24"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3"/>
      <w:bookmarkEnd w:id="24"/>
    </w:p>
    <w:p w14:paraId="767922F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1367.79</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107.52</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8.53</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体育馆升级改造项目支付235.34万元。</w:t>
      </w:r>
    </w:p>
    <w:p w14:paraId="63A35AB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eastAsia="仿宋_GB2312" w:cs="仿宋_GB2312"/>
          <w:color w:val="auto"/>
          <w:sz w:val="32"/>
          <w:szCs w:val="32"/>
          <w:highlight w:val="none"/>
          <w:lang w:val="en-US" w:eastAsia="zh-CN"/>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233045</wp:posOffset>
            </wp:positionV>
            <wp:extent cx="4826000" cy="2743200"/>
            <wp:effectExtent l="4445" t="4445" r="825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7143CD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47A141B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1BDD1B2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4804EB4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173FBA9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4E0326A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1D90338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14:paraId="66FAA2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297C39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14:paraId="11EAD18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5" w:name="_Toc15396604"/>
      <w:bookmarkStart w:id="26" w:name="_Toc15377206"/>
      <w:r>
        <w:rPr>
          <w:rFonts w:hint="eastAsia" w:ascii="Times New Roman" w:hAnsi="Times New Roman" w:eastAsia="黑体"/>
          <w:color w:val="auto"/>
          <w:sz w:val="32"/>
          <w:szCs w:val="32"/>
          <w:highlight w:val="none"/>
          <w:lang w:eastAsia="zh-CN"/>
        </w:rPr>
        <w:t>二、收入决算情况说明</w:t>
      </w:r>
      <w:bookmarkEnd w:id="25"/>
      <w:bookmarkEnd w:id="26"/>
    </w:p>
    <w:p w14:paraId="45904DC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1367.79万元，其中：一般公共预算财政拨款收入929.76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67.97</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438.03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32.02%</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453DAED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0568B9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1DABCE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E216A4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1D04FB9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5C0EE98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B4CEA1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C15B3D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仿宋_GB2312" w:hAnsi="仿宋_GB2312"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-2453005</wp:posOffset>
            </wp:positionV>
            <wp:extent cx="4826000" cy="2743200"/>
            <wp:effectExtent l="4445" t="4445" r="8255"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91586CC">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48F4275D">
      <w:pPr>
        <w:ind w:firstLine="800" w:firstLineChars="250"/>
        <w:rPr>
          <w:rFonts w:hint="eastAsia" w:ascii="Times New Roman" w:hAnsi="Times New Roman" w:eastAsia="仿宋_GB2312" w:cs="仿宋_GB2312"/>
          <w:color w:val="auto"/>
          <w:sz w:val="32"/>
          <w:szCs w:val="32"/>
          <w:highlight w:val="none"/>
          <w:lang w:eastAsia="zh-CN"/>
        </w:rPr>
      </w:pPr>
    </w:p>
    <w:p w14:paraId="148DB37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7" w:name="_Toc15377207"/>
      <w:bookmarkStart w:id="28"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7"/>
      <w:bookmarkEnd w:id="28"/>
    </w:p>
    <w:p w14:paraId="2267EF2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1367.79</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592.5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43.31</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775.29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56.68</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14:paraId="5B91617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48E7E9A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4A03861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08CF0E0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1E9BE94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3188ACC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2FD39AA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drawing>
          <wp:anchor distT="0" distB="0" distL="114300" distR="114300" simplePos="0" relativeHeight="251661312" behindDoc="0" locked="0" layoutInCell="1" allowOverlap="1">
            <wp:simplePos x="0" y="0"/>
            <wp:positionH relativeFrom="column">
              <wp:posOffset>274955</wp:posOffset>
            </wp:positionH>
            <wp:positionV relativeFrom="paragraph">
              <wp:posOffset>44450</wp:posOffset>
            </wp:positionV>
            <wp:extent cx="4826000" cy="2647950"/>
            <wp:effectExtent l="4445" t="4445" r="825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3B0C7B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601C77A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5A924E3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31C326F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0F81858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400CCA2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Times New Roman" w:hAnsi="Times New Roman" w:eastAsia="仿宋_GB2312" w:cs="仿宋_GB2312"/>
          <w:b/>
          <w:bCs/>
          <w:color w:val="auto"/>
          <w:sz w:val="32"/>
          <w:szCs w:val="32"/>
          <w:highlight w:val="none"/>
          <w:lang w:eastAsia="zh-CN"/>
        </w:rPr>
      </w:pPr>
    </w:p>
    <w:p w14:paraId="4ABAA673">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22EF77A7">
      <w:pPr>
        <w:ind w:firstLine="800" w:firstLineChars="250"/>
        <w:rPr>
          <w:rFonts w:hint="eastAsia" w:ascii="Times New Roman" w:hAnsi="Times New Roman" w:eastAsia="仿宋_GB2312" w:cs="仿宋_GB2312"/>
          <w:color w:val="auto"/>
          <w:sz w:val="32"/>
          <w:szCs w:val="32"/>
          <w:highlight w:val="none"/>
          <w:lang w:eastAsia="zh-CN"/>
        </w:rPr>
      </w:pPr>
    </w:p>
    <w:p w14:paraId="64D574ED">
      <w:pPr>
        <w:spacing w:line="600" w:lineRule="exact"/>
        <w:ind w:firstLine="640" w:firstLineChars="200"/>
        <w:outlineLvl w:val="1"/>
        <w:rPr>
          <w:rStyle w:val="29"/>
          <w:rFonts w:ascii="Times New Roman" w:hAnsi="Times New Roman" w:eastAsia="黑体"/>
          <w:b w:val="0"/>
          <w:color w:val="auto"/>
          <w:highlight w:val="none"/>
        </w:rPr>
      </w:pPr>
      <w:bookmarkStart w:id="29" w:name="_Toc15396606"/>
      <w:bookmarkStart w:id="30"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9"/>
      <w:bookmarkEnd w:id="30"/>
    </w:p>
    <w:p w14:paraId="230D554F">
      <w:pPr>
        <w:spacing w:line="600" w:lineRule="exact"/>
        <w:ind w:firstLine="640"/>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1367.79</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sz w:val="32"/>
          <w:szCs w:val="32"/>
          <w:highlight w:val="none"/>
          <w:lang w:val="en-US" w:eastAsia="zh-CN"/>
        </w:rPr>
        <w:t>107.52</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sz w:val="32"/>
          <w:szCs w:val="32"/>
          <w:highlight w:val="none"/>
        </w:rPr>
        <w:t>增长</w:t>
      </w:r>
      <w:r>
        <w:rPr>
          <w:rFonts w:hint="eastAsia" w:eastAsia="仿宋_GB2312" w:cs="仿宋_GB2312"/>
          <w:color w:val="auto"/>
          <w:sz w:val="32"/>
          <w:szCs w:val="32"/>
          <w:highlight w:val="none"/>
          <w:lang w:val="en-US" w:eastAsia="zh-CN"/>
        </w:rPr>
        <w:t>8.53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体育馆升级改造项目支付235.34万元。</w:t>
      </w:r>
    </w:p>
    <w:p w14:paraId="4ACFE87E">
      <w:pPr>
        <w:spacing w:line="600" w:lineRule="exact"/>
        <w:ind w:firstLine="640"/>
        <w:rPr>
          <w:rFonts w:hint="eastAsia" w:eastAsia="仿宋_GB2312" w:cs="仿宋_GB2312"/>
          <w:color w:val="auto"/>
          <w:sz w:val="32"/>
          <w:szCs w:val="32"/>
          <w:highlight w:val="none"/>
          <w:lang w:val="en-US" w:eastAsia="zh-CN"/>
        </w:rPr>
      </w:pPr>
    </w:p>
    <w:p w14:paraId="1C6AD36C">
      <w:pPr>
        <w:spacing w:line="600" w:lineRule="exact"/>
        <w:ind w:firstLine="640"/>
        <w:rPr>
          <w:rFonts w:hint="eastAsia" w:eastAsia="仿宋_GB2312" w:cs="仿宋_GB2312"/>
          <w:color w:val="auto"/>
          <w:sz w:val="32"/>
          <w:szCs w:val="32"/>
          <w:highlight w:val="none"/>
          <w:lang w:val="en-US" w:eastAsia="zh-CN"/>
        </w:rPr>
      </w:pPr>
    </w:p>
    <w:p w14:paraId="735431A0">
      <w:pPr>
        <w:spacing w:line="600" w:lineRule="exact"/>
        <w:ind w:firstLine="640"/>
        <w:rPr>
          <w:rFonts w:hint="eastAsia" w:eastAsia="仿宋_GB2312" w:cs="仿宋_GB2312"/>
          <w:color w:val="auto"/>
          <w:sz w:val="32"/>
          <w:szCs w:val="32"/>
          <w:highlight w:val="none"/>
          <w:lang w:val="en-US" w:eastAsia="zh-CN"/>
        </w:rPr>
      </w:pPr>
    </w:p>
    <w:p w14:paraId="00CE8706">
      <w:pPr>
        <w:spacing w:line="600" w:lineRule="exact"/>
        <w:ind w:firstLine="640"/>
        <w:rPr>
          <w:rFonts w:hint="eastAsia" w:eastAsia="仿宋_GB2312" w:cs="仿宋_GB2312"/>
          <w:color w:val="auto"/>
          <w:sz w:val="32"/>
          <w:szCs w:val="32"/>
          <w:highlight w:val="none"/>
          <w:lang w:val="en-US" w:eastAsia="zh-CN"/>
        </w:rPr>
      </w:pPr>
    </w:p>
    <w:p w14:paraId="4060D575">
      <w:pPr>
        <w:spacing w:line="600" w:lineRule="exact"/>
        <w:ind w:firstLine="640"/>
        <w:rPr>
          <w:rFonts w:hint="eastAsia" w:eastAsia="仿宋_GB2312" w:cs="仿宋_GB2312"/>
          <w:color w:val="auto"/>
          <w:sz w:val="32"/>
          <w:szCs w:val="32"/>
          <w:highlight w:val="none"/>
          <w:lang w:val="en-US" w:eastAsia="zh-CN"/>
        </w:rPr>
      </w:pPr>
    </w:p>
    <w:p w14:paraId="5BC895B0">
      <w:pPr>
        <w:spacing w:line="600" w:lineRule="exact"/>
        <w:ind w:firstLine="640"/>
        <w:rPr>
          <w:rFonts w:hint="eastAsia" w:eastAsia="仿宋_GB2312" w:cs="仿宋_GB2312"/>
          <w:color w:val="auto"/>
          <w:sz w:val="32"/>
          <w:szCs w:val="32"/>
          <w:highlight w:val="none"/>
          <w:lang w:val="en-US" w:eastAsia="zh-CN"/>
        </w:rPr>
      </w:pPr>
    </w:p>
    <w:p w14:paraId="37137016">
      <w:pPr>
        <w:spacing w:line="600" w:lineRule="exact"/>
        <w:ind w:firstLine="640"/>
        <w:rPr>
          <w:rFonts w:hint="eastAsia" w:eastAsia="仿宋_GB2312" w:cs="仿宋_GB2312"/>
          <w:color w:val="auto"/>
          <w:sz w:val="32"/>
          <w:szCs w:val="32"/>
          <w:highlight w:val="none"/>
          <w:lang w:val="en-US" w:eastAsia="zh-CN"/>
        </w:rPr>
      </w:pPr>
    </w:p>
    <w:p w14:paraId="4E5B5651">
      <w:pPr>
        <w:spacing w:line="600" w:lineRule="exact"/>
        <w:ind w:firstLine="640"/>
        <w:rPr>
          <w:rFonts w:hint="eastAsia" w:eastAsia="仿宋_GB2312" w:cs="仿宋_GB2312"/>
          <w:color w:val="auto"/>
          <w:sz w:val="32"/>
          <w:szCs w:val="32"/>
          <w:highlight w:val="none"/>
          <w:lang w:val="en-US" w:eastAsia="zh-CN"/>
        </w:rPr>
      </w:pPr>
      <w:r>
        <w:drawing>
          <wp:anchor distT="0" distB="0" distL="114300" distR="114300" simplePos="0" relativeHeight="251662336" behindDoc="0"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AC3EC54">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7466512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362F840">
      <w:pPr>
        <w:spacing w:line="600" w:lineRule="exact"/>
        <w:ind w:firstLine="640" w:firstLineChars="200"/>
        <w:outlineLvl w:val="1"/>
        <w:rPr>
          <w:rStyle w:val="29"/>
          <w:rFonts w:ascii="Times New Roman" w:hAnsi="Times New Roman" w:eastAsia="黑体"/>
          <w:b w:val="0"/>
          <w:color w:val="auto"/>
          <w:highlight w:val="none"/>
        </w:rPr>
      </w:pPr>
      <w:bookmarkStart w:id="31" w:name="_Toc15396607"/>
      <w:bookmarkStart w:id="32"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1"/>
      <w:bookmarkEnd w:id="32"/>
    </w:p>
    <w:p w14:paraId="157D787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3"/>
    </w:p>
    <w:p w14:paraId="0057B366">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929.76</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67.97</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%。与2023年度相比，一般公共预算财政拨款支出减少50.57万元，下降5.16%。主要变动原因是退休1名职工，导致工资、保险、公用经费项目金额减少。</w:t>
      </w:r>
    </w:p>
    <w:p w14:paraId="330F5196">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45B2D276">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B299A61">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18668B6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7BE810E">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70C332C1">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p>
    <w:p w14:paraId="34378797">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p>
    <w:p w14:paraId="763C72C1">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79D254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47DB4C7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15AF72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4"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4"/>
    </w:p>
    <w:p w14:paraId="33D1DE6F">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929.76</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782.34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84.14</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68.81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7.4</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35.3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3.8</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43.31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4.66</w:t>
      </w:r>
      <w:r>
        <w:rPr>
          <w:rFonts w:hint="eastAsia" w:ascii="Times New Roman" w:hAnsi="Times New Roman" w:eastAsia="仿宋_GB2312" w:cs="仿宋_GB2312"/>
          <w:color w:val="auto"/>
          <w:kern w:val="2"/>
          <w:sz w:val="32"/>
          <w:szCs w:val="32"/>
          <w:highlight w:val="none"/>
          <w:lang w:val="en-US" w:eastAsia="zh-CN" w:bidi="ar-SA"/>
        </w:rPr>
        <w:t>%；</w:t>
      </w:r>
    </w:p>
    <w:p w14:paraId="751DD29D">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5C058B2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38CAC1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3553D4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E60AD1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300A8B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66C6FA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77FB7B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4384" behindDoc="0"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CCE694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2163CB8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9CB931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5"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5"/>
    </w:p>
    <w:p w14:paraId="1AB5E3D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6" w:name="_Toc15378460"/>
      <w:bookmarkStart w:id="37" w:name="_Toc15377213"/>
      <w:bookmarkStart w:id="38"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929.76</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6"/>
      <w:bookmarkEnd w:id="37"/>
      <w:bookmarkEnd w:id="38"/>
    </w:p>
    <w:p w14:paraId="76BB796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1.207文化旅游体育与传媒（类）20703体育（款）2070307体育场馆（项）: 支出决算为249.15万元，完成预算100%。</w:t>
      </w:r>
    </w:p>
    <w:p w14:paraId="6F07C8D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2.207文化旅游体育与传媒（类）20703体育（款）2070399其他体育支出（项）: 支出决算为</w:t>
      </w:r>
      <w:r>
        <w:rPr>
          <w:rFonts w:hint="eastAsia" w:eastAsia="仿宋_GB2312" w:cs="仿宋_GB2312"/>
          <w:color w:val="auto"/>
          <w:kern w:val="2"/>
          <w:sz w:val="32"/>
          <w:szCs w:val="32"/>
          <w:highlight w:val="none"/>
          <w:lang w:val="en-US" w:eastAsia="zh-CN" w:bidi="ar-SA"/>
        </w:rPr>
        <w:t>533.19</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1A8C0CF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3.208社会保障和就业（类）20805行政事业单位养老支出（款）2080502事业单位离退休（项）: 支出决算为</w:t>
      </w:r>
      <w:r>
        <w:rPr>
          <w:rFonts w:hint="eastAsia" w:eastAsia="仿宋_GB2312" w:cs="仿宋_GB2312"/>
          <w:color w:val="auto"/>
          <w:kern w:val="2"/>
          <w:sz w:val="32"/>
          <w:szCs w:val="32"/>
          <w:highlight w:val="none"/>
          <w:lang w:val="en-US" w:eastAsia="zh-CN" w:bidi="ar-SA"/>
        </w:rPr>
        <w:t>3.91</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36D78AD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4.208社会保障和就业（类）20805行政事业单位养老支出（款）2080505机关事业单位基本养老保险缴费支出（项）: 支出决算为</w:t>
      </w:r>
      <w:r>
        <w:rPr>
          <w:rFonts w:hint="eastAsia" w:eastAsia="仿宋_GB2312" w:cs="仿宋_GB2312"/>
          <w:color w:val="auto"/>
          <w:kern w:val="2"/>
          <w:sz w:val="32"/>
          <w:szCs w:val="32"/>
          <w:highlight w:val="none"/>
          <w:lang w:val="en-US" w:eastAsia="zh-CN" w:bidi="ar-SA"/>
        </w:rPr>
        <w:t>52.05</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51193AA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5.208社会保障和就业（类）20808抚恤（款）2080801死亡抚恤（项）: 支出决算为</w:t>
      </w:r>
      <w:r>
        <w:rPr>
          <w:rFonts w:hint="eastAsia" w:eastAsia="仿宋_GB2312" w:cs="仿宋_GB2312"/>
          <w:color w:val="auto"/>
          <w:kern w:val="2"/>
          <w:sz w:val="32"/>
          <w:szCs w:val="32"/>
          <w:highlight w:val="none"/>
          <w:lang w:val="en-US" w:eastAsia="zh-CN" w:bidi="ar-SA"/>
        </w:rPr>
        <w:t>12.86</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7D8C1F1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6.210卫生健康支出（类）21011行政事业单位医疗（款）2101102事业单位医疗（项）: 支出决算为</w:t>
      </w:r>
      <w:r>
        <w:rPr>
          <w:rFonts w:hint="eastAsia" w:eastAsia="仿宋_GB2312" w:cs="仿宋_GB2312"/>
          <w:color w:val="auto"/>
          <w:kern w:val="2"/>
          <w:sz w:val="32"/>
          <w:szCs w:val="32"/>
          <w:highlight w:val="none"/>
          <w:lang w:val="en-US" w:eastAsia="zh-CN" w:bidi="ar-SA"/>
        </w:rPr>
        <w:t>27.93</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06E14F6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.210卫生健康支出（类）21011行政事业单位医疗（款）210110</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公务员医疗补助（项）: 支出决算为</w:t>
      </w:r>
      <w:r>
        <w:rPr>
          <w:rFonts w:hint="eastAsia" w:eastAsia="仿宋_GB2312" w:cs="仿宋_GB2312"/>
          <w:color w:val="auto"/>
          <w:kern w:val="2"/>
          <w:sz w:val="32"/>
          <w:szCs w:val="32"/>
          <w:highlight w:val="none"/>
          <w:lang w:val="en-US" w:eastAsia="zh-CN" w:bidi="ar-SA"/>
        </w:rPr>
        <w:t>3.55</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5CBC224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.210卫生健康支出（类）21011行政事业单位医疗（款）2101199其他行政事业单位医疗支出（项）: 支出决算为</w:t>
      </w:r>
      <w:r>
        <w:rPr>
          <w:rFonts w:hint="eastAsia" w:eastAsia="仿宋_GB2312" w:cs="仿宋_GB2312"/>
          <w:color w:val="auto"/>
          <w:kern w:val="2"/>
          <w:sz w:val="32"/>
          <w:szCs w:val="32"/>
          <w:highlight w:val="none"/>
          <w:lang w:val="en-US" w:eastAsia="zh-CN" w:bidi="ar-SA"/>
        </w:rPr>
        <w:t>3.82</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70A4763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.221住房保障支出（类）22102住房改革支出（款）2210201住房公积金（项）:支出决算为</w:t>
      </w:r>
      <w:r>
        <w:rPr>
          <w:rFonts w:hint="eastAsia" w:eastAsia="仿宋_GB2312" w:cs="仿宋_GB2312"/>
          <w:color w:val="auto"/>
          <w:kern w:val="2"/>
          <w:sz w:val="32"/>
          <w:szCs w:val="32"/>
          <w:highlight w:val="none"/>
          <w:lang w:val="en-US" w:eastAsia="zh-CN" w:bidi="ar-SA"/>
        </w:rPr>
        <w:t>43.31</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4A560CE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95A78BA">
      <w:pPr>
        <w:tabs>
          <w:tab w:val="right" w:pos="8306"/>
        </w:tabs>
        <w:spacing w:line="600" w:lineRule="exact"/>
        <w:ind w:firstLine="640"/>
        <w:outlineLvl w:val="1"/>
        <w:rPr>
          <w:rStyle w:val="29"/>
          <w:rFonts w:ascii="Times New Roman" w:hAnsi="Times New Roman"/>
          <w:color w:val="auto"/>
          <w:highlight w:val="none"/>
        </w:rPr>
      </w:pPr>
      <w:bookmarkStart w:id="39" w:name="_Toc15377214"/>
      <w:bookmarkStart w:id="40"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9"/>
      <w:bookmarkEnd w:id="40"/>
      <w:r>
        <w:rPr>
          <w:rStyle w:val="29"/>
          <w:rFonts w:ascii="Times New Roman" w:hAnsi="Times New Roman" w:eastAsia="黑体"/>
          <w:b w:val="0"/>
          <w:color w:val="auto"/>
          <w:highlight w:val="none"/>
        </w:rPr>
        <w:tab/>
      </w:r>
    </w:p>
    <w:p w14:paraId="50755D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592.5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138333F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550.99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41.51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D3E1AA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DB2559C">
      <w:pPr>
        <w:spacing w:line="600" w:lineRule="exact"/>
        <w:ind w:firstLine="640"/>
        <w:outlineLvl w:val="1"/>
        <w:rPr>
          <w:rStyle w:val="29"/>
          <w:rFonts w:ascii="Times New Roman" w:hAnsi="Times New Roman" w:eastAsia="黑体"/>
          <w:b w:val="0"/>
          <w:color w:val="auto"/>
          <w:highlight w:val="none"/>
        </w:rPr>
      </w:pPr>
      <w:bookmarkStart w:id="41" w:name="_Toc15377215"/>
      <w:bookmarkStart w:id="42" w:name="_Toc15396609"/>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41"/>
      <w:bookmarkEnd w:id="42"/>
    </w:p>
    <w:p w14:paraId="0891902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3"/>
    </w:p>
    <w:p w14:paraId="66C2B06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1.44</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0.12</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9.1</w:t>
      </w:r>
      <w:r>
        <w:rPr>
          <w:rFonts w:hint="eastAsia" w:ascii="Times New Roman" w:hAnsi="Times New Roman" w:eastAsia="仿宋_GB2312" w:cs="仿宋_GB2312"/>
          <w:color w:val="auto"/>
          <w:kern w:val="2"/>
          <w:sz w:val="32"/>
          <w:szCs w:val="32"/>
          <w:highlight w:val="none"/>
          <w:lang w:val="en-US" w:eastAsia="zh-CN" w:bidi="ar-SA"/>
        </w:rPr>
        <w:t>%。决算数小于预算数（或与预算数持平）的主要原因是</w:t>
      </w:r>
      <w:r>
        <w:rPr>
          <w:rFonts w:hint="eastAsia" w:ascii="仿宋_GB2312" w:eastAsia="仿宋_GB2312"/>
          <w:sz w:val="32"/>
          <w:szCs w:val="32"/>
        </w:rPr>
        <w:t>执行政府过苦日子，紧日子的要求，厉行节约，提倡减少“三公”经费的使用</w:t>
      </w:r>
      <w:r>
        <w:rPr>
          <w:rFonts w:hint="eastAsia" w:ascii="仿宋" w:hAnsi="仿宋" w:eastAsia="仿宋"/>
          <w:color w:val="auto"/>
          <w:sz w:val="32"/>
          <w:szCs w:val="32"/>
          <w:highlight w:val="none"/>
        </w:rPr>
        <w:t>。</w:t>
      </w:r>
    </w:p>
    <w:p w14:paraId="1EBD2EA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4"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4"/>
    </w:p>
    <w:p w14:paraId="3B10E780">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1.13</w:t>
      </w:r>
      <w:r>
        <w:rPr>
          <w:rFonts w:hint="eastAsia" w:ascii="仿宋_GB2312" w:hAnsi="仿宋_GB2312" w:eastAsia="仿宋_GB2312" w:cs="仿宋_GB2312"/>
          <w:color w:val="auto"/>
          <w:kern w:val="2"/>
          <w:sz w:val="32"/>
          <w:szCs w:val="32"/>
          <w:highlight w:val="none"/>
          <w:lang w:val="en-US" w:eastAsia="zh-CN" w:bidi="ar-SA"/>
        </w:rPr>
        <w:t>万元，占79.02%；公务接待费支出决算</w:t>
      </w:r>
      <w:r>
        <w:rPr>
          <w:rFonts w:hint="eastAsia" w:ascii="仿宋_GB2312" w:hAnsi="仿宋_GB2312" w:eastAsia="仿宋_GB2312" w:cs="仿宋_GB2312"/>
          <w:sz w:val="32"/>
          <w:szCs w:val="32"/>
        </w:rPr>
        <w:t>0.3</w:t>
      </w:r>
      <w:r>
        <w:rPr>
          <w:rFonts w:hint="eastAsia" w:ascii="仿宋_GB2312" w:hAnsi="仿宋_GB2312" w:eastAsia="仿宋_GB2312" w:cs="仿宋_GB2312"/>
          <w:color w:val="auto"/>
          <w:kern w:val="2"/>
          <w:sz w:val="32"/>
          <w:szCs w:val="32"/>
          <w:highlight w:val="none"/>
          <w:lang w:val="en-US" w:eastAsia="zh-CN" w:bidi="ar-SA"/>
        </w:rPr>
        <w:t>万元，占20.98%。具体情况如下：</w:t>
      </w:r>
    </w:p>
    <w:p w14:paraId="4EBF89D9">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5458922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C081E44">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7E834E50">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4FCABB15">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33C3381F">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8157C1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3B9E9C39">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389BB52F">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3C93FDC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drawing>
          <wp:anchor distT="0" distB="0" distL="114300" distR="114300" simplePos="0" relativeHeight="251665408" behindDoc="0"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1EBD9F4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0FA54BB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年度</w:t>
      </w:r>
      <w:r>
        <w:rPr>
          <w:rFonts w:hint="eastAsia" w:ascii="仿宋_GB2312" w:eastAsia="仿宋_GB2312"/>
          <w:color w:val="auto"/>
          <w:sz w:val="32"/>
          <w:szCs w:val="32"/>
          <w:highlight w:val="none"/>
          <w:lang w:val="en-US" w:eastAsia="zh-CN"/>
        </w:rPr>
        <w:t>持平。</w:t>
      </w:r>
    </w:p>
    <w:p w14:paraId="0EB37B22">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1.13万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w:t>
      </w:r>
      <w:r>
        <w:rPr>
          <w:rFonts w:hint="eastAsia" w:eastAsia="仿宋_GB2312" w:cs="仿宋_GB2312"/>
          <w:color w:val="auto"/>
          <w:kern w:val="2"/>
          <w:sz w:val="32"/>
          <w:szCs w:val="32"/>
          <w:highlight w:val="none"/>
          <w:lang w:val="en-US" w:eastAsia="zh-CN" w:bidi="ar-SA"/>
        </w:rPr>
        <w:t>0.1</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9.71</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备战2026年省运会，运动队伍出公差，过路费增加。</w:t>
      </w:r>
    </w:p>
    <w:p w14:paraId="0CF4717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7790128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1.13</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ascii="仿宋_GB2312" w:eastAsia="仿宋_GB2312"/>
          <w:color w:val="auto"/>
          <w:sz w:val="32"/>
          <w:szCs w:val="32"/>
          <w:highlight w:val="none"/>
        </w:rPr>
        <w:t>主要用于</w:t>
      </w:r>
      <w:r>
        <w:rPr>
          <w:rFonts w:hint="eastAsia" w:ascii="仿宋_GB2312" w:eastAsia="仿宋_GB2312"/>
          <w:sz w:val="32"/>
          <w:szCs w:val="32"/>
        </w:rPr>
        <w:t>日常出差、备战省运会</w:t>
      </w:r>
      <w:r>
        <w:rPr>
          <w:rFonts w:hint="eastAsia" w:ascii="仿宋_GB2312" w:eastAsia="仿宋_GB2312"/>
          <w:color w:val="auto"/>
          <w:sz w:val="32"/>
          <w:szCs w:val="32"/>
          <w:highlight w:val="none"/>
        </w:rPr>
        <w:t>所需的公务用车燃料费、维修费、过路过桥费、保险费等支出。</w:t>
      </w:r>
    </w:p>
    <w:p w14:paraId="43C8610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0.3万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40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0.02</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7.14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接待人数较2023年增加</w:t>
      </w:r>
      <w:r>
        <w:rPr>
          <w:rFonts w:hint="eastAsia" w:ascii="Times New Roman" w:hAnsi="Times New Roman" w:eastAsia="仿宋_GB2312" w:cs="仿宋_GB2312"/>
          <w:color w:val="auto"/>
          <w:kern w:val="2"/>
          <w:sz w:val="32"/>
          <w:szCs w:val="32"/>
          <w:highlight w:val="none"/>
          <w:lang w:val="en-US" w:eastAsia="zh-CN" w:bidi="ar-SA"/>
        </w:rPr>
        <w:t>。其中：</w:t>
      </w:r>
    </w:p>
    <w:p w14:paraId="2735105C">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元，主要用于开展业务活动开支的用餐费。国内公务接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16</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0.3</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接待省体育局检查组开展公共体育设施管理检查，接待金额0.11万元；接待成都体育学院一行开展全市体育产业规划编制调研工作；接待省体育局一行来攀开展全省体育系统今冬明春综合检查。</w:t>
      </w:r>
    </w:p>
    <w:p w14:paraId="580B232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14:paraId="6D154D3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5" w:name="_Toc15396610"/>
      <w:bookmarkStart w:id="46" w:name="_Toc15377218"/>
    </w:p>
    <w:p w14:paraId="0B17066D">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5"/>
      <w:bookmarkEnd w:id="46"/>
    </w:p>
    <w:p w14:paraId="0AF512B7">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438.03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32.02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158.09</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56.47</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体育馆升级改造项目支付235.34万元。</w:t>
      </w:r>
    </w:p>
    <w:p w14:paraId="3E70929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3117B83">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7" w:name="_Toc15396611"/>
      <w:bookmarkStart w:id="48"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7"/>
      <w:bookmarkEnd w:id="48"/>
    </w:p>
    <w:p w14:paraId="0D1B8E1B">
      <w:pPr>
        <w:spacing w:line="600" w:lineRule="exact"/>
        <w:ind w:firstLine="640"/>
        <w:rPr>
          <w:rFonts w:hint="eastAsia" w:ascii="仿宋_GB2312" w:eastAsia="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eastAsia="仿宋_GB2312"/>
          <w:color w:val="auto"/>
          <w:sz w:val="32"/>
          <w:szCs w:val="32"/>
          <w:highlight w:val="none"/>
          <w:lang w:eastAsia="zh-CN"/>
        </w:rPr>
        <w:t>年度</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于2023</w:t>
      </w:r>
      <w:r>
        <w:rPr>
          <w:rFonts w:hint="eastAsia" w:ascii="仿宋_GB2312" w:eastAsia="仿宋_GB2312"/>
          <w:sz w:val="32"/>
          <w:szCs w:val="32"/>
          <w:lang w:eastAsia="zh-CN"/>
        </w:rPr>
        <w:t>年度</w:t>
      </w:r>
      <w:r>
        <w:rPr>
          <w:rFonts w:hint="eastAsia" w:ascii="仿宋_GB2312" w:eastAsia="仿宋_GB2312"/>
          <w:sz w:val="32"/>
          <w:szCs w:val="32"/>
        </w:rPr>
        <w:t>决算数持平</w:t>
      </w:r>
      <w:r>
        <w:rPr>
          <w:rFonts w:hint="eastAsia" w:ascii="仿宋_GB2312" w:eastAsia="仿宋_GB2312"/>
          <w:color w:val="auto"/>
          <w:sz w:val="32"/>
          <w:szCs w:val="32"/>
          <w:highlight w:val="none"/>
          <w:lang w:val="en-US" w:eastAsia="zh-CN"/>
        </w:rPr>
        <w:t>。</w:t>
      </w:r>
    </w:p>
    <w:p w14:paraId="3B60610C">
      <w:pPr>
        <w:spacing w:line="600" w:lineRule="exact"/>
        <w:ind w:firstLine="640"/>
        <w:rPr>
          <w:rFonts w:hint="default" w:ascii="仿宋_GB2312" w:eastAsia="仿宋_GB2312"/>
          <w:color w:val="auto"/>
          <w:sz w:val="32"/>
          <w:szCs w:val="32"/>
          <w:highlight w:val="none"/>
          <w:lang w:val="en-US" w:eastAsia="zh-CN"/>
        </w:rPr>
      </w:pPr>
    </w:p>
    <w:p w14:paraId="04E04C67">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9" w:name="_Toc15396612"/>
      <w:bookmarkStart w:id="50"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9"/>
      <w:bookmarkEnd w:id="50"/>
    </w:p>
    <w:p w14:paraId="2D82D12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1" w:name="_Toc15377222"/>
      <w:r>
        <w:rPr>
          <w:rFonts w:hint="eastAsia" w:ascii="Times New Roman" w:hAnsi="Times New Roman" w:eastAsia="楷体_GB2312" w:cs="楷体_GB2312"/>
          <w:b/>
          <w:color w:val="auto"/>
          <w:sz w:val="32"/>
          <w:szCs w:val="32"/>
          <w:highlight w:val="none"/>
        </w:rPr>
        <w:t>（一）机关运行经费支出情况</w:t>
      </w:r>
      <w:bookmarkEnd w:id="51"/>
    </w:p>
    <w:p w14:paraId="267F855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四川省攀枝花市体育场馆中心</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eastAsia="仿宋_GB2312"/>
          <w:sz w:val="32"/>
          <w:szCs w:val="32"/>
        </w:rPr>
        <w:t>与</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年度</w:t>
      </w:r>
      <w:r>
        <w:rPr>
          <w:rFonts w:hint="eastAsia" w:ascii="仿宋_GB2312" w:eastAsia="仿宋_GB2312"/>
          <w:sz w:val="32"/>
          <w:szCs w:val="32"/>
        </w:rPr>
        <w:t>决算数持平。</w:t>
      </w:r>
    </w:p>
    <w:p w14:paraId="54D1A75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BC76E6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2" w:name="_Toc15377223"/>
      <w:r>
        <w:rPr>
          <w:rFonts w:hint="eastAsia" w:ascii="Times New Roman" w:hAnsi="Times New Roman" w:eastAsia="楷体_GB2312" w:cs="楷体_GB2312"/>
          <w:b/>
          <w:color w:val="auto"/>
          <w:sz w:val="32"/>
          <w:szCs w:val="32"/>
          <w:highlight w:val="none"/>
        </w:rPr>
        <w:t>（二）政府采购支出情况</w:t>
      </w:r>
      <w:bookmarkEnd w:id="52"/>
    </w:p>
    <w:p w14:paraId="1B1D198C">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四川省攀枝花市体育场馆中心</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lang w:val="en-US" w:eastAsia="zh-CN"/>
        </w:rPr>
        <w:t>70.01</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color w:val="auto"/>
          <w:kern w:val="2"/>
          <w:sz w:val="32"/>
          <w:szCs w:val="32"/>
          <w:highlight w:val="none"/>
          <w:lang w:val="en-US" w:eastAsia="zh-CN" w:bidi="ar-SA"/>
        </w:rPr>
        <w:t>万元、政府采购工程支出69.21万元、政府采购服务支出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万元。主要用于购买公务车保险；公务车加油；公务车保养；攀枝花市民族体育馆木地板改造工程款支付。授予中小企业合同金额</w:t>
      </w:r>
      <w:r>
        <w:rPr>
          <w:rFonts w:hint="eastAsia" w:ascii="仿宋_GB2312" w:hAnsi="仿宋_GB2312" w:eastAsia="仿宋_GB2312" w:cs="仿宋_GB2312"/>
          <w:sz w:val="32"/>
          <w:szCs w:val="32"/>
        </w:rPr>
        <w:t>0.35</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43.75</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0.35</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43.75</w:t>
      </w:r>
      <w:r>
        <w:rPr>
          <w:rFonts w:hint="eastAsia" w:ascii="仿宋_GB2312" w:hAnsi="仿宋_GB2312" w:eastAsia="仿宋_GB2312" w:cs="仿宋_GB2312"/>
          <w:color w:val="auto"/>
          <w:kern w:val="2"/>
          <w:sz w:val="32"/>
          <w:szCs w:val="32"/>
          <w:highlight w:val="none"/>
          <w:lang w:val="en-US" w:eastAsia="zh-CN" w:bidi="ar-SA"/>
        </w:rPr>
        <w:t>%。</w:t>
      </w:r>
    </w:p>
    <w:p w14:paraId="24A7BF5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31C038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3" w:name="_Toc15377224"/>
      <w:r>
        <w:rPr>
          <w:rFonts w:hint="eastAsia" w:ascii="Times New Roman" w:hAnsi="Times New Roman" w:eastAsia="楷体_GB2312" w:cs="楷体_GB2312"/>
          <w:b/>
          <w:color w:val="auto"/>
          <w:sz w:val="32"/>
          <w:szCs w:val="32"/>
          <w:highlight w:val="none"/>
        </w:rPr>
        <w:t>（三）国有资产占有使用情况</w:t>
      </w:r>
      <w:bookmarkEnd w:id="53"/>
    </w:p>
    <w:p w14:paraId="22356CF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四川省攀枝花市体育场馆中心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w:t>
      </w:r>
      <w:bookmarkStart w:id="74" w:name="_GoBack"/>
      <w:bookmarkEnd w:id="74"/>
      <w:r>
        <w:rPr>
          <w:rFonts w:hint="eastAsia" w:ascii="仿宋_GB2312" w:hAnsi="仿宋_GB2312" w:eastAsia="仿宋_GB2312" w:cs="仿宋_GB2312"/>
          <w:color w:val="auto"/>
          <w:kern w:val="2"/>
          <w:sz w:val="32"/>
          <w:szCs w:val="32"/>
          <w:highlight w:val="none"/>
          <w:lang w:val="en-US" w:eastAsia="zh-CN" w:bidi="ar-SA"/>
        </w:rPr>
        <w:t>、机要通信用车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eastAsia="仿宋_GB2312"/>
          <w:sz w:val="32"/>
          <w:szCs w:val="32"/>
        </w:rPr>
        <w:t>日常出差、备战省运会</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1AA1FA3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E7DE81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3C76429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攀枝花市体育场馆中心</w:t>
      </w:r>
      <w:r>
        <w:rPr>
          <w:rFonts w:hint="eastAsia" w:ascii="Times New Roman" w:hAnsi="Times New Roman" w:eastAsia="仿宋_GB2312" w:cs="仿宋_GB2312"/>
          <w:color w:val="auto"/>
          <w:kern w:val="2"/>
          <w:sz w:val="32"/>
          <w:szCs w:val="32"/>
          <w:highlight w:val="none"/>
          <w:lang w:val="en-US" w:eastAsia="zh-CN" w:bidi="ar-SA"/>
        </w:rPr>
        <w:t>在2024年度预算编制阶段，组织对省级体育发展专项经等</w:t>
      </w: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0C53F28C">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攀枝花市体育场馆中心单位</w:t>
      </w:r>
      <w:r>
        <w:rPr>
          <w:rFonts w:hint="eastAsia" w:ascii="Times New Roman" w:hAnsi="Times New Roman" w:eastAsia="仿宋_GB2312" w:cs="仿宋_GB2312"/>
          <w:color w:val="auto"/>
          <w:kern w:val="2"/>
          <w:sz w:val="32"/>
          <w:szCs w:val="32"/>
          <w:highlight w:val="none"/>
          <w:lang w:val="en-US" w:eastAsia="zh-CN" w:bidi="ar-SA"/>
        </w:rPr>
        <w:t>整体（含部门预算项目）绩效自评报告、省级体育发展专项经等专项预算项目绩效自评报告，其中，</w:t>
      </w:r>
      <w:r>
        <w:rPr>
          <w:rFonts w:hint="eastAsia" w:eastAsia="仿宋_GB2312" w:cs="仿宋_GB2312"/>
          <w:color w:val="auto"/>
          <w:kern w:val="2"/>
          <w:sz w:val="32"/>
          <w:szCs w:val="32"/>
          <w:highlight w:val="none"/>
          <w:lang w:val="en-US" w:eastAsia="zh-CN" w:bidi="ar-SA"/>
        </w:rPr>
        <w:t>攀枝花市体育场馆中心单位</w:t>
      </w:r>
      <w:r>
        <w:rPr>
          <w:rFonts w:hint="eastAsia" w:ascii="Times New Roman" w:hAnsi="Times New Roman" w:eastAsia="仿宋_GB2312" w:cs="仿宋_GB2312"/>
          <w:color w:val="auto"/>
          <w:kern w:val="2"/>
          <w:sz w:val="32"/>
          <w:szCs w:val="32"/>
          <w:highlight w:val="none"/>
          <w:lang w:val="en-US" w:eastAsia="zh-CN" w:bidi="ar-SA"/>
        </w:rPr>
        <w:t>整体（含部门预算项目）绩效自评得分为</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为良好</w:t>
      </w:r>
      <w:r>
        <w:rPr>
          <w:rFonts w:hint="eastAsia" w:ascii="Times New Roman" w:hAnsi="Times New Roman" w:eastAsia="仿宋_GB2312" w:cs="仿宋_GB2312"/>
          <w:color w:val="auto"/>
          <w:kern w:val="2"/>
          <w:sz w:val="32"/>
          <w:szCs w:val="32"/>
          <w:highlight w:val="none"/>
          <w:lang w:val="en-US" w:eastAsia="zh-CN" w:bidi="ar-SA"/>
        </w:rPr>
        <w:t>；省级体育发展专项经等专项预算项目绩效自评得分为</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为良好</w:t>
      </w:r>
      <w:r>
        <w:rPr>
          <w:rFonts w:hint="eastAsia" w:ascii="Times New Roman" w:hAnsi="Times New Roman" w:eastAsia="仿宋_GB2312" w:cs="仿宋_GB2312"/>
          <w:color w:val="auto"/>
          <w:kern w:val="2"/>
          <w:sz w:val="32"/>
          <w:szCs w:val="32"/>
          <w:highlight w:val="none"/>
          <w:lang w:val="en-US" w:eastAsia="zh-CN" w:bidi="ar-SA"/>
        </w:rPr>
        <w:t>。绩效自评报告详见附件。</w:t>
      </w:r>
    </w:p>
    <w:p w14:paraId="6C1F6F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E868BB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5B525BC">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54" w:name="_Toc15396613"/>
      <w:bookmarkStart w:id="55"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4"/>
      <w:bookmarkEnd w:id="55"/>
    </w:p>
    <w:p w14:paraId="4A8AF74C">
      <w:pPr>
        <w:spacing w:line="600" w:lineRule="exact"/>
        <w:jc w:val="left"/>
        <w:rPr>
          <w:rFonts w:ascii="Times New Roman" w:hAnsi="Times New Roman"/>
          <w:b/>
          <w:color w:val="auto"/>
          <w:sz w:val="44"/>
          <w:szCs w:val="44"/>
          <w:highlight w:val="none"/>
        </w:rPr>
      </w:pPr>
    </w:p>
    <w:p w14:paraId="71826E22">
      <w:pPr>
        <w:pStyle w:val="26"/>
        <w:spacing w:line="560" w:lineRule="exact"/>
        <w:ind w:firstLine="640" w:firstLineChars="200"/>
        <w:outlineLvl w:val="1"/>
        <w:rPr>
          <w:rFonts w:ascii="仿宋_GB2312" w:eastAsia="仿宋_GB2312"/>
          <w:color w:val="auto"/>
          <w:sz w:val="32"/>
          <w:szCs w:val="32"/>
          <w:highlight w:val="none"/>
        </w:rPr>
      </w:pPr>
      <w:bookmarkStart w:id="56" w:name="_Toc14789"/>
      <w:bookmarkStart w:id="57"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56"/>
    </w:p>
    <w:p w14:paraId="52F1D8E1">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15497E06">
      <w:pPr>
        <w:pStyle w:val="26"/>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76A30934">
      <w:pPr>
        <w:pStyle w:val="26"/>
        <w:spacing w:line="560" w:lineRule="exact"/>
        <w:ind w:firstLine="640" w:firstLineChars="200"/>
        <w:outlineLvl w:val="1"/>
        <w:rPr>
          <w:rFonts w:ascii="仿宋_GB2312" w:eastAsia="仿宋_GB2312"/>
          <w:color w:val="auto"/>
          <w:sz w:val="32"/>
          <w:szCs w:val="32"/>
          <w:highlight w:val="none"/>
        </w:rPr>
      </w:pPr>
      <w:bookmarkStart w:id="58" w:name="_Toc21809"/>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bookmarkEnd w:id="58"/>
    </w:p>
    <w:p w14:paraId="7DE1375B">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hAnsi="华文中宋" w:eastAsia="仿宋_GB2312"/>
          <w:sz w:val="32"/>
          <w:szCs w:val="32"/>
          <w:u w:val="none"/>
          <w:lang w:eastAsia="zh-CN"/>
        </w:rPr>
        <w:t>使用非财政拨款结余（含专用结余）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2E80171E">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5ED7C1D">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715EDA92">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386D0D32">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207文化体育与传媒（类）20703体育（款）2070307体育场馆（项）：指反映体育场馆建设及维护等方面的支出。</w:t>
      </w:r>
    </w:p>
    <w:p w14:paraId="54EA532F">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207文化体育与传媒（类）20703体育（款）2070399其他体育支出（项）：指用于其他体育方面的支出。</w:t>
      </w:r>
    </w:p>
    <w:p w14:paraId="40F751AE">
      <w:pPr>
        <w:pStyle w:val="5"/>
        <w:spacing w:before="93"/>
        <w:ind w:firstLine="640" w:firstLineChars="200"/>
        <w:rPr>
          <w:rStyle w:val="17"/>
          <w:rFonts w:eastAsia="仿宋"/>
          <w:b w:val="0"/>
          <w:color w:val="000000"/>
          <w:sz w:val="32"/>
          <w:szCs w:val="32"/>
        </w:rPr>
      </w:pPr>
      <w:r>
        <w:rPr>
          <w:rStyle w:val="17"/>
          <w:rFonts w:hint="eastAsia" w:eastAsia="仿宋"/>
          <w:b w:val="0"/>
          <w:color w:val="000000"/>
          <w:sz w:val="32"/>
          <w:szCs w:val="32"/>
        </w:rPr>
        <w:t>11.</w:t>
      </w:r>
      <w:r>
        <w:rPr>
          <w:rStyle w:val="17"/>
          <w:rFonts w:hint="eastAsia" w:ascii="Calibri" w:hAnsi="Calibri" w:eastAsia="仿宋" w:cs="Times New Roman"/>
          <w:b w:val="0"/>
          <w:color w:val="000000"/>
          <w:sz w:val="32"/>
          <w:szCs w:val="32"/>
        </w:rPr>
        <w:t>207文化旅游体育与传媒（类）20799其他文化旅游体育与传媒支出（款）2079999其他文化旅游体育与传媒支出（项）：</w:t>
      </w:r>
      <w:r>
        <w:rPr>
          <w:rStyle w:val="17"/>
          <w:rFonts w:eastAsia="仿宋"/>
          <w:b w:val="0"/>
          <w:color w:val="000000"/>
          <w:sz w:val="32"/>
          <w:szCs w:val="32"/>
        </w:rPr>
        <w:t>指</w:t>
      </w:r>
      <w:r>
        <w:rPr>
          <w:rStyle w:val="17"/>
          <w:rFonts w:hint="eastAsia" w:eastAsia="仿宋"/>
          <w:b w:val="0"/>
          <w:color w:val="000000"/>
          <w:sz w:val="32"/>
          <w:szCs w:val="32"/>
        </w:rPr>
        <w:t>反映</w:t>
      </w:r>
      <w:r>
        <w:rPr>
          <w:rStyle w:val="17"/>
          <w:rFonts w:eastAsia="仿宋"/>
          <w:b w:val="0"/>
          <w:color w:val="000000"/>
          <w:sz w:val="32"/>
          <w:szCs w:val="32"/>
        </w:rPr>
        <w:t>除上述项目以外其他用于文化旅游体育与传媒方面的支出。</w:t>
      </w:r>
    </w:p>
    <w:p w14:paraId="5539E6C0">
      <w:pPr>
        <w:ind w:firstLine="640" w:firstLineChars="200"/>
        <w:rPr>
          <w:rStyle w:val="17"/>
          <w:rFonts w:hint="default" w:ascii="Calibri" w:hAnsi="Calibri" w:eastAsia="仿宋" w:cs="Times New Roman"/>
          <w:b w:val="0"/>
          <w:color w:val="000000"/>
          <w:kern w:val="2"/>
          <w:sz w:val="32"/>
          <w:szCs w:val="32"/>
          <w:lang w:val="en-US" w:eastAsia="zh-CN" w:bidi="ar-SA"/>
        </w:rPr>
      </w:pPr>
      <w:r>
        <w:rPr>
          <w:rStyle w:val="17"/>
          <w:rFonts w:hint="eastAsia" w:ascii="Calibri" w:hAnsi="Calibri" w:eastAsia="仿宋" w:cs="Times New Roman"/>
          <w:b w:val="0"/>
          <w:color w:val="000000"/>
          <w:kern w:val="2"/>
          <w:sz w:val="32"/>
          <w:szCs w:val="32"/>
          <w:lang w:val="en-US" w:eastAsia="zh-CN" w:bidi="ar-SA"/>
        </w:rPr>
        <w:t>12.208社会保障和就业（类）20805行政事业单位养老支出（款）2080502事业单位离退休（项）：反映事业单位开支的离退休经费</w:t>
      </w:r>
    </w:p>
    <w:p w14:paraId="0A4D5F6E">
      <w:pPr>
        <w:ind w:firstLine="640" w:firstLineChars="200"/>
        <w:rPr>
          <w:rStyle w:val="17"/>
          <w:rFonts w:hint="eastAsia" w:ascii="Calibri" w:hAnsi="Calibri" w:eastAsia="仿宋" w:cs="Times New Roman"/>
          <w:b w:val="0"/>
          <w:color w:val="000000"/>
          <w:kern w:val="2"/>
          <w:sz w:val="32"/>
          <w:szCs w:val="32"/>
          <w:lang w:val="en-US" w:eastAsia="zh-CN" w:bidi="ar-SA"/>
        </w:rPr>
      </w:pPr>
      <w:r>
        <w:rPr>
          <w:rStyle w:val="17"/>
          <w:rFonts w:hint="eastAsia" w:ascii="Calibri" w:hAnsi="Calibri" w:eastAsia="仿宋" w:cs="Times New Roman"/>
          <w:b w:val="0"/>
          <w:color w:val="000000"/>
          <w:kern w:val="2"/>
          <w:sz w:val="32"/>
          <w:szCs w:val="32"/>
          <w:lang w:val="en-US" w:eastAsia="zh-CN" w:bidi="ar-SA"/>
        </w:rPr>
        <w:t>13.208社会保障和就业（类）20805行政事业单位养老支出（款）2080505机关事业单位基本养老保险缴费支出（项）：指反映机关事业单位实施养老保险制度由单位缴纳的基本养老保险费支出。</w:t>
      </w:r>
    </w:p>
    <w:p w14:paraId="27AB4CB5">
      <w:pPr>
        <w:ind w:firstLine="640" w:firstLineChars="200"/>
        <w:rPr>
          <w:rStyle w:val="17"/>
          <w:rFonts w:hint="default" w:ascii="Calibri" w:hAnsi="Calibri" w:eastAsia="仿宋" w:cs="Times New Roman"/>
          <w:b w:val="0"/>
          <w:color w:val="000000"/>
          <w:kern w:val="2"/>
          <w:sz w:val="32"/>
          <w:szCs w:val="32"/>
          <w:lang w:val="en-US" w:eastAsia="zh-CN" w:bidi="ar-SA"/>
        </w:rPr>
      </w:pPr>
      <w:r>
        <w:rPr>
          <w:rStyle w:val="17"/>
          <w:rFonts w:hint="eastAsia" w:ascii="Calibri" w:hAnsi="Calibri" w:eastAsia="仿宋" w:cs="Times New Roman"/>
          <w:b w:val="0"/>
          <w:color w:val="000000"/>
          <w:kern w:val="2"/>
          <w:sz w:val="32"/>
          <w:szCs w:val="32"/>
          <w:lang w:val="en-US" w:eastAsia="zh-CN" w:bidi="ar-SA"/>
        </w:rPr>
        <w:t>14.208社会保障和就业（类）20808抚恤（款）2080801死亡抚恤（项）：反映按照规定用于烈士和牺牲、病故人员家属的一次性和定期抚恤金、丧葬补助费以及烈士褒扬金。</w:t>
      </w:r>
    </w:p>
    <w:p w14:paraId="29CE831F">
      <w:pPr>
        <w:ind w:firstLine="640" w:firstLineChars="200"/>
        <w:rPr>
          <w:rStyle w:val="17"/>
          <w:rFonts w:hint="default" w:ascii="Calibri" w:hAnsi="Calibri" w:eastAsia="仿宋" w:cs="Times New Roman"/>
          <w:b w:val="0"/>
          <w:color w:val="000000"/>
          <w:kern w:val="2"/>
          <w:sz w:val="32"/>
          <w:szCs w:val="32"/>
          <w:lang w:val="en-US" w:eastAsia="zh-CN" w:bidi="ar-SA"/>
        </w:rPr>
      </w:pPr>
      <w:r>
        <w:rPr>
          <w:rStyle w:val="17"/>
          <w:rFonts w:hint="eastAsia" w:ascii="Calibri" w:hAnsi="Calibri" w:eastAsia="仿宋" w:cs="Times New Roman"/>
          <w:b w:val="0"/>
          <w:color w:val="000000"/>
          <w:kern w:val="2"/>
          <w:sz w:val="32"/>
          <w:szCs w:val="32"/>
          <w:lang w:val="en-US" w:eastAsia="zh-CN" w:bidi="ar-SA"/>
        </w:rPr>
        <w:t>15.210卫生健康支出（类）21011行政事业单位医疗（款）2101102事业单位医疗（项）: 反映财政部门安排的事业单位基本医疗保险缴费经费，未参加医疗保险的事业单位的公费医疗经费，按国家规定享受离休人员待遇的医疗经费。</w:t>
      </w:r>
    </w:p>
    <w:p w14:paraId="359D7474">
      <w:pPr>
        <w:ind w:firstLine="640" w:firstLineChars="200"/>
        <w:rPr>
          <w:rStyle w:val="17"/>
          <w:rFonts w:hint="default" w:ascii="Calibri" w:hAnsi="Calibri" w:eastAsia="仿宋" w:cs="Times New Roman"/>
          <w:b w:val="0"/>
          <w:color w:val="000000"/>
          <w:kern w:val="2"/>
          <w:sz w:val="32"/>
          <w:szCs w:val="32"/>
          <w:lang w:val="en-US" w:eastAsia="zh-CN" w:bidi="ar-SA"/>
        </w:rPr>
      </w:pPr>
      <w:r>
        <w:rPr>
          <w:rStyle w:val="17"/>
          <w:rFonts w:hint="eastAsia" w:ascii="Calibri" w:hAnsi="Calibri" w:eastAsia="仿宋" w:cs="Times New Roman"/>
          <w:b w:val="0"/>
          <w:color w:val="000000"/>
          <w:kern w:val="2"/>
          <w:sz w:val="32"/>
          <w:szCs w:val="32"/>
          <w:lang w:val="en-US" w:eastAsia="zh-CN" w:bidi="ar-SA"/>
        </w:rPr>
        <w:t>16.210卫生健康支出（类）21011行政事业单位医疗（款）2101199其他行政事业单位医疗支出（项）:反映其他用于行政事业单位医疗方面的支出。</w:t>
      </w:r>
    </w:p>
    <w:p w14:paraId="1DB4A315">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221住房保障（类）22102住房改革支出（款）2210201住房公积金（项）：指反映行政事业单位按人力资源和社会保障部、财政部规定的基本工资和津贴补贴以及规定比例为职工缴纳的住房公积金。</w:t>
      </w:r>
    </w:p>
    <w:p w14:paraId="4EADD97C">
      <w:pPr>
        <w:ind w:firstLine="640" w:firstLineChars="200"/>
        <w:rPr>
          <w:rFonts w:ascii="仿宋_GB2312" w:eastAsia="仿宋_GB2312"/>
          <w:color w:val="FF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229</w:t>
      </w:r>
      <w:r>
        <w:rPr>
          <w:rFonts w:hint="eastAsia" w:ascii="仿宋_GB2312" w:eastAsia="仿宋_GB2312"/>
          <w:color w:val="000000"/>
          <w:sz w:val="32"/>
          <w:szCs w:val="32"/>
        </w:rPr>
        <w:tab/>
      </w:r>
      <w:r>
        <w:rPr>
          <w:rFonts w:hint="eastAsia" w:ascii="仿宋_GB2312" w:eastAsia="仿宋_GB2312"/>
          <w:color w:val="000000"/>
          <w:sz w:val="32"/>
          <w:szCs w:val="32"/>
        </w:rPr>
        <w:t>其他支出（类）22960彩票公益金安排的支出（款）2296003用于体育事业的彩票公益金支出（项）：指反映用于体育事业的彩票公益金支出。</w:t>
      </w:r>
    </w:p>
    <w:p w14:paraId="202216EB">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376BC78B">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6F498B0">
      <w:pPr>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5AC14326">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488550F">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861F35">
      <w:pPr>
        <w:spacing w:line="600" w:lineRule="exact"/>
        <w:jc w:val="center"/>
        <w:rPr>
          <w:rStyle w:val="28"/>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59"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9"/>
    </w:p>
    <w:p w14:paraId="426C7D95">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172314E6">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hAnsi="Times New Roman" w:cs="Times New Roman"/>
          <w:sz w:val="32"/>
          <w:szCs w:val="32"/>
          <w:highlight w:val="none"/>
          <w:lang w:val="en-US" w:eastAsia="zh-CN"/>
        </w:rPr>
        <w:t>攀枝花市体育场馆中心_2024年度部门预算项目支出绩效自评表</w:t>
      </w:r>
    </w:p>
    <w:p w14:paraId="1282CB6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60"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71B52263">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7"/>
      <w:bookmarkEnd w:id="60"/>
      <w:bookmarkStart w:id="61" w:name="_Toc15396619"/>
    </w:p>
    <w:p w14:paraId="0062F24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349E289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61"/>
    </w:p>
    <w:p w14:paraId="201C60E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0"/>
      <w:r>
        <w:rPr>
          <w:rFonts w:hint="eastAsia" w:ascii="Times New Roman" w:hAnsi="Times New Roman" w:eastAsia="仿宋_GB2312" w:cs="仿宋_GB2312"/>
          <w:color w:val="auto"/>
          <w:sz w:val="32"/>
          <w:szCs w:val="32"/>
          <w:highlight w:val="none"/>
        </w:rPr>
        <w:t>二、收入决算表</w:t>
      </w:r>
      <w:bookmarkEnd w:id="62"/>
    </w:p>
    <w:p w14:paraId="5211CAE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1"/>
      <w:r>
        <w:rPr>
          <w:rFonts w:hint="eastAsia" w:ascii="Times New Roman" w:hAnsi="Times New Roman" w:eastAsia="仿宋_GB2312" w:cs="仿宋_GB2312"/>
          <w:color w:val="auto"/>
          <w:sz w:val="32"/>
          <w:szCs w:val="32"/>
          <w:highlight w:val="none"/>
        </w:rPr>
        <w:t>三、支出决算表</w:t>
      </w:r>
      <w:bookmarkEnd w:id="63"/>
    </w:p>
    <w:p w14:paraId="7504604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2"/>
      <w:r>
        <w:rPr>
          <w:rFonts w:hint="eastAsia" w:ascii="Times New Roman" w:hAnsi="Times New Roman" w:eastAsia="仿宋_GB2312" w:cs="仿宋_GB2312"/>
          <w:color w:val="auto"/>
          <w:sz w:val="32"/>
          <w:szCs w:val="32"/>
          <w:highlight w:val="none"/>
        </w:rPr>
        <w:t>四、财政拨款收入支出决算总表</w:t>
      </w:r>
      <w:bookmarkEnd w:id="64"/>
    </w:p>
    <w:p w14:paraId="364876E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3"/>
      <w:r>
        <w:rPr>
          <w:rFonts w:hint="eastAsia" w:ascii="Times New Roman" w:hAnsi="Times New Roman" w:eastAsia="仿宋_GB2312" w:cs="仿宋_GB2312"/>
          <w:color w:val="auto"/>
          <w:sz w:val="32"/>
          <w:szCs w:val="32"/>
          <w:highlight w:val="none"/>
        </w:rPr>
        <w:t>五、财政拨款支出决算明细表</w:t>
      </w:r>
      <w:bookmarkEnd w:id="65"/>
      <w:bookmarkStart w:id="66" w:name="_Toc15396624"/>
    </w:p>
    <w:p w14:paraId="4D1E3CA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6"/>
    </w:p>
    <w:p w14:paraId="24489B6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25"/>
      <w:r>
        <w:rPr>
          <w:rFonts w:hint="eastAsia" w:ascii="Times New Roman" w:hAnsi="Times New Roman" w:eastAsia="仿宋_GB2312" w:cs="仿宋_GB2312"/>
          <w:color w:val="auto"/>
          <w:sz w:val="32"/>
          <w:szCs w:val="32"/>
          <w:highlight w:val="none"/>
        </w:rPr>
        <w:t>七、一般公共预算财政拨款支出决算明细表</w:t>
      </w:r>
      <w:bookmarkEnd w:id="67"/>
    </w:p>
    <w:p w14:paraId="4DA5E67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8" w:name="_Toc15396626"/>
      <w:r>
        <w:rPr>
          <w:rFonts w:hint="eastAsia" w:ascii="Times New Roman" w:hAnsi="Times New Roman" w:eastAsia="仿宋_GB2312" w:cs="仿宋_GB2312"/>
          <w:color w:val="auto"/>
          <w:sz w:val="32"/>
          <w:szCs w:val="32"/>
          <w:highlight w:val="none"/>
        </w:rPr>
        <w:t>八、一般公共预算财政拨款基本支出决算表</w:t>
      </w:r>
      <w:bookmarkEnd w:id="68"/>
    </w:p>
    <w:p w14:paraId="71DDEB7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9" w:name="_Toc15396627"/>
      <w:r>
        <w:rPr>
          <w:rFonts w:hint="eastAsia" w:ascii="Times New Roman" w:hAnsi="Times New Roman" w:eastAsia="仿宋_GB2312" w:cs="仿宋_GB2312"/>
          <w:color w:val="auto"/>
          <w:sz w:val="32"/>
          <w:szCs w:val="32"/>
          <w:highlight w:val="none"/>
        </w:rPr>
        <w:t>九、一般公共预算财政拨款项目支出决算表</w:t>
      </w:r>
      <w:bookmarkEnd w:id="69"/>
    </w:p>
    <w:p w14:paraId="1929F45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0" w:name="_Toc15396628"/>
      <w:r>
        <w:rPr>
          <w:rFonts w:hint="eastAsia" w:ascii="Times New Roman" w:hAnsi="Times New Roman" w:eastAsia="仿宋_GB2312" w:cs="仿宋_GB2312"/>
          <w:color w:val="auto"/>
          <w:sz w:val="32"/>
          <w:szCs w:val="32"/>
          <w:highlight w:val="none"/>
        </w:rPr>
        <w:t>十、</w:t>
      </w:r>
      <w:bookmarkEnd w:id="70"/>
      <w:r>
        <w:rPr>
          <w:rFonts w:hint="eastAsia" w:ascii="Times New Roman" w:hAnsi="Times New Roman" w:eastAsia="仿宋_GB2312" w:cs="仿宋_GB2312"/>
          <w:color w:val="auto"/>
          <w:sz w:val="32"/>
          <w:szCs w:val="32"/>
          <w:highlight w:val="none"/>
        </w:rPr>
        <w:t>政府性基金预算财政拨款收入支出决算表</w:t>
      </w:r>
    </w:p>
    <w:p w14:paraId="5B1DC5E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1" w:name="_Toc15396629"/>
      <w:r>
        <w:rPr>
          <w:rFonts w:hint="eastAsia" w:ascii="Times New Roman" w:hAnsi="Times New Roman" w:eastAsia="仿宋_GB2312" w:cs="仿宋_GB2312"/>
          <w:color w:val="auto"/>
          <w:sz w:val="32"/>
          <w:szCs w:val="32"/>
          <w:highlight w:val="none"/>
        </w:rPr>
        <w:t>十一、</w:t>
      </w:r>
      <w:bookmarkEnd w:id="71"/>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r>
        <w:rPr>
          <w:rStyle w:val="29"/>
          <w:rFonts w:hint="eastAsia" w:ascii="仿宋" w:hAnsi="仿宋" w:eastAsia="仿宋"/>
          <w:b w:val="0"/>
          <w:bCs w:val="0"/>
          <w:color w:val="auto"/>
          <w:highlight w:val="none"/>
          <w:lang w:eastAsia="zh-CN"/>
        </w:rPr>
        <w:t>（</w:t>
      </w:r>
      <w:r>
        <w:rPr>
          <w:rStyle w:val="29"/>
          <w:rFonts w:hint="eastAsia" w:ascii="仿宋" w:hAnsi="仿宋" w:eastAsia="仿宋"/>
          <w:b w:val="0"/>
          <w:bCs w:val="0"/>
          <w:color w:val="auto"/>
          <w:highlight w:val="none"/>
          <w:lang w:val="en-US" w:eastAsia="zh-CN"/>
        </w:rPr>
        <w:t>此表无数据）</w:t>
      </w:r>
    </w:p>
    <w:p w14:paraId="71D8898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2" w:name="_Toc15396630"/>
      <w:r>
        <w:rPr>
          <w:rFonts w:hint="eastAsia" w:ascii="Times New Roman" w:hAnsi="Times New Roman" w:eastAsia="仿宋_GB2312" w:cs="仿宋_GB2312"/>
          <w:color w:val="auto"/>
          <w:sz w:val="32"/>
          <w:szCs w:val="32"/>
          <w:highlight w:val="none"/>
        </w:rPr>
        <w:t>十二、</w:t>
      </w:r>
      <w:bookmarkEnd w:id="72"/>
      <w:r>
        <w:rPr>
          <w:rFonts w:hint="eastAsia" w:ascii="Times New Roman" w:hAnsi="Times New Roman" w:eastAsia="仿宋_GB2312" w:cs="仿宋_GB2312"/>
          <w:color w:val="auto"/>
          <w:sz w:val="32"/>
          <w:szCs w:val="32"/>
          <w:highlight w:val="none"/>
          <w:lang w:eastAsia="zh-CN"/>
        </w:rPr>
        <w:t>国有资本经营预算财政拨款支出决算表</w:t>
      </w:r>
      <w:r>
        <w:rPr>
          <w:rStyle w:val="29"/>
          <w:rFonts w:hint="eastAsia" w:ascii="仿宋" w:hAnsi="仿宋" w:eastAsia="仿宋"/>
          <w:b w:val="0"/>
          <w:bCs w:val="0"/>
          <w:color w:val="auto"/>
          <w:highlight w:val="none"/>
          <w:lang w:eastAsia="zh-CN"/>
        </w:rPr>
        <w:t>（</w:t>
      </w:r>
      <w:r>
        <w:rPr>
          <w:rStyle w:val="29"/>
          <w:rFonts w:hint="eastAsia" w:ascii="仿宋" w:hAnsi="仿宋" w:eastAsia="仿宋"/>
          <w:b w:val="0"/>
          <w:bCs w:val="0"/>
          <w:color w:val="auto"/>
          <w:highlight w:val="none"/>
          <w:lang w:val="en-US" w:eastAsia="zh-CN"/>
        </w:rPr>
        <w:t>此表无数据）</w:t>
      </w:r>
    </w:p>
    <w:p w14:paraId="6F0662F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73" w:name="_Toc15396631"/>
      <w:r>
        <w:rPr>
          <w:rFonts w:hint="eastAsia" w:ascii="Times New Roman" w:hAnsi="Times New Roman" w:eastAsia="仿宋_GB2312" w:cs="仿宋_GB2312"/>
          <w:color w:val="auto"/>
          <w:sz w:val="32"/>
          <w:szCs w:val="32"/>
          <w:highlight w:val="none"/>
        </w:rPr>
        <w:t>十三、</w:t>
      </w:r>
      <w:bookmarkEnd w:id="73"/>
      <w:r>
        <w:rPr>
          <w:rFonts w:hint="eastAsia" w:ascii="Times New Roman" w:hAnsi="Times New Roman" w:eastAsia="仿宋_GB2312" w:cs="仿宋_GB2312"/>
          <w:color w:val="auto"/>
          <w:sz w:val="32"/>
          <w:szCs w:val="32"/>
          <w:highlight w:val="none"/>
        </w:rPr>
        <w:t>财政拨款“三公”经费支出决算表</w:t>
      </w:r>
    </w:p>
    <w:p w14:paraId="0D4D20AC">
      <w:pPr>
        <w:rPr>
          <w:rFonts w:hint="eastAsia"/>
          <w:lang w:eastAsia="zh-CN"/>
        </w:rPr>
      </w:pPr>
    </w:p>
    <w:p w14:paraId="3914B1B3">
      <w:pPr>
        <w:rPr>
          <w:rFonts w:hint="eastAsia"/>
          <w:lang w:eastAsia="zh-CN"/>
        </w:rPr>
      </w:pPr>
    </w:p>
    <w:p w14:paraId="1008EBBE">
      <w:pPr>
        <w:rPr>
          <w:rFonts w:hint="eastAsia" w:ascii="Times New Roman" w:hAnsi="Times New Roman"/>
          <w:lang w:eastAsia="zh-CN"/>
        </w:rPr>
      </w:pPr>
    </w:p>
    <w:sectPr>
      <w:footerReference r:id="rId9" w:type="first"/>
      <w:footerReference r:id="rId8"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85DE">
    <w:pPr>
      <w:pStyle w:val="10"/>
      <w:jc w:val="center"/>
    </w:pPr>
  </w:p>
  <w:p w14:paraId="11C8B29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21C9A">
    <w:pPr>
      <w:pStyle w:val="10"/>
      <w:jc w:val="center"/>
    </w:pPr>
  </w:p>
  <w:p w14:paraId="056CB55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2252">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0BB0">
    <w:pPr>
      <w:pStyle w:val="10"/>
      <w:jc w:val="center"/>
    </w:pPr>
  </w:p>
  <w:p w14:paraId="15D4648A">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C414">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2A534">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972A534">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1A6149F0">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28E5E">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A69F9">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AA69F9">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AEF1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69371"/>
    <w:multiLevelType w:val="singleLevel"/>
    <w:tmpl w:val="A42693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79546C"/>
    <w:rsid w:val="02845212"/>
    <w:rsid w:val="02CD0589"/>
    <w:rsid w:val="02FEBE30"/>
    <w:rsid w:val="04916F1E"/>
    <w:rsid w:val="04F637CA"/>
    <w:rsid w:val="05CE1201"/>
    <w:rsid w:val="061E35DE"/>
    <w:rsid w:val="066E0107"/>
    <w:rsid w:val="07996F6E"/>
    <w:rsid w:val="07DFD8BA"/>
    <w:rsid w:val="0846765B"/>
    <w:rsid w:val="09867E8F"/>
    <w:rsid w:val="09EF451D"/>
    <w:rsid w:val="0A2032A3"/>
    <w:rsid w:val="0CA8290A"/>
    <w:rsid w:val="0CBC5171"/>
    <w:rsid w:val="0D35B1ED"/>
    <w:rsid w:val="0E120694"/>
    <w:rsid w:val="0E254B6B"/>
    <w:rsid w:val="0F98263C"/>
    <w:rsid w:val="0FBB29F6"/>
    <w:rsid w:val="101860EC"/>
    <w:rsid w:val="101F47CC"/>
    <w:rsid w:val="10C055FF"/>
    <w:rsid w:val="11694EBD"/>
    <w:rsid w:val="11772AA4"/>
    <w:rsid w:val="118107EC"/>
    <w:rsid w:val="12E24EE2"/>
    <w:rsid w:val="13D50BC4"/>
    <w:rsid w:val="14B17F78"/>
    <w:rsid w:val="163C6D3C"/>
    <w:rsid w:val="165E0673"/>
    <w:rsid w:val="16B831D5"/>
    <w:rsid w:val="16BB723D"/>
    <w:rsid w:val="17E50567"/>
    <w:rsid w:val="186504BB"/>
    <w:rsid w:val="18846779"/>
    <w:rsid w:val="19A445FC"/>
    <w:rsid w:val="1ADB6BFE"/>
    <w:rsid w:val="1BE8440E"/>
    <w:rsid w:val="1D155CEE"/>
    <w:rsid w:val="1D1638FE"/>
    <w:rsid w:val="1E312DEB"/>
    <w:rsid w:val="1E740ACF"/>
    <w:rsid w:val="1FF35744"/>
    <w:rsid w:val="1FF6BC77"/>
    <w:rsid w:val="2186353C"/>
    <w:rsid w:val="23860B96"/>
    <w:rsid w:val="240371BF"/>
    <w:rsid w:val="241903EF"/>
    <w:rsid w:val="244F3473"/>
    <w:rsid w:val="24C97D99"/>
    <w:rsid w:val="25115838"/>
    <w:rsid w:val="256F74FA"/>
    <w:rsid w:val="25A718F0"/>
    <w:rsid w:val="25BB59F6"/>
    <w:rsid w:val="260F557C"/>
    <w:rsid w:val="26970054"/>
    <w:rsid w:val="26CC7C68"/>
    <w:rsid w:val="270839E3"/>
    <w:rsid w:val="281408E2"/>
    <w:rsid w:val="29675227"/>
    <w:rsid w:val="29FD04D3"/>
    <w:rsid w:val="2ACD157A"/>
    <w:rsid w:val="2BFF7BC6"/>
    <w:rsid w:val="2C8A61B5"/>
    <w:rsid w:val="2DF04E50"/>
    <w:rsid w:val="2E586DFA"/>
    <w:rsid w:val="2E826747"/>
    <w:rsid w:val="2EE04425"/>
    <w:rsid w:val="2F040D46"/>
    <w:rsid w:val="2F6B035B"/>
    <w:rsid w:val="2F793C1D"/>
    <w:rsid w:val="2FAE5751"/>
    <w:rsid w:val="2FB1A395"/>
    <w:rsid w:val="2FD9A7D8"/>
    <w:rsid w:val="2FDBF714"/>
    <w:rsid w:val="30AB6865"/>
    <w:rsid w:val="31233144"/>
    <w:rsid w:val="3163258B"/>
    <w:rsid w:val="319F7F4E"/>
    <w:rsid w:val="32BD1EF1"/>
    <w:rsid w:val="3304709D"/>
    <w:rsid w:val="33A773CB"/>
    <w:rsid w:val="349D6851"/>
    <w:rsid w:val="35E7270D"/>
    <w:rsid w:val="36341985"/>
    <w:rsid w:val="368A11B7"/>
    <w:rsid w:val="36AA5135"/>
    <w:rsid w:val="36BE0DA7"/>
    <w:rsid w:val="376B6AA6"/>
    <w:rsid w:val="376D39B2"/>
    <w:rsid w:val="37E16F03"/>
    <w:rsid w:val="37F53A3B"/>
    <w:rsid w:val="389B6C89"/>
    <w:rsid w:val="38D469F0"/>
    <w:rsid w:val="39523FD3"/>
    <w:rsid w:val="39627CCD"/>
    <w:rsid w:val="397BAF1F"/>
    <w:rsid w:val="3AB79AF3"/>
    <w:rsid w:val="3AE834C0"/>
    <w:rsid w:val="3B1C6237"/>
    <w:rsid w:val="3B2A7445"/>
    <w:rsid w:val="3B7EF35A"/>
    <w:rsid w:val="3B9FDB6C"/>
    <w:rsid w:val="3BF5BC2F"/>
    <w:rsid w:val="3CEBA265"/>
    <w:rsid w:val="3D98207C"/>
    <w:rsid w:val="3DEE7CF3"/>
    <w:rsid w:val="3E740A63"/>
    <w:rsid w:val="3E78745D"/>
    <w:rsid w:val="3EE17838"/>
    <w:rsid w:val="3EE52FCD"/>
    <w:rsid w:val="3F4C3FAB"/>
    <w:rsid w:val="3F55381A"/>
    <w:rsid w:val="3F7F7599"/>
    <w:rsid w:val="3FF4CAE0"/>
    <w:rsid w:val="3FF7B227"/>
    <w:rsid w:val="426C3C56"/>
    <w:rsid w:val="44E268DA"/>
    <w:rsid w:val="450D13D7"/>
    <w:rsid w:val="451A50B3"/>
    <w:rsid w:val="453426EB"/>
    <w:rsid w:val="45506656"/>
    <w:rsid w:val="45741214"/>
    <w:rsid w:val="486A6C7A"/>
    <w:rsid w:val="48932803"/>
    <w:rsid w:val="4898395E"/>
    <w:rsid w:val="4A093C57"/>
    <w:rsid w:val="4A627F82"/>
    <w:rsid w:val="4B0E749A"/>
    <w:rsid w:val="4B2477C4"/>
    <w:rsid w:val="4B4F25DA"/>
    <w:rsid w:val="4BE068DB"/>
    <w:rsid w:val="4D537EEC"/>
    <w:rsid w:val="4D577224"/>
    <w:rsid w:val="4DBF1CEB"/>
    <w:rsid w:val="4DF0007C"/>
    <w:rsid w:val="4EAB630A"/>
    <w:rsid w:val="4ECE2238"/>
    <w:rsid w:val="4F833267"/>
    <w:rsid w:val="4FE439C5"/>
    <w:rsid w:val="4FE9BD67"/>
    <w:rsid w:val="4FFB052F"/>
    <w:rsid w:val="501A73E7"/>
    <w:rsid w:val="50491C98"/>
    <w:rsid w:val="50D51D5C"/>
    <w:rsid w:val="52900223"/>
    <w:rsid w:val="537E6D0A"/>
    <w:rsid w:val="53CB0622"/>
    <w:rsid w:val="53F74C96"/>
    <w:rsid w:val="5486329D"/>
    <w:rsid w:val="55170BA8"/>
    <w:rsid w:val="553218C9"/>
    <w:rsid w:val="56350AD7"/>
    <w:rsid w:val="563D22C2"/>
    <w:rsid w:val="567E1AA5"/>
    <w:rsid w:val="56E47B74"/>
    <w:rsid w:val="57175D52"/>
    <w:rsid w:val="57BD3DD4"/>
    <w:rsid w:val="59A62C9C"/>
    <w:rsid w:val="5AF92295"/>
    <w:rsid w:val="5B250254"/>
    <w:rsid w:val="5BDD79E6"/>
    <w:rsid w:val="5BF561CA"/>
    <w:rsid w:val="5BFF5DFC"/>
    <w:rsid w:val="5C814A76"/>
    <w:rsid w:val="5CD71FC4"/>
    <w:rsid w:val="5D1F11B5"/>
    <w:rsid w:val="5D695134"/>
    <w:rsid w:val="5DA5016E"/>
    <w:rsid w:val="5DAE1B18"/>
    <w:rsid w:val="5DB43B79"/>
    <w:rsid w:val="5DDD76C9"/>
    <w:rsid w:val="5DE7D9E5"/>
    <w:rsid w:val="5E714676"/>
    <w:rsid w:val="5ECEC941"/>
    <w:rsid w:val="5FBF9FF3"/>
    <w:rsid w:val="5FCD4E2C"/>
    <w:rsid w:val="5FEF394A"/>
    <w:rsid w:val="5FF67715"/>
    <w:rsid w:val="62BF3928"/>
    <w:rsid w:val="630C6C6F"/>
    <w:rsid w:val="63B3701E"/>
    <w:rsid w:val="647F5392"/>
    <w:rsid w:val="65E66580"/>
    <w:rsid w:val="664B1D71"/>
    <w:rsid w:val="664B4E8E"/>
    <w:rsid w:val="66B03C5F"/>
    <w:rsid w:val="67277B67"/>
    <w:rsid w:val="67AA3209"/>
    <w:rsid w:val="67C9107F"/>
    <w:rsid w:val="68780458"/>
    <w:rsid w:val="69103724"/>
    <w:rsid w:val="698D0931"/>
    <w:rsid w:val="6A5170C9"/>
    <w:rsid w:val="6A59002F"/>
    <w:rsid w:val="6A7FE5F3"/>
    <w:rsid w:val="6B053271"/>
    <w:rsid w:val="6BDD78B3"/>
    <w:rsid w:val="6BF80C4B"/>
    <w:rsid w:val="6C4A05C8"/>
    <w:rsid w:val="6C8742B8"/>
    <w:rsid w:val="6CBC5656"/>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4E2D78"/>
    <w:rsid w:val="715C0E4B"/>
    <w:rsid w:val="71992E7C"/>
    <w:rsid w:val="72233669"/>
    <w:rsid w:val="72233C08"/>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577F"/>
    <w:rsid w:val="79086DAD"/>
    <w:rsid w:val="79D7FD79"/>
    <w:rsid w:val="79EE5BA4"/>
    <w:rsid w:val="7A894339"/>
    <w:rsid w:val="7AD284E8"/>
    <w:rsid w:val="7AFF7572"/>
    <w:rsid w:val="7B6C7DFB"/>
    <w:rsid w:val="7BBFBED0"/>
    <w:rsid w:val="7BC3E394"/>
    <w:rsid w:val="7C1F3737"/>
    <w:rsid w:val="7CB4594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B6FC6"/>
    <w:rsid w:val="7FDF220F"/>
    <w:rsid w:val="7FE12EAB"/>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dPt>
          <c:dLbls>
            <c:delete val="1"/>
          </c:dLbls>
          <c:cat>
            <c:strRef>
              <c:f>'[新建 XLSX 工作表.xlsx]Sheet1'!$I$10:$J$10</c:f>
              <c:strCache>
                <c:ptCount val="2"/>
                <c:pt idx="0">
                  <c:v>2023年</c:v>
                </c:pt>
                <c:pt idx="1">
                  <c:v>2024年</c:v>
                </c:pt>
              </c:strCache>
            </c:strRef>
          </c:cat>
          <c:val>
            <c:numRef>
              <c:f>'[新建 XLSX 工作表.xlsx]Sheet1'!$I$11:$J$11</c:f>
              <c:numCache>
                <c:formatCode>General</c:formatCode>
                <c:ptCount val="2"/>
                <c:pt idx="0">
                  <c:v>1260.27</c:v>
                </c:pt>
                <c:pt idx="1">
                  <c:v>1367.79</c:v>
                </c:pt>
              </c:numCache>
            </c:numRef>
          </c:val>
        </c:ser>
        <c:dLbls>
          <c:showLegendKey val="0"/>
          <c:showVal val="0"/>
          <c:showCatName val="0"/>
          <c:showSerName val="0"/>
          <c:showPercent val="0"/>
          <c:showBubbleSize val="0"/>
        </c:dLbls>
        <c:gapWidth val="246"/>
        <c:overlap val="-28"/>
        <c:axId val="550710348"/>
        <c:axId val="624997304"/>
      </c:barChart>
      <c:catAx>
        <c:axId val="5507103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4997304"/>
        <c:crosses val="autoZero"/>
        <c:auto val="1"/>
        <c:lblAlgn val="ctr"/>
        <c:lblOffset val="100"/>
        <c:noMultiLvlLbl val="0"/>
      </c:catAx>
      <c:valAx>
        <c:axId val="62499730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7103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566405e-2a4a-472e-9991-c077694af97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'[新建 XLSX 工作表.xlsx]Sheet1'!$H$34:$H$35</c:f>
              <c:strCache>
                <c:ptCount val="2"/>
                <c:pt idx="0">
                  <c:v>一般公共预算财政拨款收入</c:v>
                </c:pt>
                <c:pt idx="1">
                  <c:v>政府性基金预算财政拨款收入</c:v>
                </c:pt>
              </c:strCache>
            </c:strRef>
          </c:cat>
          <c:val>
            <c:numRef>
              <c:f>'[新建 XLSX 工作表.xlsx]Sheet1'!$I$34:$I$35</c:f>
              <c:numCache>
                <c:formatCode>General</c:formatCode>
                <c:ptCount val="2"/>
                <c:pt idx="0">
                  <c:v>929.76</c:v>
                </c:pt>
                <c:pt idx="1">
                  <c:v>438.03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ce5c57c-56b6-45fd-8f34-1a04a30239b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'[新建 XLSX 工作表.xlsx]Sheet1'!$H$52:$H$53</c:f>
              <c:strCache>
                <c:ptCount val="2"/>
                <c:pt idx="0">
                  <c:v>基本支出</c:v>
                </c:pt>
                <c:pt idx="1">
                  <c:v>项目支出</c:v>
                </c:pt>
              </c:strCache>
            </c:strRef>
          </c:cat>
          <c:val>
            <c:numRef>
              <c:f>'[新建 XLSX 工作表.xlsx]Sheet1'!$I$52:$I$53</c:f>
              <c:numCache>
                <c:formatCode>General</c:formatCode>
                <c:ptCount val="2"/>
                <c:pt idx="0">
                  <c:v>592.5</c:v>
                </c:pt>
                <c:pt idx="1">
                  <c:v>775.29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abea91d-c93b-4ec1-bf53-e2b95a71cf7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dPt>
          <c:dLbls>
            <c:delete val="1"/>
          </c:dLbls>
          <c:cat>
            <c:strRef>
              <c:f>'[新建 XLSX 工作表.xlsx]Sheet1'!$I$10:$J$10</c:f>
              <c:strCache>
                <c:ptCount val="2"/>
                <c:pt idx="0">
                  <c:v>2023年</c:v>
                </c:pt>
                <c:pt idx="1">
                  <c:v>2024年</c:v>
                </c:pt>
              </c:strCache>
            </c:strRef>
          </c:cat>
          <c:val>
            <c:numRef>
              <c:f>'[新建 XLSX 工作表.xlsx]Sheet1'!$I$11:$J$11</c:f>
              <c:numCache>
                <c:formatCode>General</c:formatCode>
                <c:ptCount val="2"/>
                <c:pt idx="0">
                  <c:v>1260.27</c:v>
                </c:pt>
                <c:pt idx="1">
                  <c:v>1367.79</c:v>
                </c:pt>
              </c:numCache>
            </c:numRef>
          </c:val>
        </c:ser>
        <c:dLbls>
          <c:showLegendKey val="0"/>
          <c:showVal val="0"/>
          <c:showCatName val="0"/>
          <c:showSerName val="0"/>
          <c:showPercent val="0"/>
          <c:showBubbleSize val="0"/>
        </c:dLbls>
        <c:gapWidth val="246"/>
        <c:overlap val="-28"/>
        <c:axId val="550710348"/>
        <c:axId val="624997304"/>
      </c:barChart>
      <c:catAx>
        <c:axId val="5507103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4997304"/>
        <c:crosses val="autoZero"/>
        <c:auto val="1"/>
        <c:lblAlgn val="ctr"/>
        <c:lblOffset val="100"/>
        <c:noMultiLvlLbl val="0"/>
      </c:catAx>
      <c:valAx>
        <c:axId val="62499730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7103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32c2eba-12c8-4903-a0f5-51d9123aa4c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manualLayout>
          <c:xMode val="edge"/>
          <c:yMode val="edge"/>
          <c:x val="0.169342105263158"/>
          <c:y val="0.03125"/>
        </c:manualLayout>
      </c:layout>
      <c:overlay val="0"/>
      <c:spPr>
        <a:noFill/>
        <a:ln>
          <a:noFill/>
        </a:ln>
        <a:effectLst/>
      </c:spPr>
    </c:title>
    <c:autoTitleDeleted val="0"/>
    <c:plotArea>
      <c:layout>
        <c:manualLayout>
          <c:layoutTarget val="inner"/>
          <c:xMode val="edge"/>
          <c:yMode val="edge"/>
          <c:x val="0.0708684210526316"/>
          <c:y val="0.172916666666667"/>
          <c:w val="0.900184210526316"/>
          <c:h val="0.606342592592593"/>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dPt>
          <c:dLbls>
            <c:delete val="1"/>
          </c:dLbls>
          <c:cat>
            <c:strRef>
              <c:f>'[新建 XLSX 工作表.xlsx]Sheet1'!$H$66:$H$67</c:f>
              <c:strCache>
                <c:ptCount val="2"/>
                <c:pt idx="0">
                  <c:v>2023年</c:v>
                </c:pt>
                <c:pt idx="1">
                  <c:v>2024年</c:v>
                </c:pt>
              </c:strCache>
            </c:strRef>
          </c:cat>
          <c:val>
            <c:numRef>
              <c:f>'[新建 XLSX 工作表.xlsx]Sheet1'!$I$66:$I$67</c:f>
              <c:numCache>
                <c:formatCode>General</c:formatCode>
                <c:ptCount val="2"/>
                <c:pt idx="0">
                  <c:v>980.33</c:v>
                </c:pt>
                <c:pt idx="1">
                  <c:v>929.76</c:v>
                </c:pt>
              </c:numCache>
            </c:numRef>
          </c:val>
        </c:ser>
        <c:dLbls>
          <c:showLegendKey val="0"/>
          <c:showVal val="0"/>
          <c:showCatName val="0"/>
          <c:showSerName val="0"/>
          <c:showPercent val="0"/>
          <c:showBubbleSize val="0"/>
        </c:dLbls>
        <c:gapWidth val="246"/>
        <c:overlap val="-28"/>
        <c:axId val="334901291"/>
        <c:axId val="920110149"/>
      </c:barChart>
      <c:catAx>
        <c:axId val="3349012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110149"/>
        <c:crosses val="autoZero"/>
        <c:auto val="1"/>
        <c:lblAlgn val="ctr"/>
        <c:lblOffset val="100"/>
        <c:noMultiLvlLbl val="0"/>
      </c:catAx>
      <c:valAx>
        <c:axId val="92011014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49012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c50fe9-82fe-42a6-9d3f-a38059a2cdb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manualLayout>
          <c:xMode val="edge"/>
          <c:yMode val="edge"/>
          <c:x val="0.185526315789474"/>
          <c:y val="0.0312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'[新建 XLSX 工作表.xlsx]Sheet1'!$H$87:$H$90</c:f>
              <c:strCache>
                <c:ptCount val="4"/>
                <c:pt idx="0">
                  <c:v>文化旅游体育与传媒支出</c:v>
                </c:pt>
                <c:pt idx="1">
                  <c:v>社会保障和就业支出</c:v>
                </c:pt>
                <c:pt idx="2">
                  <c:v>卫生健康支出</c:v>
                </c:pt>
                <c:pt idx="3">
                  <c:v>住房保障支出</c:v>
                </c:pt>
              </c:strCache>
            </c:strRef>
          </c:cat>
          <c:val>
            <c:numRef>
              <c:f>'[新建 XLSX 工作表.xlsx]Sheet1'!$I$87:$I$90</c:f>
              <c:numCache>
                <c:formatCode>General</c:formatCode>
                <c:ptCount val="4"/>
                <c:pt idx="0">
                  <c:v>782.34</c:v>
                </c:pt>
                <c:pt idx="1">
                  <c:v>68.81</c:v>
                </c:pt>
                <c:pt idx="2">
                  <c:v>35.3</c:v>
                </c:pt>
                <c:pt idx="3">
                  <c:v>43.31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dff031c-84f0-4457-82e4-1d816ef69932}"/>
      </c:ext>
    </c:extLst>
  </c:chart>
  <c:spPr>
    <a:solidFill>
      <a:schemeClr val="bg1"/>
    </a:solidFill>
    <a:ln w="9525" cap="flat" cmpd="sng" algn="ctr">
      <a:solidFill>
        <a:schemeClr val="tx1">
          <a:lumMod val="15000"/>
          <a:lumOff val="85000"/>
        </a:schemeClr>
      </a:solidFill>
      <a:round/>
    </a:ln>
    <a:effectLst/>
  </c:spPr>
  <c:txPr>
    <a:bodyPr anchor="ct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a:t>
            </a:r>
          </a:p>
        </c:rich>
      </c:tx>
      <c:layout>
        <c:manualLayout>
          <c:xMode val="edge"/>
          <c:yMode val="edge"/>
          <c:x val="0.230921052631579"/>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'[新建 XLSX 工作表.xlsx]Sheet1'!$H$95:$H$96</c:f>
              <c:strCache>
                <c:ptCount val="2"/>
                <c:pt idx="0">
                  <c:v>公务用车购置及运行维护费支出决算</c:v>
                </c:pt>
                <c:pt idx="1">
                  <c:v>公务接待费支出决算</c:v>
                </c:pt>
              </c:strCache>
            </c:strRef>
          </c:cat>
          <c:val>
            <c:numRef>
              <c:f>'[新建 XLSX 工作表.xlsx]Sheet1'!$I$95:$I$96</c:f>
              <c:numCache>
                <c:formatCode>General</c:formatCode>
                <c:ptCount val="2"/>
                <c:pt idx="0">
                  <c:v>1.13</c:v>
                </c:pt>
                <c:pt idx="1">
                  <c:v>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f2c501-42c0-4b4e-8c53-d70c6cc036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6381</Words>
  <Characters>7171</Characters>
  <Lines>61</Lines>
  <Paragraphs>17</Paragraphs>
  <TotalTime>1</TotalTime>
  <ScaleCrop>false</ScaleCrop>
  <LinksUpToDate>false</LinksUpToDate>
  <CharactersWithSpaces>7201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赵子子子恺</cp:lastModifiedBy>
  <cp:lastPrinted>2025-08-06T17:34:00Z</cp:lastPrinted>
  <dcterms:modified xsi:type="dcterms:W3CDTF">2025-09-15T01:43:38Z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B7052700EDF5481482AEFACB375E13D9_13</vt:lpwstr>
  </property>
  <property fmtid="{D5CDD505-2E9C-101B-9397-08002B2CF9AE}" pid="4" name="KSOTemplateDocerSaveRecord">
    <vt:lpwstr>eyJoZGlkIjoiZDkzMmI3NWFkMmMxZmM3N2E2YzdlMzlhNTlhMGEzMjUiLCJ1c2VySWQiOiI2NjIyNTc3OTEifQ==</vt:lpwstr>
  </property>
</Properties>
</file>