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48" w:rsidRDefault="00C11148" w:rsidP="00C11148">
      <w:pPr>
        <w:pStyle w:val="a7"/>
        <w:spacing w:before="93"/>
        <w:rPr>
          <w:rFonts w:ascii="Times New Roman" w:eastAsia="方正小标宋简体" w:hint="eastAsia"/>
          <w:kern w:val="2"/>
          <w:sz w:val="44"/>
          <w:szCs w:val="44"/>
        </w:rPr>
      </w:pPr>
    </w:p>
    <w:p w:rsidR="00C11148" w:rsidRDefault="00C11148" w:rsidP="00C11148">
      <w:pPr>
        <w:pStyle w:val="a7"/>
        <w:spacing w:before="93"/>
        <w:jc w:val="center"/>
        <w:rPr>
          <w:rFonts w:ascii="Times New Roman" w:eastAsia="方正小标宋简体"/>
          <w:kern w:val="2"/>
          <w:sz w:val="44"/>
          <w:szCs w:val="44"/>
        </w:rPr>
      </w:pPr>
    </w:p>
    <w:p w:rsidR="00C11148" w:rsidRDefault="00C11148" w:rsidP="00C11148">
      <w:pPr>
        <w:pStyle w:val="a7"/>
        <w:spacing w:before="93"/>
        <w:jc w:val="center"/>
        <w:rPr>
          <w:rFonts w:ascii="Times New Roman" w:eastAsia="方正小标宋简体"/>
          <w:kern w:val="2"/>
          <w:sz w:val="44"/>
          <w:szCs w:val="44"/>
        </w:rPr>
      </w:pPr>
    </w:p>
    <w:p w:rsidR="00C11148" w:rsidRDefault="00C11148" w:rsidP="00C11148">
      <w:pPr>
        <w:pStyle w:val="a7"/>
        <w:spacing w:before="93"/>
        <w:jc w:val="center"/>
        <w:rPr>
          <w:rFonts w:ascii="Times New Roman" w:eastAsia="方正小标宋简体"/>
          <w:kern w:val="2"/>
          <w:sz w:val="44"/>
          <w:szCs w:val="44"/>
        </w:rPr>
      </w:pPr>
    </w:p>
    <w:p w:rsidR="00C11148" w:rsidRDefault="00C11148" w:rsidP="00C11148">
      <w:pPr>
        <w:pStyle w:val="a7"/>
        <w:spacing w:before="93"/>
        <w:jc w:val="center"/>
        <w:rPr>
          <w:rFonts w:ascii="Times New Roman" w:eastAsia="方正小标宋简体"/>
          <w:kern w:val="2"/>
          <w:sz w:val="44"/>
          <w:szCs w:val="44"/>
        </w:rPr>
      </w:pPr>
      <w:bookmarkStart w:id="0" w:name="_Toc15377194"/>
      <w:bookmarkStart w:id="1" w:name="_Toc15377426"/>
      <w:bookmarkStart w:id="2" w:name="_Toc15378442"/>
      <w:bookmarkStart w:id="3" w:name="_Toc15396598"/>
      <w:bookmarkStart w:id="4" w:name="_Toc15396476"/>
      <w:r>
        <w:rPr>
          <w:rFonts w:ascii="Times New Roman" w:eastAsia="方正小标宋简体" w:hint="eastAsia"/>
          <w:kern w:val="2"/>
          <w:sz w:val="44"/>
          <w:szCs w:val="44"/>
        </w:rPr>
        <w:t>2024</w:t>
      </w:r>
      <w:r>
        <w:rPr>
          <w:rFonts w:ascii="Times New Roman" w:eastAsia="方正小标宋简体" w:hint="eastAsia"/>
          <w:kern w:val="2"/>
          <w:sz w:val="44"/>
          <w:szCs w:val="44"/>
        </w:rPr>
        <w:t>年度四川省</w:t>
      </w:r>
      <w:bookmarkStart w:id="5" w:name="_Toc15306268"/>
    </w:p>
    <w:p w:rsidR="00C11148" w:rsidRDefault="00C11148" w:rsidP="00C11148">
      <w:pPr>
        <w:pStyle w:val="a7"/>
        <w:spacing w:before="93"/>
        <w:jc w:val="center"/>
        <w:rPr>
          <w:rFonts w:ascii="Times New Roman" w:eastAsia="方正小标宋简体"/>
          <w:kern w:val="2"/>
          <w:sz w:val="44"/>
          <w:szCs w:val="44"/>
        </w:rPr>
      </w:pPr>
      <w:r>
        <w:rPr>
          <w:rFonts w:ascii="Times New Roman" w:eastAsia="方正小标宋简体" w:hint="eastAsia"/>
          <w:kern w:val="2"/>
          <w:sz w:val="44"/>
          <w:szCs w:val="44"/>
        </w:rPr>
        <w:t>攀枝花市电化教育（技术装备）中心</w:t>
      </w:r>
    </w:p>
    <w:p w:rsidR="00C11148" w:rsidRDefault="00C11148" w:rsidP="00C11148">
      <w:pPr>
        <w:pStyle w:val="a7"/>
        <w:spacing w:before="93"/>
        <w:jc w:val="center"/>
        <w:rPr>
          <w:rFonts w:ascii="Times New Roman" w:eastAsia="方正小标宋简体"/>
          <w:kern w:val="2"/>
          <w:sz w:val="44"/>
          <w:szCs w:val="44"/>
        </w:rPr>
      </w:pPr>
      <w:r>
        <w:rPr>
          <w:rFonts w:ascii="Times New Roman" w:eastAsia="方正小标宋简体" w:hint="eastAsia"/>
          <w:kern w:val="2"/>
          <w:sz w:val="44"/>
          <w:szCs w:val="44"/>
        </w:rPr>
        <w:t>单位决算</w:t>
      </w:r>
      <w:bookmarkEnd w:id="0"/>
      <w:bookmarkEnd w:id="1"/>
      <w:bookmarkEnd w:id="2"/>
      <w:bookmarkEnd w:id="3"/>
      <w:bookmarkEnd w:id="4"/>
      <w:bookmarkEnd w:id="5"/>
      <w:r>
        <w:rPr>
          <w:rFonts w:ascii="Times New Roman" w:eastAsia="方正小标宋简体" w:hint="eastAsia"/>
          <w:kern w:val="2"/>
          <w:sz w:val="44"/>
          <w:szCs w:val="44"/>
        </w:rPr>
        <w:t>公开编制说明</w:t>
      </w: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p>
    <w:p w:rsidR="00C11148" w:rsidRDefault="00C11148" w:rsidP="00C11148">
      <w:pPr>
        <w:widowControl/>
        <w:jc w:val="center"/>
        <w:rPr>
          <w:rFonts w:eastAsia="黑体"/>
          <w:sz w:val="48"/>
          <w:szCs w:val="48"/>
        </w:rPr>
      </w:pPr>
      <w:r>
        <w:rPr>
          <w:rFonts w:eastAsia="黑体" w:hint="eastAsia"/>
          <w:sz w:val="48"/>
          <w:szCs w:val="48"/>
        </w:rPr>
        <w:t>目录</w:t>
      </w:r>
    </w:p>
    <w:p w:rsidR="00C11148" w:rsidRDefault="00C11148" w:rsidP="00C11148">
      <w:pPr>
        <w:widowControl/>
        <w:jc w:val="center"/>
        <w:rPr>
          <w:rFonts w:eastAsia="黑体" w:cstheme="minorBidi"/>
          <w:sz w:val="28"/>
          <w:szCs w:val="28"/>
        </w:rPr>
      </w:pPr>
    </w:p>
    <w:p w:rsidR="00C11148" w:rsidRDefault="00C11148" w:rsidP="00C11148">
      <w:pPr>
        <w:pStyle w:val="1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公开时间：</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sidR="00D6350F">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日</w:t>
      </w:r>
      <w:bookmarkStart w:id="6" w:name="_GoBack"/>
      <w:bookmarkEnd w:id="6"/>
    </w:p>
    <w:p w:rsidR="00C11148" w:rsidRDefault="00C11148" w:rsidP="00C11148"/>
    <w:p w:rsidR="00C11148" w:rsidRDefault="00C11148" w:rsidP="00C11148">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第一部分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单位概况</w:t>
      </w:r>
      <w:r w:rsidRPr="006450AF">
        <w:rPr>
          <w:sz w:val="24"/>
        </w:rPr>
        <w:tab/>
      </w:r>
      <w:r>
        <w:rPr>
          <w:rFonts w:hint="eastAsia"/>
          <w:sz w:val="24"/>
        </w:rPr>
        <w:t>4</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一、单位职责</w:t>
      </w:r>
      <w:r w:rsidRPr="006450AF">
        <w:rPr>
          <w:sz w:val="24"/>
        </w:rPr>
        <w:tab/>
      </w:r>
      <w:r>
        <w:rPr>
          <w:rFonts w:hint="eastAsia"/>
          <w:sz w:val="24"/>
        </w:rPr>
        <w:t>4</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二、机构设置</w:t>
      </w:r>
      <w:r w:rsidRPr="006450AF">
        <w:rPr>
          <w:sz w:val="24"/>
        </w:rPr>
        <w:tab/>
      </w:r>
      <w:r>
        <w:rPr>
          <w:rFonts w:hint="eastAsia"/>
          <w:sz w:val="24"/>
        </w:rPr>
        <w:t>5</w:t>
      </w:r>
    </w:p>
    <w:p w:rsidR="00C11148" w:rsidRDefault="00C11148" w:rsidP="00C11148">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第二部分</w:t>
      </w:r>
      <w:r>
        <w:rPr>
          <w:rFonts w:ascii="Times New Roman" w:eastAsia="黑体" w:hAnsi="Times New Roman" w:cs="黑体" w:hint="eastAsia"/>
          <w:sz w:val="32"/>
          <w:szCs w:val="32"/>
        </w:rPr>
        <w:t xml:space="preserve"> 2024</w:t>
      </w:r>
      <w:r>
        <w:rPr>
          <w:rFonts w:ascii="Times New Roman" w:eastAsia="黑体" w:hAnsi="Times New Roman" w:cs="黑体" w:hint="eastAsia"/>
          <w:sz w:val="32"/>
          <w:szCs w:val="32"/>
        </w:rPr>
        <w:t>年度单位决算情况说明</w:t>
      </w:r>
      <w:r w:rsidRPr="006450AF">
        <w:rPr>
          <w:sz w:val="24"/>
        </w:rPr>
        <w:tab/>
      </w:r>
      <w:r>
        <w:rPr>
          <w:rFonts w:hint="eastAsia"/>
          <w:sz w:val="24"/>
        </w:rPr>
        <w:t>6</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一、收入支出决算总体情况说明</w:t>
      </w:r>
      <w:r w:rsidRPr="006450AF">
        <w:rPr>
          <w:sz w:val="24"/>
        </w:rPr>
        <w:tab/>
      </w:r>
      <w:r>
        <w:rPr>
          <w:rFonts w:hint="eastAsia"/>
          <w:sz w:val="24"/>
        </w:rPr>
        <w:t>6</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二、收入决算情况说明</w:t>
      </w:r>
      <w:r w:rsidRPr="006450AF">
        <w:rPr>
          <w:sz w:val="24"/>
        </w:rPr>
        <w:tab/>
      </w:r>
      <w:r>
        <w:rPr>
          <w:rFonts w:hint="eastAsia"/>
          <w:sz w:val="24"/>
        </w:rPr>
        <w:t>7</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三、支出决算情况说明</w:t>
      </w:r>
      <w:r w:rsidRPr="006450AF">
        <w:rPr>
          <w:sz w:val="24"/>
        </w:rPr>
        <w:tab/>
      </w:r>
      <w:r>
        <w:rPr>
          <w:rFonts w:hint="eastAsia"/>
          <w:sz w:val="24"/>
        </w:rPr>
        <w:t>7</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四、财政拨款收入支出决算总体情况说明</w:t>
      </w:r>
      <w:r w:rsidRPr="006450AF">
        <w:rPr>
          <w:sz w:val="24"/>
        </w:rPr>
        <w:tab/>
      </w:r>
      <w:r>
        <w:rPr>
          <w:rFonts w:hint="eastAsia"/>
          <w:sz w:val="24"/>
        </w:rPr>
        <w:t>8</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五、一般公共预算财政拨款支出决算情况说明</w:t>
      </w:r>
      <w:r w:rsidRPr="006450AF">
        <w:rPr>
          <w:sz w:val="24"/>
        </w:rPr>
        <w:tab/>
      </w:r>
      <w:r>
        <w:rPr>
          <w:rFonts w:hint="eastAsia"/>
          <w:sz w:val="24"/>
        </w:rPr>
        <w:t>9</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六、一般公共预算财政拨款基本支出决算情况说明</w:t>
      </w:r>
      <w:r w:rsidRPr="006450AF">
        <w:rPr>
          <w:sz w:val="24"/>
        </w:rPr>
        <w:tab/>
      </w:r>
      <w:r>
        <w:rPr>
          <w:rFonts w:hint="eastAsia"/>
          <w:sz w:val="24"/>
        </w:rPr>
        <w:t>11</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七、财政拨款“三公”经费支出决算情况说明</w:t>
      </w:r>
      <w:r w:rsidRPr="006450AF">
        <w:rPr>
          <w:sz w:val="24"/>
        </w:rPr>
        <w:tab/>
      </w:r>
      <w:r>
        <w:rPr>
          <w:rFonts w:hint="eastAsia"/>
          <w:sz w:val="24"/>
        </w:rPr>
        <w:t>11</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八、政府性基金预算支出决算情况说明</w:t>
      </w:r>
      <w:r w:rsidRPr="006450AF">
        <w:rPr>
          <w:sz w:val="24"/>
        </w:rPr>
        <w:tab/>
      </w:r>
      <w:r>
        <w:rPr>
          <w:rFonts w:hint="eastAsia"/>
          <w:sz w:val="24"/>
        </w:rPr>
        <w:t>14</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九、国有资本经营预算支出决算情况说明</w:t>
      </w:r>
      <w:r w:rsidRPr="006450AF">
        <w:rPr>
          <w:sz w:val="24"/>
        </w:rPr>
        <w:tab/>
      </w:r>
      <w:r>
        <w:rPr>
          <w:rFonts w:hint="eastAsia"/>
          <w:sz w:val="24"/>
        </w:rPr>
        <w:t>14</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十、其他重要事项的情况说明</w:t>
      </w:r>
      <w:r w:rsidRPr="006450AF">
        <w:rPr>
          <w:sz w:val="24"/>
        </w:rPr>
        <w:tab/>
      </w:r>
      <w:r>
        <w:rPr>
          <w:rFonts w:hint="eastAsia"/>
          <w:sz w:val="24"/>
        </w:rPr>
        <w:t>14</w:t>
      </w:r>
    </w:p>
    <w:p w:rsidR="00C11148" w:rsidRDefault="00C11148" w:rsidP="00C11148">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第三部分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名词解释</w:t>
      </w:r>
      <w:r w:rsidRPr="006450AF">
        <w:rPr>
          <w:sz w:val="24"/>
        </w:rPr>
        <w:tab/>
      </w:r>
      <w:r>
        <w:rPr>
          <w:rFonts w:hint="eastAsia"/>
          <w:sz w:val="24"/>
        </w:rPr>
        <w:t>16</w:t>
      </w:r>
    </w:p>
    <w:p w:rsidR="00C11148" w:rsidRDefault="00C11148" w:rsidP="00C11148">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第四部分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附件</w:t>
      </w:r>
      <w:r w:rsidRPr="006450AF">
        <w:rPr>
          <w:sz w:val="24"/>
        </w:rPr>
        <w:tab/>
      </w:r>
      <w:r>
        <w:rPr>
          <w:rFonts w:hint="eastAsia"/>
          <w:sz w:val="24"/>
        </w:rPr>
        <w:t>19</w:t>
      </w:r>
    </w:p>
    <w:p w:rsidR="00C11148" w:rsidRDefault="00C11148" w:rsidP="00C11148">
      <w:pPr>
        <w:pStyle w:val="10"/>
        <w:adjustRightInd w:val="0"/>
        <w:snapToGrid w:val="0"/>
        <w:spacing w:before="0" w:line="560" w:lineRule="exact"/>
        <w:jc w:val="left"/>
        <w:rPr>
          <w:rFonts w:ascii="Times New Roman" w:eastAsia="黑体" w:hAnsi="Times New Roman" w:cs="黑体"/>
          <w:sz w:val="32"/>
          <w:szCs w:val="32"/>
        </w:rPr>
      </w:pPr>
      <w:r>
        <w:rPr>
          <w:rFonts w:ascii="Times New Roman" w:eastAsia="黑体" w:hAnsi="Times New Roman" w:cs="黑体" w:hint="eastAsia"/>
          <w:sz w:val="32"/>
          <w:szCs w:val="32"/>
        </w:rPr>
        <w:t>第五部分</w:t>
      </w:r>
      <w:r>
        <w:rPr>
          <w:rFonts w:ascii="Times New Roman" w:eastAsia="黑体" w:hAnsi="Times New Roman" w:cs="黑体" w:hint="eastAsia"/>
          <w:sz w:val="32"/>
          <w:szCs w:val="32"/>
        </w:rPr>
        <w:t xml:space="preserve"> </w:t>
      </w:r>
      <w:r>
        <w:rPr>
          <w:rFonts w:ascii="Times New Roman" w:eastAsia="黑体" w:hAnsi="Times New Roman" w:cs="黑体" w:hint="eastAsia"/>
          <w:sz w:val="32"/>
          <w:szCs w:val="32"/>
        </w:rPr>
        <w:t>附表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一、收入支出决算总表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lastRenderedPageBreak/>
        <w:t>二、收入决算表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三、支出决算表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四、财政拨款收入支出决算总表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五、财政拨款支出决算明细表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六、一般公共预算财政拨款支出决算表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七、一般公共预算财政拨款支出决算明细表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八、一般公共预算财政拨款基本支出决算明细表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九、一般公共预算财政拨款项目支出决算表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十、政府性基金预算财政拨款收入支出决算表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十一、国有资本经营预算财政拨款收入支出决算表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十二、国有资本经营预算财政拨款支出决算表</w:t>
      </w:r>
      <w:r w:rsidRPr="006450AF">
        <w:rPr>
          <w:sz w:val="24"/>
        </w:rPr>
        <w:tab/>
      </w:r>
      <w:r>
        <w:rPr>
          <w:rFonts w:hint="eastAsia"/>
          <w:sz w:val="24"/>
        </w:rPr>
        <w:t>20</w:t>
      </w:r>
    </w:p>
    <w:p w:rsidR="00C11148" w:rsidRDefault="00C11148" w:rsidP="00C11148">
      <w:pPr>
        <w:pStyle w:val="21"/>
        <w:adjustRightInd w:val="0"/>
        <w:snapToGrid w:val="0"/>
        <w:spacing w:line="560" w:lineRule="exact"/>
        <w:ind w:leftChars="0" w:left="0" w:firstLineChars="200" w:firstLine="640"/>
        <w:jc w:val="left"/>
        <w:rPr>
          <w:rFonts w:eastAsia="仿宋_GB2312" w:cs="仿宋_GB2312"/>
          <w:sz w:val="32"/>
          <w:szCs w:val="32"/>
        </w:rPr>
      </w:pPr>
      <w:r>
        <w:rPr>
          <w:rFonts w:eastAsia="仿宋_GB2312" w:cs="仿宋_GB2312" w:hint="eastAsia"/>
          <w:sz w:val="32"/>
          <w:szCs w:val="32"/>
        </w:rPr>
        <w:t>十三、财政拨款“三公”经费支出决算表</w:t>
      </w:r>
      <w:r w:rsidRPr="006450AF">
        <w:rPr>
          <w:sz w:val="24"/>
        </w:rPr>
        <w:tab/>
      </w:r>
      <w:r>
        <w:rPr>
          <w:rFonts w:hint="eastAsia"/>
          <w:sz w:val="24"/>
        </w:rPr>
        <w:t>20</w:t>
      </w:r>
    </w:p>
    <w:p w:rsidR="00C11148" w:rsidRDefault="00C11148" w:rsidP="00C11148">
      <w:pPr>
        <w:widowControl/>
        <w:spacing w:line="560" w:lineRule="exact"/>
        <w:jc w:val="left"/>
        <w:rPr>
          <w:rFonts w:eastAsia="仿宋_GB2312" w:cs="仿宋_GB2312"/>
          <w:bCs/>
          <w:kern w:val="44"/>
          <w:sz w:val="32"/>
          <w:szCs w:val="32"/>
        </w:rPr>
      </w:pPr>
      <w:bookmarkStart w:id="7" w:name="_Toc15396599"/>
      <w:bookmarkStart w:id="8" w:name="_Toc15377196"/>
      <w:r>
        <w:rPr>
          <w:rFonts w:eastAsia="仿宋_GB2312" w:cs="仿宋_GB2312" w:hint="eastAsia"/>
          <w:b/>
          <w:sz w:val="32"/>
          <w:szCs w:val="32"/>
        </w:rPr>
        <w:br w:type="page"/>
      </w:r>
    </w:p>
    <w:p w:rsidR="00C11148" w:rsidRDefault="00C11148" w:rsidP="00C11148">
      <w:pPr>
        <w:pStyle w:val="1"/>
        <w:jc w:val="center"/>
        <w:rPr>
          <w:rStyle w:val="1Char"/>
          <w:rFonts w:eastAsia="方正小标宋简体" w:cs="方正小标宋简体"/>
          <w:b/>
        </w:rPr>
      </w:pPr>
      <w:r>
        <w:rPr>
          <w:rFonts w:eastAsia="方正小标宋简体" w:cs="方正小标宋简体" w:hint="eastAsia"/>
          <w:b w:val="0"/>
        </w:rPr>
        <w:lastRenderedPageBreak/>
        <w:t>第一部分</w:t>
      </w:r>
      <w:r>
        <w:rPr>
          <w:rFonts w:eastAsia="方正小标宋简体" w:cs="方正小标宋简体" w:hint="eastAsia"/>
          <w:b w:val="0"/>
        </w:rPr>
        <w:t xml:space="preserve">  </w:t>
      </w:r>
      <w:r>
        <w:rPr>
          <w:rStyle w:val="1Char"/>
          <w:rFonts w:eastAsia="方正小标宋简体" w:cs="方正小标宋简体" w:hint="eastAsia"/>
        </w:rPr>
        <w:t>单位概况</w:t>
      </w:r>
      <w:bookmarkEnd w:id="7"/>
      <w:bookmarkEnd w:id="8"/>
    </w:p>
    <w:p w:rsidR="00C11148" w:rsidRDefault="00C11148" w:rsidP="00C11148">
      <w:pPr>
        <w:widowControl/>
        <w:jc w:val="left"/>
        <w:rPr>
          <w:rFonts w:eastAsia="黑体"/>
          <w:sz w:val="32"/>
          <w:szCs w:val="32"/>
        </w:rPr>
      </w:pPr>
    </w:p>
    <w:p w:rsidR="00C11148" w:rsidRDefault="00C11148" w:rsidP="00C11148">
      <w:pPr>
        <w:pStyle w:val="2"/>
      </w:pPr>
      <w:r>
        <w:rPr>
          <w:rFonts w:ascii="Times New Roman" w:eastAsia="黑体" w:hAnsi="Times New Roman" w:hint="eastAsia"/>
          <w:b w:val="0"/>
        </w:rPr>
        <w:t>一、单位职责</w:t>
      </w:r>
      <w:r>
        <w:rPr>
          <w:rFonts w:ascii="Times New Roman" w:eastAsia="黑体" w:hAnsi="Times New Roman" w:hint="eastAsia"/>
          <w:b w:val="0"/>
        </w:rPr>
        <w:t xml:space="preserve">   </w:t>
      </w:r>
    </w:p>
    <w:p w:rsidR="00C11148" w:rsidRDefault="00C11148" w:rsidP="00C11148">
      <w:pPr>
        <w:ind w:firstLineChars="200" w:firstLine="640"/>
      </w:pPr>
      <w:r>
        <w:rPr>
          <w:rFonts w:ascii="仿宋_GB2312" w:eastAsia="仿宋_GB2312" w:hAnsi="仿宋" w:hint="eastAsia"/>
          <w:sz w:val="32"/>
          <w:szCs w:val="32"/>
        </w:rPr>
        <w:t>创造一流的办学条件，为全市教育现代化服务。主要负责全市电化教育发展规划、年度工作计划，负责对全市中小学现代教育技术的评估、督导和检查工作；负责中小学实验室、计算机室、艺体劳技室和图书室等教育装备及其配套设施的建设、配备、管理和使用；组织开展基于多媒体和网络环境下的学科优质课竞赛，教师自制CAI教学软件和中小学生电脑作品大赛等活动；负责组织中学实验操作考核、高中信息技术毕业会考工作，负责组织全市中小学实验竞赛；指导、评估学校现代教育技术及科研课题的推广应用及研究；负责国家、省、市现代教育技术示范学校和实验教学示范学校的管理、评估；负责农村中小学现代远程教育的管理与应用指导；负责攀枝花市城域网建设、信息资源中心建设、远程教育、视频会议、网络技术、安全维护等工作；具体负责攀枝花市教育新闻的宣传报道工作。</w:t>
      </w:r>
    </w:p>
    <w:p w:rsidR="00C11148" w:rsidRDefault="00C11148" w:rsidP="00C11148">
      <w:pPr>
        <w:pStyle w:val="2"/>
        <w:rPr>
          <w:rFonts w:ascii="Times New Roman" w:eastAsia="黑体" w:hAnsi="Times New Roman"/>
          <w:b w:val="0"/>
        </w:rPr>
      </w:pPr>
      <w:bookmarkStart w:id="9" w:name="_Toc15377200"/>
      <w:bookmarkStart w:id="10" w:name="_Toc15396601"/>
    </w:p>
    <w:p w:rsidR="00C11148" w:rsidRDefault="00C11148" w:rsidP="00C11148">
      <w:pPr>
        <w:pStyle w:val="2"/>
        <w:rPr>
          <w:rStyle w:val="2Char"/>
          <w:rFonts w:ascii="Times New Roman" w:hAnsi="Times New Roman"/>
        </w:rPr>
      </w:pPr>
      <w:r>
        <w:rPr>
          <w:rFonts w:ascii="Times New Roman" w:eastAsia="黑体" w:hAnsi="Times New Roman" w:hint="eastAsia"/>
          <w:b w:val="0"/>
        </w:rPr>
        <w:t>二、机</w:t>
      </w:r>
      <w:r>
        <w:rPr>
          <w:rStyle w:val="2Char"/>
          <w:rFonts w:ascii="Times New Roman" w:eastAsia="黑体" w:hAnsi="Times New Roman" w:hint="eastAsia"/>
        </w:rPr>
        <w:t>构设置</w:t>
      </w:r>
      <w:bookmarkEnd w:id="9"/>
      <w:bookmarkEnd w:id="10"/>
    </w:p>
    <w:p w:rsidR="00C11148" w:rsidRDefault="00C11148" w:rsidP="00C11148">
      <w:pPr>
        <w:ind w:firstLineChars="250" w:firstLine="800"/>
        <w:rPr>
          <w:rFonts w:eastAsia="方正小标宋简体" w:cs="方正小标宋简体"/>
        </w:rPr>
      </w:pPr>
      <w:r>
        <w:rPr>
          <w:rFonts w:ascii="仿宋_GB2312" w:eastAsia="仿宋_GB2312" w:hAnsi="仿宋_GB2312" w:cs="仿宋_GB2312" w:hint="eastAsia"/>
          <w:sz w:val="32"/>
          <w:szCs w:val="32"/>
        </w:rPr>
        <w:t>四川省攀枝花市电化教育（技术装备）中心</w:t>
      </w:r>
      <w:r>
        <w:rPr>
          <w:rFonts w:eastAsia="仿宋_GB2312" w:cs="仿宋_GB2312" w:hint="eastAsia"/>
          <w:sz w:val="32"/>
          <w:szCs w:val="32"/>
        </w:rPr>
        <w:t>下属二级预算单位</w:t>
      </w:r>
      <w:r>
        <w:rPr>
          <w:rFonts w:eastAsia="仿宋_GB2312" w:cs="仿宋_GB2312" w:hint="eastAsia"/>
          <w:sz w:val="32"/>
          <w:szCs w:val="32"/>
        </w:rPr>
        <w:t>0</w:t>
      </w:r>
      <w:r>
        <w:rPr>
          <w:rFonts w:eastAsia="仿宋_GB2312" w:cs="仿宋_GB2312" w:hint="eastAsia"/>
          <w:sz w:val="32"/>
          <w:szCs w:val="32"/>
        </w:rPr>
        <w:t>个，其中行政单位</w:t>
      </w:r>
      <w:r>
        <w:rPr>
          <w:rFonts w:eastAsia="仿宋_GB2312" w:cs="仿宋_GB2312" w:hint="eastAsia"/>
          <w:sz w:val="32"/>
          <w:szCs w:val="32"/>
        </w:rPr>
        <w:t>0</w:t>
      </w:r>
      <w:r>
        <w:rPr>
          <w:rFonts w:eastAsia="仿宋_GB2312" w:cs="仿宋_GB2312" w:hint="eastAsia"/>
          <w:sz w:val="32"/>
          <w:szCs w:val="32"/>
        </w:rPr>
        <w:t>个，参照公务员法管理的事业单位</w:t>
      </w:r>
      <w:r>
        <w:rPr>
          <w:rFonts w:eastAsia="仿宋_GB2312" w:cs="仿宋_GB2312" w:hint="eastAsia"/>
          <w:bCs/>
          <w:sz w:val="32"/>
          <w:szCs w:val="32"/>
        </w:rPr>
        <w:t>0</w:t>
      </w:r>
      <w:r>
        <w:rPr>
          <w:rFonts w:eastAsia="仿宋_GB2312" w:cs="仿宋_GB2312" w:hint="eastAsia"/>
          <w:sz w:val="32"/>
          <w:szCs w:val="32"/>
        </w:rPr>
        <w:t>个，其他事业单位</w:t>
      </w:r>
      <w:r>
        <w:rPr>
          <w:rFonts w:eastAsia="仿宋_GB2312" w:cs="仿宋_GB2312" w:hint="eastAsia"/>
          <w:sz w:val="32"/>
          <w:szCs w:val="32"/>
        </w:rPr>
        <w:t>0</w:t>
      </w:r>
      <w:r>
        <w:rPr>
          <w:rFonts w:eastAsia="仿宋_GB2312" w:cs="仿宋_GB2312" w:hint="eastAsia"/>
          <w:sz w:val="32"/>
          <w:szCs w:val="32"/>
        </w:rPr>
        <w:t>个。</w:t>
      </w:r>
      <w:bookmarkStart w:id="11" w:name="_Toc15396602"/>
      <w:bookmarkStart w:id="12" w:name="_Toc15377204"/>
    </w:p>
    <w:p w:rsidR="00C11148" w:rsidRDefault="00C11148" w:rsidP="00C11148">
      <w:pPr>
        <w:pStyle w:val="1"/>
        <w:jc w:val="center"/>
        <w:rPr>
          <w:rFonts w:eastAsia="方正小标宋简体" w:cs="方正小标宋简体"/>
          <w:b w:val="0"/>
        </w:rPr>
      </w:pPr>
    </w:p>
    <w:p w:rsidR="00C11148" w:rsidRDefault="00C11148" w:rsidP="00C11148">
      <w:pPr>
        <w:pStyle w:val="1"/>
        <w:jc w:val="center"/>
        <w:rPr>
          <w:rFonts w:eastAsia="方正小标宋简体" w:cs="方正小标宋简体"/>
          <w:b w:val="0"/>
        </w:rPr>
      </w:pPr>
    </w:p>
    <w:p w:rsidR="00C11148" w:rsidRDefault="00C11148" w:rsidP="00C11148">
      <w:pPr>
        <w:pStyle w:val="1"/>
        <w:jc w:val="center"/>
        <w:rPr>
          <w:rFonts w:eastAsia="方正小标宋简体" w:cs="方正小标宋简体"/>
          <w:b w:val="0"/>
        </w:rPr>
      </w:pPr>
    </w:p>
    <w:p w:rsidR="00C11148" w:rsidRDefault="00C11148" w:rsidP="00C11148">
      <w:pPr>
        <w:pStyle w:val="1"/>
        <w:jc w:val="center"/>
        <w:rPr>
          <w:rFonts w:eastAsia="方正小标宋简体" w:cs="方正小标宋简体"/>
          <w:b w:val="0"/>
        </w:rPr>
      </w:pPr>
    </w:p>
    <w:p w:rsidR="00C11148" w:rsidRDefault="00C11148" w:rsidP="00C11148">
      <w:pPr>
        <w:rPr>
          <w:rFonts w:eastAsia="方正小标宋简体" w:cs="方正小标宋简体"/>
        </w:rPr>
      </w:pPr>
    </w:p>
    <w:p w:rsidR="00C11148" w:rsidRDefault="00C11148" w:rsidP="00C11148">
      <w:pPr>
        <w:pStyle w:val="a0"/>
        <w:rPr>
          <w:rFonts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20"/>
        <w:ind w:left="420"/>
        <w:rPr>
          <w:rFonts w:ascii="Times New Roman" w:eastAsia="方正小标宋简体" w:cs="方正小标宋简体"/>
        </w:rPr>
      </w:pPr>
    </w:p>
    <w:p w:rsidR="00C11148" w:rsidRDefault="00C11148" w:rsidP="00C11148">
      <w:pPr>
        <w:pStyle w:val="1"/>
        <w:jc w:val="center"/>
        <w:rPr>
          <w:rFonts w:eastAsia="方正小标宋简体" w:cs="方正小标宋简体"/>
          <w:b w:val="0"/>
        </w:rPr>
      </w:pPr>
    </w:p>
    <w:p w:rsidR="00C11148" w:rsidRDefault="00C11148" w:rsidP="00C11148">
      <w:pPr>
        <w:pStyle w:val="1"/>
        <w:jc w:val="center"/>
        <w:rPr>
          <w:rFonts w:eastAsia="方正小标宋简体" w:cs="方正小标宋简体"/>
          <w:b w:val="0"/>
        </w:rPr>
      </w:pPr>
      <w:r>
        <w:rPr>
          <w:rFonts w:eastAsia="方正小标宋简体" w:cs="方正小标宋简体" w:hint="eastAsia"/>
          <w:b w:val="0"/>
        </w:rPr>
        <w:t>第二部分</w:t>
      </w:r>
      <w:r>
        <w:rPr>
          <w:rFonts w:eastAsia="方正小标宋简体" w:cs="方正小标宋简体" w:hint="eastAsia"/>
          <w:b w:val="0"/>
        </w:rPr>
        <w:t xml:space="preserve">  2024</w:t>
      </w:r>
      <w:r>
        <w:rPr>
          <w:rFonts w:eastAsia="方正小标宋简体" w:cs="方正小标宋简体" w:hint="eastAsia"/>
          <w:b w:val="0"/>
        </w:rPr>
        <w:t>年度单位决算情况说明</w:t>
      </w:r>
      <w:bookmarkEnd w:id="11"/>
      <w:bookmarkEnd w:id="12"/>
    </w:p>
    <w:p w:rsidR="00C11148" w:rsidRDefault="00C11148" w:rsidP="00C11148"/>
    <w:p w:rsidR="00C11148" w:rsidRDefault="00C11148" w:rsidP="00C11148">
      <w:pPr>
        <w:pStyle w:val="a8"/>
        <w:spacing w:line="600" w:lineRule="exact"/>
        <w:ind w:firstLine="640"/>
        <w:outlineLvl w:val="1"/>
        <w:rPr>
          <w:rStyle w:val="2Char"/>
          <w:rFonts w:eastAsia="黑体"/>
          <w:b w:val="0"/>
        </w:rPr>
      </w:pPr>
      <w:bookmarkStart w:id="13" w:name="_Toc15396603"/>
      <w:bookmarkStart w:id="14" w:name="_Toc15377205"/>
      <w:r>
        <w:rPr>
          <w:rFonts w:eastAsia="黑体" w:hint="eastAsia"/>
          <w:sz w:val="32"/>
          <w:szCs w:val="32"/>
        </w:rPr>
        <w:t>一、收</w:t>
      </w:r>
      <w:r>
        <w:rPr>
          <w:rStyle w:val="2Char"/>
          <w:rFonts w:eastAsia="黑体" w:hint="eastAsia"/>
        </w:rPr>
        <w:t>入支出决算总体情况说明</w:t>
      </w:r>
      <w:bookmarkEnd w:id="13"/>
      <w:bookmarkEnd w:id="14"/>
    </w:p>
    <w:p w:rsidR="00C11148" w:rsidRDefault="00C11148" w:rsidP="00C11148">
      <w:pPr>
        <w:pStyle w:val="a8"/>
        <w:spacing w:line="600" w:lineRule="exact"/>
        <w:ind w:firstLine="640"/>
        <w:outlineLvl w:val="1"/>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年度收入、支出总计均为</w:t>
      </w:r>
      <w:r>
        <w:rPr>
          <w:rFonts w:ascii="仿宋_GB2312" w:eastAsia="仿宋_GB2312" w:hAnsi="仿宋_GB2312" w:cs="仿宋_GB2312" w:hint="eastAsia"/>
          <w:sz w:val="32"/>
          <w:szCs w:val="32"/>
        </w:rPr>
        <w:t>487.5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年度相比，收入总计减少</w:t>
      </w:r>
      <w:r>
        <w:rPr>
          <w:rFonts w:eastAsia="仿宋_GB2312" w:cs="仿宋_GB2312" w:hint="eastAsia"/>
          <w:sz w:val="32"/>
          <w:szCs w:val="32"/>
        </w:rPr>
        <w:t>145.75</w:t>
      </w:r>
      <w:r>
        <w:rPr>
          <w:rFonts w:eastAsia="仿宋_GB2312" w:cs="仿宋_GB2312" w:hint="eastAsia"/>
          <w:sz w:val="32"/>
          <w:szCs w:val="32"/>
        </w:rPr>
        <w:t>万元，下降</w:t>
      </w:r>
      <w:r>
        <w:rPr>
          <w:rFonts w:eastAsia="仿宋_GB2312" w:cs="仿宋_GB2312" w:hint="eastAsia"/>
          <w:sz w:val="32"/>
          <w:szCs w:val="32"/>
        </w:rPr>
        <w:t>23.02%</w:t>
      </w:r>
      <w:r>
        <w:rPr>
          <w:rFonts w:eastAsia="仿宋_GB2312" w:cs="仿宋_GB2312" w:hint="eastAsia"/>
          <w:sz w:val="32"/>
          <w:szCs w:val="32"/>
        </w:rPr>
        <w:t>、支出</w:t>
      </w:r>
      <w:r w:rsidRPr="00387196">
        <w:rPr>
          <w:rFonts w:eastAsia="仿宋_GB2312" w:cs="仿宋_GB2312" w:hint="eastAsia"/>
          <w:sz w:val="32"/>
          <w:szCs w:val="32"/>
        </w:rPr>
        <w:t>总计减少</w:t>
      </w:r>
      <w:r w:rsidRPr="00387196">
        <w:rPr>
          <w:rFonts w:eastAsia="仿宋_GB2312" w:cs="仿宋_GB2312"/>
          <w:sz w:val="32"/>
          <w:szCs w:val="32"/>
        </w:rPr>
        <w:t>136.71</w:t>
      </w:r>
      <w:r w:rsidRPr="00387196">
        <w:rPr>
          <w:rFonts w:eastAsia="仿宋_GB2312" w:cs="仿宋_GB2312" w:hint="eastAsia"/>
          <w:sz w:val="32"/>
          <w:szCs w:val="32"/>
        </w:rPr>
        <w:t>万元，下降</w:t>
      </w:r>
      <w:r>
        <w:rPr>
          <w:rFonts w:eastAsia="仿宋_GB2312" w:cs="仿宋_GB2312" w:hint="eastAsia"/>
          <w:sz w:val="32"/>
          <w:szCs w:val="32"/>
        </w:rPr>
        <w:t>21.9</w:t>
      </w:r>
      <w:r w:rsidRPr="00387196">
        <w:rPr>
          <w:rFonts w:eastAsia="仿宋_GB2312" w:cs="仿宋_GB2312" w:hint="eastAsia"/>
          <w:sz w:val="32"/>
          <w:szCs w:val="32"/>
        </w:rPr>
        <w:t>%</w:t>
      </w:r>
      <w:r>
        <w:rPr>
          <w:rFonts w:eastAsia="仿宋_GB2312" w:cs="仿宋_GB2312" w:hint="eastAsia"/>
          <w:sz w:val="32"/>
          <w:szCs w:val="32"/>
        </w:rPr>
        <w:t>。主要变动原因</w:t>
      </w:r>
      <w:r w:rsidRPr="009F3A7F">
        <w:rPr>
          <w:rFonts w:eastAsia="仿宋_GB2312" w:cs="仿宋_GB2312" w:hint="eastAsia"/>
          <w:sz w:val="32"/>
          <w:szCs w:val="32"/>
        </w:rPr>
        <w:t>一是</w:t>
      </w:r>
      <w:r>
        <w:rPr>
          <w:rFonts w:eastAsia="仿宋_GB2312" w:cs="仿宋_GB2312" w:hint="eastAsia"/>
          <w:sz w:val="32"/>
          <w:szCs w:val="32"/>
        </w:rPr>
        <w:t>减少</w:t>
      </w:r>
      <w:r>
        <w:rPr>
          <w:rFonts w:eastAsia="仿宋_GB2312" w:cs="仿宋_GB2312" w:hint="eastAsia"/>
          <w:sz w:val="32"/>
          <w:szCs w:val="32"/>
        </w:rPr>
        <w:t>2023</w:t>
      </w:r>
      <w:r>
        <w:rPr>
          <w:rFonts w:eastAsia="仿宋_GB2312" w:cs="仿宋_GB2312" w:hint="eastAsia"/>
          <w:sz w:val="32"/>
          <w:szCs w:val="32"/>
        </w:rPr>
        <w:t>年</w:t>
      </w:r>
      <w:r w:rsidRPr="009F3A7F">
        <w:rPr>
          <w:rFonts w:eastAsia="仿宋_GB2312" w:cs="仿宋_GB2312" w:hint="eastAsia"/>
          <w:sz w:val="32"/>
          <w:szCs w:val="32"/>
        </w:rPr>
        <w:t>清算</w:t>
      </w:r>
      <w:r w:rsidRPr="009F3A7F">
        <w:rPr>
          <w:rFonts w:eastAsia="仿宋_GB2312" w:cs="仿宋_GB2312" w:hint="eastAsia"/>
          <w:sz w:val="32"/>
          <w:szCs w:val="32"/>
        </w:rPr>
        <w:t>2021-2022</w:t>
      </w:r>
      <w:r w:rsidRPr="009F3A7F">
        <w:rPr>
          <w:rFonts w:eastAsia="仿宋_GB2312" w:cs="仿宋_GB2312" w:hint="eastAsia"/>
          <w:sz w:val="32"/>
          <w:szCs w:val="32"/>
        </w:rPr>
        <w:t>年度项目支出</w:t>
      </w:r>
      <w:r w:rsidRPr="009F3A7F">
        <w:rPr>
          <w:rFonts w:eastAsia="仿宋_GB2312" w:cs="仿宋_GB2312" w:hint="eastAsia"/>
          <w:sz w:val="32"/>
          <w:szCs w:val="32"/>
        </w:rPr>
        <w:t>;</w:t>
      </w:r>
      <w:r w:rsidRPr="009F3A7F">
        <w:rPr>
          <w:rFonts w:eastAsia="仿宋_GB2312" w:cs="仿宋_GB2312" w:hint="eastAsia"/>
          <w:sz w:val="32"/>
          <w:szCs w:val="32"/>
        </w:rPr>
        <w:t>二是新进人员</w:t>
      </w:r>
      <w:r w:rsidRPr="009F3A7F">
        <w:rPr>
          <w:rFonts w:eastAsia="仿宋_GB2312" w:cs="仿宋_GB2312" w:hint="eastAsia"/>
          <w:sz w:val="32"/>
          <w:szCs w:val="32"/>
        </w:rPr>
        <w:t>2</w:t>
      </w:r>
      <w:r w:rsidRPr="009F3A7F">
        <w:rPr>
          <w:rFonts w:eastAsia="仿宋_GB2312" w:cs="仿宋_GB2312" w:hint="eastAsia"/>
          <w:sz w:val="32"/>
          <w:szCs w:val="32"/>
        </w:rPr>
        <w:t>人</w:t>
      </w:r>
      <w:r w:rsidRPr="009F3A7F">
        <w:rPr>
          <w:rFonts w:eastAsia="仿宋_GB2312" w:cs="仿宋_GB2312" w:hint="eastAsia"/>
          <w:sz w:val="32"/>
          <w:szCs w:val="32"/>
        </w:rPr>
        <w:t>,</w:t>
      </w:r>
      <w:r>
        <w:rPr>
          <w:rFonts w:eastAsia="仿宋_GB2312" w:cs="仿宋_GB2312" w:hint="eastAsia"/>
          <w:sz w:val="32"/>
          <w:szCs w:val="32"/>
        </w:rPr>
        <w:t>调入</w:t>
      </w:r>
      <w:r>
        <w:rPr>
          <w:rFonts w:eastAsia="仿宋_GB2312" w:cs="仿宋_GB2312" w:hint="eastAsia"/>
          <w:sz w:val="32"/>
          <w:szCs w:val="32"/>
        </w:rPr>
        <w:t>1</w:t>
      </w:r>
      <w:r>
        <w:rPr>
          <w:rFonts w:eastAsia="仿宋_GB2312" w:cs="仿宋_GB2312" w:hint="eastAsia"/>
          <w:sz w:val="32"/>
          <w:szCs w:val="32"/>
        </w:rPr>
        <w:t>人，</w:t>
      </w:r>
      <w:r w:rsidRPr="009F3A7F">
        <w:rPr>
          <w:rFonts w:eastAsia="仿宋_GB2312" w:cs="仿宋_GB2312" w:hint="eastAsia"/>
          <w:sz w:val="32"/>
          <w:szCs w:val="32"/>
        </w:rPr>
        <w:t>增加人员经费及公用经费</w:t>
      </w:r>
      <w:r w:rsidRPr="009F3A7F">
        <w:rPr>
          <w:rFonts w:eastAsia="仿宋_GB2312" w:cs="仿宋_GB2312" w:hint="eastAsia"/>
          <w:sz w:val="32"/>
          <w:szCs w:val="32"/>
        </w:rPr>
        <w:t>;</w:t>
      </w:r>
      <w:r w:rsidRPr="009F3A7F">
        <w:rPr>
          <w:rFonts w:eastAsia="仿宋_GB2312" w:cs="仿宋_GB2312" w:hint="eastAsia"/>
          <w:sz w:val="32"/>
          <w:szCs w:val="32"/>
        </w:rPr>
        <w:t>三是</w:t>
      </w:r>
      <w:r>
        <w:rPr>
          <w:rFonts w:eastAsia="仿宋_GB2312" w:cs="仿宋_GB2312" w:hint="eastAsia"/>
          <w:sz w:val="32"/>
          <w:szCs w:val="32"/>
        </w:rPr>
        <w:t>上年度</w:t>
      </w:r>
      <w:r w:rsidRPr="009F3A7F">
        <w:rPr>
          <w:rFonts w:eastAsia="仿宋_GB2312" w:cs="仿宋_GB2312" w:hint="eastAsia"/>
          <w:sz w:val="32"/>
          <w:szCs w:val="32"/>
        </w:rPr>
        <w:t>结余</w:t>
      </w:r>
      <w:r w:rsidRPr="009F3A7F">
        <w:rPr>
          <w:rFonts w:eastAsia="仿宋_GB2312" w:cs="仿宋_GB2312" w:hint="eastAsia"/>
          <w:sz w:val="32"/>
          <w:szCs w:val="32"/>
        </w:rPr>
        <w:t>9.04</w:t>
      </w:r>
      <w:r w:rsidRPr="009F3A7F">
        <w:rPr>
          <w:rFonts w:eastAsia="仿宋_GB2312" w:cs="仿宋_GB2312" w:hint="eastAsia"/>
          <w:sz w:val="32"/>
          <w:szCs w:val="32"/>
        </w:rPr>
        <w:t>万元</w:t>
      </w:r>
      <w:r>
        <w:rPr>
          <w:rFonts w:eastAsia="仿宋_GB2312" w:cs="仿宋_GB2312" w:hint="eastAsia"/>
          <w:sz w:val="32"/>
          <w:szCs w:val="32"/>
        </w:rPr>
        <w:t>已转入</w:t>
      </w:r>
      <w:r>
        <w:rPr>
          <w:rFonts w:eastAsia="仿宋_GB2312" w:cs="仿宋_GB2312" w:hint="eastAsia"/>
          <w:sz w:val="32"/>
          <w:szCs w:val="32"/>
        </w:rPr>
        <w:t>2024</w:t>
      </w:r>
      <w:r>
        <w:rPr>
          <w:rFonts w:eastAsia="仿宋_GB2312" w:cs="仿宋_GB2312" w:hint="eastAsia"/>
          <w:sz w:val="32"/>
          <w:szCs w:val="32"/>
        </w:rPr>
        <w:t>年考试考务管理项目</w:t>
      </w:r>
      <w:r w:rsidRPr="009F3A7F">
        <w:rPr>
          <w:rFonts w:eastAsia="仿宋_GB2312" w:cs="仿宋_GB2312" w:hint="eastAsia"/>
          <w:sz w:val="32"/>
          <w:szCs w:val="32"/>
        </w:rPr>
        <w:t>预算。</w:t>
      </w:r>
    </w:p>
    <w:p w:rsidR="00C11148" w:rsidRDefault="00C11148" w:rsidP="00C11148">
      <w:pPr>
        <w:pStyle w:val="a8"/>
        <w:spacing w:line="600" w:lineRule="exact"/>
        <w:outlineLvl w:val="1"/>
        <w:rPr>
          <w:rFonts w:eastAsia="仿宋_GB2312" w:cs="仿宋_GB2312"/>
          <w:sz w:val="32"/>
          <w:szCs w:val="32"/>
        </w:rPr>
      </w:pPr>
      <w:r>
        <w:rPr>
          <w:noProof/>
        </w:rPr>
        <w:drawing>
          <wp:anchor distT="0" distB="0" distL="114300" distR="114300" simplePos="0" relativeHeight="251659264" behindDoc="0" locked="0" layoutInCell="1" allowOverlap="1" wp14:anchorId="416A6A89" wp14:editId="2A85D899">
            <wp:simplePos x="0" y="0"/>
            <wp:positionH relativeFrom="column">
              <wp:posOffset>310515</wp:posOffset>
            </wp:positionH>
            <wp:positionV relativeFrom="paragraph">
              <wp:posOffset>295910</wp:posOffset>
            </wp:positionV>
            <wp:extent cx="4572000" cy="2571750"/>
            <wp:effectExtent l="0" t="0" r="19050" b="190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rPr>
          <w:rFonts w:eastAsia="仿宋_GB2312" w:cs="仿宋_GB2312"/>
          <w:sz w:val="32"/>
          <w:szCs w:val="32"/>
        </w:rPr>
      </w:pPr>
    </w:p>
    <w:p w:rsidR="00C11148" w:rsidRDefault="00C11148" w:rsidP="00C11148">
      <w:pPr>
        <w:ind w:firstLineChars="200"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1</w:t>
      </w:r>
      <w:r>
        <w:rPr>
          <w:rFonts w:eastAsia="仿宋_GB2312" w:cs="仿宋_GB2312" w:hint="eastAsia"/>
          <w:sz w:val="32"/>
          <w:szCs w:val="32"/>
        </w:rPr>
        <w:t>：收入、支出决算总计变动情况图）</w:t>
      </w:r>
    </w:p>
    <w:p w:rsidR="00C11148" w:rsidRDefault="00C11148" w:rsidP="00C11148">
      <w:pPr>
        <w:ind w:firstLineChars="200" w:firstLine="640"/>
        <w:rPr>
          <w:rFonts w:eastAsia="仿宋_GB2312" w:cs="仿宋_GB2312"/>
          <w:sz w:val="32"/>
          <w:szCs w:val="32"/>
        </w:rPr>
      </w:pPr>
    </w:p>
    <w:p w:rsidR="00C11148" w:rsidRDefault="00C11148" w:rsidP="00C11148">
      <w:pPr>
        <w:pStyle w:val="a8"/>
        <w:spacing w:line="600" w:lineRule="exact"/>
        <w:ind w:firstLine="640"/>
        <w:outlineLvl w:val="1"/>
        <w:rPr>
          <w:rFonts w:eastAsia="黑体"/>
          <w:sz w:val="32"/>
          <w:szCs w:val="32"/>
        </w:rPr>
      </w:pPr>
      <w:bookmarkStart w:id="15" w:name="_Toc15377206"/>
      <w:bookmarkStart w:id="16" w:name="_Toc15396604"/>
    </w:p>
    <w:p w:rsidR="00C11148" w:rsidRDefault="00C11148" w:rsidP="00C11148">
      <w:pPr>
        <w:pStyle w:val="a8"/>
        <w:spacing w:line="600" w:lineRule="exact"/>
        <w:ind w:firstLine="640"/>
        <w:outlineLvl w:val="1"/>
        <w:rPr>
          <w:rFonts w:eastAsia="黑体"/>
          <w:sz w:val="32"/>
          <w:szCs w:val="32"/>
        </w:rPr>
      </w:pPr>
      <w:r>
        <w:rPr>
          <w:rFonts w:eastAsia="黑体" w:hint="eastAsia"/>
          <w:sz w:val="32"/>
          <w:szCs w:val="32"/>
        </w:rPr>
        <w:lastRenderedPageBreak/>
        <w:t>二、收入决算情况说明</w:t>
      </w:r>
      <w:bookmarkEnd w:id="15"/>
      <w:bookmarkEnd w:id="16"/>
    </w:p>
    <w:p w:rsidR="00C11148" w:rsidRDefault="00C11148" w:rsidP="00C11148">
      <w:pPr>
        <w:pStyle w:val="a8"/>
        <w:spacing w:line="600" w:lineRule="exact"/>
        <w:ind w:firstLine="640"/>
        <w:jc w:val="left"/>
        <w:outlineLvl w:val="1"/>
        <w:rPr>
          <w:rFonts w:eastAsia="仿宋_GB2312" w:cs="仿宋_GB2312"/>
          <w:b/>
          <w:bCs/>
          <w:sz w:val="32"/>
          <w:szCs w:val="32"/>
        </w:rPr>
      </w:pPr>
      <w:r>
        <w:rPr>
          <w:rFonts w:ascii="仿宋_GB2312" w:eastAsia="仿宋_GB2312" w:hAnsi="仿宋_GB2312" w:cs="仿宋_GB2312" w:hint="eastAsia"/>
          <w:sz w:val="32"/>
          <w:szCs w:val="32"/>
        </w:rPr>
        <w:t>2024年度本年收入合计487.5万元，其中：一般公共预算财政拨款收入457.5万元，占93.84%；政府性基金预算财政拨款收入0万元，占0%；国有资本经营预算财政拨款收入0万元，占0%；上级补助收入0万元，占0%；事业收入30万元，占6.15%；经营收入0万元，占0%；附属单位上缴收入0万元，占0%；其他收入0万元，占0%。</w:t>
      </w:r>
    </w:p>
    <w:p w:rsidR="00C11148" w:rsidRDefault="00C11148" w:rsidP="00C11148">
      <w:pPr>
        <w:ind w:firstLineChars="250" w:firstLine="525"/>
        <w:rPr>
          <w:rFonts w:eastAsia="仿宋_GB2312" w:cs="仿宋_GB2312"/>
          <w:sz w:val="32"/>
          <w:szCs w:val="32"/>
        </w:rPr>
      </w:pPr>
      <w:r>
        <w:rPr>
          <w:noProof/>
        </w:rPr>
        <w:drawing>
          <wp:inline distT="0" distB="0" distL="0" distR="0" wp14:anchorId="6BD31C5A" wp14:editId="1CF3A06F">
            <wp:extent cx="4352544" cy="2589581"/>
            <wp:effectExtent l="0" t="0" r="10160"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1148" w:rsidRPr="00F81302" w:rsidRDefault="00C11148" w:rsidP="00C11148">
      <w:pPr>
        <w:ind w:firstLineChars="250" w:firstLine="80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2</w:t>
      </w:r>
      <w:r>
        <w:rPr>
          <w:rFonts w:eastAsia="仿宋_GB2312" w:cs="仿宋_GB2312" w:hint="eastAsia"/>
          <w:sz w:val="32"/>
          <w:szCs w:val="32"/>
        </w:rPr>
        <w:t>：收入决算结构图）</w:t>
      </w:r>
      <w:bookmarkStart w:id="17" w:name="_Toc15396605"/>
      <w:bookmarkStart w:id="18" w:name="_Toc15377207"/>
    </w:p>
    <w:p w:rsidR="00C11148" w:rsidRDefault="00C11148" w:rsidP="00C11148">
      <w:pPr>
        <w:pStyle w:val="a8"/>
        <w:spacing w:line="600" w:lineRule="exact"/>
        <w:ind w:firstLine="640"/>
        <w:outlineLvl w:val="1"/>
        <w:rPr>
          <w:rStyle w:val="2Char"/>
          <w:rFonts w:eastAsia="黑体"/>
          <w:b w:val="0"/>
        </w:rPr>
      </w:pPr>
      <w:r>
        <w:rPr>
          <w:rFonts w:eastAsia="黑体" w:hint="eastAsia"/>
          <w:sz w:val="32"/>
          <w:szCs w:val="32"/>
        </w:rPr>
        <w:t>三、支</w:t>
      </w:r>
      <w:r>
        <w:rPr>
          <w:rStyle w:val="2Char"/>
          <w:rFonts w:eastAsia="黑体" w:hint="eastAsia"/>
        </w:rPr>
        <w:t>出决算情况说明</w:t>
      </w:r>
      <w:bookmarkEnd w:id="17"/>
      <w:bookmarkEnd w:id="18"/>
    </w:p>
    <w:p w:rsidR="00C11148" w:rsidRDefault="00C11148" w:rsidP="00C11148">
      <w:pPr>
        <w:pStyle w:val="a8"/>
        <w:spacing w:line="600" w:lineRule="exact"/>
        <w:ind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2024年度本年支出合计487.5万元，其中：基本支出383.3万元，占78.62%；项目支出104.19万元，占21.37%；上缴上级支出0万元，占0%；经营支出0万元，占0%；对附属单位补助支出0万元，占0%。</w:t>
      </w:r>
    </w:p>
    <w:p w:rsidR="00C11148" w:rsidRDefault="00C11148" w:rsidP="00C11148">
      <w:pPr>
        <w:pStyle w:val="a8"/>
        <w:spacing w:line="600" w:lineRule="exact"/>
        <w:ind w:firstLine="640"/>
        <w:jc w:val="left"/>
        <w:outlineLvl w:val="1"/>
        <w:rPr>
          <w:rFonts w:eastAsia="仿宋_GB2312" w:cs="仿宋_GB2312"/>
          <w:sz w:val="32"/>
          <w:szCs w:val="32"/>
        </w:rPr>
      </w:pPr>
    </w:p>
    <w:p w:rsidR="00C11148" w:rsidRDefault="00C11148" w:rsidP="00C11148">
      <w:pPr>
        <w:ind w:firstLineChars="250" w:firstLine="800"/>
        <w:rPr>
          <w:rFonts w:eastAsia="仿宋_GB2312" w:cs="仿宋_GB2312"/>
          <w:sz w:val="32"/>
          <w:szCs w:val="32"/>
        </w:rPr>
      </w:pPr>
    </w:p>
    <w:p w:rsidR="00C11148" w:rsidRDefault="00C11148" w:rsidP="00C11148">
      <w:pPr>
        <w:ind w:firstLineChars="250" w:firstLine="525"/>
        <w:rPr>
          <w:rFonts w:eastAsia="仿宋_GB2312" w:cs="仿宋_GB2312"/>
          <w:sz w:val="32"/>
          <w:szCs w:val="32"/>
        </w:rPr>
      </w:pPr>
      <w:r>
        <w:rPr>
          <w:noProof/>
        </w:rPr>
        <w:lastRenderedPageBreak/>
        <w:drawing>
          <wp:anchor distT="0" distB="0" distL="114300" distR="114300" simplePos="0" relativeHeight="251660288" behindDoc="0" locked="0" layoutInCell="1" allowOverlap="1" wp14:anchorId="495E7FD7" wp14:editId="495B39D1">
            <wp:simplePos x="0" y="0"/>
            <wp:positionH relativeFrom="column">
              <wp:posOffset>194945</wp:posOffset>
            </wp:positionH>
            <wp:positionV relativeFrom="paragraph">
              <wp:posOffset>-314960</wp:posOffset>
            </wp:positionV>
            <wp:extent cx="4359275" cy="2523490"/>
            <wp:effectExtent l="0" t="0" r="22225" b="101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C11148" w:rsidRDefault="00C11148" w:rsidP="00C11148">
      <w:pPr>
        <w:ind w:firstLineChars="250" w:firstLine="800"/>
        <w:rPr>
          <w:rFonts w:eastAsia="仿宋_GB2312" w:cs="仿宋_GB2312"/>
          <w:sz w:val="32"/>
          <w:szCs w:val="32"/>
        </w:rPr>
      </w:pPr>
    </w:p>
    <w:p w:rsidR="00C11148" w:rsidRDefault="00C11148" w:rsidP="00C11148">
      <w:pPr>
        <w:ind w:firstLineChars="250" w:firstLine="800"/>
        <w:rPr>
          <w:rFonts w:eastAsia="仿宋_GB2312" w:cs="仿宋_GB2312"/>
          <w:sz w:val="32"/>
          <w:szCs w:val="32"/>
        </w:rPr>
      </w:pPr>
    </w:p>
    <w:p w:rsidR="00C11148" w:rsidRDefault="00C11148" w:rsidP="00C11148">
      <w:pPr>
        <w:ind w:firstLineChars="250" w:firstLine="800"/>
        <w:rPr>
          <w:rFonts w:eastAsia="仿宋_GB2312" w:cs="仿宋_GB2312"/>
          <w:sz w:val="32"/>
          <w:szCs w:val="32"/>
        </w:rPr>
      </w:pPr>
    </w:p>
    <w:p w:rsidR="00C11148" w:rsidRDefault="00C11148" w:rsidP="00C11148">
      <w:pPr>
        <w:ind w:firstLineChars="250" w:firstLine="800"/>
        <w:rPr>
          <w:rFonts w:eastAsia="仿宋_GB2312" w:cs="仿宋_GB2312"/>
          <w:sz w:val="32"/>
          <w:szCs w:val="32"/>
        </w:rPr>
      </w:pPr>
    </w:p>
    <w:p w:rsidR="00C11148" w:rsidRDefault="00C11148" w:rsidP="00C11148">
      <w:pPr>
        <w:rPr>
          <w:rFonts w:eastAsia="仿宋_GB2312" w:cs="仿宋_GB2312"/>
          <w:sz w:val="32"/>
          <w:szCs w:val="32"/>
        </w:rPr>
      </w:pPr>
    </w:p>
    <w:p w:rsidR="00C11148" w:rsidRDefault="00C11148" w:rsidP="00C11148">
      <w:pPr>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3</w:t>
      </w:r>
      <w:r>
        <w:rPr>
          <w:rFonts w:eastAsia="仿宋_GB2312" w:cs="仿宋_GB2312" w:hint="eastAsia"/>
          <w:sz w:val="32"/>
          <w:szCs w:val="32"/>
        </w:rPr>
        <w:t>：支出决算结构图）</w:t>
      </w:r>
    </w:p>
    <w:p w:rsidR="00C11148" w:rsidRPr="00F12F3B" w:rsidRDefault="00C11148" w:rsidP="00C11148">
      <w:pPr>
        <w:spacing w:line="600" w:lineRule="exact"/>
        <w:ind w:firstLineChars="200" w:firstLine="640"/>
        <w:outlineLvl w:val="1"/>
        <w:rPr>
          <w:rFonts w:eastAsia="黑体" w:cstheme="majorBidi"/>
          <w:bCs/>
          <w:sz w:val="32"/>
          <w:szCs w:val="32"/>
        </w:rPr>
      </w:pPr>
      <w:bookmarkStart w:id="19" w:name="_Toc15377208"/>
      <w:bookmarkStart w:id="20" w:name="_Toc15396606"/>
      <w:r>
        <w:rPr>
          <w:rFonts w:eastAsia="黑体" w:hint="eastAsia"/>
          <w:sz w:val="32"/>
          <w:szCs w:val="32"/>
        </w:rPr>
        <w:t>四、财</w:t>
      </w:r>
      <w:r>
        <w:rPr>
          <w:rStyle w:val="2Char"/>
          <w:rFonts w:eastAsia="黑体" w:hint="eastAsia"/>
        </w:rPr>
        <w:t>政拨款收入支出决算总体情况说明</w:t>
      </w:r>
      <w:bookmarkEnd w:id="19"/>
      <w:bookmarkEnd w:id="20"/>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年度财政拨款收入、支出总计均为</w:t>
      </w:r>
      <w:r>
        <w:rPr>
          <w:rFonts w:ascii="仿宋_GB2312" w:eastAsia="仿宋_GB2312" w:hAnsi="仿宋_GB2312" w:cs="仿宋_GB2312" w:hint="eastAsia"/>
          <w:sz w:val="32"/>
          <w:szCs w:val="32"/>
        </w:rPr>
        <w:t>457.5</w:t>
      </w:r>
      <w:r>
        <w:rPr>
          <w:rFonts w:eastAsia="仿宋_GB2312" w:cs="仿宋_GB2312" w:hint="eastAsia"/>
          <w:sz w:val="32"/>
          <w:szCs w:val="32"/>
        </w:rPr>
        <w:t>万元。与</w:t>
      </w:r>
      <w:r>
        <w:rPr>
          <w:rFonts w:eastAsia="仿宋_GB2312" w:cs="仿宋_GB2312" w:hint="eastAsia"/>
          <w:sz w:val="32"/>
          <w:szCs w:val="32"/>
        </w:rPr>
        <w:t>2023</w:t>
      </w:r>
      <w:r>
        <w:rPr>
          <w:rFonts w:eastAsia="仿宋_GB2312" w:cs="仿宋_GB2312" w:hint="eastAsia"/>
          <w:sz w:val="32"/>
          <w:szCs w:val="32"/>
        </w:rPr>
        <w:t>年度相比，财政拨款收入总计、支出总计各减少</w:t>
      </w:r>
      <w:r>
        <w:rPr>
          <w:rFonts w:eastAsia="仿宋_GB2312" w:cs="仿宋_GB2312" w:hint="eastAsia"/>
          <w:sz w:val="32"/>
          <w:szCs w:val="32"/>
        </w:rPr>
        <w:t>149.63</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Pr>
          <w:rFonts w:eastAsia="仿宋_GB2312" w:cs="仿宋_GB2312" w:hint="eastAsia"/>
          <w:sz w:val="32"/>
          <w:szCs w:val="32"/>
        </w:rPr>
        <w:t>24.65%</w:t>
      </w:r>
      <w:r>
        <w:rPr>
          <w:rFonts w:eastAsia="仿宋_GB2312" w:cs="仿宋_GB2312" w:hint="eastAsia"/>
          <w:sz w:val="32"/>
          <w:szCs w:val="32"/>
        </w:rPr>
        <w:t>。主要变动原因</w:t>
      </w:r>
      <w:r w:rsidRPr="00F12F3B">
        <w:rPr>
          <w:rFonts w:eastAsia="仿宋_GB2312" w:cs="仿宋_GB2312" w:hint="eastAsia"/>
          <w:sz w:val="32"/>
          <w:szCs w:val="32"/>
        </w:rPr>
        <w:t>一是减少</w:t>
      </w:r>
      <w:r w:rsidRPr="00F12F3B">
        <w:rPr>
          <w:rFonts w:eastAsia="仿宋_GB2312" w:cs="仿宋_GB2312" w:hint="eastAsia"/>
          <w:sz w:val="32"/>
          <w:szCs w:val="32"/>
        </w:rPr>
        <w:t>2023</w:t>
      </w:r>
      <w:r w:rsidRPr="00F12F3B">
        <w:rPr>
          <w:rFonts w:eastAsia="仿宋_GB2312" w:cs="仿宋_GB2312" w:hint="eastAsia"/>
          <w:sz w:val="32"/>
          <w:szCs w:val="32"/>
        </w:rPr>
        <w:t>年清算</w:t>
      </w:r>
      <w:r w:rsidRPr="00F12F3B">
        <w:rPr>
          <w:rFonts w:eastAsia="仿宋_GB2312" w:cs="仿宋_GB2312" w:hint="eastAsia"/>
          <w:sz w:val="32"/>
          <w:szCs w:val="32"/>
        </w:rPr>
        <w:t>2021-2022</w:t>
      </w:r>
      <w:r w:rsidRPr="00F12F3B">
        <w:rPr>
          <w:rFonts w:eastAsia="仿宋_GB2312" w:cs="仿宋_GB2312" w:hint="eastAsia"/>
          <w:sz w:val="32"/>
          <w:szCs w:val="32"/>
        </w:rPr>
        <w:t>年度项目支出</w:t>
      </w:r>
      <w:r w:rsidRPr="00F12F3B">
        <w:rPr>
          <w:rFonts w:eastAsia="仿宋_GB2312" w:cs="仿宋_GB2312" w:hint="eastAsia"/>
          <w:sz w:val="32"/>
          <w:szCs w:val="32"/>
        </w:rPr>
        <w:t>;</w:t>
      </w:r>
      <w:r w:rsidRPr="00F12F3B">
        <w:rPr>
          <w:rFonts w:eastAsia="仿宋_GB2312" w:cs="仿宋_GB2312" w:hint="eastAsia"/>
          <w:sz w:val="32"/>
          <w:szCs w:val="32"/>
        </w:rPr>
        <w:t>二是新进人员</w:t>
      </w:r>
      <w:r w:rsidRPr="00F12F3B">
        <w:rPr>
          <w:rFonts w:eastAsia="仿宋_GB2312" w:cs="仿宋_GB2312" w:hint="eastAsia"/>
          <w:sz w:val="32"/>
          <w:szCs w:val="32"/>
        </w:rPr>
        <w:t>2</w:t>
      </w:r>
      <w:r w:rsidRPr="00F12F3B">
        <w:rPr>
          <w:rFonts w:eastAsia="仿宋_GB2312" w:cs="仿宋_GB2312" w:hint="eastAsia"/>
          <w:sz w:val="32"/>
          <w:szCs w:val="32"/>
        </w:rPr>
        <w:t>人</w:t>
      </w:r>
      <w:r w:rsidRPr="00F12F3B">
        <w:rPr>
          <w:rFonts w:eastAsia="仿宋_GB2312" w:cs="仿宋_GB2312" w:hint="eastAsia"/>
          <w:sz w:val="32"/>
          <w:szCs w:val="32"/>
        </w:rPr>
        <w:t>,</w:t>
      </w:r>
      <w:r w:rsidRPr="00F12F3B">
        <w:rPr>
          <w:rFonts w:eastAsia="仿宋_GB2312" w:cs="仿宋_GB2312" w:hint="eastAsia"/>
          <w:sz w:val="32"/>
          <w:szCs w:val="32"/>
        </w:rPr>
        <w:t>调入</w:t>
      </w:r>
      <w:r w:rsidRPr="00F12F3B">
        <w:rPr>
          <w:rFonts w:eastAsia="仿宋_GB2312" w:cs="仿宋_GB2312" w:hint="eastAsia"/>
          <w:sz w:val="32"/>
          <w:szCs w:val="32"/>
        </w:rPr>
        <w:t>1</w:t>
      </w:r>
      <w:r w:rsidRPr="00F12F3B">
        <w:rPr>
          <w:rFonts w:eastAsia="仿宋_GB2312" w:cs="仿宋_GB2312" w:hint="eastAsia"/>
          <w:sz w:val="32"/>
          <w:szCs w:val="32"/>
        </w:rPr>
        <w:t>人，增加人员经费及公用经费</w:t>
      </w:r>
      <w:r w:rsidRPr="00F12F3B">
        <w:rPr>
          <w:rFonts w:eastAsia="仿宋_GB2312" w:cs="仿宋_GB2312" w:hint="eastAsia"/>
          <w:sz w:val="32"/>
          <w:szCs w:val="32"/>
        </w:rPr>
        <w:t>;</w:t>
      </w:r>
    </w:p>
    <w:p w:rsidR="00C11148" w:rsidRDefault="00C11148" w:rsidP="00C11148">
      <w:pPr>
        <w:spacing w:line="600" w:lineRule="exact"/>
        <w:ind w:firstLineChars="200" w:firstLine="420"/>
        <w:rPr>
          <w:rFonts w:eastAsia="仿宋_GB2312" w:cs="仿宋_GB2312"/>
          <w:sz w:val="32"/>
          <w:szCs w:val="32"/>
        </w:rPr>
      </w:pPr>
      <w:r>
        <w:rPr>
          <w:noProof/>
        </w:rPr>
        <w:drawing>
          <wp:anchor distT="0" distB="0" distL="114300" distR="114300" simplePos="0" relativeHeight="251661312" behindDoc="0" locked="0" layoutInCell="1" allowOverlap="1" wp14:anchorId="4BC5D12E" wp14:editId="7EF6ABC5">
            <wp:simplePos x="0" y="0"/>
            <wp:positionH relativeFrom="column">
              <wp:posOffset>539115</wp:posOffset>
            </wp:positionH>
            <wp:positionV relativeFrom="paragraph">
              <wp:posOffset>111760</wp:posOffset>
            </wp:positionV>
            <wp:extent cx="3942715" cy="2787015"/>
            <wp:effectExtent l="0" t="0" r="1968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C11148" w:rsidRDefault="00C11148" w:rsidP="00C11148">
      <w:pPr>
        <w:spacing w:line="600" w:lineRule="exact"/>
        <w:ind w:firstLineChars="200" w:firstLine="640"/>
        <w:rPr>
          <w:rFonts w:eastAsia="仿宋_GB2312" w:cs="仿宋_GB2312"/>
          <w:sz w:val="32"/>
          <w:szCs w:val="32"/>
        </w:rPr>
      </w:pPr>
    </w:p>
    <w:p w:rsidR="00C11148" w:rsidRDefault="00C11148" w:rsidP="00C11148">
      <w:pPr>
        <w:spacing w:line="600" w:lineRule="exact"/>
        <w:ind w:firstLineChars="200" w:firstLine="640"/>
        <w:rPr>
          <w:rFonts w:eastAsia="仿宋_GB2312" w:cs="仿宋_GB2312"/>
          <w:sz w:val="32"/>
          <w:szCs w:val="32"/>
        </w:rPr>
      </w:pPr>
    </w:p>
    <w:p w:rsidR="00C11148" w:rsidRDefault="00C11148" w:rsidP="00C11148">
      <w:pPr>
        <w:spacing w:line="600" w:lineRule="exact"/>
        <w:ind w:firstLineChars="200" w:firstLine="640"/>
        <w:rPr>
          <w:rFonts w:eastAsia="仿宋_GB2312" w:cs="仿宋_GB2312"/>
          <w:sz w:val="32"/>
          <w:szCs w:val="32"/>
        </w:rPr>
      </w:pPr>
    </w:p>
    <w:p w:rsidR="00C11148" w:rsidRDefault="00C11148" w:rsidP="00C11148">
      <w:pPr>
        <w:spacing w:line="600" w:lineRule="exact"/>
        <w:ind w:firstLineChars="200" w:firstLine="640"/>
        <w:rPr>
          <w:rFonts w:eastAsia="仿宋_GB2312" w:cs="仿宋_GB2312"/>
          <w:sz w:val="32"/>
          <w:szCs w:val="32"/>
        </w:rPr>
      </w:pPr>
    </w:p>
    <w:p w:rsidR="00C11148" w:rsidRDefault="00C11148" w:rsidP="00C11148">
      <w:pPr>
        <w:spacing w:line="600" w:lineRule="exact"/>
        <w:ind w:firstLineChars="200" w:firstLine="640"/>
        <w:rPr>
          <w:rFonts w:eastAsia="仿宋_GB2312" w:cs="仿宋_GB2312"/>
          <w:sz w:val="32"/>
          <w:szCs w:val="32"/>
        </w:rPr>
      </w:pPr>
    </w:p>
    <w:p w:rsidR="00C11148" w:rsidRDefault="00C11148" w:rsidP="00C11148">
      <w:pPr>
        <w:spacing w:line="600" w:lineRule="exact"/>
        <w:ind w:firstLineChars="200" w:firstLine="640"/>
        <w:rPr>
          <w:rFonts w:eastAsia="仿宋_GB2312" w:cs="仿宋_GB2312"/>
          <w:sz w:val="32"/>
          <w:szCs w:val="32"/>
        </w:rPr>
      </w:pPr>
    </w:p>
    <w:p w:rsidR="00C11148" w:rsidRPr="00F81302" w:rsidRDefault="00C11148" w:rsidP="00C11148">
      <w:pPr>
        <w:spacing w:line="600" w:lineRule="exact"/>
        <w:ind w:firstLineChars="200"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4</w:t>
      </w:r>
      <w:r>
        <w:rPr>
          <w:rFonts w:eastAsia="仿宋_GB2312" w:cs="仿宋_GB2312" w:hint="eastAsia"/>
          <w:sz w:val="32"/>
          <w:szCs w:val="32"/>
        </w:rPr>
        <w:t>：财政拨款收、支决算总计变动情况）</w:t>
      </w:r>
      <w:bookmarkStart w:id="21" w:name="_Toc15396607"/>
      <w:bookmarkStart w:id="22" w:name="_Toc15377209"/>
    </w:p>
    <w:p w:rsidR="00C11148" w:rsidRDefault="00C11148" w:rsidP="00C11148">
      <w:pPr>
        <w:spacing w:line="600" w:lineRule="exact"/>
        <w:ind w:firstLineChars="200" w:firstLine="640"/>
        <w:outlineLvl w:val="1"/>
        <w:rPr>
          <w:rStyle w:val="2Char"/>
          <w:rFonts w:eastAsia="黑体"/>
          <w:b w:val="0"/>
        </w:rPr>
      </w:pPr>
      <w:r>
        <w:rPr>
          <w:rFonts w:eastAsia="黑体" w:hint="eastAsia"/>
          <w:sz w:val="32"/>
          <w:szCs w:val="32"/>
        </w:rPr>
        <w:lastRenderedPageBreak/>
        <w:t>五、</w:t>
      </w:r>
      <w:r>
        <w:rPr>
          <w:rFonts w:eastAsia="黑体" w:hint="eastAsia"/>
          <w:b/>
          <w:sz w:val="32"/>
          <w:szCs w:val="32"/>
        </w:rPr>
        <w:t>一</w:t>
      </w:r>
      <w:r>
        <w:rPr>
          <w:rStyle w:val="2Char"/>
          <w:rFonts w:eastAsia="黑体" w:hint="eastAsia"/>
        </w:rPr>
        <w:t>般公共预算财政拨款支出决算情况说明</w:t>
      </w:r>
      <w:bookmarkEnd w:id="21"/>
      <w:bookmarkEnd w:id="22"/>
    </w:p>
    <w:p w:rsidR="00C11148" w:rsidRDefault="00C11148" w:rsidP="00C11148">
      <w:pPr>
        <w:spacing w:line="600" w:lineRule="exact"/>
        <w:ind w:firstLineChars="200" w:firstLine="643"/>
        <w:outlineLvl w:val="2"/>
        <w:rPr>
          <w:rFonts w:eastAsia="楷体_GB2312" w:cs="楷体_GB2312"/>
          <w:b/>
          <w:sz w:val="32"/>
          <w:szCs w:val="32"/>
        </w:rPr>
      </w:pPr>
      <w:bookmarkStart w:id="23" w:name="_Toc15377210"/>
      <w:r>
        <w:rPr>
          <w:rFonts w:eastAsia="楷体_GB2312" w:cs="楷体_GB2312" w:hint="eastAsia"/>
          <w:b/>
          <w:sz w:val="32"/>
          <w:szCs w:val="32"/>
        </w:rPr>
        <w:t>（一）一般公共预算财政拨款支出决算总体情况</w:t>
      </w:r>
      <w:bookmarkEnd w:id="23"/>
    </w:p>
    <w:p w:rsidR="00C11148" w:rsidRDefault="00C11148" w:rsidP="00C11148">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2024年度一般公共预算财政拨款支出457.5万元，占本年支出合计的93.84%。与2023年度相比，一般公共预算财政拨款支出减少149.63万元，下降24.65%。主要变动原因</w:t>
      </w:r>
      <w:r w:rsidRPr="00827C83">
        <w:rPr>
          <w:rFonts w:ascii="仿宋_GB2312" w:eastAsia="仿宋_GB2312" w:hAnsi="仿宋_GB2312" w:cs="仿宋_GB2312" w:hint="eastAsia"/>
          <w:sz w:val="32"/>
          <w:szCs w:val="32"/>
        </w:rPr>
        <w:t>一是减少2023年清算2021-2022年度项目支出;二是新进人员2人,调入1人，增加人员经费及公用经费;</w:t>
      </w: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r>
        <w:rPr>
          <w:noProof/>
        </w:rPr>
        <w:drawing>
          <wp:anchor distT="0" distB="0" distL="114300" distR="114300" simplePos="0" relativeHeight="251662336" behindDoc="0" locked="0" layoutInCell="1" allowOverlap="1" wp14:anchorId="5828B181" wp14:editId="2C2E9554">
            <wp:simplePos x="0" y="0"/>
            <wp:positionH relativeFrom="column">
              <wp:posOffset>282575</wp:posOffset>
            </wp:positionH>
            <wp:positionV relativeFrom="paragraph">
              <wp:posOffset>198755</wp:posOffset>
            </wp:positionV>
            <wp:extent cx="4432935" cy="2743200"/>
            <wp:effectExtent l="0" t="0" r="24765" b="1905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5</w:t>
      </w:r>
      <w:r>
        <w:rPr>
          <w:rFonts w:eastAsia="仿宋_GB2312" w:cs="仿宋_GB2312" w:hint="eastAsia"/>
          <w:sz w:val="32"/>
          <w:szCs w:val="32"/>
        </w:rPr>
        <w:t>：一般公共预算财政拨款支出决算变动情况）</w:t>
      </w:r>
    </w:p>
    <w:p w:rsidR="00C11148" w:rsidRDefault="00C11148" w:rsidP="00C11148">
      <w:pPr>
        <w:spacing w:line="600" w:lineRule="exact"/>
        <w:ind w:firstLineChars="200" w:firstLine="643"/>
        <w:outlineLvl w:val="2"/>
        <w:rPr>
          <w:rFonts w:eastAsia="楷体_GB2312" w:cs="楷体_GB2312"/>
          <w:b/>
          <w:sz w:val="32"/>
          <w:szCs w:val="32"/>
        </w:rPr>
      </w:pPr>
      <w:bookmarkStart w:id="24" w:name="_Toc15377211"/>
    </w:p>
    <w:p w:rsidR="00C11148" w:rsidRDefault="00C11148" w:rsidP="00C11148">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（二）一般公共预算财政拨款支出决算结构情况</w:t>
      </w:r>
      <w:bookmarkEnd w:id="24"/>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年度一般公共预算财政拨款支出</w:t>
      </w:r>
      <w:r>
        <w:rPr>
          <w:rFonts w:ascii="仿宋_GB2312" w:eastAsia="仿宋_GB2312" w:hAnsi="仿宋_GB2312" w:cs="仿宋_GB2312" w:hint="eastAsia"/>
          <w:sz w:val="32"/>
          <w:szCs w:val="32"/>
        </w:rPr>
        <w:t>457.5万元</w:t>
      </w:r>
      <w:r>
        <w:rPr>
          <w:rFonts w:eastAsia="仿宋_GB2312" w:cs="仿宋_GB2312" w:hint="eastAsia"/>
          <w:sz w:val="32"/>
          <w:szCs w:val="32"/>
        </w:rPr>
        <w:t>，主要用于以下方面：</w:t>
      </w:r>
      <w:r w:rsidRPr="00827C83">
        <w:rPr>
          <w:rFonts w:eastAsia="仿宋_GB2312" w:cs="仿宋_GB2312" w:hint="eastAsia"/>
          <w:sz w:val="32"/>
          <w:szCs w:val="32"/>
        </w:rPr>
        <w:t>教育支出</w:t>
      </w:r>
      <w:r>
        <w:rPr>
          <w:rFonts w:eastAsia="仿宋_GB2312" w:cs="仿宋_GB2312" w:hint="eastAsia"/>
          <w:sz w:val="32"/>
          <w:szCs w:val="32"/>
        </w:rPr>
        <w:t>350.61</w:t>
      </w:r>
      <w:r w:rsidRPr="00827C83">
        <w:rPr>
          <w:rFonts w:eastAsia="仿宋_GB2312" w:cs="仿宋_GB2312" w:hint="eastAsia"/>
          <w:sz w:val="32"/>
          <w:szCs w:val="32"/>
        </w:rPr>
        <w:t>万元，占</w:t>
      </w:r>
      <w:r>
        <w:rPr>
          <w:rFonts w:eastAsia="仿宋_GB2312" w:cs="仿宋_GB2312" w:hint="eastAsia"/>
          <w:sz w:val="32"/>
          <w:szCs w:val="32"/>
        </w:rPr>
        <w:t>76.64</w:t>
      </w:r>
      <w:r w:rsidRPr="00827C83">
        <w:rPr>
          <w:rFonts w:eastAsia="仿宋_GB2312" w:cs="仿宋_GB2312" w:hint="eastAsia"/>
          <w:sz w:val="32"/>
          <w:szCs w:val="32"/>
        </w:rPr>
        <w:t>%</w:t>
      </w:r>
      <w:r w:rsidRPr="00827C83">
        <w:rPr>
          <w:rFonts w:eastAsia="仿宋_GB2312" w:cs="仿宋_GB2312" w:hint="eastAsia"/>
          <w:sz w:val="32"/>
          <w:szCs w:val="32"/>
        </w:rPr>
        <w:t>；社会保障和就业支出</w:t>
      </w:r>
      <w:r>
        <w:rPr>
          <w:rFonts w:eastAsia="仿宋_GB2312" w:cs="仿宋_GB2312" w:hint="eastAsia"/>
          <w:sz w:val="32"/>
          <w:szCs w:val="32"/>
        </w:rPr>
        <w:t>63.31</w:t>
      </w:r>
      <w:r w:rsidRPr="00827C83">
        <w:rPr>
          <w:rFonts w:eastAsia="仿宋_GB2312" w:cs="仿宋_GB2312" w:hint="eastAsia"/>
          <w:sz w:val="32"/>
          <w:szCs w:val="32"/>
        </w:rPr>
        <w:t>万元，占</w:t>
      </w:r>
      <w:r>
        <w:rPr>
          <w:rFonts w:eastAsia="仿宋_GB2312" w:cs="仿宋_GB2312" w:hint="eastAsia"/>
          <w:sz w:val="32"/>
          <w:szCs w:val="32"/>
        </w:rPr>
        <w:t>13.84</w:t>
      </w:r>
      <w:r w:rsidRPr="00827C83">
        <w:rPr>
          <w:rFonts w:eastAsia="仿宋_GB2312" w:cs="仿宋_GB2312" w:hint="eastAsia"/>
          <w:sz w:val="32"/>
          <w:szCs w:val="32"/>
        </w:rPr>
        <w:t>%</w:t>
      </w:r>
      <w:r w:rsidRPr="00827C83">
        <w:rPr>
          <w:rFonts w:eastAsia="仿宋_GB2312" w:cs="仿宋_GB2312" w:hint="eastAsia"/>
          <w:sz w:val="32"/>
          <w:szCs w:val="32"/>
        </w:rPr>
        <w:t>；卫生健康支出</w:t>
      </w:r>
      <w:r>
        <w:rPr>
          <w:rFonts w:eastAsia="仿宋_GB2312" w:cs="仿宋_GB2312" w:hint="eastAsia"/>
          <w:sz w:val="32"/>
          <w:szCs w:val="32"/>
        </w:rPr>
        <w:t>18.40</w:t>
      </w:r>
      <w:r w:rsidRPr="00827C83">
        <w:rPr>
          <w:rFonts w:eastAsia="仿宋_GB2312" w:cs="仿宋_GB2312" w:hint="eastAsia"/>
          <w:sz w:val="32"/>
          <w:szCs w:val="32"/>
        </w:rPr>
        <w:t>万元，占</w:t>
      </w:r>
      <w:r>
        <w:rPr>
          <w:rFonts w:eastAsia="仿宋_GB2312" w:cs="仿宋_GB2312" w:hint="eastAsia"/>
          <w:sz w:val="32"/>
          <w:szCs w:val="32"/>
        </w:rPr>
        <w:t>4.02</w:t>
      </w:r>
      <w:r w:rsidRPr="00827C83">
        <w:rPr>
          <w:rFonts w:eastAsia="仿宋_GB2312" w:cs="仿宋_GB2312" w:hint="eastAsia"/>
          <w:sz w:val="32"/>
          <w:szCs w:val="32"/>
        </w:rPr>
        <w:t>%</w:t>
      </w:r>
      <w:r w:rsidRPr="00827C83">
        <w:rPr>
          <w:rFonts w:eastAsia="仿宋_GB2312" w:cs="仿宋_GB2312" w:hint="eastAsia"/>
          <w:sz w:val="32"/>
          <w:szCs w:val="32"/>
        </w:rPr>
        <w:t>；住房保障支出</w:t>
      </w:r>
      <w:r>
        <w:rPr>
          <w:rFonts w:eastAsia="仿宋_GB2312" w:cs="仿宋_GB2312" w:hint="eastAsia"/>
          <w:sz w:val="32"/>
          <w:szCs w:val="32"/>
        </w:rPr>
        <w:t>25.18</w:t>
      </w:r>
      <w:r w:rsidRPr="00827C83">
        <w:rPr>
          <w:rFonts w:eastAsia="仿宋_GB2312" w:cs="仿宋_GB2312" w:hint="eastAsia"/>
          <w:sz w:val="32"/>
          <w:szCs w:val="32"/>
        </w:rPr>
        <w:t>万元，占</w:t>
      </w:r>
      <w:r>
        <w:rPr>
          <w:rFonts w:eastAsia="仿宋_GB2312" w:cs="仿宋_GB2312" w:hint="eastAsia"/>
          <w:sz w:val="32"/>
          <w:szCs w:val="32"/>
        </w:rPr>
        <w:t>5.5</w:t>
      </w:r>
      <w:r w:rsidRPr="00827C83">
        <w:rPr>
          <w:rFonts w:eastAsia="仿宋_GB2312" w:cs="仿宋_GB2312" w:hint="eastAsia"/>
          <w:sz w:val="32"/>
          <w:szCs w:val="32"/>
        </w:rPr>
        <w:t>%</w:t>
      </w:r>
      <w:r w:rsidRPr="00827C83">
        <w:rPr>
          <w:rFonts w:eastAsia="仿宋_GB2312" w:cs="仿宋_GB2312" w:hint="eastAsia"/>
          <w:sz w:val="32"/>
          <w:szCs w:val="32"/>
        </w:rPr>
        <w:t>。</w:t>
      </w:r>
    </w:p>
    <w:p w:rsidR="00C11148" w:rsidRDefault="00C11148" w:rsidP="00C11148">
      <w:pPr>
        <w:spacing w:line="600" w:lineRule="exact"/>
        <w:ind w:firstLine="640"/>
        <w:rPr>
          <w:rFonts w:eastAsia="仿宋_GB2312" w:cs="仿宋_GB2312"/>
          <w:sz w:val="32"/>
          <w:szCs w:val="32"/>
        </w:rPr>
      </w:pPr>
      <w:r>
        <w:rPr>
          <w:noProof/>
        </w:rPr>
        <w:lastRenderedPageBreak/>
        <w:drawing>
          <wp:anchor distT="0" distB="0" distL="114300" distR="114300" simplePos="0" relativeHeight="251663360" behindDoc="0" locked="0" layoutInCell="1" allowOverlap="1" wp14:anchorId="12238DD6" wp14:editId="790507CE">
            <wp:simplePos x="0" y="0"/>
            <wp:positionH relativeFrom="column">
              <wp:posOffset>707390</wp:posOffset>
            </wp:positionH>
            <wp:positionV relativeFrom="paragraph">
              <wp:posOffset>-241935</wp:posOffset>
            </wp:positionV>
            <wp:extent cx="4469130" cy="2837815"/>
            <wp:effectExtent l="0" t="0" r="26670" b="1968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11148" w:rsidRDefault="00C11148" w:rsidP="00C11148">
      <w:pPr>
        <w:pStyle w:val="a0"/>
      </w:pPr>
    </w:p>
    <w:p w:rsidR="00C11148" w:rsidRDefault="00C11148" w:rsidP="00C11148">
      <w:pPr>
        <w:pStyle w:val="20"/>
        <w:ind w:left="420"/>
      </w:pPr>
    </w:p>
    <w:p w:rsidR="00C11148" w:rsidRDefault="00C11148" w:rsidP="00C11148">
      <w:pPr>
        <w:pStyle w:val="20"/>
        <w:ind w:left="420"/>
      </w:pPr>
    </w:p>
    <w:p w:rsidR="00C11148" w:rsidRPr="00827C83" w:rsidRDefault="00C11148" w:rsidP="00C11148">
      <w:pPr>
        <w:pStyle w:val="20"/>
        <w:ind w:left="420"/>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rPr>
          <w:rFonts w:eastAsia="仿宋_GB2312" w:cs="仿宋_GB2312"/>
          <w:sz w:val="32"/>
          <w:szCs w:val="32"/>
        </w:rPr>
      </w:pPr>
    </w:p>
    <w:p w:rsidR="00C11148" w:rsidRDefault="00C11148" w:rsidP="00C11148">
      <w:pPr>
        <w:spacing w:line="600" w:lineRule="exact"/>
        <w:ind w:firstLine="640"/>
        <w:jc w:val="center"/>
        <w:rPr>
          <w:rFonts w:eastAsia="仿宋_GB2312" w:cs="仿宋_GB2312"/>
          <w:sz w:val="32"/>
          <w:szCs w:val="32"/>
        </w:rPr>
      </w:pPr>
    </w:p>
    <w:p w:rsidR="00C11148" w:rsidRDefault="00C11148" w:rsidP="00C11148">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6</w:t>
      </w:r>
      <w:r>
        <w:rPr>
          <w:rFonts w:eastAsia="仿宋_GB2312" w:cs="仿宋_GB2312" w:hint="eastAsia"/>
          <w:sz w:val="32"/>
          <w:szCs w:val="32"/>
        </w:rPr>
        <w:t>：一般公共预算财政拨款支出决算结构）</w:t>
      </w:r>
    </w:p>
    <w:p w:rsidR="00C11148" w:rsidRDefault="00C11148" w:rsidP="00C11148">
      <w:pPr>
        <w:spacing w:line="600" w:lineRule="exact"/>
        <w:ind w:firstLineChars="200" w:firstLine="643"/>
        <w:outlineLvl w:val="2"/>
        <w:rPr>
          <w:rFonts w:eastAsia="楷体_GB2312" w:cs="楷体_GB2312"/>
          <w:b/>
          <w:sz w:val="32"/>
          <w:szCs w:val="32"/>
        </w:rPr>
      </w:pPr>
      <w:bookmarkStart w:id="25" w:name="_Toc15377212"/>
      <w:r>
        <w:rPr>
          <w:rFonts w:eastAsia="楷体_GB2312" w:cs="楷体_GB2312" w:hint="eastAsia"/>
          <w:b/>
          <w:sz w:val="32"/>
          <w:szCs w:val="32"/>
        </w:rPr>
        <w:t>（三）一般公共预算财政拨款支出决算具体情况</w:t>
      </w:r>
      <w:bookmarkEnd w:id="25"/>
    </w:p>
    <w:p w:rsidR="00C11148" w:rsidRDefault="00C11148" w:rsidP="00C11148">
      <w:pPr>
        <w:spacing w:line="600" w:lineRule="exact"/>
        <w:ind w:firstLine="640"/>
        <w:rPr>
          <w:rFonts w:eastAsia="仿宋_GB2312" w:cs="仿宋_GB2312"/>
          <w:sz w:val="32"/>
          <w:szCs w:val="32"/>
        </w:rPr>
      </w:pPr>
      <w:bookmarkStart w:id="26" w:name="_Toc15377213"/>
      <w:bookmarkStart w:id="27" w:name="_Toc15377444"/>
      <w:bookmarkStart w:id="28" w:name="_Toc15378460"/>
      <w:r>
        <w:rPr>
          <w:rFonts w:eastAsia="仿宋_GB2312" w:cs="仿宋_GB2312" w:hint="eastAsia"/>
          <w:sz w:val="32"/>
          <w:szCs w:val="32"/>
        </w:rPr>
        <w:t>2024</w:t>
      </w:r>
      <w:r>
        <w:rPr>
          <w:rFonts w:eastAsia="仿宋_GB2312" w:cs="仿宋_GB2312" w:hint="eastAsia"/>
          <w:sz w:val="32"/>
          <w:szCs w:val="32"/>
        </w:rPr>
        <w:t>年度一般公共预算财政拨款支出决算数为</w:t>
      </w:r>
      <w:r>
        <w:rPr>
          <w:rFonts w:ascii="仿宋_GB2312" w:eastAsia="仿宋_GB2312" w:hAnsi="仿宋_GB2312" w:cs="仿宋_GB2312" w:hint="eastAsia"/>
          <w:sz w:val="32"/>
          <w:szCs w:val="32"/>
        </w:rPr>
        <w:t>457.5，</w:t>
      </w:r>
      <w:r>
        <w:rPr>
          <w:rFonts w:eastAsia="仿宋_GB2312" w:cs="仿宋_GB2312" w:hint="eastAsia"/>
          <w:sz w:val="32"/>
          <w:szCs w:val="32"/>
        </w:rPr>
        <w:t>完成预算</w:t>
      </w:r>
      <w:r>
        <w:rPr>
          <w:rFonts w:eastAsia="仿宋_GB2312" w:cs="仿宋_GB2312" w:hint="eastAsia"/>
          <w:sz w:val="32"/>
          <w:szCs w:val="32"/>
        </w:rPr>
        <w:t>100%</w:t>
      </w:r>
      <w:r>
        <w:rPr>
          <w:rFonts w:eastAsia="仿宋_GB2312" w:cs="仿宋_GB2312" w:hint="eastAsia"/>
          <w:sz w:val="32"/>
          <w:szCs w:val="32"/>
        </w:rPr>
        <w:t>。其中：</w:t>
      </w:r>
      <w:bookmarkEnd w:id="26"/>
      <w:bookmarkEnd w:id="27"/>
      <w:bookmarkEnd w:id="28"/>
    </w:p>
    <w:p w:rsidR="00C11148" w:rsidRPr="00B13131" w:rsidRDefault="00C11148" w:rsidP="00C11148">
      <w:pPr>
        <w:spacing w:line="600" w:lineRule="exact"/>
        <w:ind w:firstLine="645"/>
        <w:rPr>
          <w:rFonts w:ascii="仿宋" w:eastAsia="仿宋" w:hAnsi="仿宋"/>
          <w:sz w:val="32"/>
          <w:szCs w:val="32"/>
        </w:rPr>
      </w:pPr>
      <w:r w:rsidRPr="00B13131">
        <w:rPr>
          <w:rFonts w:ascii="仿宋" w:eastAsia="仿宋" w:hAnsi="仿宋" w:hint="eastAsia"/>
          <w:b/>
          <w:sz w:val="32"/>
          <w:szCs w:val="32"/>
        </w:rPr>
        <w:t>1.教育支出（类）其他教育支出（款）其他教育支出（项）:</w:t>
      </w:r>
      <w:r w:rsidRPr="00B13131">
        <w:rPr>
          <w:rFonts w:ascii="仿宋" w:eastAsia="仿宋" w:hAnsi="仿宋" w:hint="eastAsia"/>
          <w:sz w:val="32"/>
          <w:szCs w:val="32"/>
        </w:rPr>
        <w:t xml:space="preserve"> 支出决算为</w:t>
      </w:r>
      <w:r>
        <w:rPr>
          <w:rFonts w:ascii="仿宋" w:eastAsia="仿宋" w:hAnsi="仿宋" w:hint="eastAsia"/>
          <w:sz w:val="32"/>
          <w:szCs w:val="32"/>
        </w:rPr>
        <w:t>276.42</w:t>
      </w:r>
      <w:r w:rsidRPr="00B13131">
        <w:rPr>
          <w:rFonts w:ascii="仿宋" w:eastAsia="仿宋" w:hAnsi="仿宋" w:hint="eastAsia"/>
          <w:sz w:val="32"/>
          <w:szCs w:val="32"/>
        </w:rPr>
        <w:t>万元，完成预算100%。</w:t>
      </w:r>
    </w:p>
    <w:p w:rsidR="00C11148" w:rsidRPr="00B13131" w:rsidRDefault="00C11148" w:rsidP="00C11148">
      <w:pPr>
        <w:spacing w:line="600" w:lineRule="exact"/>
        <w:ind w:firstLine="645"/>
        <w:rPr>
          <w:rFonts w:ascii="仿宋" w:eastAsia="仿宋" w:hAnsi="仿宋"/>
          <w:sz w:val="32"/>
          <w:szCs w:val="32"/>
        </w:rPr>
      </w:pPr>
      <w:r w:rsidRPr="00B13131">
        <w:rPr>
          <w:rFonts w:ascii="仿宋" w:eastAsia="仿宋" w:hAnsi="仿宋" w:hint="eastAsia"/>
          <w:b/>
          <w:sz w:val="32"/>
          <w:szCs w:val="32"/>
        </w:rPr>
        <w:t>2.教育支出（类）教育费附加安排的支出（款）其他教育费附加安排的支出（项）</w:t>
      </w:r>
      <w:r w:rsidRPr="00B13131">
        <w:rPr>
          <w:rFonts w:ascii="仿宋" w:eastAsia="仿宋" w:hAnsi="仿宋" w:hint="eastAsia"/>
          <w:sz w:val="32"/>
          <w:szCs w:val="32"/>
        </w:rPr>
        <w:t>: 支出决算为</w:t>
      </w:r>
      <w:r>
        <w:rPr>
          <w:rFonts w:ascii="仿宋" w:eastAsia="仿宋" w:hAnsi="仿宋" w:hint="eastAsia"/>
          <w:sz w:val="32"/>
          <w:szCs w:val="32"/>
        </w:rPr>
        <w:t>74.19</w:t>
      </w:r>
      <w:r w:rsidRPr="00B13131">
        <w:rPr>
          <w:rFonts w:ascii="仿宋" w:eastAsia="仿宋" w:hAnsi="仿宋" w:hint="eastAsia"/>
          <w:sz w:val="32"/>
          <w:szCs w:val="32"/>
        </w:rPr>
        <w:t>万元</w:t>
      </w:r>
      <w:r>
        <w:rPr>
          <w:rFonts w:ascii="仿宋" w:eastAsia="仿宋" w:hAnsi="仿宋" w:hint="eastAsia"/>
          <w:sz w:val="32"/>
          <w:szCs w:val="32"/>
        </w:rPr>
        <w:t>,</w:t>
      </w:r>
      <w:r w:rsidRPr="00B13131">
        <w:rPr>
          <w:rFonts w:ascii="仿宋" w:eastAsia="仿宋" w:hAnsi="仿宋" w:hint="eastAsia"/>
          <w:sz w:val="32"/>
          <w:szCs w:val="32"/>
        </w:rPr>
        <w:t xml:space="preserve"> 完成预算100%</w:t>
      </w:r>
      <w:r>
        <w:rPr>
          <w:rFonts w:ascii="仿宋" w:eastAsia="仿宋" w:hAnsi="仿宋" w:hint="eastAsia"/>
          <w:sz w:val="32"/>
          <w:szCs w:val="32"/>
        </w:rPr>
        <w:t>。</w:t>
      </w:r>
    </w:p>
    <w:p w:rsidR="00C11148" w:rsidRDefault="00C11148" w:rsidP="00C11148">
      <w:pPr>
        <w:spacing w:line="600" w:lineRule="exact"/>
        <w:ind w:firstLine="645"/>
        <w:rPr>
          <w:rFonts w:ascii="仿宋" w:eastAsia="仿宋" w:hAnsi="仿宋"/>
          <w:sz w:val="32"/>
          <w:szCs w:val="32"/>
        </w:rPr>
      </w:pPr>
      <w:r w:rsidRPr="00B13131">
        <w:rPr>
          <w:rFonts w:ascii="仿宋" w:eastAsia="仿宋" w:hAnsi="仿宋" w:hint="eastAsia"/>
          <w:b/>
          <w:sz w:val="32"/>
          <w:szCs w:val="32"/>
        </w:rPr>
        <w:t>3.社会保障和就业支出（类）行政事业单位养老支出（款）事业单位离退休（项）</w:t>
      </w:r>
      <w:r w:rsidRPr="00B13131">
        <w:rPr>
          <w:rFonts w:ascii="仿宋" w:eastAsia="仿宋" w:hAnsi="仿宋" w:hint="eastAsia"/>
          <w:sz w:val="32"/>
          <w:szCs w:val="32"/>
        </w:rPr>
        <w:t>:支出决算为</w:t>
      </w:r>
      <w:r>
        <w:rPr>
          <w:rFonts w:ascii="仿宋" w:eastAsia="仿宋" w:hAnsi="仿宋" w:hint="eastAsia"/>
          <w:sz w:val="32"/>
          <w:szCs w:val="32"/>
        </w:rPr>
        <w:t>29.74</w:t>
      </w:r>
      <w:r w:rsidRPr="00B13131">
        <w:rPr>
          <w:rFonts w:ascii="仿宋" w:eastAsia="仿宋" w:hAnsi="仿宋" w:hint="eastAsia"/>
          <w:sz w:val="32"/>
          <w:szCs w:val="32"/>
        </w:rPr>
        <w:t>万元，完成预算100%。</w:t>
      </w:r>
    </w:p>
    <w:p w:rsidR="00C11148" w:rsidRDefault="00C11148" w:rsidP="00C11148">
      <w:pPr>
        <w:spacing w:line="600" w:lineRule="exact"/>
        <w:ind w:firstLine="645"/>
        <w:rPr>
          <w:rFonts w:ascii="仿宋" w:eastAsia="仿宋" w:hAnsi="仿宋"/>
          <w:sz w:val="32"/>
          <w:szCs w:val="32"/>
        </w:rPr>
      </w:pPr>
      <w:r>
        <w:rPr>
          <w:rFonts w:ascii="仿宋" w:eastAsia="仿宋" w:hAnsi="仿宋" w:hint="eastAsia"/>
          <w:b/>
          <w:sz w:val="32"/>
          <w:szCs w:val="32"/>
        </w:rPr>
        <w:t>4</w:t>
      </w:r>
      <w:r w:rsidRPr="00B13131">
        <w:rPr>
          <w:rFonts w:ascii="仿宋" w:eastAsia="仿宋" w:hAnsi="仿宋" w:hint="eastAsia"/>
          <w:b/>
          <w:sz w:val="32"/>
          <w:szCs w:val="32"/>
        </w:rPr>
        <w:t>.社会保障和就业支出（类）行政事业单位养老支出（款）机关事业单位基本养老保险缴费支出（项）</w:t>
      </w:r>
      <w:r w:rsidRPr="00B13131">
        <w:rPr>
          <w:rFonts w:ascii="仿宋" w:eastAsia="仿宋" w:hAnsi="仿宋" w:hint="eastAsia"/>
          <w:sz w:val="32"/>
          <w:szCs w:val="32"/>
        </w:rPr>
        <w:t>: 支出决算为</w:t>
      </w:r>
      <w:r>
        <w:rPr>
          <w:rFonts w:ascii="仿宋" w:eastAsia="仿宋" w:hAnsi="仿宋" w:hint="eastAsia"/>
          <w:sz w:val="32"/>
          <w:szCs w:val="32"/>
        </w:rPr>
        <w:t>33.56</w:t>
      </w:r>
      <w:r w:rsidRPr="00B13131">
        <w:rPr>
          <w:rFonts w:ascii="仿宋" w:eastAsia="仿宋" w:hAnsi="仿宋" w:hint="eastAsia"/>
          <w:sz w:val="32"/>
          <w:szCs w:val="32"/>
        </w:rPr>
        <w:t>万元，完成预算100%。</w:t>
      </w:r>
    </w:p>
    <w:p w:rsidR="00C11148" w:rsidRDefault="00C11148" w:rsidP="00C11148">
      <w:pPr>
        <w:spacing w:line="600" w:lineRule="exact"/>
        <w:ind w:firstLine="645"/>
        <w:rPr>
          <w:rFonts w:ascii="仿宋" w:eastAsia="仿宋" w:hAnsi="仿宋"/>
          <w:sz w:val="32"/>
          <w:szCs w:val="32"/>
        </w:rPr>
      </w:pPr>
      <w:r>
        <w:rPr>
          <w:rFonts w:ascii="仿宋" w:eastAsia="仿宋" w:hAnsi="仿宋" w:hint="eastAsia"/>
          <w:b/>
          <w:sz w:val="32"/>
          <w:szCs w:val="32"/>
        </w:rPr>
        <w:lastRenderedPageBreak/>
        <w:t>5</w:t>
      </w:r>
      <w:r w:rsidRPr="00B13131">
        <w:rPr>
          <w:rFonts w:ascii="仿宋" w:eastAsia="仿宋" w:hAnsi="仿宋" w:hint="eastAsia"/>
          <w:b/>
          <w:sz w:val="32"/>
          <w:szCs w:val="32"/>
        </w:rPr>
        <w:t>.</w:t>
      </w:r>
      <w:r w:rsidRPr="00D71037">
        <w:rPr>
          <w:rFonts w:hint="eastAsia"/>
        </w:rPr>
        <w:t xml:space="preserve"> </w:t>
      </w:r>
      <w:r w:rsidRPr="00D71037">
        <w:rPr>
          <w:rFonts w:ascii="仿宋" w:eastAsia="仿宋" w:hAnsi="仿宋" w:hint="eastAsia"/>
          <w:b/>
          <w:sz w:val="32"/>
          <w:szCs w:val="32"/>
        </w:rPr>
        <w:t>卫生健康支出</w:t>
      </w:r>
      <w:r w:rsidRPr="00B13131">
        <w:rPr>
          <w:rFonts w:ascii="仿宋" w:eastAsia="仿宋" w:hAnsi="仿宋" w:hint="eastAsia"/>
          <w:b/>
          <w:sz w:val="32"/>
          <w:szCs w:val="32"/>
        </w:rPr>
        <w:t>（类）</w:t>
      </w:r>
      <w:r w:rsidRPr="00D71037">
        <w:rPr>
          <w:rFonts w:ascii="仿宋" w:eastAsia="仿宋" w:hAnsi="仿宋" w:hint="eastAsia"/>
          <w:b/>
          <w:sz w:val="32"/>
          <w:szCs w:val="32"/>
        </w:rPr>
        <w:t>行政事业单位医疗</w:t>
      </w:r>
      <w:r w:rsidRPr="00B13131">
        <w:rPr>
          <w:rFonts w:ascii="仿宋" w:eastAsia="仿宋" w:hAnsi="仿宋" w:hint="eastAsia"/>
          <w:b/>
          <w:sz w:val="32"/>
          <w:szCs w:val="32"/>
        </w:rPr>
        <w:t>（款）</w:t>
      </w:r>
      <w:r w:rsidRPr="00D71037">
        <w:rPr>
          <w:rFonts w:ascii="仿宋" w:eastAsia="仿宋" w:hAnsi="仿宋" w:hint="eastAsia"/>
          <w:b/>
          <w:sz w:val="32"/>
          <w:szCs w:val="32"/>
        </w:rPr>
        <w:t>事业单位医疗</w:t>
      </w:r>
      <w:r w:rsidRPr="00B13131">
        <w:rPr>
          <w:rFonts w:ascii="仿宋" w:eastAsia="仿宋" w:hAnsi="仿宋" w:hint="eastAsia"/>
          <w:b/>
          <w:sz w:val="32"/>
          <w:szCs w:val="32"/>
        </w:rPr>
        <w:t>（项）:</w:t>
      </w:r>
      <w:r w:rsidRPr="00B13131">
        <w:rPr>
          <w:rFonts w:ascii="仿宋" w:eastAsia="仿宋" w:hAnsi="仿宋" w:hint="eastAsia"/>
          <w:sz w:val="32"/>
          <w:szCs w:val="32"/>
        </w:rPr>
        <w:t>支出决算为</w:t>
      </w:r>
      <w:r>
        <w:rPr>
          <w:rFonts w:ascii="仿宋" w:eastAsia="仿宋" w:hAnsi="仿宋" w:hint="eastAsia"/>
          <w:sz w:val="32"/>
          <w:szCs w:val="32"/>
        </w:rPr>
        <w:t>16.31</w:t>
      </w:r>
      <w:r w:rsidRPr="00B13131">
        <w:rPr>
          <w:rFonts w:ascii="仿宋" w:eastAsia="仿宋" w:hAnsi="仿宋" w:hint="eastAsia"/>
          <w:sz w:val="32"/>
          <w:szCs w:val="32"/>
        </w:rPr>
        <w:t>万元，完成预算100%。</w:t>
      </w:r>
    </w:p>
    <w:p w:rsidR="00C11148" w:rsidRPr="00D71037" w:rsidRDefault="00C11148" w:rsidP="00C11148">
      <w:pPr>
        <w:spacing w:line="600" w:lineRule="exact"/>
        <w:ind w:firstLine="645"/>
        <w:rPr>
          <w:rFonts w:ascii="仿宋" w:eastAsia="仿宋" w:hAnsi="仿宋"/>
          <w:sz w:val="32"/>
          <w:szCs w:val="32"/>
        </w:rPr>
      </w:pPr>
      <w:r>
        <w:rPr>
          <w:rFonts w:ascii="仿宋" w:eastAsia="仿宋" w:hAnsi="仿宋" w:hint="eastAsia"/>
          <w:b/>
          <w:sz w:val="32"/>
          <w:szCs w:val="32"/>
        </w:rPr>
        <w:t>6</w:t>
      </w:r>
      <w:r w:rsidRPr="00B13131">
        <w:rPr>
          <w:rFonts w:ascii="仿宋" w:eastAsia="仿宋" w:hAnsi="仿宋" w:hint="eastAsia"/>
          <w:b/>
          <w:sz w:val="32"/>
          <w:szCs w:val="32"/>
        </w:rPr>
        <w:t>.</w:t>
      </w:r>
      <w:r w:rsidRPr="00D71037">
        <w:rPr>
          <w:rFonts w:hint="eastAsia"/>
        </w:rPr>
        <w:t xml:space="preserve"> </w:t>
      </w:r>
      <w:r w:rsidRPr="00D71037">
        <w:rPr>
          <w:rFonts w:ascii="仿宋" w:eastAsia="仿宋" w:hAnsi="仿宋" w:hint="eastAsia"/>
          <w:b/>
          <w:sz w:val="32"/>
          <w:szCs w:val="32"/>
        </w:rPr>
        <w:t>卫生健康支出</w:t>
      </w:r>
      <w:r w:rsidRPr="00B13131">
        <w:rPr>
          <w:rFonts w:ascii="仿宋" w:eastAsia="仿宋" w:hAnsi="仿宋" w:hint="eastAsia"/>
          <w:b/>
          <w:sz w:val="32"/>
          <w:szCs w:val="32"/>
        </w:rPr>
        <w:t>（类）</w:t>
      </w:r>
      <w:r w:rsidRPr="00D71037">
        <w:rPr>
          <w:rFonts w:ascii="仿宋" w:eastAsia="仿宋" w:hAnsi="仿宋" w:hint="eastAsia"/>
          <w:b/>
          <w:sz w:val="32"/>
          <w:szCs w:val="32"/>
        </w:rPr>
        <w:t>行政事业单位医疗</w:t>
      </w:r>
      <w:r w:rsidRPr="00B13131">
        <w:rPr>
          <w:rFonts w:ascii="仿宋" w:eastAsia="仿宋" w:hAnsi="仿宋" w:hint="eastAsia"/>
          <w:b/>
          <w:sz w:val="32"/>
          <w:szCs w:val="32"/>
        </w:rPr>
        <w:t>（款）</w:t>
      </w:r>
      <w:r w:rsidRPr="000C07EB">
        <w:rPr>
          <w:rFonts w:ascii="仿宋" w:eastAsia="仿宋" w:hAnsi="仿宋" w:hint="eastAsia"/>
          <w:b/>
          <w:sz w:val="32"/>
          <w:szCs w:val="32"/>
        </w:rPr>
        <w:t>公务员医疗补助</w:t>
      </w:r>
      <w:r w:rsidRPr="00B13131">
        <w:rPr>
          <w:rFonts w:ascii="仿宋" w:eastAsia="仿宋" w:hAnsi="仿宋" w:hint="eastAsia"/>
          <w:b/>
          <w:sz w:val="32"/>
          <w:szCs w:val="32"/>
        </w:rPr>
        <w:t>（项）:</w:t>
      </w:r>
      <w:r w:rsidRPr="00B13131">
        <w:rPr>
          <w:rFonts w:ascii="仿宋" w:eastAsia="仿宋" w:hAnsi="仿宋" w:hint="eastAsia"/>
          <w:sz w:val="32"/>
          <w:szCs w:val="32"/>
        </w:rPr>
        <w:t>支出决算为</w:t>
      </w:r>
      <w:r>
        <w:rPr>
          <w:rFonts w:ascii="仿宋" w:eastAsia="仿宋" w:hAnsi="仿宋" w:hint="eastAsia"/>
          <w:sz w:val="32"/>
          <w:szCs w:val="32"/>
        </w:rPr>
        <w:t>2.09</w:t>
      </w:r>
      <w:r w:rsidRPr="00B13131">
        <w:rPr>
          <w:rFonts w:ascii="仿宋" w:eastAsia="仿宋" w:hAnsi="仿宋" w:hint="eastAsia"/>
          <w:sz w:val="32"/>
          <w:szCs w:val="32"/>
        </w:rPr>
        <w:t>万元，完成预算100%。</w:t>
      </w:r>
    </w:p>
    <w:p w:rsidR="00C11148" w:rsidRPr="00B13131" w:rsidRDefault="00C11148" w:rsidP="00C11148">
      <w:pPr>
        <w:spacing w:line="600" w:lineRule="exact"/>
        <w:ind w:firstLine="645"/>
        <w:rPr>
          <w:rFonts w:ascii="仿宋" w:eastAsia="仿宋" w:hAnsi="仿宋"/>
          <w:sz w:val="32"/>
          <w:szCs w:val="32"/>
        </w:rPr>
      </w:pPr>
      <w:r>
        <w:rPr>
          <w:rFonts w:ascii="仿宋" w:eastAsia="仿宋" w:hAnsi="仿宋" w:hint="eastAsia"/>
          <w:b/>
          <w:sz w:val="32"/>
          <w:szCs w:val="32"/>
        </w:rPr>
        <w:t>7</w:t>
      </w:r>
      <w:r w:rsidRPr="00B13131">
        <w:rPr>
          <w:rFonts w:ascii="仿宋" w:eastAsia="仿宋" w:hAnsi="仿宋" w:hint="eastAsia"/>
          <w:b/>
          <w:sz w:val="32"/>
          <w:szCs w:val="32"/>
        </w:rPr>
        <w:t>.住房保障支出（类）住房改革支出（款）住房公积金（项）:</w:t>
      </w:r>
      <w:r w:rsidRPr="00B13131">
        <w:rPr>
          <w:rFonts w:ascii="仿宋" w:eastAsia="仿宋" w:hAnsi="仿宋" w:hint="eastAsia"/>
          <w:sz w:val="32"/>
          <w:szCs w:val="32"/>
        </w:rPr>
        <w:t>支出决算为</w:t>
      </w:r>
      <w:r>
        <w:rPr>
          <w:rFonts w:ascii="仿宋" w:eastAsia="仿宋" w:hAnsi="仿宋" w:hint="eastAsia"/>
          <w:sz w:val="32"/>
          <w:szCs w:val="32"/>
        </w:rPr>
        <w:t>25.19</w:t>
      </w:r>
      <w:r w:rsidRPr="00B13131">
        <w:rPr>
          <w:rFonts w:ascii="仿宋" w:eastAsia="仿宋" w:hAnsi="仿宋" w:hint="eastAsia"/>
          <w:sz w:val="32"/>
          <w:szCs w:val="32"/>
        </w:rPr>
        <w:t>万元，完成预算100%。</w:t>
      </w:r>
    </w:p>
    <w:p w:rsidR="00C11148" w:rsidRDefault="00C11148" w:rsidP="00C11148">
      <w:pPr>
        <w:spacing w:line="600" w:lineRule="exact"/>
        <w:ind w:firstLine="640"/>
        <w:rPr>
          <w:rFonts w:eastAsia="仿宋_GB2312" w:cs="仿宋_GB2312"/>
          <w:sz w:val="32"/>
          <w:szCs w:val="32"/>
        </w:rPr>
      </w:pPr>
    </w:p>
    <w:p w:rsidR="00C11148" w:rsidRDefault="00C11148" w:rsidP="00C11148">
      <w:pPr>
        <w:tabs>
          <w:tab w:val="right" w:pos="8306"/>
        </w:tabs>
        <w:spacing w:line="600" w:lineRule="exact"/>
        <w:ind w:firstLine="640"/>
        <w:outlineLvl w:val="1"/>
        <w:rPr>
          <w:rStyle w:val="2Char"/>
        </w:rPr>
      </w:pPr>
      <w:bookmarkStart w:id="29" w:name="_Toc15377214"/>
      <w:bookmarkStart w:id="30" w:name="_Toc15396608"/>
      <w:r>
        <w:rPr>
          <w:rFonts w:eastAsia="黑体" w:hint="eastAsia"/>
          <w:sz w:val="32"/>
          <w:szCs w:val="32"/>
        </w:rPr>
        <w:t>六</w:t>
      </w:r>
      <w:r>
        <w:rPr>
          <w:rFonts w:eastAsia="黑体" w:hint="eastAsia"/>
          <w:b/>
          <w:sz w:val="32"/>
          <w:szCs w:val="32"/>
        </w:rPr>
        <w:t>、一</w:t>
      </w:r>
      <w:r>
        <w:rPr>
          <w:rStyle w:val="2Char"/>
          <w:rFonts w:eastAsia="黑体" w:hint="eastAsia"/>
        </w:rPr>
        <w:t>般公共预算财政拨款基本支出决算情况说明</w:t>
      </w:r>
      <w:bookmarkEnd w:id="29"/>
      <w:bookmarkEnd w:id="30"/>
      <w:r>
        <w:rPr>
          <w:rStyle w:val="2Char"/>
          <w:rFonts w:eastAsia="黑体"/>
        </w:rPr>
        <w:tab/>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年度一般公共预算财政拨款基本支出</w:t>
      </w:r>
      <w:r>
        <w:rPr>
          <w:rFonts w:ascii="仿宋_GB2312" w:eastAsia="仿宋_GB2312" w:hAnsi="仿宋_GB2312" w:cs="仿宋_GB2312" w:hint="eastAsia"/>
          <w:sz w:val="32"/>
          <w:szCs w:val="32"/>
        </w:rPr>
        <w:t>383.3万</w:t>
      </w:r>
      <w:r>
        <w:rPr>
          <w:rFonts w:eastAsia="仿宋_GB2312" w:cs="仿宋_GB2312" w:hint="eastAsia"/>
          <w:sz w:val="32"/>
          <w:szCs w:val="32"/>
        </w:rPr>
        <w:t>元，其中：</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人员经费</w:t>
      </w:r>
      <w:r>
        <w:rPr>
          <w:rFonts w:ascii="仿宋_GB2312" w:eastAsia="仿宋_GB2312" w:hAnsi="仿宋_GB2312" w:cs="仿宋_GB2312" w:hint="eastAsia"/>
          <w:sz w:val="32"/>
          <w:szCs w:val="32"/>
        </w:rPr>
        <w:t>359.75万</w:t>
      </w:r>
      <w:r>
        <w:rPr>
          <w:rFonts w:eastAsia="仿宋_GB2312" w:cs="仿宋_GB2312" w:hint="eastAsia"/>
          <w:sz w:val="32"/>
          <w:szCs w:val="32"/>
        </w:rPr>
        <w:t>元，主要包括：基本工资</w:t>
      </w:r>
      <w:r>
        <w:rPr>
          <w:rFonts w:eastAsia="仿宋_GB2312" w:cs="仿宋_GB2312" w:hint="eastAsia"/>
          <w:sz w:val="32"/>
          <w:szCs w:val="32"/>
        </w:rPr>
        <w:t>78.32</w:t>
      </w:r>
      <w:r>
        <w:rPr>
          <w:rFonts w:eastAsia="仿宋_GB2312" w:cs="仿宋_GB2312" w:hint="eastAsia"/>
          <w:sz w:val="32"/>
          <w:szCs w:val="32"/>
        </w:rPr>
        <w:t>万元、津贴补贴</w:t>
      </w:r>
      <w:r>
        <w:rPr>
          <w:rFonts w:eastAsia="仿宋_GB2312" w:cs="仿宋_GB2312" w:hint="eastAsia"/>
          <w:sz w:val="32"/>
          <w:szCs w:val="32"/>
        </w:rPr>
        <w:t>9.43</w:t>
      </w:r>
      <w:r>
        <w:rPr>
          <w:rFonts w:eastAsia="仿宋_GB2312" w:cs="仿宋_GB2312" w:hint="eastAsia"/>
          <w:sz w:val="32"/>
          <w:szCs w:val="32"/>
        </w:rPr>
        <w:t>万元、绩效工资</w:t>
      </w:r>
      <w:r>
        <w:rPr>
          <w:rFonts w:eastAsia="仿宋_GB2312" w:cs="仿宋_GB2312" w:hint="eastAsia"/>
          <w:sz w:val="32"/>
          <w:szCs w:val="32"/>
        </w:rPr>
        <w:t>132.47</w:t>
      </w:r>
      <w:r>
        <w:rPr>
          <w:rFonts w:eastAsia="仿宋_GB2312" w:cs="仿宋_GB2312" w:hint="eastAsia"/>
          <w:sz w:val="32"/>
          <w:szCs w:val="32"/>
        </w:rPr>
        <w:t>万元、机关事业单位基本养老保险缴费</w:t>
      </w:r>
      <w:r>
        <w:rPr>
          <w:rFonts w:eastAsia="仿宋_GB2312" w:cs="仿宋_GB2312" w:hint="eastAsia"/>
          <w:sz w:val="32"/>
          <w:szCs w:val="32"/>
        </w:rPr>
        <w:t>33.56</w:t>
      </w:r>
      <w:r>
        <w:rPr>
          <w:rFonts w:eastAsia="仿宋_GB2312" w:cs="仿宋_GB2312" w:hint="eastAsia"/>
          <w:sz w:val="32"/>
          <w:szCs w:val="32"/>
        </w:rPr>
        <w:t>万元、</w:t>
      </w:r>
      <w:r w:rsidRPr="00CA4293">
        <w:rPr>
          <w:rFonts w:eastAsia="仿宋_GB2312" w:cs="仿宋_GB2312" w:hint="eastAsia"/>
          <w:sz w:val="32"/>
          <w:szCs w:val="32"/>
        </w:rPr>
        <w:t>职工基本医疗保险缴费</w:t>
      </w:r>
      <w:r>
        <w:rPr>
          <w:rFonts w:eastAsia="仿宋_GB2312" w:cs="仿宋_GB2312" w:hint="eastAsia"/>
          <w:sz w:val="32"/>
          <w:szCs w:val="32"/>
        </w:rPr>
        <w:t>16.31</w:t>
      </w:r>
      <w:r>
        <w:rPr>
          <w:rFonts w:eastAsia="仿宋_GB2312" w:cs="仿宋_GB2312" w:hint="eastAsia"/>
          <w:sz w:val="32"/>
          <w:szCs w:val="32"/>
        </w:rPr>
        <w:t>万元、</w:t>
      </w:r>
      <w:r w:rsidRPr="00CA4293">
        <w:rPr>
          <w:rFonts w:eastAsia="仿宋_GB2312" w:cs="仿宋_GB2312" w:hint="eastAsia"/>
          <w:sz w:val="32"/>
          <w:szCs w:val="32"/>
        </w:rPr>
        <w:t>公务员医疗补助缴费</w:t>
      </w:r>
      <w:r>
        <w:rPr>
          <w:rFonts w:eastAsia="仿宋_GB2312" w:cs="仿宋_GB2312" w:hint="eastAsia"/>
          <w:sz w:val="32"/>
          <w:szCs w:val="32"/>
        </w:rPr>
        <w:t>4.07</w:t>
      </w:r>
      <w:r>
        <w:rPr>
          <w:rFonts w:eastAsia="仿宋_GB2312" w:cs="仿宋_GB2312" w:hint="eastAsia"/>
          <w:sz w:val="32"/>
          <w:szCs w:val="32"/>
        </w:rPr>
        <w:t>万元、其他社会保障缴费</w:t>
      </w:r>
      <w:r>
        <w:rPr>
          <w:rFonts w:eastAsia="仿宋_GB2312" w:cs="仿宋_GB2312" w:hint="eastAsia"/>
          <w:sz w:val="32"/>
          <w:szCs w:val="32"/>
        </w:rPr>
        <w:t>1.67</w:t>
      </w:r>
      <w:r>
        <w:rPr>
          <w:rFonts w:eastAsia="仿宋_GB2312" w:cs="仿宋_GB2312" w:hint="eastAsia"/>
          <w:sz w:val="32"/>
          <w:szCs w:val="32"/>
        </w:rPr>
        <w:t>万元、生活补助</w:t>
      </w:r>
      <w:r>
        <w:rPr>
          <w:rFonts w:eastAsia="仿宋_GB2312" w:cs="仿宋_GB2312" w:hint="eastAsia"/>
          <w:sz w:val="32"/>
          <w:szCs w:val="32"/>
        </w:rPr>
        <w:t>54.29</w:t>
      </w:r>
      <w:r>
        <w:rPr>
          <w:rFonts w:eastAsia="仿宋_GB2312" w:cs="仿宋_GB2312" w:hint="eastAsia"/>
          <w:sz w:val="32"/>
          <w:szCs w:val="32"/>
        </w:rPr>
        <w:t>万元、医疗费补助</w:t>
      </w:r>
      <w:r>
        <w:rPr>
          <w:rFonts w:eastAsia="仿宋_GB2312" w:cs="仿宋_GB2312" w:hint="eastAsia"/>
          <w:sz w:val="32"/>
          <w:szCs w:val="32"/>
        </w:rPr>
        <w:t>4.42</w:t>
      </w:r>
      <w:r>
        <w:rPr>
          <w:rFonts w:eastAsia="仿宋_GB2312" w:cs="仿宋_GB2312" w:hint="eastAsia"/>
          <w:sz w:val="32"/>
          <w:szCs w:val="32"/>
        </w:rPr>
        <w:t>万元、奖励金</w:t>
      </w:r>
      <w:r>
        <w:rPr>
          <w:rFonts w:eastAsia="仿宋_GB2312" w:cs="仿宋_GB2312" w:hint="eastAsia"/>
          <w:sz w:val="32"/>
          <w:szCs w:val="32"/>
        </w:rPr>
        <w:t>0.03</w:t>
      </w:r>
      <w:r>
        <w:rPr>
          <w:rFonts w:eastAsia="仿宋_GB2312" w:cs="仿宋_GB2312" w:hint="eastAsia"/>
          <w:sz w:val="32"/>
          <w:szCs w:val="32"/>
        </w:rPr>
        <w:t>万元、住房公积金</w:t>
      </w:r>
      <w:r>
        <w:rPr>
          <w:rFonts w:eastAsia="仿宋_GB2312" w:cs="仿宋_GB2312" w:hint="eastAsia"/>
          <w:sz w:val="32"/>
          <w:szCs w:val="32"/>
        </w:rPr>
        <w:t>25.18</w:t>
      </w:r>
      <w:r>
        <w:rPr>
          <w:rFonts w:eastAsia="仿宋_GB2312" w:cs="仿宋_GB2312" w:hint="eastAsia"/>
          <w:sz w:val="32"/>
          <w:szCs w:val="32"/>
        </w:rPr>
        <w:t>万元。</w:t>
      </w:r>
      <w:r>
        <w:rPr>
          <w:rFonts w:eastAsia="仿宋_GB2312" w:cs="仿宋_GB2312" w:hint="eastAsia"/>
          <w:sz w:val="32"/>
          <w:szCs w:val="32"/>
        </w:rPr>
        <w:br/>
      </w:r>
      <w:r>
        <w:rPr>
          <w:rFonts w:eastAsia="仿宋_GB2312" w:cs="仿宋_GB2312" w:hint="eastAsia"/>
          <w:sz w:val="32"/>
          <w:szCs w:val="32"/>
        </w:rPr>
        <w:t xml:space="preserve">　　公用经费</w:t>
      </w:r>
      <w:r>
        <w:rPr>
          <w:rFonts w:ascii="仿宋_GB2312" w:eastAsia="仿宋_GB2312" w:hAnsi="仿宋_GB2312" w:cs="仿宋_GB2312" w:hint="eastAsia"/>
          <w:sz w:val="32"/>
          <w:szCs w:val="32"/>
        </w:rPr>
        <w:t>23.56万</w:t>
      </w:r>
      <w:r>
        <w:rPr>
          <w:rFonts w:eastAsia="仿宋_GB2312" w:cs="仿宋_GB2312" w:hint="eastAsia"/>
          <w:sz w:val="32"/>
          <w:szCs w:val="32"/>
        </w:rPr>
        <w:t>元，主要包括：办公费</w:t>
      </w:r>
      <w:r>
        <w:rPr>
          <w:rFonts w:eastAsia="仿宋_GB2312" w:cs="仿宋_GB2312" w:hint="eastAsia"/>
          <w:sz w:val="32"/>
          <w:szCs w:val="32"/>
        </w:rPr>
        <w:t>2.16</w:t>
      </w:r>
      <w:r>
        <w:rPr>
          <w:rFonts w:eastAsia="仿宋_GB2312" w:cs="仿宋_GB2312" w:hint="eastAsia"/>
          <w:sz w:val="32"/>
          <w:szCs w:val="32"/>
        </w:rPr>
        <w:t>万元、水费</w:t>
      </w:r>
      <w:r>
        <w:rPr>
          <w:rFonts w:eastAsia="仿宋_GB2312" w:cs="仿宋_GB2312" w:hint="eastAsia"/>
          <w:sz w:val="32"/>
          <w:szCs w:val="32"/>
        </w:rPr>
        <w:t>0.04</w:t>
      </w:r>
      <w:r>
        <w:rPr>
          <w:rFonts w:eastAsia="仿宋_GB2312" w:cs="仿宋_GB2312" w:hint="eastAsia"/>
          <w:sz w:val="32"/>
          <w:szCs w:val="32"/>
        </w:rPr>
        <w:t>万元、电费</w:t>
      </w:r>
      <w:r>
        <w:rPr>
          <w:rFonts w:eastAsia="仿宋_GB2312" w:cs="仿宋_GB2312" w:hint="eastAsia"/>
          <w:sz w:val="32"/>
          <w:szCs w:val="32"/>
        </w:rPr>
        <w:t>1.18</w:t>
      </w:r>
      <w:r>
        <w:rPr>
          <w:rFonts w:eastAsia="仿宋_GB2312" w:cs="仿宋_GB2312" w:hint="eastAsia"/>
          <w:sz w:val="32"/>
          <w:szCs w:val="32"/>
        </w:rPr>
        <w:t>万元、差旅费</w:t>
      </w:r>
      <w:r>
        <w:rPr>
          <w:rFonts w:eastAsia="仿宋_GB2312" w:cs="仿宋_GB2312" w:hint="eastAsia"/>
          <w:sz w:val="32"/>
          <w:szCs w:val="32"/>
        </w:rPr>
        <w:t>9.03</w:t>
      </w:r>
      <w:r>
        <w:rPr>
          <w:rFonts w:eastAsia="仿宋_GB2312" w:cs="仿宋_GB2312" w:hint="eastAsia"/>
          <w:sz w:val="32"/>
          <w:szCs w:val="32"/>
        </w:rPr>
        <w:t>万元、公务接待费</w:t>
      </w:r>
      <w:r>
        <w:rPr>
          <w:rFonts w:eastAsia="仿宋_GB2312" w:cs="仿宋_GB2312" w:hint="eastAsia"/>
          <w:sz w:val="32"/>
          <w:szCs w:val="32"/>
        </w:rPr>
        <w:t>0.29</w:t>
      </w:r>
      <w:r>
        <w:rPr>
          <w:rFonts w:eastAsia="仿宋_GB2312" w:cs="仿宋_GB2312" w:hint="eastAsia"/>
          <w:sz w:val="32"/>
          <w:szCs w:val="32"/>
        </w:rPr>
        <w:t>万元、劳务费</w:t>
      </w:r>
      <w:r>
        <w:rPr>
          <w:rFonts w:eastAsia="仿宋_GB2312" w:cs="仿宋_GB2312" w:hint="eastAsia"/>
          <w:sz w:val="32"/>
          <w:szCs w:val="32"/>
        </w:rPr>
        <w:t>1.8</w:t>
      </w:r>
      <w:r>
        <w:rPr>
          <w:rFonts w:eastAsia="仿宋_GB2312" w:cs="仿宋_GB2312" w:hint="eastAsia"/>
          <w:sz w:val="32"/>
          <w:szCs w:val="32"/>
        </w:rPr>
        <w:t>万元、工会经费</w:t>
      </w:r>
      <w:r>
        <w:rPr>
          <w:rFonts w:eastAsia="仿宋_GB2312" w:cs="仿宋_GB2312" w:hint="eastAsia"/>
          <w:sz w:val="32"/>
          <w:szCs w:val="32"/>
        </w:rPr>
        <w:t>3.96</w:t>
      </w:r>
      <w:r>
        <w:rPr>
          <w:rFonts w:eastAsia="仿宋_GB2312" w:cs="仿宋_GB2312" w:hint="eastAsia"/>
          <w:sz w:val="32"/>
          <w:szCs w:val="32"/>
        </w:rPr>
        <w:t>万元、福利费</w:t>
      </w:r>
      <w:r>
        <w:rPr>
          <w:rFonts w:eastAsia="仿宋_GB2312" w:cs="仿宋_GB2312" w:hint="eastAsia"/>
          <w:sz w:val="32"/>
          <w:szCs w:val="32"/>
        </w:rPr>
        <w:t>1.72</w:t>
      </w:r>
      <w:r>
        <w:rPr>
          <w:rFonts w:eastAsia="仿宋_GB2312" w:cs="仿宋_GB2312" w:hint="eastAsia"/>
          <w:sz w:val="32"/>
          <w:szCs w:val="32"/>
        </w:rPr>
        <w:t>万元、公务用车运行维护费</w:t>
      </w:r>
      <w:r>
        <w:rPr>
          <w:rFonts w:eastAsia="仿宋_GB2312" w:cs="仿宋_GB2312" w:hint="eastAsia"/>
          <w:sz w:val="32"/>
          <w:szCs w:val="32"/>
        </w:rPr>
        <w:t>1.12</w:t>
      </w:r>
      <w:r>
        <w:rPr>
          <w:rFonts w:eastAsia="仿宋_GB2312" w:cs="仿宋_GB2312" w:hint="eastAsia"/>
          <w:sz w:val="32"/>
          <w:szCs w:val="32"/>
        </w:rPr>
        <w:t>万元、其他商品和服务支出</w:t>
      </w:r>
      <w:r>
        <w:rPr>
          <w:rFonts w:eastAsia="仿宋_GB2312" w:cs="仿宋_GB2312" w:hint="eastAsia"/>
          <w:sz w:val="32"/>
          <w:szCs w:val="32"/>
        </w:rPr>
        <w:t>1.27</w:t>
      </w:r>
      <w:r>
        <w:rPr>
          <w:rFonts w:eastAsia="仿宋_GB2312" w:cs="仿宋_GB2312" w:hint="eastAsia"/>
          <w:sz w:val="32"/>
          <w:szCs w:val="32"/>
        </w:rPr>
        <w:t>万元、办公设备购置</w:t>
      </w:r>
      <w:r>
        <w:rPr>
          <w:rFonts w:eastAsia="仿宋_GB2312" w:cs="仿宋_GB2312" w:hint="eastAsia"/>
          <w:sz w:val="32"/>
          <w:szCs w:val="32"/>
        </w:rPr>
        <w:t>0.99</w:t>
      </w:r>
      <w:r>
        <w:rPr>
          <w:rFonts w:eastAsia="仿宋_GB2312" w:cs="仿宋_GB2312" w:hint="eastAsia"/>
          <w:sz w:val="32"/>
          <w:szCs w:val="32"/>
        </w:rPr>
        <w:t>万元。</w:t>
      </w:r>
    </w:p>
    <w:p w:rsidR="00C11148" w:rsidRDefault="00C11148" w:rsidP="00C11148">
      <w:pPr>
        <w:spacing w:line="600" w:lineRule="exact"/>
        <w:ind w:firstLine="640"/>
        <w:outlineLvl w:val="1"/>
        <w:rPr>
          <w:rStyle w:val="2Char"/>
          <w:rFonts w:eastAsia="黑体"/>
          <w:b w:val="0"/>
        </w:rPr>
      </w:pPr>
      <w:bookmarkStart w:id="31" w:name="_Toc15377215"/>
      <w:bookmarkStart w:id="32" w:name="_Toc15396609"/>
      <w:r>
        <w:rPr>
          <w:rFonts w:eastAsia="黑体" w:hint="eastAsia"/>
          <w:sz w:val="32"/>
          <w:szCs w:val="32"/>
        </w:rPr>
        <w:t>七、</w:t>
      </w:r>
      <w:r>
        <w:rPr>
          <w:rStyle w:val="2Char"/>
          <w:rFonts w:eastAsia="黑体" w:hint="eastAsia"/>
        </w:rPr>
        <w:t>财政拨款“三公”经费支出决算情况说明</w:t>
      </w:r>
      <w:bookmarkEnd w:id="31"/>
      <w:bookmarkEnd w:id="32"/>
    </w:p>
    <w:p w:rsidR="00C11148" w:rsidRDefault="00C11148" w:rsidP="00C11148">
      <w:pPr>
        <w:spacing w:line="600" w:lineRule="exact"/>
        <w:ind w:firstLineChars="200" w:firstLine="643"/>
        <w:outlineLvl w:val="2"/>
        <w:rPr>
          <w:rFonts w:eastAsia="楷体_GB2312" w:cs="楷体_GB2312"/>
          <w:b/>
          <w:sz w:val="32"/>
          <w:szCs w:val="32"/>
        </w:rPr>
      </w:pPr>
      <w:bookmarkStart w:id="33" w:name="_Toc15377216"/>
      <w:r>
        <w:rPr>
          <w:rFonts w:eastAsia="楷体_GB2312" w:cs="楷体_GB2312" w:hint="eastAsia"/>
          <w:b/>
          <w:sz w:val="32"/>
          <w:szCs w:val="32"/>
        </w:rPr>
        <w:t>（一）“三公”经费财政拨款支出决算总体情况说明</w:t>
      </w:r>
      <w:bookmarkEnd w:id="33"/>
    </w:p>
    <w:p w:rsidR="00C11148" w:rsidRDefault="00C11148" w:rsidP="00C11148">
      <w:pPr>
        <w:spacing w:line="600" w:lineRule="exact"/>
        <w:ind w:firstLine="640"/>
        <w:rPr>
          <w:rFonts w:eastAsia="仿宋_GB2312" w:cs="仿宋_GB2312"/>
          <w:b/>
          <w:bCs/>
          <w:sz w:val="32"/>
          <w:szCs w:val="32"/>
        </w:rPr>
      </w:pPr>
      <w:r>
        <w:rPr>
          <w:rFonts w:eastAsia="仿宋_GB2312" w:cs="仿宋_GB2312" w:hint="eastAsia"/>
          <w:sz w:val="32"/>
          <w:szCs w:val="32"/>
        </w:rPr>
        <w:lastRenderedPageBreak/>
        <w:t>2024</w:t>
      </w:r>
      <w:r>
        <w:rPr>
          <w:rFonts w:eastAsia="仿宋_GB2312" w:cs="仿宋_GB2312" w:hint="eastAsia"/>
          <w:sz w:val="32"/>
          <w:szCs w:val="32"/>
        </w:rPr>
        <w:t>年度“三公”经费财政拨款支出决算为</w:t>
      </w:r>
      <w:r>
        <w:rPr>
          <w:rFonts w:ascii="仿宋_GB2312" w:ea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ia="仿宋_GB2312" w:cs="仿宋_GB2312" w:hint="eastAsia"/>
          <w:sz w:val="32"/>
          <w:szCs w:val="32"/>
        </w:rPr>
        <w:t>0.33</w:t>
      </w:r>
      <w:r>
        <w:rPr>
          <w:rFonts w:eastAsia="仿宋_GB2312" w:cs="仿宋_GB2312" w:hint="eastAsia"/>
          <w:sz w:val="32"/>
          <w:szCs w:val="32"/>
        </w:rPr>
        <w:t>万元，增长</w:t>
      </w:r>
      <w:r>
        <w:rPr>
          <w:rFonts w:eastAsia="仿宋_GB2312" w:cs="仿宋_GB2312" w:hint="eastAsia"/>
          <w:sz w:val="32"/>
          <w:szCs w:val="32"/>
        </w:rPr>
        <w:t>30.27 %</w:t>
      </w:r>
      <w:r>
        <w:rPr>
          <w:rFonts w:eastAsia="仿宋_GB2312" w:cs="仿宋_GB2312" w:hint="eastAsia"/>
          <w:sz w:val="32"/>
          <w:szCs w:val="32"/>
        </w:rPr>
        <w:t>。决算数小于预算数的主要原因是</w:t>
      </w:r>
      <w:r w:rsidRPr="00BC1D88">
        <w:rPr>
          <w:rFonts w:eastAsia="仿宋_GB2312" w:cs="仿宋_GB2312" w:hint="eastAsia"/>
          <w:sz w:val="32"/>
          <w:szCs w:val="32"/>
        </w:rPr>
        <w:t>无出国经费；公务用车老化，维修多；</w:t>
      </w:r>
      <w:r>
        <w:rPr>
          <w:rFonts w:eastAsia="仿宋_GB2312" w:cs="仿宋_GB2312" w:hint="eastAsia"/>
          <w:sz w:val="32"/>
          <w:szCs w:val="32"/>
        </w:rPr>
        <w:t>调研、宣传工作增加</w:t>
      </w:r>
      <w:r w:rsidRPr="00BC1D88">
        <w:rPr>
          <w:rFonts w:eastAsia="仿宋_GB2312" w:cs="仿宋_GB2312" w:hint="eastAsia"/>
          <w:sz w:val="32"/>
          <w:szCs w:val="32"/>
        </w:rPr>
        <w:t>用车使用</w:t>
      </w:r>
      <w:r>
        <w:rPr>
          <w:rFonts w:eastAsia="仿宋_GB2312" w:cs="仿宋_GB2312" w:hint="eastAsia"/>
          <w:b/>
          <w:bCs/>
          <w:sz w:val="32"/>
          <w:szCs w:val="32"/>
        </w:rPr>
        <w:t>。</w:t>
      </w:r>
    </w:p>
    <w:p w:rsidR="00C11148" w:rsidRDefault="00C11148" w:rsidP="00C11148">
      <w:pPr>
        <w:spacing w:line="600" w:lineRule="exact"/>
        <w:ind w:firstLineChars="200" w:firstLine="643"/>
        <w:outlineLvl w:val="2"/>
        <w:rPr>
          <w:rFonts w:eastAsia="楷体_GB2312" w:cs="楷体_GB2312"/>
          <w:b/>
          <w:sz w:val="32"/>
          <w:szCs w:val="32"/>
        </w:rPr>
      </w:pPr>
      <w:bookmarkStart w:id="34" w:name="_Toc15377217"/>
      <w:r>
        <w:rPr>
          <w:rFonts w:eastAsia="楷体_GB2312" w:cs="楷体_GB2312" w:hint="eastAsia"/>
          <w:b/>
          <w:sz w:val="32"/>
          <w:szCs w:val="32"/>
        </w:rPr>
        <w:t>（二）“三公”经费财政拨款支出决算具体情况说明</w:t>
      </w:r>
      <w:bookmarkEnd w:id="34"/>
    </w:p>
    <w:p w:rsidR="00C11148" w:rsidRDefault="00C11148" w:rsidP="00C1114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2024年度“三公”经费财政拨款支出决算中，因公出国（境）费支出决算0万元，占0%；公务用车购置及运行维护费支出决算1.12万元，占78.87%；公务接待费支出决算0.3万元，占21.13%。具体情况如下：</w:t>
      </w:r>
    </w:p>
    <w:p w:rsidR="00C11148" w:rsidRDefault="00C11148" w:rsidP="00C11148">
      <w:pPr>
        <w:spacing w:line="600" w:lineRule="exact"/>
        <w:ind w:firstLine="640"/>
        <w:rPr>
          <w:rFonts w:eastAsia="仿宋_GB2312" w:cs="仿宋_GB2312"/>
          <w:sz w:val="32"/>
          <w:szCs w:val="32"/>
        </w:rPr>
      </w:pPr>
      <w:r>
        <w:rPr>
          <w:noProof/>
        </w:rPr>
        <w:drawing>
          <wp:anchor distT="0" distB="0" distL="114300" distR="114300" simplePos="0" relativeHeight="251664384" behindDoc="0" locked="0" layoutInCell="1" allowOverlap="1" wp14:anchorId="51096B76" wp14:editId="716C70D8">
            <wp:simplePos x="0" y="0"/>
            <wp:positionH relativeFrom="column">
              <wp:posOffset>647700</wp:posOffset>
            </wp:positionH>
            <wp:positionV relativeFrom="paragraph">
              <wp:posOffset>109855</wp:posOffset>
            </wp:positionV>
            <wp:extent cx="4572000" cy="3095625"/>
            <wp:effectExtent l="0" t="0" r="19050"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rPr>
          <w:rFonts w:eastAsia="仿宋_GB2312" w:cs="仿宋_GB2312"/>
          <w:sz w:val="32"/>
          <w:szCs w:val="32"/>
        </w:rPr>
      </w:pPr>
    </w:p>
    <w:p w:rsidR="00C11148" w:rsidRDefault="00C11148" w:rsidP="00C11148">
      <w:pPr>
        <w:spacing w:line="600" w:lineRule="exact"/>
        <w:ind w:firstLine="640"/>
        <w:jc w:val="center"/>
        <w:rPr>
          <w:rFonts w:eastAsia="仿宋_GB2312" w:cs="仿宋_GB2312"/>
          <w:sz w:val="32"/>
          <w:szCs w:val="32"/>
        </w:rPr>
      </w:pPr>
      <w:r>
        <w:rPr>
          <w:rFonts w:eastAsia="仿宋_GB2312" w:cs="仿宋_GB2312" w:hint="eastAsia"/>
          <w:sz w:val="32"/>
          <w:szCs w:val="32"/>
        </w:rPr>
        <w:t>（图</w:t>
      </w:r>
      <w:r>
        <w:rPr>
          <w:rFonts w:eastAsia="仿宋_GB2312" w:cs="仿宋_GB2312" w:hint="eastAsia"/>
          <w:sz w:val="32"/>
          <w:szCs w:val="32"/>
        </w:rPr>
        <w:t>7</w:t>
      </w:r>
      <w:r>
        <w:rPr>
          <w:rFonts w:eastAsia="仿宋_GB2312" w:cs="仿宋_GB2312" w:hint="eastAsia"/>
          <w:sz w:val="32"/>
          <w:szCs w:val="32"/>
        </w:rPr>
        <w:t>：“三公”经费财政拨款支出结构）</w:t>
      </w:r>
    </w:p>
    <w:p w:rsidR="00C11148" w:rsidRDefault="00C11148" w:rsidP="00C11148">
      <w:pPr>
        <w:spacing w:line="600" w:lineRule="exact"/>
        <w:ind w:firstLine="640"/>
        <w:rPr>
          <w:rFonts w:eastAsia="仿宋_GB2312" w:cs="仿宋_GB2312"/>
          <w:sz w:val="32"/>
          <w:szCs w:val="32"/>
        </w:rPr>
      </w:pPr>
      <w:r>
        <w:rPr>
          <w:rFonts w:eastAsia="仿宋_GB2312" w:cs="仿宋_GB2312" w:hint="eastAsia"/>
          <w:b/>
          <w:bCs/>
          <w:sz w:val="32"/>
          <w:szCs w:val="32"/>
        </w:rPr>
        <w:t>1.</w:t>
      </w:r>
      <w:r>
        <w:rPr>
          <w:rFonts w:eastAsia="仿宋_GB2312" w:cs="仿宋_GB2312" w:hint="eastAsia"/>
          <w:b/>
          <w:bCs/>
          <w:sz w:val="32"/>
          <w:szCs w:val="32"/>
        </w:rPr>
        <w:t>因公出国（境）经费支出</w:t>
      </w:r>
      <w:r>
        <w:rPr>
          <w:rFonts w:eastAsia="仿宋_GB2312" w:cs="仿宋_GB2312" w:hint="eastAsia"/>
          <w:b/>
          <w:bCs/>
          <w:sz w:val="32"/>
          <w:szCs w:val="32"/>
        </w:rPr>
        <w:t>0</w:t>
      </w:r>
      <w:r>
        <w:rPr>
          <w:rFonts w:eastAsia="仿宋_GB2312" w:cs="仿宋_GB2312" w:hint="eastAsia"/>
          <w:b/>
          <w:bCs/>
          <w:sz w:val="32"/>
          <w:szCs w:val="32"/>
        </w:rPr>
        <w:t>万元，完成预算</w:t>
      </w:r>
      <w:r>
        <w:rPr>
          <w:rFonts w:eastAsia="仿宋_GB2312" w:cs="仿宋_GB2312" w:hint="eastAsia"/>
          <w:b/>
          <w:bCs/>
          <w:sz w:val="32"/>
          <w:szCs w:val="32"/>
        </w:rPr>
        <w:t>0%</w:t>
      </w:r>
      <w:r>
        <w:rPr>
          <w:rFonts w:eastAsia="仿宋_GB2312" w:cs="仿宋_GB2312" w:hint="eastAsia"/>
          <w:b/>
          <w:bCs/>
          <w:sz w:val="32"/>
          <w:szCs w:val="32"/>
        </w:rPr>
        <w:t>。</w:t>
      </w:r>
      <w:r>
        <w:rPr>
          <w:rFonts w:eastAsia="仿宋_GB2312" w:cs="仿宋_GB2312" w:hint="eastAsia"/>
          <w:sz w:val="32"/>
          <w:szCs w:val="32"/>
        </w:rPr>
        <w:t>全年安排因公出国（境）团</w:t>
      </w:r>
      <w:r>
        <w:rPr>
          <w:rFonts w:ascii="仿宋_GB2312" w:eastAsia="仿宋_GB2312" w:hAnsi="仿宋_GB2312" w:cs="仿宋_GB2312" w:hint="eastAsia"/>
          <w:sz w:val="32"/>
          <w:szCs w:val="32"/>
        </w:rPr>
        <w:t>组0</w:t>
      </w:r>
      <w:r>
        <w:rPr>
          <w:rFonts w:eastAsia="仿宋_GB2312" w:cs="仿宋_GB2312" w:hint="eastAsia"/>
          <w:sz w:val="32"/>
          <w:szCs w:val="32"/>
        </w:rPr>
        <w:t>次，出国（境）</w:t>
      </w:r>
      <w:r>
        <w:rPr>
          <w:rFonts w:ascii="仿宋_GB2312" w:eastAsia="仿宋_GB2312" w:hAnsi="仿宋_GB2312" w:cs="仿宋_GB2312" w:hint="eastAsia"/>
          <w:sz w:val="32"/>
          <w:szCs w:val="32"/>
        </w:rPr>
        <w:t>0人</w:t>
      </w:r>
      <w:r>
        <w:rPr>
          <w:rFonts w:eastAsia="仿宋_GB2312" w:cs="仿宋_GB2312" w:hint="eastAsia"/>
          <w:sz w:val="32"/>
          <w:szCs w:val="32"/>
        </w:rPr>
        <w:t>。因公出国（境）支出决算比</w:t>
      </w:r>
      <w:r>
        <w:rPr>
          <w:rFonts w:eastAsia="仿宋_GB2312" w:cs="仿宋_GB2312" w:hint="eastAsia"/>
          <w:sz w:val="32"/>
          <w:szCs w:val="32"/>
        </w:rPr>
        <w:t>2023</w:t>
      </w:r>
      <w:r>
        <w:rPr>
          <w:rFonts w:eastAsia="仿宋_GB2312" w:cs="仿宋_GB2312" w:hint="eastAsia"/>
          <w:sz w:val="32"/>
          <w:szCs w:val="32"/>
        </w:rPr>
        <w:t>年增加</w:t>
      </w:r>
      <w:r>
        <w:rPr>
          <w:rFonts w:eastAsia="仿宋_GB2312" w:cs="仿宋_GB2312" w:hint="eastAsia"/>
          <w:sz w:val="32"/>
          <w:szCs w:val="32"/>
        </w:rPr>
        <w:t>/</w:t>
      </w:r>
      <w:r>
        <w:rPr>
          <w:rFonts w:eastAsia="仿宋_GB2312" w:cs="仿宋_GB2312" w:hint="eastAsia"/>
          <w:sz w:val="32"/>
          <w:szCs w:val="32"/>
        </w:rPr>
        <w:t>减少</w:t>
      </w:r>
      <w:r>
        <w:rPr>
          <w:rFonts w:eastAsia="仿宋_GB2312" w:cs="仿宋_GB2312" w:hint="eastAsia"/>
          <w:sz w:val="32"/>
          <w:szCs w:val="32"/>
        </w:rPr>
        <w:t>0</w:t>
      </w:r>
      <w:r>
        <w:rPr>
          <w:rFonts w:eastAsia="仿宋_GB2312" w:cs="仿宋_GB2312" w:hint="eastAsia"/>
          <w:sz w:val="32"/>
          <w:szCs w:val="32"/>
        </w:rPr>
        <w:t>万元，增长</w:t>
      </w:r>
      <w:r>
        <w:rPr>
          <w:rFonts w:eastAsia="仿宋_GB2312" w:cs="仿宋_GB2312" w:hint="eastAsia"/>
          <w:sz w:val="32"/>
          <w:szCs w:val="32"/>
        </w:rPr>
        <w:t>/</w:t>
      </w:r>
      <w:r>
        <w:rPr>
          <w:rFonts w:eastAsia="仿宋_GB2312" w:cs="仿宋_GB2312" w:hint="eastAsia"/>
          <w:sz w:val="32"/>
          <w:szCs w:val="32"/>
        </w:rPr>
        <w:t>下降</w:t>
      </w:r>
      <w:r>
        <w:rPr>
          <w:rFonts w:eastAsia="仿宋_GB2312" w:cs="仿宋_GB2312" w:hint="eastAsia"/>
          <w:sz w:val="32"/>
          <w:szCs w:val="32"/>
        </w:rPr>
        <w:t>0%</w:t>
      </w:r>
      <w:r>
        <w:rPr>
          <w:rFonts w:eastAsia="仿宋_GB2312" w:cs="仿宋_GB2312" w:hint="eastAsia"/>
          <w:sz w:val="32"/>
          <w:szCs w:val="32"/>
        </w:rPr>
        <w:t>。主要原因是</w:t>
      </w:r>
      <w:r w:rsidRPr="00BC1D88">
        <w:rPr>
          <w:rFonts w:eastAsia="仿宋_GB2312" w:cs="仿宋_GB2312" w:hint="eastAsia"/>
          <w:sz w:val="32"/>
          <w:szCs w:val="32"/>
        </w:rPr>
        <w:t>无预算未发生</w:t>
      </w:r>
      <w:r>
        <w:rPr>
          <w:rFonts w:eastAsia="仿宋_GB2312" w:cs="仿宋_GB2312" w:hint="eastAsia"/>
          <w:sz w:val="32"/>
          <w:szCs w:val="32"/>
        </w:rPr>
        <w:t>。</w:t>
      </w:r>
    </w:p>
    <w:p w:rsidR="00C11148" w:rsidRDefault="00C11148" w:rsidP="00C11148">
      <w:pPr>
        <w:spacing w:line="600" w:lineRule="exact"/>
        <w:ind w:firstLine="640"/>
        <w:rPr>
          <w:rFonts w:eastAsia="仿宋_GB2312" w:cs="仿宋_GB2312"/>
          <w:b/>
          <w:bCs/>
          <w:sz w:val="32"/>
          <w:szCs w:val="32"/>
        </w:rPr>
      </w:pPr>
      <w:r>
        <w:rPr>
          <w:rFonts w:eastAsia="仿宋_GB2312" w:cs="仿宋_GB2312" w:hint="eastAsia"/>
          <w:b/>
          <w:bCs/>
          <w:sz w:val="32"/>
          <w:szCs w:val="32"/>
        </w:rPr>
        <w:lastRenderedPageBreak/>
        <w:t>2.</w:t>
      </w:r>
      <w:r>
        <w:rPr>
          <w:rFonts w:eastAsia="仿宋_GB2312" w:cs="仿宋_GB2312" w:hint="eastAsia"/>
          <w:b/>
          <w:bCs/>
          <w:sz w:val="32"/>
          <w:szCs w:val="32"/>
        </w:rPr>
        <w:t>公务用车购置及运行维护费支出</w:t>
      </w:r>
      <w:r>
        <w:rPr>
          <w:rFonts w:ascii="仿宋_GB2312" w:eastAsia="仿宋_GB2312" w:hAnsi="仿宋_GB2312" w:cs="仿宋_GB2312" w:hint="eastAsia"/>
          <w:b/>
          <w:bCs/>
          <w:sz w:val="32"/>
          <w:szCs w:val="32"/>
        </w:rPr>
        <w:t>1.12万</w:t>
      </w:r>
      <w:r>
        <w:rPr>
          <w:rFonts w:eastAsia="仿宋_GB2312" w:cs="仿宋_GB2312" w:hint="eastAsia"/>
          <w:b/>
          <w:bCs/>
          <w:sz w:val="32"/>
          <w:szCs w:val="32"/>
        </w:rPr>
        <w:t>元，完成预算</w:t>
      </w:r>
      <w:r w:rsidRPr="00C91063">
        <w:rPr>
          <w:rFonts w:eastAsia="仿宋_GB2312" w:cs="仿宋_GB2312" w:hint="eastAsia"/>
          <w:bCs/>
          <w:sz w:val="32"/>
          <w:szCs w:val="32"/>
        </w:rPr>
        <w:t>100</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公务用车购置及运行维护费支出决算比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0.33</w:t>
      </w:r>
      <w:r>
        <w:rPr>
          <w:rFonts w:eastAsia="仿宋_GB2312" w:cs="仿宋_GB2312" w:hint="eastAsia"/>
          <w:sz w:val="32"/>
          <w:szCs w:val="32"/>
        </w:rPr>
        <w:t>万元，增长</w:t>
      </w:r>
      <w:r>
        <w:rPr>
          <w:rFonts w:eastAsia="仿宋_GB2312" w:cs="仿宋_GB2312" w:hint="eastAsia"/>
          <w:sz w:val="32"/>
          <w:szCs w:val="32"/>
        </w:rPr>
        <w:t>30.27%</w:t>
      </w:r>
      <w:r>
        <w:rPr>
          <w:rFonts w:eastAsia="仿宋_GB2312" w:cs="仿宋_GB2312" w:hint="eastAsia"/>
          <w:sz w:val="32"/>
          <w:szCs w:val="32"/>
        </w:rPr>
        <w:t>。主要原因是</w:t>
      </w:r>
      <w:r w:rsidRPr="00BC1D88">
        <w:rPr>
          <w:rFonts w:eastAsia="仿宋_GB2312" w:cs="仿宋_GB2312" w:hint="eastAsia"/>
          <w:sz w:val="32"/>
          <w:szCs w:val="32"/>
        </w:rPr>
        <w:t>无出国经费；公务用车老化，维修多；</w:t>
      </w:r>
      <w:r>
        <w:rPr>
          <w:rFonts w:eastAsia="仿宋_GB2312" w:cs="仿宋_GB2312" w:hint="eastAsia"/>
          <w:sz w:val="32"/>
          <w:szCs w:val="32"/>
        </w:rPr>
        <w:t>调研、宣传工作增加</w:t>
      </w:r>
      <w:r w:rsidRPr="00BC1D88">
        <w:rPr>
          <w:rFonts w:eastAsia="仿宋_GB2312" w:cs="仿宋_GB2312" w:hint="eastAsia"/>
          <w:sz w:val="32"/>
          <w:szCs w:val="32"/>
        </w:rPr>
        <w:t>用车使用</w:t>
      </w:r>
      <w:r>
        <w:rPr>
          <w:rFonts w:eastAsia="仿宋_GB2312" w:cs="仿宋_GB2312" w:hint="eastAsia"/>
          <w:b/>
          <w:bCs/>
          <w:sz w:val="32"/>
          <w:szCs w:val="32"/>
        </w:rPr>
        <w:t>。</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其中：公务用车购置支</w:t>
      </w:r>
      <w:r>
        <w:rPr>
          <w:rFonts w:ascii="仿宋_GB2312" w:eastAsia="仿宋_GB2312" w:hAnsi="仿宋_GB2312" w:cs="仿宋_GB2312" w:hint="eastAsia"/>
          <w:sz w:val="32"/>
          <w:szCs w:val="32"/>
        </w:rPr>
        <w:t>出0</w:t>
      </w:r>
      <w:r>
        <w:rPr>
          <w:rFonts w:eastAsia="仿宋_GB2312" w:cs="仿宋_GB2312" w:hint="eastAsia"/>
          <w:sz w:val="32"/>
          <w:szCs w:val="32"/>
        </w:rPr>
        <w:t>万元。全年按规定更新购置公务用车</w:t>
      </w:r>
      <w:r>
        <w:rPr>
          <w:rFonts w:eastAsia="仿宋_GB2312" w:cs="仿宋_GB2312" w:hint="eastAsia"/>
          <w:sz w:val="32"/>
          <w:szCs w:val="32"/>
        </w:rPr>
        <w:t>0</w:t>
      </w:r>
      <w:r>
        <w:rPr>
          <w:rFonts w:eastAsia="仿宋_GB2312" w:cs="仿宋_GB2312" w:hint="eastAsia"/>
          <w:sz w:val="32"/>
          <w:szCs w:val="32"/>
        </w:rPr>
        <w:t>辆，其中：轿车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万元，越野车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万元，载客汽车</w:t>
      </w:r>
      <w:r>
        <w:rPr>
          <w:rFonts w:eastAsia="仿宋_GB2312" w:cs="仿宋_GB2312" w:hint="eastAsia"/>
          <w:sz w:val="32"/>
          <w:szCs w:val="32"/>
        </w:rPr>
        <w:t>0</w:t>
      </w:r>
      <w:r>
        <w:rPr>
          <w:rFonts w:eastAsia="仿宋_GB2312" w:cs="仿宋_GB2312" w:hint="eastAsia"/>
          <w:sz w:val="32"/>
          <w:szCs w:val="32"/>
        </w:rPr>
        <w:t>辆、金额</w:t>
      </w:r>
      <w:r>
        <w:rPr>
          <w:rFonts w:eastAsia="仿宋_GB2312" w:cs="仿宋_GB2312" w:hint="eastAsia"/>
          <w:sz w:val="32"/>
          <w:szCs w:val="32"/>
        </w:rPr>
        <w:t>0</w:t>
      </w:r>
      <w:r>
        <w:rPr>
          <w:rFonts w:eastAsia="仿宋_GB2312" w:cs="仿宋_GB2312" w:hint="eastAsia"/>
          <w:sz w:val="32"/>
          <w:szCs w:val="32"/>
        </w:rPr>
        <w:t>万元。</w:t>
      </w:r>
      <w:r>
        <w:rPr>
          <w:rFonts w:eastAsia="仿宋_GB2312" w:cs="仿宋_GB2312" w:hint="eastAsia"/>
          <w:sz w:val="32"/>
          <w:szCs w:val="32"/>
        </w:rPr>
        <w:t xml:space="preserve">  </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截至</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hint="eastAsia"/>
          <w:sz w:val="32"/>
          <w:szCs w:val="32"/>
        </w:rPr>
        <w:t>31</w:t>
      </w:r>
      <w:r>
        <w:rPr>
          <w:rFonts w:eastAsia="仿宋_GB2312" w:cs="仿宋_GB2312" w:hint="eastAsia"/>
          <w:sz w:val="32"/>
          <w:szCs w:val="32"/>
        </w:rPr>
        <w:t>日，单位共有公务用车</w:t>
      </w:r>
      <w:r>
        <w:rPr>
          <w:rFonts w:eastAsia="仿宋_GB2312" w:cs="仿宋_GB2312" w:hint="eastAsia"/>
          <w:sz w:val="32"/>
          <w:szCs w:val="32"/>
        </w:rPr>
        <w:t>1</w:t>
      </w:r>
      <w:r>
        <w:rPr>
          <w:rFonts w:eastAsia="仿宋_GB2312" w:cs="仿宋_GB2312" w:hint="eastAsia"/>
          <w:sz w:val="32"/>
          <w:szCs w:val="32"/>
        </w:rPr>
        <w:t>辆，其中：轿车</w:t>
      </w:r>
      <w:r>
        <w:rPr>
          <w:rFonts w:eastAsia="仿宋_GB2312" w:cs="仿宋_GB2312" w:hint="eastAsia"/>
          <w:sz w:val="32"/>
          <w:szCs w:val="32"/>
        </w:rPr>
        <w:t>1</w:t>
      </w:r>
      <w:r>
        <w:rPr>
          <w:rFonts w:eastAsia="仿宋_GB2312" w:cs="仿宋_GB2312" w:hint="eastAsia"/>
          <w:sz w:val="32"/>
          <w:szCs w:val="32"/>
        </w:rPr>
        <w:t>辆、越野车</w:t>
      </w:r>
      <w:r>
        <w:rPr>
          <w:rFonts w:eastAsia="仿宋_GB2312" w:cs="仿宋_GB2312" w:hint="eastAsia"/>
          <w:sz w:val="32"/>
          <w:szCs w:val="32"/>
        </w:rPr>
        <w:t>0</w:t>
      </w:r>
      <w:r>
        <w:rPr>
          <w:rFonts w:eastAsia="仿宋_GB2312" w:cs="仿宋_GB2312" w:hint="eastAsia"/>
          <w:sz w:val="32"/>
          <w:szCs w:val="32"/>
        </w:rPr>
        <w:t>辆、载客汽车</w:t>
      </w:r>
      <w:r>
        <w:rPr>
          <w:rFonts w:eastAsia="仿宋_GB2312" w:cs="仿宋_GB2312" w:hint="eastAsia"/>
          <w:sz w:val="32"/>
          <w:szCs w:val="32"/>
        </w:rPr>
        <w:t>0</w:t>
      </w:r>
      <w:r>
        <w:rPr>
          <w:rFonts w:eastAsia="仿宋_GB2312" w:cs="仿宋_GB2312" w:hint="eastAsia"/>
          <w:sz w:val="32"/>
          <w:szCs w:val="32"/>
        </w:rPr>
        <w:t>辆。</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公务用车运行维护费支</w:t>
      </w:r>
      <w:r>
        <w:rPr>
          <w:rFonts w:ascii="仿宋_GB2312" w:eastAsia="仿宋_GB2312" w:hAnsi="仿宋_GB2312" w:cs="仿宋_GB2312" w:hint="eastAsia"/>
          <w:sz w:val="32"/>
          <w:szCs w:val="32"/>
        </w:rPr>
        <w:t>出1.12</w:t>
      </w:r>
      <w:r>
        <w:rPr>
          <w:rFonts w:eastAsia="仿宋_GB2312" w:cs="仿宋_GB2312" w:hint="eastAsia"/>
          <w:sz w:val="32"/>
          <w:szCs w:val="32"/>
        </w:rPr>
        <w:t>万元。主要</w:t>
      </w:r>
      <w:r w:rsidRPr="00C91063">
        <w:rPr>
          <w:rFonts w:eastAsia="仿宋_GB2312" w:cs="仿宋_GB2312" w:hint="eastAsia"/>
          <w:sz w:val="32"/>
          <w:szCs w:val="32"/>
        </w:rPr>
        <w:t>用于教育宣传、电化教育、标准化建设等所需的公务用车燃料费、维修费、过路过桥费、保险费等支出</w:t>
      </w:r>
      <w:r>
        <w:rPr>
          <w:rFonts w:eastAsia="仿宋_GB2312" w:cs="仿宋_GB2312" w:hint="eastAsia"/>
          <w:sz w:val="32"/>
          <w:szCs w:val="32"/>
        </w:rPr>
        <w:t>。</w:t>
      </w:r>
    </w:p>
    <w:p w:rsidR="00C11148" w:rsidRDefault="00C11148" w:rsidP="00C11148">
      <w:pPr>
        <w:spacing w:line="600" w:lineRule="exact"/>
        <w:ind w:firstLine="640"/>
        <w:rPr>
          <w:rFonts w:eastAsia="仿宋_GB2312" w:cs="仿宋_GB2312"/>
          <w:sz w:val="32"/>
          <w:szCs w:val="32"/>
        </w:rPr>
      </w:pPr>
      <w:r>
        <w:rPr>
          <w:rFonts w:eastAsia="仿宋_GB2312" w:cs="仿宋_GB2312" w:hint="eastAsia"/>
          <w:b/>
          <w:bCs/>
          <w:sz w:val="32"/>
          <w:szCs w:val="32"/>
        </w:rPr>
        <w:t>3.</w:t>
      </w:r>
      <w:r>
        <w:rPr>
          <w:rFonts w:eastAsia="仿宋_GB2312" w:cs="仿宋_GB2312" w:hint="eastAsia"/>
          <w:b/>
          <w:bCs/>
          <w:sz w:val="32"/>
          <w:szCs w:val="32"/>
        </w:rPr>
        <w:t>公务接待费支出</w:t>
      </w:r>
      <w:r>
        <w:rPr>
          <w:rFonts w:ascii="仿宋_GB2312" w:eastAsia="仿宋_GB2312" w:hAnsi="仿宋_GB2312" w:cs="仿宋_GB2312" w:hint="eastAsia"/>
          <w:b/>
          <w:bCs/>
          <w:sz w:val="32"/>
          <w:szCs w:val="32"/>
        </w:rPr>
        <w:t>0.3万</w:t>
      </w:r>
      <w:r>
        <w:rPr>
          <w:rFonts w:eastAsia="仿宋_GB2312" w:cs="仿宋_GB2312" w:hint="eastAsia"/>
          <w:b/>
          <w:bCs/>
          <w:sz w:val="32"/>
          <w:szCs w:val="32"/>
        </w:rPr>
        <w:t>元，完成预算</w:t>
      </w:r>
      <w:r w:rsidRPr="0027486A">
        <w:rPr>
          <w:rFonts w:eastAsia="仿宋_GB2312" w:cs="仿宋_GB2312" w:hint="eastAsia"/>
          <w:bCs/>
          <w:sz w:val="32"/>
          <w:szCs w:val="32"/>
        </w:rPr>
        <w:t>58.21</w:t>
      </w:r>
      <w:r>
        <w:rPr>
          <w:rFonts w:eastAsia="仿宋_GB2312" w:cs="仿宋_GB2312" w:hint="eastAsia"/>
          <w:b/>
          <w:bCs/>
          <w:sz w:val="32"/>
          <w:szCs w:val="32"/>
        </w:rPr>
        <w:t>%</w:t>
      </w:r>
      <w:r>
        <w:rPr>
          <w:rFonts w:eastAsia="仿宋_GB2312" w:cs="仿宋_GB2312" w:hint="eastAsia"/>
          <w:b/>
          <w:bCs/>
          <w:sz w:val="32"/>
          <w:szCs w:val="32"/>
        </w:rPr>
        <w:t>。</w:t>
      </w:r>
      <w:r>
        <w:rPr>
          <w:rFonts w:eastAsia="仿宋_GB2312" w:cs="仿宋_GB2312" w:hint="eastAsia"/>
          <w:sz w:val="32"/>
          <w:szCs w:val="32"/>
        </w:rPr>
        <w:t>公务接待费支出决算比</w:t>
      </w:r>
      <w:r>
        <w:rPr>
          <w:rFonts w:eastAsia="仿宋_GB2312" w:cs="仿宋_GB2312" w:hint="eastAsia"/>
          <w:sz w:val="32"/>
          <w:szCs w:val="32"/>
        </w:rPr>
        <w:t>2023</w:t>
      </w:r>
      <w:r>
        <w:rPr>
          <w:rFonts w:eastAsia="仿宋_GB2312" w:cs="仿宋_GB2312" w:hint="eastAsia"/>
          <w:sz w:val="32"/>
          <w:szCs w:val="32"/>
        </w:rPr>
        <w:t>年度增加</w:t>
      </w:r>
      <w:r>
        <w:rPr>
          <w:rFonts w:eastAsia="仿宋_GB2312" w:cs="仿宋_GB2312" w:hint="eastAsia"/>
          <w:sz w:val="32"/>
          <w:szCs w:val="32"/>
        </w:rPr>
        <w:t>0.09</w:t>
      </w:r>
      <w:r>
        <w:rPr>
          <w:rFonts w:eastAsia="仿宋_GB2312" w:cs="仿宋_GB2312" w:hint="eastAsia"/>
          <w:sz w:val="32"/>
          <w:szCs w:val="32"/>
        </w:rPr>
        <w:t>万元，增长</w:t>
      </w:r>
      <w:r>
        <w:rPr>
          <w:rFonts w:eastAsia="仿宋_GB2312" w:cs="仿宋_GB2312" w:hint="eastAsia"/>
          <w:sz w:val="32"/>
          <w:szCs w:val="32"/>
        </w:rPr>
        <w:t>42.85%</w:t>
      </w:r>
      <w:r>
        <w:rPr>
          <w:rFonts w:eastAsia="仿宋_GB2312" w:cs="仿宋_GB2312" w:hint="eastAsia"/>
          <w:sz w:val="32"/>
          <w:szCs w:val="32"/>
        </w:rPr>
        <w:t>。主要原因是接待</w:t>
      </w:r>
      <w:r w:rsidRPr="0027486A">
        <w:rPr>
          <w:rFonts w:eastAsia="仿宋_GB2312" w:cs="仿宋_GB2312" w:hint="eastAsia"/>
          <w:sz w:val="32"/>
          <w:szCs w:val="32"/>
        </w:rPr>
        <w:t>省学校国有资产与教育装备中心赴攀调研</w:t>
      </w:r>
      <w:r>
        <w:rPr>
          <w:rFonts w:eastAsia="仿宋_GB2312" w:cs="仿宋_GB2312" w:hint="eastAsia"/>
          <w:sz w:val="32"/>
          <w:szCs w:val="32"/>
        </w:rPr>
        <w:t>餐费、</w:t>
      </w:r>
      <w:r w:rsidRPr="0027486A">
        <w:rPr>
          <w:rFonts w:eastAsia="仿宋_GB2312" w:cs="仿宋_GB2312" w:hint="eastAsia"/>
          <w:sz w:val="32"/>
          <w:szCs w:val="32"/>
        </w:rPr>
        <w:t>接待省校园影视调研工作人员餐费</w:t>
      </w:r>
      <w:r>
        <w:rPr>
          <w:rFonts w:eastAsia="仿宋_GB2312" w:cs="仿宋_GB2312" w:hint="eastAsia"/>
          <w:sz w:val="32"/>
          <w:szCs w:val="32"/>
        </w:rPr>
        <w:t>。其中：</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国内公务接待支</w:t>
      </w:r>
      <w:r>
        <w:rPr>
          <w:rFonts w:ascii="仿宋_GB2312" w:eastAsia="仿宋_GB2312" w:hAnsi="仿宋_GB2312" w:cs="仿宋_GB2312" w:hint="eastAsia"/>
          <w:sz w:val="32"/>
          <w:szCs w:val="32"/>
        </w:rPr>
        <w:t>出0.3万</w:t>
      </w:r>
      <w:r>
        <w:rPr>
          <w:rFonts w:eastAsia="仿宋_GB2312" w:cs="仿宋_GB2312" w:hint="eastAsia"/>
          <w:sz w:val="32"/>
          <w:szCs w:val="32"/>
        </w:rPr>
        <w:t>元，主要用于开展业务活动调研用餐费等。国内公务接</w:t>
      </w:r>
      <w:r>
        <w:rPr>
          <w:rFonts w:ascii="仿宋_GB2312" w:eastAsia="仿宋_GB2312" w:hAnsi="仿宋_GB2312" w:cs="仿宋_GB2312" w:hint="eastAsia"/>
          <w:sz w:val="32"/>
          <w:szCs w:val="32"/>
        </w:rPr>
        <w:t>待2批次，22</w:t>
      </w:r>
      <w:r>
        <w:rPr>
          <w:rFonts w:eastAsia="仿宋_GB2312" w:cs="仿宋_GB2312" w:hint="eastAsia"/>
          <w:sz w:val="32"/>
          <w:szCs w:val="32"/>
        </w:rPr>
        <w:t>人次（不包括陪同人员），共计支出</w:t>
      </w:r>
      <w:r>
        <w:rPr>
          <w:rFonts w:eastAsia="仿宋_GB2312" w:cs="仿宋_GB2312" w:hint="eastAsia"/>
          <w:sz w:val="32"/>
          <w:szCs w:val="32"/>
        </w:rPr>
        <w:t>0.3</w:t>
      </w:r>
      <w:r>
        <w:rPr>
          <w:rFonts w:eastAsia="仿宋_GB2312" w:cs="仿宋_GB2312" w:hint="eastAsia"/>
          <w:sz w:val="32"/>
          <w:szCs w:val="32"/>
        </w:rPr>
        <w:t>万元，具体内容包括：接待</w:t>
      </w:r>
      <w:r w:rsidRPr="0027486A">
        <w:rPr>
          <w:rFonts w:eastAsia="仿宋_GB2312" w:cs="仿宋_GB2312" w:hint="eastAsia"/>
          <w:sz w:val="32"/>
          <w:szCs w:val="32"/>
        </w:rPr>
        <w:t>省学校国有资产与教育装备中心赴攀调研</w:t>
      </w:r>
      <w:r>
        <w:rPr>
          <w:rFonts w:eastAsia="仿宋_GB2312" w:cs="仿宋_GB2312" w:hint="eastAsia"/>
          <w:sz w:val="32"/>
          <w:szCs w:val="32"/>
        </w:rPr>
        <w:t>餐费</w:t>
      </w:r>
      <w:r>
        <w:rPr>
          <w:rFonts w:eastAsia="仿宋_GB2312" w:cs="仿宋_GB2312" w:hint="eastAsia"/>
          <w:sz w:val="32"/>
          <w:szCs w:val="32"/>
        </w:rPr>
        <w:t>0.13</w:t>
      </w:r>
      <w:r>
        <w:rPr>
          <w:rFonts w:eastAsia="仿宋_GB2312" w:cs="仿宋_GB2312" w:hint="eastAsia"/>
          <w:sz w:val="32"/>
          <w:szCs w:val="32"/>
        </w:rPr>
        <w:t>万元、</w:t>
      </w:r>
      <w:r w:rsidRPr="0027486A">
        <w:rPr>
          <w:rFonts w:eastAsia="仿宋_GB2312" w:cs="仿宋_GB2312" w:hint="eastAsia"/>
          <w:sz w:val="32"/>
          <w:szCs w:val="32"/>
        </w:rPr>
        <w:t>接待省校园影视调研工作人员餐费</w:t>
      </w:r>
      <w:r>
        <w:rPr>
          <w:rFonts w:eastAsia="仿宋_GB2312" w:cs="仿宋_GB2312" w:hint="eastAsia"/>
          <w:sz w:val="32"/>
          <w:szCs w:val="32"/>
        </w:rPr>
        <w:t>0.17</w:t>
      </w:r>
      <w:r>
        <w:rPr>
          <w:rFonts w:eastAsia="仿宋_GB2312" w:cs="仿宋_GB2312" w:hint="eastAsia"/>
          <w:sz w:val="32"/>
          <w:szCs w:val="32"/>
        </w:rPr>
        <w:t>万元。</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外事接待支</w:t>
      </w:r>
      <w:r>
        <w:rPr>
          <w:rFonts w:ascii="仿宋_GB2312" w:eastAsia="仿宋_GB2312" w:hAnsi="仿宋_GB2312" w:cs="仿宋_GB2312" w:hint="eastAsia"/>
          <w:sz w:val="32"/>
          <w:szCs w:val="32"/>
        </w:rPr>
        <w:t>出0万元，主要用于接待（具体项目）。外事接待0批次，0人次（不包括陪同人员），共计支出0万</w:t>
      </w:r>
      <w:r>
        <w:rPr>
          <w:rFonts w:eastAsia="仿宋_GB2312" w:cs="仿宋_GB2312" w:hint="eastAsia"/>
          <w:sz w:val="32"/>
          <w:szCs w:val="32"/>
        </w:rPr>
        <w:t>元。</w:t>
      </w:r>
    </w:p>
    <w:p w:rsidR="00C11148" w:rsidRDefault="00C11148" w:rsidP="00C11148">
      <w:pPr>
        <w:spacing w:line="600" w:lineRule="exact"/>
        <w:ind w:firstLine="640"/>
        <w:rPr>
          <w:rFonts w:eastAsia="仿宋_GB2312" w:cs="仿宋_GB2312"/>
          <w:sz w:val="32"/>
          <w:szCs w:val="32"/>
        </w:rPr>
      </w:pPr>
      <w:bookmarkStart w:id="35" w:name="_Toc15396610"/>
      <w:bookmarkStart w:id="36" w:name="_Toc15377218"/>
    </w:p>
    <w:p w:rsidR="00C11148" w:rsidRDefault="00C11148" w:rsidP="00C11148">
      <w:pPr>
        <w:spacing w:line="600" w:lineRule="exact"/>
        <w:ind w:firstLine="640"/>
        <w:outlineLvl w:val="1"/>
        <w:rPr>
          <w:rStyle w:val="2Char"/>
          <w:rFonts w:eastAsia="黑体"/>
        </w:rPr>
      </w:pPr>
      <w:r>
        <w:rPr>
          <w:rFonts w:eastAsia="黑体" w:hint="eastAsia"/>
          <w:sz w:val="32"/>
          <w:szCs w:val="32"/>
        </w:rPr>
        <w:t>八、</w:t>
      </w:r>
      <w:r>
        <w:rPr>
          <w:rStyle w:val="2Char"/>
          <w:rFonts w:eastAsia="黑体" w:hint="eastAsia"/>
        </w:rPr>
        <w:t>政府性基金预算支出决算情况说明</w:t>
      </w:r>
      <w:bookmarkEnd w:id="35"/>
      <w:bookmarkEnd w:id="36"/>
    </w:p>
    <w:p w:rsidR="00C11148" w:rsidRDefault="00C11148" w:rsidP="00C11148">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2024年度政府性基金预算财政拨款支出0万元，占本年支出合计的0%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年度相比持平。</w:t>
      </w:r>
    </w:p>
    <w:p w:rsidR="00C11148" w:rsidRDefault="00C11148" w:rsidP="00C11148">
      <w:pPr>
        <w:spacing w:line="600" w:lineRule="exact"/>
        <w:ind w:left="630"/>
        <w:outlineLvl w:val="1"/>
        <w:rPr>
          <w:rStyle w:val="2Char"/>
          <w:rFonts w:eastAsia="黑体"/>
          <w:b w:val="0"/>
        </w:rPr>
      </w:pPr>
      <w:bookmarkStart w:id="37" w:name="_Toc15377219"/>
      <w:bookmarkStart w:id="38" w:name="_Toc15396611"/>
      <w:r>
        <w:rPr>
          <w:rStyle w:val="2Char"/>
          <w:rFonts w:eastAsia="黑体" w:hint="eastAsia"/>
        </w:rPr>
        <w:t>九、国有资本经营预算支出决算情况说明</w:t>
      </w:r>
      <w:bookmarkEnd w:id="37"/>
      <w:bookmarkEnd w:id="38"/>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年度国有资本经营预算财政拨款支出</w:t>
      </w:r>
      <w:r>
        <w:rPr>
          <w:rFonts w:ascii="仿宋_GB2312" w:eastAsia="仿宋_GB2312" w:hAnsi="仿宋_GB2312" w:cs="仿宋_GB2312" w:hint="eastAsia"/>
          <w:sz w:val="32"/>
          <w:szCs w:val="32"/>
        </w:rPr>
        <w:t>0万元，占本年支出合计的0%</w:t>
      </w:r>
      <w:r>
        <w:rPr>
          <w:rFonts w:eastAsia="仿宋_GB2312" w:cs="仿宋_GB2312" w:hint="eastAsia"/>
          <w:sz w:val="32"/>
          <w:szCs w:val="32"/>
        </w:rPr>
        <w:t>。与</w:t>
      </w:r>
      <w:r>
        <w:rPr>
          <w:rFonts w:eastAsia="仿宋_GB2312" w:cs="仿宋_GB2312" w:hint="eastAsia"/>
          <w:sz w:val="32"/>
          <w:szCs w:val="32"/>
        </w:rPr>
        <w:t>2023</w:t>
      </w:r>
      <w:r>
        <w:rPr>
          <w:rFonts w:eastAsia="仿宋_GB2312" w:cs="仿宋_GB2312" w:hint="eastAsia"/>
          <w:sz w:val="32"/>
          <w:szCs w:val="32"/>
        </w:rPr>
        <w:t>年度相比持平。</w:t>
      </w:r>
    </w:p>
    <w:p w:rsidR="00C11148" w:rsidRDefault="00C11148" w:rsidP="00C11148">
      <w:pPr>
        <w:spacing w:line="600" w:lineRule="exact"/>
        <w:ind w:left="630"/>
        <w:outlineLvl w:val="1"/>
        <w:rPr>
          <w:rStyle w:val="2Char"/>
          <w:rFonts w:eastAsia="黑体"/>
          <w:b w:val="0"/>
        </w:rPr>
      </w:pPr>
      <w:bookmarkStart w:id="39" w:name="_Toc15377221"/>
      <w:bookmarkStart w:id="40" w:name="_Toc15396612"/>
      <w:r>
        <w:rPr>
          <w:rStyle w:val="2Char"/>
          <w:rFonts w:eastAsia="黑体" w:hint="eastAsia"/>
        </w:rPr>
        <w:t>十、其他重要事项的情况说明</w:t>
      </w:r>
      <w:bookmarkEnd w:id="39"/>
      <w:bookmarkEnd w:id="40"/>
    </w:p>
    <w:p w:rsidR="00C11148" w:rsidRDefault="00C11148" w:rsidP="00C11148">
      <w:pPr>
        <w:spacing w:line="600" w:lineRule="exact"/>
        <w:ind w:firstLineChars="200" w:firstLine="643"/>
        <w:outlineLvl w:val="2"/>
        <w:rPr>
          <w:rFonts w:eastAsia="楷体_GB2312" w:cs="楷体_GB2312"/>
          <w:b/>
          <w:sz w:val="32"/>
          <w:szCs w:val="32"/>
        </w:rPr>
      </w:pPr>
      <w:bookmarkStart w:id="41" w:name="_Toc15377222"/>
      <w:r>
        <w:rPr>
          <w:rFonts w:eastAsia="楷体_GB2312" w:cs="楷体_GB2312" w:hint="eastAsia"/>
          <w:b/>
          <w:sz w:val="32"/>
          <w:szCs w:val="32"/>
        </w:rPr>
        <w:t>（一）机关运行经费支出情况</w:t>
      </w:r>
      <w:bookmarkEnd w:id="41"/>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2024</w:t>
      </w:r>
      <w:r>
        <w:rPr>
          <w:rFonts w:eastAsia="仿宋_GB2312" w:cs="仿宋_GB2312" w:hint="eastAsia"/>
          <w:sz w:val="32"/>
          <w:szCs w:val="32"/>
        </w:rPr>
        <w:t>年度</w:t>
      </w:r>
      <w:r>
        <w:rPr>
          <w:rFonts w:ascii="仿宋_GB2312" w:eastAsia="仿宋_GB2312" w:hAnsi="仿宋_GB2312" w:cs="仿宋_GB2312" w:hint="eastAsia"/>
          <w:sz w:val="32"/>
          <w:szCs w:val="32"/>
        </w:rPr>
        <w:t>，四川省攀枝花市电化教育（技术装备）中心机关运行经费支出0万</w:t>
      </w:r>
      <w:r>
        <w:rPr>
          <w:rFonts w:eastAsia="仿宋_GB2312" w:cs="仿宋_GB2312" w:hint="eastAsia"/>
          <w:sz w:val="32"/>
          <w:szCs w:val="32"/>
        </w:rPr>
        <w:t>元，与</w:t>
      </w:r>
      <w:r>
        <w:rPr>
          <w:rFonts w:eastAsia="仿宋_GB2312" w:cs="仿宋_GB2312" w:hint="eastAsia"/>
          <w:sz w:val="32"/>
          <w:szCs w:val="32"/>
        </w:rPr>
        <w:t>2023</w:t>
      </w:r>
      <w:r>
        <w:rPr>
          <w:rFonts w:eastAsia="仿宋_GB2312" w:cs="仿宋_GB2312" w:hint="eastAsia"/>
          <w:sz w:val="32"/>
          <w:szCs w:val="32"/>
        </w:rPr>
        <w:t>年度决算数持平。</w:t>
      </w:r>
    </w:p>
    <w:p w:rsidR="00C11148" w:rsidRDefault="00C11148" w:rsidP="00C11148">
      <w:pPr>
        <w:spacing w:line="600" w:lineRule="exact"/>
        <w:ind w:firstLineChars="200" w:firstLine="643"/>
        <w:outlineLvl w:val="2"/>
        <w:rPr>
          <w:rFonts w:eastAsia="楷体_GB2312" w:cs="楷体_GB2312"/>
          <w:b/>
          <w:sz w:val="32"/>
          <w:szCs w:val="32"/>
        </w:rPr>
      </w:pPr>
      <w:bookmarkStart w:id="42" w:name="_Toc15377223"/>
      <w:r>
        <w:rPr>
          <w:rFonts w:eastAsia="楷体_GB2312" w:cs="楷体_GB2312" w:hint="eastAsia"/>
          <w:b/>
          <w:sz w:val="32"/>
          <w:szCs w:val="32"/>
        </w:rPr>
        <w:t>（二）政府采购支出情况</w:t>
      </w:r>
      <w:bookmarkEnd w:id="42"/>
    </w:p>
    <w:p w:rsidR="00C11148" w:rsidRPr="00C87B46" w:rsidRDefault="00C11148" w:rsidP="00C11148">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2024年度，四川省攀枝花市电化教育（技术装备）中心政府采购支出总额1.77万元，其中：政府采购货物支出1万元、政府采购工程支出0万元、政府采购服务支出0.77万元。主要用于</w:t>
      </w:r>
      <w:r>
        <w:rPr>
          <w:rFonts w:ascii="仿宋_GB2312" w:eastAsia="仿宋_GB2312" w:hint="eastAsia"/>
          <w:sz w:val="32"/>
          <w:szCs w:val="32"/>
        </w:rPr>
        <w:t>日常办公，公务出行保障</w:t>
      </w:r>
      <w:r>
        <w:rPr>
          <w:rFonts w:ascii="仿宋_GB2312" w:eastAsia="仿宋_GB2312" w:hAnsi="仿宋_GB2312" w:cs="仿宋_GB2312" w:hint="eastAsia"/>
          <w:sz w:val="32"/>
          <w:szCs w:val="32"/>
        </w:rPr>
        <w:t>。授予中小企业合同金额1.65万元，占政府采购支出总额的93.35%，其中：授予小微企业合同金额1.25万元，占政府采购支出总额的70.71%。</w:t>
      </w:r>
    </w:p>
    <w:p w:rsidR="00C11148" w:rsidRDefault="00C11148" w:rsidP="00C11148">
      <w:pPr>
        <w:spacing w:line="600" w:lineRule="exact"/>
        <w:ind w:firstLineChars="200" w:firstLine="643"/>
        <w:outlineLvl w:val="2"/>
        <w:rPr>
          <w:rFonts w:eastAsia="楷体_GB2312" w:cs="楷体_GB2312"/>
          <w:b/>
          <w:sz w:val="32"/>
          <w:szCs w:val="32"/>
        </w:rPr>
      </w:pPr>
      <w:bookmarkStart w:id="43" w:name="_Toc15377224"/>
      <w:r>
        <w:rPr>
          <w:rFonts w:eastAsia="楷体_GB2312" w:cs="楷体_GB2312" w:hint="eastAsia"/>
          <w:b/>
          <w:sz w:val="32"/>
          <w:szCs w:val="32"/>
        </w:rPr>
        <w:t>（三）国有资产占有使用情况</w:t>
      </w:r>
      <w:bookmarkEnd w:id="43"/>
    </w:p>
    <w:p w:rsidR="00C11148" w:rsidRDefault="00C11148" w:rsidP="00C11148">
      <w:pPr>
        <w:spacing w:line="600" w:lineRule="exact"/>
        <w:ind w:firstLine="640"/>
        <w:rPr>
          <w:rFonts w:eastAsia="仿宋_GB2312" w:cs="仿宋_GB2312"/>
          <w:sz w:val="32"/>
          <w:szCs w:val="32"/>
        </w:rPr>
      </w:pPr>
      <w:r>
        <w:rPr>
          <w:rFonts w:ascii="仿宋_GB2312" w:eastAsia="仿宋_GB2312" w:hAnsi="仿宋_GB2312" w:cs="仿宋_GB2312" w:hint="eastAsia"/>
          <w:sz w:val="32"/>
          <w:szCs w:val="32"/>
        </w:rPr>
        <w:t>截至2024年12月31日，四川省攀枝花市电化教育（技术装备）中心共有车辆1辆，其中：主要负责人用车0辆、机要通信用车0辆、应急保障用车0辆、其他用车1辆，其</w:t>
      </w:r>
      <w:r>
        <w:rPr>
          <w:rFonts w:ascii="仿宋_GB2312" w:eastAsia="仿宋_GB2312" w:hAnsi="仿宋_GB2312" w:cs="仿宋_GB2312" w:hint="eastAsia"/>
          <w:sz w:val="32"/>
          <w:szCs w:val="32"/>
        </w:rPr>
        <w:lastRenderedPageBreak/>
        <w:t>他用车主要是用于</w:t>
      </w:r>
      <w:r>
        <w:rPr>
          <w:rFonts w:ascii="仿宋_GB2312" w:eastAsia="仿宋_GB2312" w:hint="eastAsia"/>
          <w:sz w:val="32"/>
          <w:szCs w:val="32"/>
        </w:rPr>
        <w:t>教育体育宣传、教育和体育常规工作</w:t>
      </w:r>
      <w:r>
        <w:rPr>
          <w:rFonts w:ascii="仿宋_GB2312" w:eastAsia="仿宋_GB2312" w:hAnsi="仿宋_GB2312" w:cs="仿宋_GB2312" w:hint="eastAsia"/>
          <w:sz w:val="32"/>
          <w:szCs w:val="32"/>
        </w:rPr>
        <w:t>。单价100万元（含）以上设备（不含车辆）0台（套）</w:t>
      </w:r>
      <w:r>
        <w:rPr>
          <w:rFonts w:eastAsia="仿宋_GB2312" w:cs="仿宋_GB2312" w:hint="eastAsia"/>
          <w:sz w:val="32"/>
          <w:szCs w:val="32"/>
        </w:rPr>
        <w:t>。</w:t>
      </w:r>
    </w:p>
    <w:p w:rsidR="00C11148" w:rsidRDefault="00C11148" w:rsidP="00C11148">
      <w:pPr>
        <w:spacing w:line="600" w:lineRule="exact"/>
        <w:ind w:firstLineChars="200" w:firstLine="643"/>
        <w:outlineLvl w:val="2"/>
        <w:rPr>
          <w:rFonts w:eastAsia="楷体_GB2312" w:cs="楷体_GB2312"/>
          <w:b/>
          <w:sz w:val="32"/>
          <w:szCs w:val="32"/>
        </w:rPr>
      </w:pPr>
      <w:r>
        <w:rPr>
          <w:rFonts w:eastAsia="楷体_GB2312" w:cs="楷体_GB2312" w:hint="eastAsia"/>
          <w:b/>
          <w:sz w:val="32"/>
          <w:szCs w:val="32"/>
        </w:rPr>
        <w:t>（四）预算绩效管理情况</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根据预算绩效管理要求，市电化教育（技术装备）中心在</w:t>
      </w:r>
      <w:r>
        <w:rPr>
          <w:rFonts w:eastAsia="仿宋_GB2312" w:cs="仿宋_GB2312" w:hint="eastAsia"/>
          <w:sz w:val="32"/>
          <w:szCs w:val="32"/>
        </w:rPr>
        <w:t>2024</w:t>
      </w:r>
      <w:r>
        <w:rPr>
          <w:rFonts w:eastAsia="仿宋_GB2312" w:cs="仿宋_GB2312" w:hint="eastAsia"/>
          <w:sz w:val="32"/>
          <w:szCs w:val="32"/>
        </w:rPr>
        <w:t>年度预算编制阶段，组织对</w:t>
      </w:r>
      <w:r>
        <w:rPr>
          <w:rFonts w:eastAsia="仿宋_GB2312" w:cs="仿宋_GB2312" w:hint="eastAsia"/>
          <w:sz w:val="32"/>
          <w:szCs w:val="32"/>
        </w:rPr>
        <w:t>8</w:t>
      </w:r>
      <w:r>
        <w:rPr>
          <w:rFonts w:eastAsia="仿宋_GB2312" w:cs="仿宋_GB2312" w:hint="eastAsia"/>
          <w:sz w:val="32"/>
          <w:szCs w:val="32"/>
        </w:rPr>
        <w:t>项目（项目名称）等</w:t>
      </w:r>
      <w:r>
        <w:rPr>
          <w:rFonts w:eastAsia="仿宋_GB2312" w:cs="仿宋_GB2312" w:hint="eastAsia"/>
          <w:sz w:val="32"/>
          <w:szCs w:val="32"/>
        </w:rPr>
        <w:t>8</w:t>
      </w:r>
      <w:r>
        <w:rPr>
          <w:rFonts w:eastAsia="仿宋_GB2312" w:cs="仿宋_GB2312" w:hint="eastAsia"/>
          <w:sz w:val="32"/>
          <w:szCs w:val="32"/>
        </w:rPr>
        <w:t>个项目开展了预算事前绩效评估，对</w:t>
      </w:r>
      <w:r>
        <w:rPr>
          <w:rFonts w:eastAsia="仿宋_GB2312" w:cs="仿宋_GB2312" w:hint="eastAsia"/>
          <w:sz w:val="32"/>
          <w:szCs w:val="32"/>
        </w:rPr>
        <w:t>8</w:t>
      </w:r>
      <w:r>
        <w:rPr>
          <w:rFonts w:eastAsia="仿宋_GB2312" w:cs="仿宋_GB2312" w:hint="eastAsia"/>
          <w:sz w:val="32"/>
          <w:szCs w:val="32"/>
        </w:rPr>
        <w:t>个项目编制了绩效目标，预算执行过程中，选取</w:t>
      </w:r>
      <w:r>
        <w:rPr>
          <w:rFonts w:eastAsia="仿宋_GB2312" w:cs="仿宋_GB2312" w:hint="eastAsia"/>
          <w:sz w:val="32"/>
          <w:szCs w:val="32"/>
        </w:rPr>
        <w:t>8</w:t>
      </w:r>
      <w:r>
        <w:rPr>
          <w:rFonts w:eastAsia="仿宋_GB2312" w:cs="仿宋_GB2312" w:hint="eastAsia"/>
          <w:sz w:val="32"/>
          <w:szCs w:val="32"/>
        </w:rPr>
        <w:t>个项目开展绩效监控。</w:t>
      </w:r>
    </w:p>
    <w:p w:rsidR="00C11148" w:rsidRDefault="00C11148" w:rsidP="00C11148">
      <w:pPr>
        <w:spacing w:line="600" w:lineRule="exact"/>
        <w:ind w:firstLine="640"/>
        <w:rPr>
          <w:rFonts w:eastAsia="仿宋_GB2312" w:cs="仿宋_GB2312"/>
          <w:sz w:val="32"/>
          <w:szCs w:val="32"/>
        </w:rPr>
      </w:pPr>
      <w:r>
        <w:rPr>
          <w:rFonts w:eastAsia="仿宋_GB2312" w:cs="仿宋_GB2312" w:hint="eastAsia"/>
          <w:sz w:val="32"/>
          <w:szCs w:val="32"/>
        </w:rPr>
        <w:t>组织对</w:t>
      </w:r>
      <w:r>
        <w:rPr>
          <w:rFonts w:eastAsia="仿宋_GB2312" w:cs="仿宋_GB2312" w:hint="eastAsia"/>
          <w:sz w:val="32"/>
          <w:szCs w:val="32"/>
        </w:rPr>
        <w:t>2024</w:t>
      </w:r>
      <w:r>
        <w:rPr>
          <w:rFonts w:eastAsia="仿宋_GB2312" w:cs="仿宋_GB2312" w:hint="eastAsia"/>
          <w:sz w:val="32"/>
          <w:szCs w:val="32"/>
        </w:rPr>
        <w:t>年度一般公共预算全面开展绩效自评，形成市电化教育（技术装备）中心部门整体（含部门预算项目）绩效自评报告，绩效自评报告详见附件。</w:t>
      </w:r>
    </w:p>
    <w:p w:rsidR="00C11148" w:rsidRPr="00C87B46" w:rsidRDefault="00C11148" w:rsidP="00C11148">
      <w:pPr>
        <w:spacing w:line="600" w:lineRule="exact"/>
        <w:ind w:firstLine="640"/>
        <w:rPr>
          <w:rFonts w:eastAsia="仿宋_GB2312" w:cs="仿宋_GB2312"/>
          <w:sz w:val="32"/>
          <w:szCs w:val="32"/>
        </w:rPr>
      </w:pPr>
    </w:p>
    <w:p w:rsidR="00C11148" w:rsidRDefault="00C11148" w:rsidP="00C11148">
      <w:pPr>
        <w:spacing w:line="600" w:lineRule="exact"/>
        <w:jc w:val="center"/>
        <w:outlineLvl w:val="0"/>
        <w:rPr>
          <w:rFonts w:eastAsia="黑体"/>
          <w:sz w:val="44"/>
          <w:szCs w:val="44"/>
        </w:rPr>
      </w:pPr>
      <w:bookmarkStart w:id="44" w:name="_Toc15377225"/>
      <w:bookmarkStart w:id="45" w:name="_Toc15396613"/>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p>
    <w:p w:rsidR="00C11148" w:rsidRDefault="00C11148" w:rsidP="00C11148">
      <w:pPr>
        <w:spacing w:line="600" w:lineRule="exact"/>
        <w:jc w:val="center"/>
        <w:outlineLvl w:val="0"/>
        <w:rPr>
          <w:rFonts w:eastAsia="黑体"/>
          <w:sz w:val="44"/>
          <w:szCs w:val="44"/>
        </w:rPr>
      </w:pPr>
      <w:r>
        <w:rPr>
          <w:rFonts w:eastAsia="黑体" w:hint="eastAsia"/>
          <w:sz w:val="44"/>
          <w:szCs w:val="44"/>
        </w:rPr>
        <w:lastRenderedPageBreak/>
        <w:t>第三部分</w:t>
      </w:r>
      <w:r>
        <w:rPr>
          <w:rFonts w:eastAsia="黑体" w:hint="eastAsia"/>
          <w:sz w:val="44"/>
          <w:szCs w:val="44"/>
        </w:rPr>
        <w:t xml:space="preserve">  </w:t>
      </w:r>
      <w:r>
        <w:rPr>
          <w:rFonts w:eastAsia="黑体" w:hint="eastAsia"/>
          <w:sz w:val="44"/>
          <w:szCs w:val="44"/>
        </w:rPr>
        <w:t>名词解释</w:t>
      </w:r>
      <w:bookmarkEnd w:id="44"/>
      <w:bookmarkEnd w:id="45"/>
    </w:p>
    <w:p w:rsidR="00C11148" w:rsidRDefault="00C11148" w:rsidP="00C11148">
      <w:pPr>
        <w:spacing w:line="600" w:lineRule="exact"/>
        <w:jc w:val="left"/>
        <w:rPr>
          <w:b/>
          <w:sz w:val="44"/>
          <w:szCs w:val="44"/>
        </w:rPr>
      </w:pPr>
    </w:p>
    <w:p w:rsidR="00C11148" w:rsidRDefault="00C11148" w:rsidP="00C11148">
      <w:pPr>
        <w:pStyle w:val="Default"/>
        <w:spacing w:line="560" w:lineRule="exact"/>
        <w:ind w:firstLineChars="200" w:firstLine="640"/>
        <w:rPr>
          <w:rFonts w:ascii="仿宋_GB2312" w:eastAsia="仿宋_GB2312"/>
          <w:color w:val="auto"/>
          <w:sz w:val="32"/>
          <w:szCs w:val="32"/>
        </w:rPr>
      </w:pPr>
      <w:bookmarkStart w:id="46" w:name="_Toc15377226"/>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C11148" w:rsidRDefault="00C11148" w:rsidP="00C111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rsidR="00C11148" w:rsidRDefault="00C11148" w:rsidP="00C111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C11148" w:rsidRDefault="00C11148" w:rsidP="00C111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4.年末结转和结余：指单位按有关规定结转到下年或以后年度继续使用的资金。</w:t>
      </w:r>
    </w:p>
    <w:p w:rsidR="00C11148" w:rsidRDefault="00C11148" w:rsidP="00C11148">
      <w:pPr>
        <w:ind w:firstLineChars="200" w:firstLine="640"/>
        <w:rPr>
          <w:rFonts w:ascii="仿宋_GB2312" w:eastAsia="仿宋_GB2312"/>
          <w:sz w:val="32"/>
          <w:szCs w:val="32"/>
        </w:rPr>
      </w:pPr>
      <w:r>
        <w:rPr>
          <w:rFonts w:ascii="仿宋_GB2312" w:eastAsia="仿宋_GB2312" w:hint="eastAsia"/>
          <w:sz w:val="32"/>
          <w:szCs w:val="32"/>
        </w:rPr>
        <w:t>5.教育（类）教育附加安排的支出（款）其他教育附加安排的支出（项）: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C11148" w:rsidRDefault="00C11148" w:rsidP="00C11148">
      <w:pPr>
        <w:widowControl/>
        <w:spacing w:line="560" w:lineRule="exact"/>
        <w:ind w:firstLine="660"/>
        <w:rPr>
          <w:rFonts w:ascii="仿宋" w:eastAsia="仿宋" w:hAnsi="仿宋" w:cs="仿宋_GB2312"/>
          <w:sz w:val="32"/>
          <w:szCs w:val="32"/>
        </w:rPr>
      </w:pPr>
      <w:r>
        <w:rPr>
          <w:rFonts w:ascii="仿宋" w:eastAsia="仿宋" w:hAnsi="仿宋" w:cs="仿宋_GB2312" w:hint="eastAsia"/>
          <w:sz w:val="32"/>
          <w:szCs w:val="32"/>
        </w:rPr>
        <w:t>6.社会保障和就业支出（类）行政事业单位养老支出（款）事业单位离退休（项）:反映事业单位开支的离退休经费。社会保障和就业（类）行政事业单位养老支出（款）机关事业单位基本养老保险缴费支出（项）：反映机关事业单位实施养老保险制度由单位缴纳的基本养老保险费支出。</w:t>
      </w:r>
      <w:r>
        <w:rPr>
          <w:rFonts w:ascii="仿宋_GB2312" w:eastAsia="仿宋_GB2312" w:hint="eastAsia"/>
          <w:sz w:val="32"/>
          <w:szCs w:val="32"/>
        </w:rPr>
        <w:t>社会保障和就业支出（类）人力资源和社会保障管理事务（款）其他人力资源和社会保障管理事务支出（项）：</w:t>
      </w:r>
      <w:r>
        <w:rPr>
          <w:rFonts w:ascii="仿宋" w:eastAsia="仿宋" w:hAnsi="仿宋" w:cs="仿宋_GB2312" w:hint="eastAsia"/>
          <w:sz w:val="32"/>
          <w:szCs w:val="32"/>
        </w:rPr>
        <w:t>反映除行政运行、一般行政管理事务、机关服务、综合业务管理、劳动保</w:t>
      </w:r>
      <w:r>
        <w:rPr>
          <w:rFonts w:ascii="仿宋" w:eastAsia="仿宋" w:hAnsi="仿宋" w:cs="仿宋_GB2312" w:hint="eastAsia"/>
          <w:sz w:val="32"/>
          <w:szCs w:val="32"/>
        </w:rPr>
        <w:lastRenderedPageBreak/>
        <w:t>障监察、就业管理事务、社会保险业务管理事务、信息化建设、社会保险经办机构、劳动关系和维权、公共就业服务和职业技能鉴定机构、劳动人事争议调解仲裁、政府特殊津贴、资助留学回国人员、博士后日常经费、引进人才费用、事业运行以外其他用于人力资源和社会保障管理事务方面的支出。</w:t>
      </w:r>
    </w:p>
    <w:p w:rsidR="00C11148" w:rsidRDefault="00C11148" w:rsidP="00C11148">
      <w:pPr>
        <w:widowControl/>
        <w:spacing w:line="560" w:lineRule="exact"/>
        <w:ind w:firstLine="660"/>
        <w:rPr>
          <w:rFonts w:ascii="仿宋_GB2312" w:eastAsia="仿宋_GB2312"/>
          <w:color w:val="000000"/>
          <w:sz w:val="32"/>
          <w:szCs w:val="32"/>
        </w:rPr>
      </w:pPr>
      <w:r>
        <w:rPr>
          <w:rFonts w:ascii="仿宋" w:eastAsia="仿宋" w:hAnsi="仿宋" w:cs="仿宋_GB2312" w:hint="eastAsia"/>
          <w:sz w:val="32"/>
          <w:szCs w:val="32"/>
        </w:rPr>
        <w:t>7.住房保障（类）住房改革支出（款）住房公积金（项）：指反映行政事业单位按人力资源和社会保障部、财政部规定的基本工资和津贴补贴以及规定比列为职工缴纳的住房公积金</w:t>
      </w:r>
    </w:p>
    <w:p w:rsidR="00C11148" w:rsidRDefault="00C11148" w:rsidP="00C11148">
      <w:pPr>
        <w:ind w:firstLineChars="200" w:firstLine="640"/>
        <w:rPr>
          <w:rFonts w:ascii="仿宋_GB2312" w:eastAsia="仿宋_GB2312"/>
          <w:sz w:val="32"/>
          <w:szCs w:val="32"/>
        </w:rPr>
      </w:pPr>
      <w:r>
        <w:rPr>
          <w:rFonts w:ascii="仿宋_GB2312" w:eastAsia="仿宋_GB2312" w:hint="eastAsia"/>
          <w:sz w:val="32"/>
          <w:szCs w:val="32"/>
        </w:rPr>
        <w:t>8.</w:t>
      </w:r>
      <w:r w:rsidRPr="000C07EB">
        <w:rPr>
          <w:rFonts w:ascii="仿宋_GB2312" w:eastAsia="仿宋_GB2312" w:hint="eastAsia"/>
          <w:sz w:val="32"/>
          <w:szCs w:val="32"/>
        </w:rPr>
        <w:t>卫生健康支出（类）行政事业单位医疗（款）事业单位医疗（项）:</w:t>
      </w:r>
      <w:r>
        <w:rPr>
          <w:rFonts w:ascii="仿宋_GB2312" w:eastAsia="仿宋_GB2312" w:hint="eastAsia"/>
          <w:sz w:val="32"/>
          <w:szCs w:val="32"/>
        </w:rPr>
        <w:t>反映财政部门安排的事业单位基本医疗保险缴费经费，未参加医疗保险的事业单位的公费医疗经费，按国家规定享受离休人员待遇的医疗经费；</w:t>
      </w:r>
      <w:r w:rsidRPr="000C07EB">
        <w:rPr>
          <w:rFonts w:ascii="仿宋_GB2312" w:eastAsia="仿宋_GB2312" w:hint="eastAsia"/>
          <w:sz w:val="32"/>
          <w:szCs w:val="32"/>
        </w:rPr>
        <w:t>卫生健康支出（类）行政事业单位医疗（款）公务员医疗补助（项）:</w:t>
      </w:r>
      <w:r>
        <w:rPr>
          <w:rFonts w:ascii="仿宋_GB2312" w:eastAsia="仿宋_GB2312" w:hint="eastAsia"/>
          <w:sz w:val="32"/>
          <w:szCs w:val="32"/>
        </w:rPr>
        <w:t>反映财政部门安排的公务员医疗补助经费。</w:t>
      </w:r>
    </w:p>
    <w:p w:rsidR="00C11148" w:rsidRDefault="00C11148" w:rsidP="00C11148">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C11148" w:rsidRDefault="00C11148" w:rsidP="00C11148">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C11148" w:rsidRDefault="00C11148" w:rsidP="00C111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w:t>
      </w:r>
      <w:r>
        <w:rPr>
          <w:rFonts w:ascii="仿宋_GB2312" w:eastAsia="仿宋_GB2312" w:hint="eastAsia"/>
          <w:color w:val="auto"/>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11148" w:rsidRDefault="00C11148" w:rsidP="00C111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11148" w:rsidRDefault="00C11148" w:rsidP="00C11148">
      <w:pPr>
        <w:spacing w:line="600" w:lineRule="exact"/>
        <w:jc w:val="center"/>
        <w:rPr>
          <w:rStyle w:val="1Char"/>
          <w:rFonts w:eastAsia="黑体"/>
          <w:b w:val="0"/>
        </w:rPr>
      </w:pPr>
      <w:r>
        <w:rPr>
          <w:rFonts w:eastAsia="仿宋_GB2312" w:cs="仿宋_GB2312" w:hint="eastAsia"/>
          <w:sz w:val="32"/>
          <w:szCs w:val="32"/>
        </w:rPr>
        <w:br w:type="page"/>
      </w:r>
      <w:bookmarkStart w:id="47" w:name="_Toc15396614"/>
      <w:r>
        <w:rPr>
          <w:rFonts w:eastAsia="黑体" w:hint="eastAsia"/>
          <w:sz w:val="44"/>
          <w:szCs w:val="44"/>
        </w:rPr>
        <w:lastRenderedPageBreak/>
        <w:t>第四部分</w:t>
      </w:r>
      <w:r>
        <w:rPr>
          <w:rFonts w:eastAsia="黑体" w:hint="eastAsia"/>
          <w:sz w:val="44"/>
          <w:szCs w:val="44"/>
        </w:rPr>
        <w:t xml:space="preserve">  </w:t>
      </w:r>
      <w:r>
        <w:rPr>
          <w:rFonts w:eastAsia="黑体" w:hint="eastAsia"/>
          <w:sz w:val="44"/>
          <w:szCs w:val="44"/>
        </w:rPr>
        <w:t>附件</w:t>
      </w:r>
      <w:bookmarkEnd w:id="47"/>
    </w:p>
    <w:p w:rsidR="00C11148" w:rsidRDefault="00C11148" w:rsidP="00C11148">
      <w:pPr>
        <w:spacing w:line="572" w:lineRule="exact"/>
        <w:jc w:val="left"/>
        <w:outlineLvl w:val="0"/>
        <w:rPr>
          <w:rFonts w:eastAsia="黑体" w:cs="黑体"/>
          <w:color w:val="FF0000"/>
          <w:sz w:val="32"/>
          <w:szCs w:val="32"/>
        </w:rPr>
      </w:pPr>
    </w:p>
    <w:p w:rsidR="00C11148" w:rsidRDefault="00C11148" w:rsidP="00C11148">
      <w:pPr>
        <w:spacing w:line="600" w:lineRule="exact"/>
        <w:jc w:val="center"/>
        <w:outlineLvl w:val="0"/>
        <w:rPr>
          <w:rFonts w:ascii="黑体" w:eastAsia="黑体" w:hAnsi="黑体"/>
          <w:color w:val="FF0000"/>
          <w:sz w:val="44"/>
          <w:szCs w:val="44"/>
        </w:rPr>
      </w:pPr>
      <w:r>
        <w:rPr>
          <w:rFonts w:hint="eastAsia"/>
          <w:sz w:val="32"/>
          <w:szCs w:val="32"/>
        </w:rPr>
        <w:t>部门预算项目支出绩效自评表（</w:t>
      </w:r>
      <w:r>
        <w:rPr>
          <w:rFonts w:hint="eastAsia"/>
          <w:sz w:val="32"/>
          <w:szCs w:val="32"/>
        </w:rPr>
        <w:t>2024</w:t>
      </w:r>
      <w:r>
        <w:rPr>
          <w:rFonts w:hint="eastAsia"/>
          <w:sz w:val="32"/>
          <w:szCs w:val="32"/>
        </w:rPr>
        <w:t>年度）见附件</w:t>
      </w:r>
    </w:p>
    <w:p w:rsidR="00C11148" w:rsidRDefault="00C11148" w:rsidP="00C11148">
      <w:pPr>
        <w:spacing w:line="578" w:lineRule="exact"/>
        <w:ind w:firstLine="640"/>
        <w:rPr>
          <w:rFonts w:eastAsia="仿宋_GB2312" w:cs="仿宋_GB2312"/>
          <w:kern w:val="0"/>
          <w:sz w:val="32"/>
          <w:szCs w:val="32"/>
        </w:rPr>
      </w:pPr>
    </w:p>
    <w:p w:rsidR="00C11148" w:rsidRDefault="00C11148" w:rsidP="00C11148">
      <w:pPr>
        <w:spacing w:line="578" w:lineRule="exact"/>
        <w:ind w:firstLine="640"/>
        <w:rPr>
          <w:rFonts w:eastAsia="仿宋_GB2312" w:cs="仿宋_GB2312"/>
          <w:kern w:val="0"/>
          <w:sz w:val="32"/>
          <w:szCs w:val="32"/>
        </w:rPr>
      </w:pPr>
    </w:p>
    <w:p w:rsidR="00C11148" w:rsidRDefault="00C11148" w:rsidP="00C11148">
      <w:pPr>
        <w:spacing w:line="578" w:lineRule="exact"/>
        <w:ind w:firstLine="640"/>
        <w:rPr>
          <w:rFonts w:eastAsia="仿宋_GB2312" w:cs="仿宋_GB2312"/>
          <w:kern w:val="0"/>
          <w:sz w:val="32"/>
          <w:szCs w:val="32"/>
        </w:rPr>
      </w:pPr>
      <w:bookmarkStart w:id="48" w:name="_Toc15396618"/>
      <w:r>
        <w:rPr>
          <w:rFonts w:eastAsia="仿宋_GB2312" w:cs="仿宋_GB2312" w:hint="eastAsia"/>
          <w:kern w:val="0"/>
          <w:sz w:val="32"/>
          <w:szCs w:val="32"/>
        </w:rPr>
        <w:br w:type="page"/>
      </w:r>
    </w:p>
    <w:p w:rsidR="00C11148" w:rsidRDefault="00C11148" w:rsidP="00C11148">
      <w:pPr>
        <w:widowControl/>
        <w:jc w:val="center"/>
        <w:rPr>
          <w:rFonts w:eastAsia="仿宋"/>
        </w:rPr>
      </w:pPr>
      <w:r>
        <w:rPr>
          <w:rFonts w:eastAsia="黑体" w:hint="eastAsia"/>
          <w:sz w:val="44"/>
          <w:szCs w:val="44"/>
        </w:rPr>
        <w:lastRenderedPageBreak/>
        <w:t>第</w:t>
      </w:r>
      <w:r>
        <w:rPr>
          <w:rStyle w:val="1Char"/>
          <w:rFonts w:eastAsia="黑体" w:hint="eastAsia"/>
        </w:rPr>
        <w:t>五部分</w:t>
      </w:r>
      <w:r>
        <w:rPr>
          <w:rStyle w:val="1Char"/>
          <w:rFonts w:eastAsia="黑体" w:hint="eastAsia"/>
        </w:rPr>
        <w:t xml:space="preserve"> </w:t>
      </w:r>
      <w:r>
        <w:rPr>
          <w:rStyle w:val="1Char"/>
          <w:rFonts w:eastAsia="黑体" w:hint="eastAsia"/>
        </w:rPr>
        <w:t>附表</w:t>
      </w:r>
      <w:bookmarkStart w:id="49" w:name="_Toc15396619"/>
      <w:bookmarkEnd w:id="46"/>
      <w:bookmarkEnd w:id="48"/>
    </w:p>
    <w:p w:rsidR="00C11148" w:rsidRDefault="00C11148" w:rsidP="00C11148">
      <w:pPr>
        <w:pStyle w:val="21"/>
        <w:adjustRightInd w:val="0"/>
        <w:snapToGrid w:val="0"/>
        <w:spacing w:line="560" w:lineRule="exact"/>
        <w:jc w:val="left"/>
        <w:rPr>
          <w:rFonts w:eastAsia="仿宋_GB2312" w:cs="仿宋_GB2312"/>
          <w:sz w:val="32"/>
          <w:szCs w:val="32"/>
        </w:rPr>
      </w:pPr>
    </w:p>
    <w:p w:rsidR="00C11148" w:rsidRDefault="00C11148" w:rsidP="00C11148">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一、收入支出决算总表</w:t>
      </w:r>
      <w:bookmarkEnd w:id="49"/>
    </w:p>
    <w:p w:rsidR="00C11148" w:rsidRDefault="00C11148" w:rsidP="00C11148">
      <w:pPr>
        <w:pStyle w:val="21"/>
        <w:adjustRightInd w:val="0"/>
        <w:snapToGrid w:val="0"/>
        <w:spacing w:line="560" w:lineRule="exact"/>
        <w:jc w:val="left"/>
        <w:rPr>
          <w:rFonts w:eastAsia="仿宋_GB2312" w:cs="仿宋_GB2312"/>
          <w:sz w:val="32"/>
          <w:szCs w:val="32"/>
        </w:rPr>
      </w:pPr>
      <w:bookmarkStart w:id="50" w:name="_Toc15396620"/>
      <w:r>
        <w:rPr>
          <w:rFonts w:eastAsia="仿宋_GB2312" w:cs="仿宋_GB2312" w:hint="eastAsia"/>
          <w:sz w:val="32"/>
          <w:szCs w:val="32"/>
        </w:rPr>
        <w:t>二、收入决算表</w:t>
      </w:r>
      <w:bookmarkEnd w:id="50"/>
    </w:p>
    <w:p w:rsidR="00C11148" w:rsidRDefault="00C11148" w:rsidP="00C11148">
      <w:pPr>
        <w:pStyle w:val="21"/>
        <w:adjustRightInd w:val="0"/>
        <w:snapToGrid w:val="0"/>
        <w:spacing w:line="560" w:lineRule="exact"/>
        <w:jc w:val="left"/>
        <w:rPr>
          <w:rFonts w:eastAsia="仿宋_GB2312" w:cs="仿宋_GB2312"/>
          <w:sz w:val="32"/>
          <w:szCs w:val="32"/>
        </w:rPr>
      </w:pPr>
      <w:bookmarkStart w:id="51" w:name="_Toc15396621"/>
      <w:r>
        <w:rPr>
          <w:rFonts w:eastAsia="仿宋_GB2312" w:cs="仿宋_GB2312" w:hint="eastAsia"/>
          <w:sz w:val="32"/>
          <w:szCs w:val="32"/>
        </w:rPr>
        <w:t>三、支出决算表</w:t>
      </w:r>
      <w:bookmarkEnd w:id="51"/>
    </w:p>
    <w:p w:rsidR="00C11148" w:rsidRDefault="00C11148" w:rsidP="00C11148">
      <w:pPr>
        <w:pStyle w:val="21"/>
        <w:adjustRightInd w:val="0"/>
        <w:snapToGrid w:val="0"/>
        <w:spacing w:line="560" w:lineRule="exact"/>
        <w:jc w:val="left"/>
        <w:rPr>
          <w:rFonts w:eastAsia="仿宋_GB2312" w:cs="仿宋_GB2312"/>
          <w:sz w:val="32"/>
          <w:szCs w:val="32"/>
        </w:rPr>
      </w:pPr>
      <w:bookmarkStart w:id="52" w:name="_Toc15396622"/>
      <w:r>
        <w:rPr>
          <w:rFonts w:eastAsia="仿宋_GB2312" w:cs="仿宋_GB2312" w:hint="eastAsia"/>
          <w:sz w:val="32"/>
          <w:szCs w:val="32"/>
        </w:rPr>
        <w:t>四、财政拨款收入支出决算总表</w:t>
      </w:r>
      <w:bookmarkEnd w:id="52"/>
    </w:p>
    <w:p w:rsidR="00C11148" w:rsidRDefault="00C11148" w:rsidP="00C11148">
      <w:pPr>
        <w:pStyle w:val="21"/>
        <w:adjustRightInd w:val="0"/>
        <w:snapToGrid w:val="0"/>
        <w:spacing w:line="560" w:lineRule="exact"/>
        <w:jc w:val="left"/>
        <w:rPr>
          <w:rFonts w:eastAsia="仿宋_GB2312" w:cs="仿宋_GB2312"/>
          <w:sz w:val="32"/>
          <w:szCs w:val="32"/>
        </w:rPr>
      </w:pPr>
      <w:bookmarkStart w:id="53" w:name="_Toc15396623"/>
      <w:r>
        <w:rPr>
          <w:rFonts w:eastAsia="仿宋_GB2312" w:cs="仿宋_GB2312" w:hint="eastAsia"/>
          <w:sz w:val="32"/>
          <w:szCs w:val="32"/>
        </w:rPr>
        <w:t>五、财政拨款支出决算明细表</w:t>
      </w:r>
      <w:bookmarkStart w:id="54" w:name="_Toc15396624"/>
      <w:bookmarkEnd w:id="53"/>
    </w:p>
    <w:p w:rsidR="00C11148" w:rsidRDefault="00C11148" w:rsidP="00C11148">
      <w:pPr>
        <w:pStyle w:val="21"/>
        <w:adjustRightInd w:val="0"/>
        <w:snapToGrid w:val="0"/>
        <w:spacing w:line="560" w:lineRule="exact"/>
        <w:jc w:val="left"/>
        <w:rPr>
          <w:rFonts w:eastAsia="仿宋_GB2312" w:cs="仿宋_GB2312"/>
          <w:sz w:val="32"/>
          <w:szCs w:val="32"/>
        </w:rPr>
      </w:pPr>
      <w:r>
        <w:rPr>
          <w:rFonts w:eastAsia="仿宋_GB2312" w:cs="仿宋_GB2312" w:hint="eastAsia"/>
          <w:sz w:val="32"/>
          <w:szCs w:val="32"/>
        </w:rPr>
        <w:t>六、一般公共预算财政拨款支出决算表</w:t>
      </w:r>
      <w:bookmarkEnd w:id="54"/>
    </w:p>
    <w:p w:rsidR="00C11148" w:rsidRDefault="00C11148" w:rsidP="00C11148">
      <w:pPr>
        <w:pStyle w:val="21"/>
        <w:adjustRightInd w:val="0"/>
        <w:snapToGrid w:val="0"/>
        <w:spacing w:line="560" w:lineRule="exact"/>
        <w:jc w:val="left"/>
        <w:rPr>
          <w:rFonts w:eastAsia="仿宋_GB2312" w:cs="仿宋_GB2312"/>
          <w:sz w:val="32"/>
          <w:szCs w:val="32"/>
        </w:rPr>
      </w:pPr>
      <w:bookmarkStart w:id="55" w:name="_Toc15396625"/>
      <w:r>
        <w:rPr>
          <w:rFonts w:eastAsia="仿宋_GB2312" w:cs="仿宋_GB2312" w:hint="eastAsia"/>
          <w:sz w:val="32"/>
          <w:szCs w:val="32"/>
        </w:rPr>
        <w:t>七、一般公共预算财政拨款支出决算明细表</w:t>
      </w:r>
      <w:bookmarkEnd w:id="55"/>
    </w:p>
    <w:p w:rsidR="00C11148" w:rsidRDefault="00C11148" w:rsidP="00C11148">
      <w:pPr>
        <w:pStyle w:val="21"/>
        <w:adjustRightInd w:val="0"/>
        <w:snapToGrid w:val="0"/>
        <w:spacing w:line="560" w:lineRule="exact"/>
        <w:jc w:val="left"/>
        <w:rPr>
          <w:rFonts w:eastAsia="仿宋_GB2312" w:cs="仿宋_GB2312"/>
          <w:sz w:val="32"/>
          <w:szCs w:val="32"/>
        </w:rPr>
      </w:pPr>
      <w:bookmarkStart w:id="56" w:name="_Toc15396626"/>
      <w:r>
        <w:rPr>
          <w:rFonts w:eastAsia="仿宋_GB2312" w:cs="仿宋_GB2312" w:hint="eastAsia"/>
          <w:sz w:val="32"/>
          <w:szCs w:val="32"/>
        </w:rPr>
        <w:t>八、一般公共预算财政拨款基本支出决算表</w:t>
      </w:r>
      <w:bookmarkEnd w:id="56"/>
    </w:p>
    <w:p w:rsidR="00C11148" w:rsidRDefault="00C11148" w:rsidP="00C11148">
      <w:pPr>
        <w:pStyle w:val="21"/>
        <w:adjustRightInd w:val="0"/>
        <w:snapToGrid w:val="0"/>
        <w:spacing w:line="560" w:lineRule="exact"/>
        <w:jc w:val="left"/>
        <w:rPr>
          <w:rFonts w:eastAsia="仿宋_GB2312" w:cs="仿宋_GB2312"/>
          <w:sz w:val="32"/>
          <w:szCs w:val="32"/>
        </w:rPr>
      </w:pPr>
      <w:bookmarkStart w:id="57" w:name="_Toc15396627"/>
      <w:r>
        <w:rPr>
          <w:rFonts w:eastAsia="仿宋_GB2312" w:cs="仿宋_GB2312" w:hint="eastAsia"/>
          <w:sz w:val="32"/>
          <w:szCs w:val="32"/>
        </w:rPr>
        <w:t>九、一般公共预算财政拨款项目支出决算表</w:t>
      </w:r>
      <w:bookmarkEnd w:id="57"/>
    </w:p>
    <w:p w:rsidR="00C11148" w:rsidRDefault="00C11148" w:rsidP="00C11148">
      <w:pPr>
        <w:pStyle w:val="21"/>
        <w:adjustRightInd w:val="0"/>
        <w:snapToGrid w:val="0"/>
        <w:spacing w:line="560" w:lineRule="exact"/>
        <w:jc w:val="left"/>
        <w:rPr>
          <w:rFonts w:eastAsia="仿宋_GB2312" w:cs="仿宋_GB2312"/>
          <w:sz w:val="32"/>
          <w:szCs w:val="32"/>
        </w:rPr>
      </w:pPr>
      <w:bookmarkStart w:id="58" w:name="_Toc15396628"/>
      <w:r>
        <w:rPr>
          <w:rFonts w:eastAsia="仿宋_GB2312" w:cs="仿宋_GB2312" w:hint="eastAsia"/>
          <w:sz w:val="32"/>
          <w:szCs w:val="32"/>
        </w:rPr>
        <w:t>十、</w:t>
      </w:r>
      <w:bookmarkEnd w:id="58"/>
      <w:r>
        <w:rPr>
          <w:rFonts w:eastAsia="仿宋_GB2312" w:cs="仿宋_GB2312" w:hint="eastAsia"/>
          <w:sz w:val="32"/>
          <w:szCs w:val="32"/>
        </w:rPr>
        <w:t>政府性基金预算财政拨款收入支出决算表</w:t>
      </w:r>
    </w:p>
    <w:p w:rsidR="00C11148" w:rsidRDefault="00C11148" w:rsidP="00C11148">
      <w:pPr>
        <w:pStyle w:val="21"/>
        <w:adjustRightInd w:val="0"/>
        <w:snapToGrid w:val="0"/>
        <w:spacing w:line="560" w:lineRule="exact"/>
        <w:jc w:val="left"/>
        <w:rPr>
          <w:rFonts w:eastAsia="仿宋_GB2312" w:cs="仿宋_GB2312"/>
          <w:sz w:val="32"/>
          <w:szCs w:val="32"/>
        </w:rPr>
      </w:pPr>
      <w:bookmarkStart w:id="59" w:name="_Toc15396629"/>
      <w:r>
        <w:rPr>
          <w:rFonts w:eastAsia="仿宋_GB2312" w:cs="仿宋_GB2312" w:hint="eastAsia"/>
          <w:sz w:val="32"/>
          <w:szCs w:val="32"/>
        </w:rPr>
        <w:t>十一、</w:t>
      </w:r>
      <w:bookmarkEnd w:id="59"/>
      <w:r>
        <w:rPr>
          <w:rFonts w:eastAsia="仿宋_GB2312" w:cs="仿宋_GB2312" w:hint="eastAsia"/>
          <w:sz w:val="32"/>
          <w:szCs w:val="32"/>
        </w:rPr>
        <w:t>国有资本经营预算财政拨款收入支出决算表</w:t>
      </w:r>
    </w:p>
    <w:p w:rsidR="00C11148" w:rsidRDefault="00C11148" w:rsidP="00C11148">
      <w:pPr>
        <w:pStyle w:val="21"/>
        <w:adjustRightInd w:val="0"/>
        <w:snapToGrid w:val="0"/>
        <w:spacing w:line="560" w:lineRule="exact"/>
        <w:jc w:val="left"/>
        <w:rPr>
          <w:rFonts w:eastAsia="仿宋_GB2312" w:cs="仿宋_GB2312"/>
          <w:sz w:val="32"/>
          <w:szCs w:val="32"/>
        </w:rPr>
      </w:pPr>
      <w:bookmarkStart w:id="60" w:name="_Toc15396630"/>
      <w:r>
        <w:rPr>
          <w:rFonts w:eastAsia="仿宋_GB2312" w:cs="仿宋_GB2312" w:hint="eastAsia"/>
          <w:sz w:val="32"/>
          <w:szCs w:val="32"/>
        </w:rPr>
        <w:t>十二、</w:t>
      </w:r>
      <w:bookmarkEnd w:id="60"/>
      <w:r>
        <w:rPr>
          <w:rFonts w:eastAsia="仿宋_GB2312" w:cs="仿宋_GB2312" w:hint="eastAsia"/>
          <w:sz w:val="32"/>
          <w:szCs w:val="32"/>
        </w:rPr>
        <w:t>国有资本经营预算财政拨款支出决算表</w:t>
      </w:r>
    </w:p>
    <w:p w:rsidR="00C11148" w:rsidRDefault="00C11148" w:rsidP="00C11148">
      <w:pPr>
        <w:pStyle w:val="21"/>
        <w:adjustRightInd w:val="0"/>
        <w:snapToGrid w:val="0"/>
        <w:spacing w:line="560" w:lineRule="exact"/>
        <w:jc w:val="left"/>
        <w:rPr>
          <w:rFonts w:eastAsia="仿宋_GB2312" w:cs="仿宋_GB2312"/>
          <w:sz w:val="32"/>
          <w:szCs w:val="32"/>
        </w:rPr>
      </w:pPr>
      <w:bookmarkStart w:id="61" w:name="_Toc15396631"/>
      <w:r>
        <w:rPr>
          <w:rFonts w:eastAsia="仿宋_GB2312" w:cs="仿宋_GB2312" w:hint="eastAsia"/>
          <w:sz w:val="32"/>
          <w:szCs w:val="32"/>
        </w:rPr>
        <w:t>十三、</w:t>
      </w:r>
      <w:bookmarkEnd w:id="61"/>
      <w:r>
        <w:rPr>
          <w:rFonts w:eastAsia="仿宋_GB2312" w:cs="仿宋_GB2312" w:hint="eastAsia"/>
          <w:sz w:val="32"/>
          <w:szCs w:val="32"/>
        </w:rPr>
        <w:t>财政拨款“三公”经费支出决算表</w:t>
      </w:r>
    </w:p>
    <w:p w:rsidR="00C11148" w:rsidRDefault="00C11148" w:rsidP="00C11148"/>
    <w:p w:rsidR="004A6A02" w:rsidRPr="00C11148" w:rsidRDefault="00BF4CA7"/>
    <w:sectPr w:rsidR="004A6A02" w:rsidRPr="00C11148">
      <w:footerReference w:type="default" r:id="rId14"/>
      <w:footerReference w:type="first" r:id="rId15"/>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A7" w:rsidRDefault="00BF4CA7" w:rsidP="00C11148">
      <w:r>
        <w:separator/>
      </w:r>
    </w:p>
  </w:endnote>
  <w:endnote w:type="continuationSeparator" w:id="0">
    <w:p w:rsidR="00BF4CA7" w:rsidRDefault="00BF4CA7" w:rsidP="00C1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01003"/>
      <w:docPartObj>
        <w:docPartGallery w:val="Page Numbers (Bottom of Page)"/>
        <w:docPartUnique/>
      </w:docPartObj>
    </w:sdtPr>
    <w:sdtEndPr/>
    <w:sdtContent>
      <w:p w:rsidR="00C800EA" w:rsidRDefault="00CD4FED">
        <w:pPr>
          <w:pStyle w:val="a5"/>
          <w:jc w:val="center"/>
        </w:pPr>
        <w:r>
          <w:fldChar w:fldCharType="begin"/>
        </w:r>
        <w:r>
          <w:instrText>PAGE   \* MERGEFORMAT</w:instrText>
        </w:r>
        <w:r>
          <w:fldChar w:fldCharType="separate"/>
        </w:r>
        <w:r w:rsidR="00D6350F" w:rsidRPr="00D6350F">
          <w:rPr>
            <w:noProof/>
            <w:lang w:val="zh-CN"/>
          </w:rPr>
          <w:t>-</w:t>
        </w:r>
        <w:r w:rsidR="00D6350F">
          <w:rPr>
            <w:noProof/>
          </w:rPr>
          <w:t xml:space="preserve"> 2 -</w:t>
        </w:r>
        <w:r>
          <w:fldChar w:fldCharType="end"/>
        </w:r>
      </w:p>
    </w:sdtContent>
  </w:sdt>
  <w:p w:rsidR="00C94B83" w:rsidRDefault="00BF4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83" w:rsidRDefault="00BF4C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A7" w:rsidRDefault="00BF4CA7" w:rsidP="00C11148">
      <w:r>
        <w:separator/>
      </w:r>
    </w:p>
  </w:footnote>
  <w:footnote w:type="continuationSeparator" w:id="0">
    <w:p w:rsidR="00BF4CA7" w:rsidRDefault="00BF4CA7" w:rsidP="00C11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71"/>
    <w:rsid w:val="00190271"/>
    <w:rsid w:val="004E0E0F"/>
    <w:rsid w:val="006B6A05"/>
    <w:rsid w:val="00BF4CA7"/>
    <w:rsid w:val="00C11148"/>
    <w:rsid w:val="00CD4FED"/>
    <w:rsid w:val="00D6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114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111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11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1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11148"/>
    <w:rPr>
      <w:sz w:val="18"/>
      <w:szCs w:val="18"/>
    </w:rPr>
  </w:style>
  <w:style w:type="paragraph" w:styleId="a5">
    <w:name w:val="footer"/>
    <w:basedOn w:val="a"/>
    <w:link w:val="Char0"/>
    <w:uiPriority w:val="99"/>
    <w:unhideWhenUsed/>
    <w:qFormat/>
    <w:rsid w:val="00C111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C11148"/>
    <w:rPr>
      <w:sz w:val="18"/>
      <w:szCs w:val="18"/>
    </w:rPr>
  </w:style>
  <w:style w:type="character" w:customStyle="1" w:styleId="1Char">
    <w:name w:val="标题 1 Char"/>
    <w:basedOn w:val="a1"/>
    <w:link w:val="1"/>
    <w:uiPriority w:val="9"/>
    <w:qFormat/>
    <w:rsid w:val="00C11148"/>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C11148"/>
    <w:rPr>
      <w:rFonts w:asciiTheme="majorHAnsi" w:eastAsiaTheme="majorEastAsia" w:hAnsiTheme="majorHAnsi" w:cstheme="majorBidi"/>
      <w:b/>
      <w:bCs/>
      <w:sz w:val="32"/>
      <w:szCs w:val="32"/>
    </w:rPr>
  </w:style>
  <w:style w:type="paragraph" w:styleId="a0">
    <w:name w:val="footnote text"/>
    <w:basedOn w:val="a"/>
    <w:next w:val="20"/>
    <w:link w:val="Char1"/>
    <w:semiHidden/>
    <w:qFormat/>
    <w:rsid w:val="00C11148"/>
    <w:pPr>
      <w:snapToGrid w:val="0"/>
      <w:jc w:val="left"/>
    </w:pPr>
    <w:rPr>
      <w:sz w:val="18"/>
      <w:szCs w:val="18"/>
    </w:rPr>
  </w:style>
  <w:style w:type="character" w:customStyle="1" w:styleId="Char1">
    <w:name w:val="脚注文本 Char"/>
    <w:basedOn w:val="a1"/>
    <w:link w:val="a0"/>
    <w:semiHidden/>
    <w:rsid w:val="00C11148"/>
    <w:rPr>
      <w:rFonts w:ascii="Times New Roman" w:eastAsia="宋体" w:hAnsi="Times New Roman" w:cs="Times New Roman"/>
      <w:sz w:val="18"/>
      <w:szCs w:val="18"/>
    </w:rPr>
  </w:style>
  <w:style w:type="paragraph" w:styleId="a6">
    <w:name w:val="Body Text Indent"/>
    <w:basedOn w:val="a"/>
    <w:link w:val="Char2"/>
    <w:uiPriority w:val="99"/>
    <w:semiHidden/>
    <w:unhideWhenUsed/>
    <w:rsid w:val="00C11148"/>
    <w:pPr>
      <w:spacing w:after="120"/>
      <w:ind w:leftChars="200" w:left="420"/>
    </w:pPr>
  </w:style>
  <w:style w:type="character" w:customStyle="1" w:styleId="Char2">
    <w:name w:val="正文文本缩进 Char"/>
    <w:basedOn w:val="a1"/>
    <w:link w:val="a6"/>
    <w:uiPriority w:val="99"/>
    <w:semiHidden/>
    <w:rsid w:val="00C11148"/>
    <w:rPr>
      <w:rFonts w:ascii="Times New Roman" w:eastAsia="宋体" w:hAnsi="Times New Roman" w:cs="Times New Roman"/>
      <w:szCs w:val="24"/>
    </w:rPr>
  </w:style>
  <w:style w:type="paragraph" w:styleId="20">
    <w:name w:val="Body Text First Indent 2"/>
    <w:basedOn w:val="a6"/>
    <w:link w:val="2Char0"/>
    <w:uiPriority w:val="99"/>
    <w:unhideWhenUsed/>
    <w:qFormat/>
    <w:rsid w:val="00C11148"/>
    <w:pPr>
      <w:ind w:left="200" w:firstLineChars="200" w:firstLine="420"/>
    </w:pPr>
    <w:rPr>
      <w:rFonts w:ascii="仿宋_GB2312"/>
      <w:szCs w:val="32"/>
    </w:rPr>
  </w:style>
  <w:style w:type="character" w:customStyle="1" w:styleId="2Char0">
    <w:name w:val="正文首行缩进 2 Char"/>
    <w:basedOn w:val="Char2"/>
    <w:link w:val="20"/>
    <w:uiPriority w:val="99"/>
    <w:rsid w:val="00C11148"/>
    <w:rPr>
      <w:rFonts w:ascii="仿宋_GB2312" w:eastAsia="宋体" w:hAnsi="Times New Roman" w:cs="Times New Roman"/>
      <w:szCs w:val="32"/>
    </w:rPr>
  </w:style>
  <w:style w:type="paragraph" w:styleId="a7">
    <w:name w:val="Body Text"/>
    <w:basedOn w:val="a"/>
    <w:link w:val="Char3"/>
    <w:uiPriority w:val="99"/>
    <w:qFormat/>
    <w:rsid w:val="00C11148"/>
    <w:pPr>
      <w:spacing w:beforeLines="30"/>
    </w:pPr>
    <w:rPr>
      <w:rFonts w:ascii="仿宋_GB2312" w:eastAsia="仿宋_GB2312"/>
      <w:kern w:val="0"/>
      <w:sz w:val="30"/>
    </w:rPr>
  </w:style>
  <w:style w:type="character" w:customStyle="1" w:styleId="Char3">
    <w:name w:val="正文文本 Char"/>
    <w:basedOn w:val="a1"/>
    <w:link w:val="a7"/>
    <w:uiPriority w:val="99"/>
    <w:qFormat/>
    <w:rsid w:val="00C11148"/>
    <w:rPr>
      <w:rFonts w:ascii="仿宋_GB2312" w:eastAsia="仿宋_GB2312" w:hAnsi="Times New Roman" w:cs="Times New Roman"/>
      <w:kern w:val="0"/>
      <w:sz w:val="30"/>
      <w:szCs w:val="24"/>
    </w:rPr>
  </w:style>
  <w:style w:type="paragraph" w:styleId="10">
    <w:name w:val="toc 1"/>
    <w:basedOn w:val="a"/>
    <w:next w:val="a"/>
    <w:uiPriority w:val="39"/>
    <w:unhideWhenUsed/>
    <w:qFormat/>
    <w:rsid w:val="00C11148"/>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C11148"/>
    <w:pPr>
      <w:tabs>
        <w:tab w:val="right" w:leader="dot" w:pos="8296"/>
      </w:tabs>
      <w:ind w:leftChars="200" w:left="420"/>
    </w:pPr>
  </w:style>
  <w:style w:type="paragraph" w:customStyle="1" w:styleId="Default">
    <w:name w:val="Default"/>
    <w:uiPriority w:val="99"/>
    <w:qFormat/>
    <w:rsid w:val="00C11148"/>
    <w:pPr>
      <w:widowControl w:val="0"/>
      <w:autoSpaceDE w:val="0"/>
      <w:autoSpaceDN w:val="0"/>
      <w:adjustRightInd w:val="0"/>
    </w:pPr>
    <w:rPr>
      <w:rFonts w:ascii="仿宋" w:eastAsia="仿宋" w:hAnsi="Calibri" w:cs="仿宋"/>
      <w:color w:val="000000"/>
      <w:kern w:val="0"/>
      <w:sz w:val="24"/>
      <w:szCs w:val="24"/>
    </w:rPr>
  </w:style>
  <w:style w:type="paragraph" w:styleId="a8">
    <w:name w:val="List Paragraph"/>
    <w:basedOn w:val="a"/>
    <w:uiPriority w:val="34"/>
    <w:qFormat/>
    <w:rsid w:val="00C11148"/>
    <w:pPr>
      <w:ind w:firstLineChars="200" w:firstLine="420"/>
    </w:pPr>
  </w:style>
  <w:style w:type="paragraph" w:styleId="a9">
    <w:name w:val="Balloon Text"/>
    <w:basedOn w:val="a"/>
    <w:link w:val="Char4"/>
    <w:uiPriority w:val="99"/>
    <w:semiHidden/>
    <w:unhideWhenUsed/>
    <w:rsid w:val="00C11148"/>
    <w:rPr>
      <w:sz w:val="18"/>
      <w:szCs w:val="18"/>
    </w:rPr>
  </w:style>
  <w:style w:type="character" w:customStyle="1" w:styleId="Char4">
    <w:name w:val="批注框文本 Char"/>
    <w:basedOn w:val="a1"/>
    <w:link w:val="a9"/>
    <w:uiPriority w:val="99"/>
    <w:semiHidden/>
    <w:rsid w:val="00C1114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114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111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11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11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11148"/>
    <w:rPr>
      <w:sz w:val="18"/>
      <w:szCs w:val="18"/>
    </w:rPr>
  </w:style>
  <w:style w:type="paragraph" w:styleId="a5">
    <w:name w:val="footer"/>
    <w:basedOn w:val="a"/>
    <w:link w:val="Char0"/>
    <w:uiPriority w:val="99"/>
    <w:unhideWhenUsed/>
    <w:qFormat/>
    <w:rsid w:val="00C111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C11148"/>
    <w:rPr>
      <w:sz w:val="18"/>
      <w:szCs w:val="18"/>
    </w:rPr>
  </w:style>
  <w:style w:type="character" w:customStyle="1" w:styleId="1Char">
    <w:name w:val="标题 1 Char"/>
    <w:basedOn w:val="a1"/>
    <w:link w:val="1"/>
    <w:uiPriority w:val="9"/>
    <w:qFormat/>
    <w:rsid w:val="00C11148"/>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sid w:val="00C11148"/>
    <w:rPr>
      <w:rFonts w:asciiTheme="majorHAnsi" w:eastAsiaTheme="majorEastAsia" w:hAnsiTheme="majorHAnsi" w:cstheme="majorBidi"/>
      <w:b/>
      <w:bCs/>
      <w:sz w:val="32"/>
      <w:szCs w:val="32"/>
    </w:rPr>
  </w:style>
  <w:style w:type="paragraph" w:styleId="a0">
    <w:name w:val="footnote text"/>
    <w:basedOn w:val="a"/>
    <w:next w:val="20"/>
    <w:link w:val="Char1"/>
    <w:semiHidden/>
    <w:qFormat/>
    <w:rsid w:val="00C11148"/>
    <w:pPr>
      <w:snapToGrid w:val="0"/>
      <w:jc w:val="left"/>
    </w:pPr>
    <w:rPr>
      <w:sz w:val="18"/>
      <w:szCs w:val="18"/>
    </w:rPr>
  </w:style>
  <w:style w:type="character" w:customStyle="1" w:styleId="Char1">
    <w:name w:val="脚注文本 Char"/>
    <w:basedOn w:val="a1"/>
    <w:link w:val="a0"/>
    <w:semiHidden/>
    <w:rsid w:val="00C11148"/>
    <w:rPr>
      <w:rFonts w:ascii="Times New Roman" w:eastAsia="宋体" w:hAnsi="Times New Roman" w:cs="Times New Roman"/>
      <w:sz w:val="18"/>
      <w:szCs w:val="18"/>
    </w:rPr>
  </w:style>
  <w:style w:type="paragraph" w:styleId="a6">
    <w:name w:val="Body Text Indent"/>
    <w:basedOn w:val="a"/>
    <w:link w:val="Char2"/>
    <w:uiPriority w:val="99"/>
    <w:semiHidden/>
    <w:unhideWhenUsed/>
    <w:rsid w:val="00C11148"/>
    <w:pPr>
      <w:spacing w:after="120"/>
      <w:ind w:leftChars="200" w:left="420"/>
    </w:pPr>
  </w:style>
  <w:style w:type="character" w:customStyle="1" w:styleId="Char2">
    <w:name w:val="正文文本缩进 Char"/>
    <w:basedOn w:val="a1"/>
    <w:link w:val="a6"/>
    <w:uiPriority w:val="99"/>
    <w:semiHidden/>
    <w:rsid w:val="00C11148"/>
    <w:rPr>
      <w:rFonts w:ascii="Times New Roman" w:eastAsia="宋体" w:hAnsi="Times New Roman" w:cs="Times New Roman"/>
      <w:szCs w:val="24"/>
    </w:rPr>
  </w:style>
  <w:style w:type="paragraph" w:styleId="20">
    <w:name w:val="Body Text First Indent 2"/>
    <w:basedOn w:val="a6"/>
    <w:link w:val="2Char0"/>
    <w:uiPriority w:val="99"/>
    <w:unhideWhenUsed/>
    <w:qFormat/>
    <w:rsid w:val="00C11148"/>
    <w:pPr>
      <w:ind w:left="200" w:firstLineChars="200" w:firstLine="420"/>
    </w:pPr>
    <w:rPr>
      <w:rFonts w:ascii="仿宋_GB2312"/>
      <w:szCs w:val="32"/>
    </w:rPr>
  </w:style>
  <w:style w:type="character" w:customStyle="1" w:styleId="2Char0">
    <w:name w:val="正文首行缩进 2 Char"/>
    <w:basedOn w:val="Char2"/>
    <w:link w:val="20"/>
    <w:uiPriority w:val="99"/>
    <w:rsid w:val="00C11148"/>
    <w:rPr>
      <w:rFonts w:ascii="仿宋_GB2312" w:eastAsia="宋体" w:hAnsi="Times New Roman" w:cs="Times New Roman"/>
      <w:szCs w:val="32"/>
    </w:rPr>
  </w:style>
  <w:style w:type="paragraph" w:styleId="a7">
    <w:name w:val="Body Text"/>
    <w:basedOn w:val="a"/>
    <w:link w:val="Char3"/>
    <w:uiPriority w:val="99"/>
    <w:qFormat/>
    <w:rsid w:val="00C11148"/>
    <w:pPr>
      <w:spacing w:beforeLines="30"/>
    </w:pPr>
    <w:rPr>
      <w:rFonts w:ascii="仿宋_GB2312" w:eastAsia="仿宋_GB2312"/>
      <w:kern w:val="0"/>
      <w:sz w:val="30"/>
    </w:rPr>
  </w:style>
  <w:style w:type="character" w:customStyle="1" w:styleId="Char3">
    <w:name w:val="正文文本 Char"/>
    <w:basedOn w:val="a1"/>
    <w:link w:val="a7"/>
    <w:uiPriority w:val="99"/>
    <w:qFormat/>
    <w:rsid w:val="00C11148"/>
    <w:rPr>
      <w:rFonts w:ascii="仿宋_GB2312" w:eastAsia="仿宋_GB2312" w:hAnsi="Times New Roman" w:cs="Times New Roman"/>
      <w:kern w:val="0"/>
      <w:sz w:val="30"/>
      <w:szCs w:val="24"/>
    </w:rPr>
  </w:style>
  <w:style w:type="paragraph" w:styleId="10">
    <w:name w:val="toc 1"/>
    <w:basedOn w:val="a"/>
    <w:next w:val="a"/>
    <w:uiPriority w:val="39"/>
    <w:unhideWhenUsed/>
    <w:qFormat/>
    <w:rsid w:val="00C11148"/>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C11148"/>
    <w:pPr>
      <w:tabs>
        <w:tab w:val="right" w:leader="dot" w:pos="8296"/>
      </w:tabs>
      <w:ind w:leftChars="200" w:left="420"/>
    </w:pPr>
  </w:style>
  <w:style w:type="paragraph" w:customStyle="1" w:styleId="Default">
    <w:name w:val="Default"/>
    <w:uiPriority w:val="99"/>
    <w:qFormat/>
    <w:rsid w:val="00C11148"/>
    <w:pPr>
      <w:widowControl w:val="0"/>
      <w:autoSpaceDE w:val="0"/>
      <w:autoSpaceDN w:val="0"/>
      <w:adjustRightInd w:val="0"/>
    </w:pPr>
    <w:rPr>
      <w:rFonts w:ascii="仿宋" w:eastAsia="仿宋" w:hAnsi="Calibri" w:cs="仿宋"/>
      <w:color w:val="000000"/>
      <w:kern w:val="0"/>
      <w:sz w:val="24"/>
      <w:szCs w:val="24"/>
    </w:rPr>
  </w:style>
  <w:style w:type="paragraph" w:styleId="a8">
    <w:name w:val="List Paragraph"/>
    <w:basedOn w:val="a"/>
    <w:uiPriority w:val="34"/>
    <w:qFormat/>
    <w:rsid w:val="00C11148"/>
    <w:pPr>
      <w:ind w:firstLineChars="200" w:firstLine="420"/>
    </w:pPr>
  </w:style>
  <w:style w:type="paragraph" w:styleId="a9">
    <w:name w:val="Balloon Text"/>
    <w:basedOn w:val="a"/>
    <w:link w:val="Char4"/>
    <w:uiPriority w:val="99"/>
    <w:semiHidden/>
    <w:unhideWhenUsed/>
    <w:rsid w:val="00C11148"/>
    <w:rPr>
      <w:sz w:val="18"/>
      <w:szCs w:val="18"/>
    </w:rPr>
  </w:style>
  <w:style w:type="character" w:customStyle="1" w:styleId="Char4">
    <w:name w:val="批注框文本 Char"/>
    <w:basedOn w:val="a1"/>
    <w:link w:val="a9"/>
    <w:uiPriority w:val="99"/>
    <w:semiHidden/>
    <w:rsid w:val="00C1114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H:\2025\2024&#24180;&#20915;&#31639;&#20844;&#24320;\&#30011;&#22270;&#26609;&#29366;&#39292;&#29366;&#65288;2024&#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2025\2024&#24180;&#20915;&#31639;&#20844;&#24320;\&#30011;&#22270;&#26609;&#29366;&#39292;&#29366;&#65288;2024&#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1" Type="http://schemas.openxmlformats.org/officeDocument/2006/relationships/oleObject" Target="file:///H:\2025\2024&#24180;&#20915;&#31639;&#20844;&#24320;\&#30011;&#22270;&#26609;&#29366;&#39292;&#29366;&#65288;2024&#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025\2024&#24180;&#20915;&#31639;&#20844;&#24320;\&#30011;&#22270;&#26609;&#29366;&#39292;&#29366;&#65288;2024&#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2025\2024&#24180;&#20915;&#31639;&#20844;&#24320;\&#30011;&#22270;&#26609;&#29366;&#39292;&#29366;&#65288;2024&#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收、支决算总计变动情况图</a:t>
            </a:r>
            <a:endParaRPr lang="zh-CN" altLang="en-US"/>
          </a:p>
        </c:rich>
      </c:tx>
      <c:overlay val="0"/>
    </c:title>
    <c:autoTitleDeleted val="0"/>
    <c:plotArea>
      <c:layout/>
      <c:barChart>
        <c:barDir val="col"/>
        <c:grouping val="clustered"/>
        <c:varyColors val="0"/>
        <c:ser>
          <c:idx val="0"/>
          <c:order val="0"/>
          <c:invertIfNegative val="0"/>
          <c:cat>
            <c:strRef>
              <c:f>'[画图柱状饼状（2024）.xlsx]Sheet1'!$A$1:$A$8</c:f>
              <c:strCache>
                <c:ptCount val="8"/>
                <c:pt idx="0">
                  <c:v>2023年度财政拨款收入总计</c:v>
                </c:pt>
                <c:pt idx="1">
                  <c:v>2024年度财政拨款收入总计</c:v>
                </c:pt>
                <c:pt idx="2">
                  <c:v>收入总计减少</c:v>
                </c:pt>
                <c:pt idx="3">
                  <c:v>下降率</c:v>
                </c:pt>
                <c:pt idx="4">
                  <c:v>2022年度财政拨款支出总计</c:v>
                </c:pt>
                <c:pt idx="5">
                  <c:v>2023年度财政拨款支出总计</c:v>
                </c:pt>
                <c:pt idx="6">
                  <c:v>2024年度财政拨款支出总计</c:v>
                </c:pt>
                <c:pt idx="7">
                  <c:v>支出总计减少</c:v>
                </c:pt>
              </c:strCache>
            </c:strRef>
          </c:cat>
          <c:val>
            <c:numRef>
              <c:f>'[画图柱状饼状（2024）.xlsx]Sheet1'!$B$1:$B$8</c:f>
              <c:numCache>
                <c:formatCode>General</c:formatCode>
                <c:ptCount val="8"/>
                <c:pt idx="0">
                  <c:v>633.25</c:v>
                </c:pt>
                <c:pt idx="1">
                  <c:v>487.5</c:v>
                </c:pt>
                <c:pt idx="2">
                  <c:v>145.75</c:v>
                </c:pt>
                <c:pt idx="3" formatCode="0.00%">
                  <c:v>0.23016186340307901</c:v>
                </c:pt>
                <c:pt idx="4" formatCode="#,##0.00">
                  <c:v>360.15</c:v>
                </c:pt>
                <c:pt idx="5" formatCode="#,##0.00">
                  <c:v>624.21</c:v>
                </c:pt>
                <c:pt idx="6" formatCode="#,##0.00">
                  <c:v>487.5</c:v>
                </c:pt>
                <c:pt idx="7">
                  <c:v>136.71</c:v>
                </c:pt>
              </c:numCache>
            </c:numRef>
          </c:val>
        </c:ser>
        <c:dLbls>
          <c:showLegendKey val="0"/>
          <c:showVal val="0"/>
          <c:showCatName val="0"/>
          <c:showSerName val="0"/>
          <c:showPercent val="0"/>
          <c:showBubbleSize val="0"/>
        </c:dLbls>
        <c:gapWidth val="150"/>
        <c:axId val="69128576"/>
        <c:axId val="69130112"/>
      </c:barChart>
      <c:catAx>
        <c:axId val="691285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130112"/>
        <c:crosses val="autoZero"/>
        <c:auto val="1"/>
        <c:lblAlgn val="ctr"/>
        <c:lblOffset val="100"/>
        <c:noMultiLvlLbl val="0"/>
      </c:catAx>
      <c:valAx>
        <c:axId val="69130112"/>
        <c:scaling>
          <c:orientation val="minMax"/>
        </c:scaling>
        <c:delete val="0"/>
        <c:axPos val="l"/>
        <c:title>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912857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cat>
            <c:strRef>
              <c:f>'[画图柱状饼状（2024）.xlsx]Sheet2'!$A$1:$A$8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'[画图柱状饼状（2024）.xlsx]Sheet2'!$B$1:$B$8</c:f>
              <c:numCache>
                <c:formatCode>General</c:formatCode>
                <c:ptCount val="8"/>
                <c:pt idx="0">
                  <c:v>457.5</c:v>
                </c:pt>
                <c:pt idx="1">
                  <c:v>0</c:v>
                </c:pt>
                <c:pt idx="2">
                  <c:v>0</c:v>
                </c:pt>
                <c:pt idx="3">
                  <c:v>0</c:v>
                </c:pt>
                <c:pt idx="4">
                  <c:v>6.15</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支出决算结构图</a:t>
            </a:r>
            <a:endParaRPr lang="zh-CN" altLang="en-US"/>
          </a:p>
        </c:rich>
      </c:tx>
      <c:overlay val="0"/>
    </c:title>
    <c:autoTitleDeleted val="0"/>
    <c:plotArea>
      <c:layout>
        <c:manualLayout>
          <c:layoutTarget val="inner"/>
          <c:xMode val="edge"/>
          <c:yMode val="edge"/>
          <c:x val="0.12638888888888888"/>
          <c:y val="0.4305519101778944"/>
          <c:w val="0.81388888888888888"/>
          <c:h val="0.47716389617964422"/>
        </c:manualLayout>
      </c:layout>
      <c:ofPieChart>
        <c:ofPieType val="bar"/>
        <c:varyColors val="1"/>
        <c:ser>
          <c:idx val="0"/>
          <c:order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'[画图柱状饼状（2024）.xlsx]Sheet2'!$A$16:$A$20</c:f>
              <c:strCache>
                <c:ptCount val="5"/>
                <c:pt idx="0">
                  <c:v>基本支出</c:v>
                </c:pt>
                <c:pt idx="1">
                  <c:v>项目支出</c:v>
                </c:pt>
                <c:pt idx="2">
                  <c:v>上缴上级支出</c:v>
                </c:pt>
                <c:pt idx="3">
                  <c:v>经营支出</c:v>
                </c:pt>
                <c:pt idx="4">
                  <c:v>对附属单位补助支出</c:v>
                </c:pt>
              </c:strCache>
            </c:strRef>
          </c:cat>
          <c:val>
            <c:numRef>
              <c:f>'[画图柱状饼状（2024）.xlsx]Sheet2'!$B$16:$B$20</c:f>
              <c:numCache>
                <c:formatCode>General</c:formatCode>
                <c:ptCount val="5"/>
                <c:pt idx="0">
                  <c:v>383.3</c:v>
                </c:pt>
                <c:pt idx="1">
                  <c:v>104.19</c:v>
                </c:pt>
                <c:pt idx="2">
                  <c:v>0</c:v>
                </c:pt>
                <c:pt idx="3">
                  <c:v>0</c:v>
                </c:pt>
                <c:pt idx="4">
                  <c:v>0</c:v>
                </c:pt>
              </c:numCache>
            </c:numRef>
          </c:val>
        </c:ser>
        <c:dLbls>
          <c:showLegendKey val="0"/>
          <c:showVal val="0"/>
          <c:showCatName val="0"/>
          <c:showSerName val="0"/>
          <c:showPercent val="1"/>
          <c:showBubbleSize val="0"/>
          <c:showLeaderLines val="1"/>
        </c:dLbls>
        <c:gapWidth val="100"/>
        <c:secondPieSize val="75"/>
        <c:serLines/>
      </c:ofPieChart>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财政拨款收、支决算总计变动情况</a:t>
            </a:r>
            <a:endParaRPr lang="zh-CN" altLang="en-US"/>
          </a:p>
        </c:rich>
      </c:tx>
      <c:layout>
        <c:manualLayout>
          <c:xMode val="edge"/>
          <c:yMode val="edge"/>
          <c:x val="0.18388888888888899"/>
          <c:y val="6.0606060606060601E-2"/>
        </c:manualLayout>
      </c:layout>
      <c:overlay val="0"/>
    </c:title>
    <c:autoTitleDeleted val="0"/>
    <c:plotArea>
      <c:layout/>
      <c:barChart>
        <c:barDir val="col"/>
        <c:grouping val="clustered"/>
        <c:varyColors val="0"/>
        <c:ser>
          <c:idx val="0"/>
          <c:order val="0"/>
          <c:invertIfNegative val="0"/>
          <c:cat>
            <c:strRef>
              <c:f>'[画图柱状饼状（2024）.xlsx]Sheet1'!$A$25:$A$28</c:f>
              <c:strCache>
                <c:ptCount val="4"/>
                <c:pt idx="0">
                  <c:v>2023年度财政拨款收入、支出总计</c:v>
                </c:pt>
                <c:pt idx="1">
                  <c:v>2024年度财政拨款收入、支出总计</c:v>
                </c:pt>
                <c:pt idx="2">
                  <c:v>收入、支出总计减少</c:v>
                </c:pt>
                <c:pt idx="3">
                  <c:v>下降率</c:v>
                </c:pt>
              </c:strCache>
            </c:strRef>
          </c:cat>
          <c:val>
            <c:numRef>
              <c:f>'[画图柱状饼状（2024）.xlsx]Sheet1'!$B$25:$B$28</c:f>
              <c:numCache>
                <c:formatCode>General</c:formatCode>
                <c:ptCount val="4"/>
                <c:pt idx="0">
                  <c:v>607.13</c:v>
                </c:pt>
                <c:pt idx="1">
                  <c:v>457.5</c:v>
                </c:pt>
                <c:pt idx="2">
                  <c:v>149.63</c:v>
                </c:pt>
                <c:pt idx="3" formatCode="0.00%">
                  <c:v>0.246454630803946</c:v>
                </c:pt>
              </c:numCache>
            </c:numRef>
          </c:val>
        </c:ser>
        <c:dLbls>
          <c:showLegendKey val="0"/>
          <c:showVal val="0"/>
          <c:showCatName val="0"/>
          <c:showSerName val="0"/>
          <c:showPercent val="0"/>
          <c:showBubbleSize val="0"/>
        </c:dLbls>
        <c:gapWidth val="150"/>
        <c:axId val="78123392"/>
        <c:axId val="78124928"/>
      </c:barChart>
      <c:catAx>
        <c:axId val="781233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124928"/>
        <c:crosses val="autoZero"/>
        <c:auto val="1"/>
        <c:lblAlgn val="ctr"/>
        <c:lblOffset val="100"/>
        <c:noMultiLvlLbl val="0"/>
      </c:catAx>
      <c:valAx>
        <c:axId val="78124928"/>
        <c:scaling>
          <c:orientation val="minMax"/>
        </c:scaling>
        <c:delete val="0"/>
        <c:axPos val="l"/>
        <c:majorGridlines/>
        <c:title>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812339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一般公共预算财政拨款支出决算变动情况</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'[画图柱状饼状（2024）.xlsx]Sheet1'!$A$33:$A$36</c:f>
              <c:strCache>
                <c:ptCount val="4"/>
                <c:pt idx="0">
                  <c:v>2023年度一般公共预算财政拨款支出总计</c:v>
                </c:pt>
                <c:pt idx="1">
                  <c:v>2024年度一般公共预算财政拨款支出总计</c:v>
                </c:pt>
                <c:pt idx="2">
                  <c:v>支出总计减少</c:v>
                </c:pt>
                <c:pt idx="3">
                  <c:v>下降率</c:v>
                </c:pt>
              </c:strCache>
            </c:strRef>
          </c:cat>
          <c:val>
            <c:numRef>
              <c:f>'[画图柱状饼状（2024）.xlsx]Sheet1'!$B$33:$B$36</c:f>
              <c:numCache>
                <c:formatCode>#,##0.00</c:formatCode>
                <c:ptCount val="4"/>
                <c:pt idx="0">
                  <c:v>607.13</c:v>
                </c:pt>
                <c:pt idx="1">
                  <c:v>457.5</c:v>
                </c:pt>
                <c:pt idx="2" formatCode="General">
                  <c:v>149.63</c:v>
                </c:pt>
                <c:pt idx="3" formatCode="0.00%">
                  <c:v>0.246454630803946</c:v>
                </c:pt>
              </c:numCache>
            </c:numRef>
          </c:val>
        </c:ser>
        <c:dLbls>
          <c:showLegendKey val="0"/>
          <c:showVal val="1"/>
          <c:showCatName val="0"/>
          <c:showSerName val="0"/>
          <c:showPercent val="0"/>
          <c:showBubbleSize val="0"/>
        </c:dLbls>
        <c:gapWidth val="219"/>
        <c:overlap val="-27"/>
        <c:axId val="78142080"/>
        <c:axId val="78153600"/>
      </c:barChart>
      <c:catAx>
        <c:axId val="78142080"/>
        <c:scaling>
          <c:orientation val="minMax"/>
        </c:scaling>
        <c:delete val="0"/>
        <c:axPos val="b"/>
        <c:title>
          <c:overlay val="0"/>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78153600"/>
        <c:crosses val="autoZero"/>
        <c:auto val="1"/>
        <c:lblAlgn val="ctr"/>
        <c:lblOffset val="100"/>
        <c:noMultiLvlLbl val="0"/>
      </c:catAx>
      <c:valAx>
        <c:axId val="7815360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title>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781420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1"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一般公共预算财政拨款支出决算结构</a:t>
            </a:r>
            <a:endParaRPr lang="zh-CN" altLang="en-US"/>
          </a:p>
        </c:rich>
      </c:tx>
      <c:overlay val="0"/>
      <c:spPr>
        <a:noFill/>
        <a:ln>
          <a:noFill/>
        </a:ln>
        <a:effectLst/>
      </c:spPr>
    </c:title>
    <c:autoTitleDeleted val="0"/>
    <c:plotArea>
      <c:layout/>
      <c:pieChart>
        <c:varyColors val="1"/>
        <c:ser>
          <c:idx val="0"/>
          <c:order val="0"/>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'[画图柱状饼状（2024）.xlsx]Sheet3'!$A$1:$A$4</c:f>
              <c:strCache>
                <c:ptCount val="4"/>
                <c:pt idx="0">
                  <c:v>教育支出</c:v>
                </c:pt>
                <c:pt idx="1">
                  <c:v>社会保障和就业支出</c:v>
                </c:pt>
                <c:pt idx="2">
                  <c:v>卫生健康支出</c:v>
                </c:pt>
                <c:pt idx="3">
                  <c:v>住房保障支出</c:v>
                </c:pt>
              </c:strCache>
            </c:strRef>
          </c:cat>
          <c:val>
            <c:numRef>
              <c:f>'[画图柱状饼状（2024）.xlsx]Sheet3'!$B$1:$B$4</c:f>
              <c:numCache>
                <c:formatCode>General</c:formatCode>
                <c:ptCount val="4"/>
                <c:pt idx="0">
                  <c:v>350.61</c:v>
                </c:pt>
                <c:pt idx="1">
                  <c:v>63.31</c:v>
                </c:pt>
                <c:pt idx="2">
                  <c:v>18.399999999999999</c:v>
                </c:pt>
                <c:pt idx="3">
                  <c:v>25.18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299212598425199E-2"/>
          <c:y val="5.5555555555555601E-2"/>
          <c:w val="0.53888888888888897"/>
          <c:h val="0.89814814814814803"/>
        </c:manualLayout>
      </c:layout>
      <c:pieChart>
        <c:varyColors val="1"/>
        <c:ser>
          <c:idx val="0"/>
          <c:order val="0"/>
          <c:explosion val="9"/>
          <c:dPt>
            <c:idx val="0"/>
            <c:bubble3D val="0"/>
          </c:dPt>
          <c:dPt>
            <c:idx val="1"/>
            <c:bubble3D val="0"/>
          </c:dPt>
          <c:dPt>
            <c:idx val="2"/>
            <c:bubble3D val="0"/>
          </c:dPt>
          <c:cat>
            <c:strRef>
              <c:f>'[画图柱状饼状（2024）.xlsx]Sheet3'!$A$10:$A$12</c:f>
              <c:strCache>
                <c:ptCount val="3"/>
                <c:pt idx="0">
                  <c:v>因公出国（境）费支出</c:v>
                </c:pt>
                <c:pt idx="1">
                  <c:v>公务用车购置及运行维护费支出</c:v>
                </c:pt>
                <c:pt idx="2">
                  <c:v>公务接待费支出</c:v>
                </c:pt>
              </c:strCache>
            </c:strRef>
          </c:cat>
          <c:val>
            <c:numRef>
              <c:f>'[画图柱状饼状（2024）.xlsx]Sheet3'!$B$10:$B$12</c:f>
              <c:numCache>
                <c:formatCode>General</c:formatCode>
                <c:ptCount val="3"/>
                <c:pt idx="0">
                  <c:v>0</c:v>
                </c:pt>
                <c:pt idx="1">
                  <c:v>78.87</c:v>
                </c:pt>
                <c:pt idx="2">
                  <c:v>21.13</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947</Words>
  <Characters>5403</Characters>
  <Application>Microsoft Office Word</Application>
  <DocSecurity>0</DocSecurity>
  <Lines>45</Lines>
  <Paragraphs>12</Paragraphs>
  <ScaleCrop>false</ScaleCrop>
  <Company>CMCC</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张曦云</dc:creator>
  <cp:keywords/>
  <dc:description/>
  <cp:lastModifiedBy>张曦云</cp:lastModifiedBy>
  <cp:revision>3</cp:revision>
  <dcterms:created xsi:type="dcterms:W3CDTF">2025-09-09T03:20:00Z</dcterms:created>
  <dcterms:modified xsi:type="dcterms:W3CDTF">2025-09-15T08:48:00Z</dcterms:modified>
</cp:coreProperties>
</file>