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588B8">
      <w:pPr>
        <w:rPr>
          <w:rFonts w:ascii="Times New Roman" w:hAnsi="Times New Roman"/>
        </w:rPr>
      </w:pPr>
      <w:bookmarkStart w:id="0" w:name="_Toc15396475"/>
      <w:bookmarkStart w:id="1" w:name="_Toc15396597"/>
      <w:bookmarkStart w:id="2" w:name="_Toc15378441"/>
      <w:bookmarkStart w:id="3" w:name="_Toc15377193"/>
      <w:bookmarkStart w:id="4" w:name="_Toc15377425"/>
      <w:bookmarkStart w:id="5" w:name="_Toc15306267"/>
    </w:p>
    <w:p w14:paraId="66FA638A">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4E9793E3">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79CD64D">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E314F3F">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739B50C">
      <w:pPr>
        <w:pStyle w:val="5"/>
        <w:jc w:val="center"/>
        <w:rPr>
          <w:rFonts w:hint="eastAsia" w:asci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78442"/>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攀枝花市实验幼儿园</w:t>
      </w:r>
    </w:p>
    <w:p w14:paraId="172F805C">
      <w:pPr>
        <w:pStyle w:val="5"/>
        <w:jc w:val="center"/>
        <w:rPr>
          <w:rFonts w:hint="eastAsia" w:ascii="Times New Roman" w:hAnsi="Times New Roman" w:eastAsia="仿宋_GB2312" w:cs="仿宋_GB2312"/>
          <w:color w:val="auto"/>
          <w:sz w:val="32"/>
          <w:szCs w:val="32"/>
          <w:highlight w:val="none"/>
          <w:lang w:val="en-US" w:eastAsia="zh-CN"/>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1595BB5F">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7845A71">
      <w:pPr>
        <w:widowControl/>
        <w:jc w:val="center"/>
        <w:rPr>
          <w:rFonts w:ascii="Times New Roman" w:hAnsi="Times New Roman" w:eastAsia="黑体" w:cstheme="minorBidi"/>
          <w:color w:val="auto"/>
          <w:sz w:val="28"/>
          <w:szCs w:val="28"/>
          <w:highlight w:val="none"/>
        </w:rPr>
      </w:pPr>
    </w:p>
    <w:p w14:paraId="303D7C3B">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w:t>
      </w:r>
    </w:p>
    <w:p w14:paraId="4BB4F1AC">
      <w:pPr>
        <w:rPr>
          <w:rFonts w:ascii="Times New Roman" w:hAnsi="Times New Roman"/>
          <w:color w:val="auto"/>
          <w:highlight w:val="none"/>
        </w:rPr>
      </w:pPr>
    </w:p>
    <w:p w14:paraId="611C238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cs="Times New Roman"/>
          <w:sz w:val="24"/>
          <w:szCs w:val="24"/>
        </w:rPr>
        <w:tab/>
      </w:r>
      <w:r>
        <w:rPr>
          <w:rFonts w:hint="eastAsia" w:cs="Times New Roman"/>
          <w:sz w:val="24"/>
          <w:szCs w:val="24"/>
          <w:lang w:val="en-US" w:eastAsia="zh-CN"/>
        </w:rPr>
        <w:t>4</w:t>
      </w:r>
    </w:p>
    <w:p w14:paraId="5F7463D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lang w:eastAsia="zh-CN"/>
        </w:rPr>
        <w:t>职责</w:t>
      </w:r>
      <w:r>
        <w:rPr>
          <w:rFonts w:cs="Times New Roman"/>
          <w:sz w:val="24"/>
          <w:szCs w:val="24"/>
        </w:rPr>
        <w:tab/>
      </w:r>
      <w:r>
        <w:rPr>
          <w:rFonts w:hint="eastAsia" w:cs="Times New Roman"/>
          <w:sz w:val="24"/>
          <w:szCs w:val="24"/>
          <w:lang w:val="en-US" w:eastAsia="zh-CN"/>
        </w:rPr>
        <w:t>4</w:t>
      </w:r>
    </w:p>
    <w:p w14:paraId="030EF3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cs="Times New Roman"/>
          <w:sz w:val="24"/>
          <w:szCs w:val="24"/>
        </w:rPr>
        <w:tab/>
      </w:r>
      <w:r>
        <w:rPr>
          <w:rFonts w:hint="eastAsia" w:cs="Times New Roman"/>
          <w:sz w:val="24"/>
          <w:szCs w:val="24"/>
          <w:lang w:val="en-US" w:eastAsia="zh-CN"/>
        </w:rPr>
        <w:t>4</w:t>
      </w:r>
    </w:p>
    <w:p w14:paraId="39718D1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cs="Times New Roman"/>
          <w:sz w:val="24"/>
          <w:szCs w:val="24"/>
        </w:rPr>
        <w:tab/>
      </w:r>
      <w:r>
        <w:rPr>
          <w:rFonts w:hint="eastAsia" w:cs="Times New Roman"/>
          <w:sz w:val="24"/>
          <w:szCs w:val="24"/>
          <w:lang w:val="en-US" w:eastAsia="zh-CN"/>
        </w:rPr>
        <w:t>6</w:t>
      </w:r>
    </w:p>
    <w:p w14:paraId="590B5B2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cs="Times New Roman"/>
          <w:sz w:val="24"/>
          <w:szCs w:val="24"/>
        </w:rPr>
        <w:tab/>
      </w:r>
      <w:r>
        <w:rPr>
          <w:rFonts w:hint="eastAsia" w:cs="Times New Roman"/>
          <w:sz w:val="24"/>
          <w:szCs w:val="24"/>
          <w:lang w:val="en-US" w:eastAsia="zh-CN"/>
        </w:rPr>
        <w:t>6</w:t>
      </w:r>
    </w:p>
    <w:p w14:paraId="24F2C69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cs="Times New Roman"/>
          <w:sz w:val="24"/>
          <w:szCs w:val="24"/>
        </w:rPr>
        <w:tab/>
      </w:r>
      <w:r>
        <w:rPr>
          <w:rFonts w:hint="eastAsia" w:cs="Times New Roman"/>
          <w:sz w:val="24"/>
          <w:szCs w:val="24"/>
          <w:lang w:val="en-US" w:eastAsia="zh-CN"/>
        </w:rPr>
        <w:t>6</w:t>
      </w:r>
    </w:p>
    <w:p w14:paraId="10A7F42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cs="Times New Roman"/>
          <w:sz w:val="24"/>
          <w:szCs w:val="24"/>
        </w:rPr>
        <w:tab/>
      </w:r>
      <w:r>
        <w:rPr>
          <w:rFonts w:hint="eastAsia" w:cs="Times New Roman"/>
          <w:sz w:val="24"/>
          <w:szCs w:val="24"/>
          <w:lang w:val="en-US" w:eastAsia="zh-CN"/>
        </w:rPr>
        <w:t>7</w:t>
      </w:r>
    </w:p>
    <w:p w14:paraId="62F3075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cs="Times New Roman"/>
          <w:sz w:val="24"/>
          <w:szCs w:val="24"/>
        </w:rPr>
        <w:tab/>
      </w:r>
      <w:r>
        <w:rPr>
          <w:rFonts w:hint="eastAsia" w:cs="Times New Roman"/>
          <w:sz w:val="24"/>
          <w:szCs w:val="24"/>
          <w:lang w:val="en-US" w:eastAsia="zh-CN"/>
        </w:rPr>
        <w:t>7</w:t>
      </w:r>
    </w:p>
    <w:p w14:paraId="7063CDD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cs="Times New Roman"/>
          <w:sz w:val="24"/>
          <w:szCs w:val="24"/>
        </w:rPr>
        <w:tab/>
      </w:r>
      <w:r>
        <w:rPr>
          <w:rFonts w:hint="eastAsia" w:cs="Times New Roman"/>
          <w:sz w:val="24"/>
          <w:szCs w:val="24"/>
          <w:lang w:val="en-US" w:eastAsia="zh-CN"/>
        </w:rPr>
        <w:t>8</w:t>
      </w:r>
    </w:p>
    <w:p w14:paraId="3D9BE12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cs="Times New Roman"/>
          <w:sz w:val="24"/>
          <w:szCs w:val="24"/>
        </w:rPr>
        <w:tab/>
      </w:r>
      <w:r>
        <w:rPr>
          <w:rFonts w:hint="eastAsia" w:cs="Times New Roman"/>
          <w:sz w:val="24"/>
          <w:szCs w:val="24"/>
          <w:lang w:val="en-US" w:eastAsia="zh-CN"/>
        </w:rPr>
        <w:t>11</w:t>
      </w:r>
    </w:p>
    <w:p w14:paraId="6E1A589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cs="Times New Roman"/>
          <w:sz w:val="24"/>
          <w:szCs w:val="24"/>
        </w:rPr>
        <w:tab/>
      </w:r>
      <w:r>
        <w:rPr>
          <w:rFonts w:hint="eastAsia" w:cs="Times New Roman"/>
          <w:sz w:val="24"/>
          <w:szCs w:val="24"/>
          <w:lang w:val="en-US" w:eastAsia="zh-CN"/>
        </w:rPr>
        <w:t>11</w:t>
      </w:r>
    </w:p>
    <w:p w14:paraId="71FD198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cs="Times New Roman"/>
          <w:sz w:val="24"/>
          <w:szCs w:val="24"/>
        </w:rPr>
        <w:tab/>
      </w:r>
      <w:r>
        <w:rPr>
          <w:rFonts w:hint="eastAsia" w:cs="Times New Roman"/>
          <w:sz w:val="24"/>
          <w:szCs w:val="24"/>
          <w:lang w:val="en-US" w:eastAsia="zh-CN"/>
        </w:rPr>
        <w:t>13</w:t>
      </w:r>
    </w:p>
    <w:p w14:paraId="0BFC0C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cs="Times New Roman"/>
          <w:sz w:val="24"/>
          <w:szCs w:val="24"/>
        </w:rPr>
        <w:tab/>
      </w:r>
      <w:r>
        <w:rPr>
          <w:rFonts w:hint="eastAsia" w:cs="Times New Roman"/>
          <w:sz w:val="24"/>
          <w:szCs w:val="24"/>
          <w:lang w:val="en-US" w:eastAsia="zh-CN"/>
        </w:rPr>
        <w:t>13</w:t>
      </w:r>
    </w:p>
    <w:p w14:paraId="6628362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cs="Times New Roman"/>
          <w:sz w:val="24"/>
          <w:szCs w:val="24"/>
        </w:rPr>
        <w:tab/>
      </w:r>
      <w:r>
        <w:rPr>
          <w:rFonts w:hint="eastAsia" w:cs="Times New Roman"/>
          <w:sz w:val="24"/>
          <w:szCs w:val="24"/>
          <w:lang w:val="en-US" w:eastAsia="zh-CN"/>
        </w:rPr>
        <w:t>14</w:t>
      </w:r>
    </w:p>
    <w:p w14:paraId="0DF3807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cs="Times New Roman"/>
          <w:sz w:val="24"/>
          <w:szCs w:val="24"/>
        </w:rPr>
        <w:tab/>
      </w:r>
      <w:r>
        <w:rPr>
          <w:rFonts w:hint="eastAsia" w:cs="Times New Roman"/>
          <w:sz w:val="24"/>
          <w:szCs w:val="24"/>
          <w:lang w:val="en-US" w:eastAsia="zh-CN"/>
        </w:rPr>
        <w:t>16</w:t>
      </w:r>
    </w:p>
    <w:p w14:paraId="572122F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cs="Times New Roman"/>
          <w:sz w:val="24"/>
          <w:szCs w:val="24"/>
        </w:rPr>
        <w:tab/>
      </w:r>
      <w:r>
        <w:rPr>
          <w:rFonts w:hint="eastAsia" w:cs="Times New Roman"/>
          <w:sz w:val="24"/>
          <w:szCs w:val="24"/>
          <w:lang w:val="en-US" w:eastAsia="zh-CN"/>
        </w:rPr>
        <w:t>19</w:t>
      </w:r>
    </w:p>
    <w:p w14:paraId="72EC420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cs="Times New Roman"/>
          <w:sz w:val="24"/>
          <w:szCs w:val="24"/>
        </w:rPr>
        <w:tab/>
      </w:r>
      <w:r>
        <w:rPr>
          <w:rFonts w:hint="eastAsia" w:cs="Times New Roman"/>
          <w:sz w:val="24"/>
          <w:szCs w:val="24"/>
          <w:lang w:val="en-US" w:eastAsia="zh-CN"/>
        </w:rPr>
        <w:t>20</w:t>
      </w:r>
    </w:p>
    <w:p w14:paraId="5E324A7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cs="Times New Roman"/>
          <w:sz w:val="24"/>
          <w:szCs w:val="24"/>
        </w:rPr>
        <w:tab/>
      </w:r>
      <w:r>
        <w:rPr>
          <w:rFonts w:hint="eastAsia" w:cs="Times New Roman"/>
          <w:sz w:val="24"/>
          <w:szCs w:val="24"/>
          <w:lang w:val="en-US" w:eastAsia="zh-CN"/>
        </w:rPr>
        <w:t>20</w:t>
      </w:r>
    </w:p>
    <w:p w14:paraId="528B1E5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cs="Times New Roman"/>
          <w:sz w:val="24"/>
          <w:szCs w:val="24"/>
        </w:rPr>
        <w:tab/>
      </w:r>
      <w:r>
        <w:rPr>
          <w:rFonts w:hint="eastAsia" w:cs="Times New Roman"/>
          <w:sz w:val="24"/>
          <w:szCs w:val="24"/>
          <w:lang w:val="en-US" w:eastAsia="zh-CN"/>
        </w:rPr>
        <w:t>20</w:t>
      </w:r>
    </w:p>
    <w:p w14:paraId="5F6B332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cs="Times New Roman"/>
          <w:sz w:val="24"/>
          <w:szCs w:val="24"/>
        </w:rPr>
        <w:tab/>
      </w:r>
      <w:r>
        <w:rPr>
          <w:rFonts w:hint="eastAsia" w:cs="Times New Roman"/>
          <w:sz w:val="24"/>
          <w:szCs w:val="24"/>
          <w:lang w:val="en-US" w:eastAsia="zh-CN"/>
        </w:rPr>
        <w:t>20</w:t>
      </w:r>
    </w:p>
    <w:p w14:paraId="230F2DD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cs="Times New Roman"/>
          <w:sz w:val="24"/>
          <w:szCs w:val="24"/>
        </w:rPr>
        <w:tab/>
      </w:r>
      <w:r>
        <w:rPr>
          <w:rFonts w:hint="eastAsia" w:cs="Times New Roman"/>
          <w:sz w:val="24"/>
          <w:szCs w:val="24"/>
          <w:lang w:val="en-US" w:eastAsia="zh-CN"/>
        </w:rPr>
        <w:t>20</w:t>
      </w:r>
    </w:p>
    <w:p w14:paraId="7E912D1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cs="Times New Roman"/>
          <w:sz w:val="24"/>
          <w:szCs w:val="24"/>
        </w:rPr>
        <w:tab/>
      </w:r>
      <w:r>
        <w:rPr>
          <w:rFonts w:hint="eastAsia" w:cs="Times New Roman"/>
          <w:sz w:val="24"/>
          <w:szCs w:val="24"/>
          <w:lang w:val="en-US" w:eastAsia="zh-CN"/>
        </w:rPr>
        <w:t>20</w:t>
      </w:r>
    </w:p>
    <w:p w14:paraId="08AC6C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cs="Times New Roman"/>
          <w:sz w:val="24"/>
          <w:szCs w:val="24"/>
        </w:rPr>
        <w:tab/>
      </w:r>
      <w:r>
        <w:rPr>
          <w:rFonts w:hint="eastAsia" w:cs="Times New Roman"/>
          <w:sz w:val="24"/>
          <w:szCs w:val="24"/>
          <w:lang w:val="en-US" w:eastAsia="zh-CN"/>
        </w:rPr>
        <w:t>20</w:t>
      </w:r>
    </w:p>
    <w:p w14:paraId="1C3ACA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cs="Times New Roman"/>
          <w:sz w:val="24"/>
          <w:szCs w:val="24"/>
        </w:rPr>
        <w:tab/>
      </w:r>
      <w:r>
        <w:rPr>
          <w:rFonts w:hint="eastAsia" w:cs="Times New Roman"/>
          <w:sz w:val="24"/>
          <w:szCs w:val="24"/>
          <w:lang w:val="en-US" w:eastAsia="zh-CN"/>
        </w:rPr>
        <w:t>20</w:t>
      </w:r>
    </w:p>
    <w:p w14:paraId="2708D1A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cs="Times New Roman"/>
          <w:sz w:val="24"/>
          <w:szCs w:val="24"/>
        </w:rPr>
        <w:tab/>
      </w:r>
      <w:r>
        <w:rPr>
          <w:rFonts w:hint="eastAsia" w:cs="Times New Roman"/>
          <w:sz w:val="24"/>
          <w:szCs w:val="24"/>
          <w:lang w:val="en-US" w:eastAsia="zh-CN"/>
        </w:rPr>
        <w:t>20</w:t>
      </w:r>
    </w:p>
    <w:p w14:paraId="213B24E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cs="Times New Roman"/>
          <w:sz w:val="24"/>
          <w:szCs w:val="24"/>
        </w:rPr>
        <w:tab/>
      </w:r>
      <w:r>
        <w:rPr>
          <w:rFonts w:hint="eastAsia" w:cs="Times New Roman"/>
          <w:sz w:val="24"/>
          <w:szCs w:val="24"/>
          <w:lang w:val="en-US" w:eastAsia="zh-CN"/>
        </w:rPr>
        <w:t>20</w:t>
      </w:r>
    </w:p>
    <w:p w14:paraId="3B74AB4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cs="Times New Roman"/>
          <w:sz w:val="24"/>
          <w:szCs w:val="24"/>
        </w:rPr>
        <w:tab/>
      </w:r>
      <w:r>
        <w:rPr>
          <w:rFonts w:hint="eastAsia" w:cs="Times New Roman"/>
          <w:sz w:val="24"/>
          <w:szCs w:val="24"/>
          <w:lang w:val="en-US" w:eastAsia="zh-CN"/>
        </w:rPr>
        <w:t>20</w:t>
      </w:r>
    </w:p>
    <w:p w14:paraId="3B1815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cs="Times New Roman"/>
          <w:sz w:val="24"/>
          <w:szCs w:val="24"/>
        </w:rPr>
        <w:tab/>
      </w:r>
      <w:r>
        <w:rPr>
          <w:rFonts w:hint="eastAsia" w:cs="Times New Roman"/>
          <w:sz w:val="24"/>
          <w:szCs w:val="24"/>
          <w:lang w:val="en-US" w:eastAsia="zh-CN"/>
        </w:rPr>
        <w:t>20</w:t>
      </w:r>
    </w:p>
    <w:p w14:paraId="0969299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cs="Times New Roman"/>
          <w:sz w:val="24"/>
          <w:szCs w:val="24"/>
        </w:rPr>
        <w:tab/>
      </w:r>
      <w:r>
        <w:rPr>
          <w:rFonts w:hint="eastAsia" w:cs="Times New Roman"/>
          <w:sz w:val="24"/>
          <w:szCs w:val="24"/>
          <w:lang w:val="en-US" w:eastAsia="zh-CN"/>
        </w:rPr>
        <w:t>20</w:t>
      </w:r>
    </w:p>
    <w:p w14:paraId="081CB6C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cs="Times New Roman"/>
          <w:sz w:val="24"/>
          <w:szCs w:val="24"/>
        </w:rPr>
        <w:tab/>
      </w:r>
      <w:r>
        <w:rPr>
          <w:rFonts w:hint="eastAsia" w:cs="Times New Roman"/>
          <w:sz w:val="24"/>
          <w:szCs w:val="24"/>
          <w:lang w:val="en-US" w:eastAsia="zh-CN"/>
        </w:rPr>
        <w:t>20</w:t>
      </w:r>
    </w:p>
    <w:p w14:paraId="6E22797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7C9BBAD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61E6CB98">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20C88A3C">
      <w:pPr>
        <w:widowControl/>
        <w:jc w:val="left"/>
        <w:rPr>
          <w:rFonts w:ascii="Times New Roman" w:hAnsi="Times New Roman" w:eastAsia="黑体"/>
          <w:color w:val="auto"/>
          <w:sz w:val="32"/>
          <w:szCs w:val="32"/>
          <w:highlight w:val="none"/>
        </w:rPr>
      </w:pPr>
    </w:p>
    <w:p w14:paraId="5BE6ABA6">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p>
    <w:p w14:paraId="34CBF1CA">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度，在市教育和体育局的坚强领导下，我园密切关注教育改革和发展，深入贯彻《幼儿园保育教育质量评估指南》。立足党建、保教、后勤等各项基本工作，大力弘扬和践行教育家精神，引领教师主动增强自身整体素质，全面落实立德树人根本任务，抓好精细化管理，促进保教质量稳步提升，助推幼儿园高品质建设。</w:t>
      </w:r>
      <w:r>
        <w:rPr>
          <w:rFonts w:hint="eastAsia" w:ascii="仿宋_GB2312" w:hAnsi="仿宋" w:eastAsia="仿宋_GB2312" w:cs="Times New Roman"/>
          <w:kern w:val="2"/>
          <w:sz w:val="32"/>
          <w:szCs w:val="32"/>
          <w:highlight w:val="none"/>
          <w:lang w:val="en-US" w:eastAsia="zh-CN" w:bidi="ar-SA"/>
        </w:rPr>
        <w:t>幼儿园以“玩美教育 奠基人生”为办园理念，以培养“阳光、勇敢、智慧、创新”的儿童为目标，大力实施“以德树人、以境育人、以美塑人、以改促教”的发展思路，先后获得“全国巾帼文明示范岗”“省文明单位”“省先进党组织”“省教育工作先进集体”“省体育特色幼儿园”“四川云教主播学校”等荣誉70余次，2024年，幼儿园被授予“教育部幼儿园园长培训中心学员实践教学基地”。</w:t>
      </w:r>
    </w:p>
    <w:p w14:paraId="670A3838">
      <w:pPr>
        <w:pStyle w:val="3"/>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71F0BD2E">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四川省攀枝花市实验幼儿园</w:t>
      </w:r>
      <w:r>
        <w:rPr>
          <w:rFonts w:hint="eastAsia" w:ascii="仿宋" w:hAnsi="仿宋" w:eastAsia="仿宋" w:cs="Times New Roman"/>
          <w:color w:val="auto"/>
          <w:sz w:val="32"/>
          <w:szCs w:val="32"/>
          <w:highlight w:val="none"/>
          <w:lang w:eastAsia="zh-CN"/>
        </w:rPr>
        <w:t>是</w:t>
      </w:r>
      <w:r>
        <w:rPr>
          <w:rFonts w:hint="eastAsia" w:ascii="仿宋" w:hAnsi="仿宋" w:eastAsia="仿宋" w:cs="Times New Roman"/>
          <w:color w:val="auto"/>
          <w:sz w:val="32"/>
          <w:szCs w:val="32"/>
          <w:highlight w:val="none"/>
          <w:lang w:val="en-US" w:eastAsia="zh-CN"/>
        </w:rPr>
        <w:t>市</w:t>
      </w:r>
      <w:r>
        <w:rPr>
          <w:rFonts w:hint="eastAsia" w:ascii="仿宋" w:hAnsi="仿宋" w:eastAsia="仿宋" w:cs="Times New Roman"/>
          <w:color w:val="auto"/>
          <w:sz w:val="32"/>
          <w:szCs w:val="32"/>
          <w:highlight w:val="none"/>
          <w:lang w:eastAsia="zh-CN"/>
        </w:rPr>
        <w:t>教育和体育局直属幼儿园，四川省省级示范幼儿园，</w:t>
      </w:r>
      <w:r>
        <w:rPr>
          <w:rFonts w:hint="eastAsia" w:ascii="仿宋" w:hAnsi="仿宋" w:eastAsia="仿宋" w:cs="Times New Roman"/>
          <w:color w:val="auto"/>
          <w:sz w:val="32"/>
          <w:szCs w:val="32"/>
          <w:highlight w:val="none"/>
          <w:lang w:val="en-US" w:eastAsia="zh-CN"/>
        </w:rPr>
        <w:t>本部门机构数为1个。</w:t>
      </w:r>
      <w:r>
        <w:rPr>
          <w:rFonts w:hint="eastAsia" w:ascii="仿宋" w:hAnsi="仿宋" w:eastAsia="仿宋" w:cs="Times New Roman"/>
          <w:color w:val="auto"/>
          <w:sz w:val="32"/>
          <w:szCs w:val="32"/>
          <w:highlight w:val="none"/>
          <w:lang w:val="zh-CN" w:eastAsia="zh-CN"/>
        </w:rPr>
        <w:t>本学年，</w:t>
      </w:r>
      <w:r>
        <w:rPr>
          <w:rFonts w:hint="eastAsia" w:ascii="仿宋_GB2312" w:hAnsi="仿宋" w:eastAsia="仿宋_GB2312" w:cs="Times New Roman"/>
          <w:kern w:val="2"/>
          <w:sz w:val="32"/>
          <w:szCs w:val="32"/>
          <w:highlight w:val="none"/>
          <w:lang w:val="en-US" w:eastAsia="zh-CN" w:bidi="ar-SA"/>
        </w:rPr>
        <w:t>本学年，全园共有大、中、小班38个，在园幼儿共计1262人，教职工总数为201人，省市县级骨干教师共26人，骨干教师占专任教师总人数的23%。</w:t>
      </w:r>
    </w:p>
    <w:p w14:paraId="2878621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2E5F5E3">
      <w:pPr>
        <w:pStyle w:val="2"/>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79B984D">
      <w:pPr>
        <w:rPr>
          <w:rFonts w:ascii="Times New Roman" w:hAnsi="Times New Roman"/>
          <w:color w:val="auto"/>
          <w:highlight w:val="none"/>
        </w:rPr>
      </w:pPr>
    </w:p>
    <w:p w14:paraId="1282B63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12CA5D0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仿宋_GB2312" w:hAnsi="仿宋" w:eastAsia="仿宋_GB2312" w:cs="Times New Roman"/>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118745</wp:posOffset>
            </wp:positionH>
            <wp:positionV relativeFrom="paragraph">
              <wp:posOffset>1623695</wp:posOffset>
            </wp:positionV>
            <wp:extent cx="5225415" cy="2781300"/>
            <wp:effectExtent l="4445" t="4445" r="8890"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3084.61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157.2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4.85</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cs="Times New Roman"/>
          <w:kern w:val="2"/>
          <w:sz w:val="32"/>
          <w:szCs w:val="32"/>
          <w:highlight w:val="none"/>
          <w:lang w:val="en-US" w:eastAsia="zh-CN" w:bidi="ar-SA"/>
        </w:rPr>
        <w:t>本年安排的项目资金减少，因此收入、支出减少。</w:t>
      </w:r>
    </w:p>
    <w:p w14:paraId="555BB8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39191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034ADD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4D9ED33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3084.61万元，其中：一般公共预算财政拨款收入3084.61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B2A2D3E">
      <w:pPr>
        <w:ind w:firstLine="525" w:firstLineChars="250"/>
        <w:rPr>
          <w:rFonts w:hint="eastAsia" w:ascii="Times New Roman" w:hAnsi="Times New Roman" w:eastAsia="仿宋_GB2312" w:cs="仿宋_GB2312"/>
          <w:color w:val="auto"/>
          <w:sz w:val="32"/>
          <w:szCs w:val="32"/>
          <w:highlight w:val="none"/>
          <w:lang w:eastAsia="zh-CN"/>
        </w:rPr>
      </w:pPr>
      <w:r>
        <w:rPr>
          <w:highlight w:val="none"/>
        </w:rPr>
        <w:drawing>
          <wp:anchor distT="0" distB="0" distL="114300" distR="114300" simplePos="0" relativeHeight="251662336" behindDoc="0" locked="0" layoutInCell="1" allowOverlap="1">
            <wp:simplePos x="0" y="0"/>
            <wp:positionH relativeFrom="column">
              <wp:posOffset>337820</wp:posOffset>
            </wp:positionH>
            <wp:positionV relativeFrom="paragraph">
              <wp:posOffset>-7658735</wp:posOffset>
            </wp:positionV>
            <wp:extent cx="4464050" cy="2743200"/>
            <wp:effectExtent l="4445" t="5080" r="8255" b="13970"/>
            <wp:wrapTopAndBottom/>
            <wp:docPr id="6" name="图表 5"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Times New Roman" w:hAnsi="Times New Roman" w:eastAsia="仿宋_GB2312" w:cs="仿宋_GB2312"/>
          <w:color w:val="auto"/>
          <w:sz w:val="32"/>
          <w:szCs w:val="32"/>
          <w:highlight w:val="none"/>
          <w:lang w:eastAsia="zh-CN"/>
        </w:rPr>
        <w:t>（图2：收入决算结构图）（饼状图）</w:t>
      </w:r>
    </w:p>
    <w:p w14:paraId="72033F7E">
      <w:pPr>
        <w:ind w:firstLine="800" w:firstLineChars="250"/>
        <w:rPr>
          <w:rFonts w:hint="eastAsia" w:ascii="Times New Roman" w:hAnsi="Times New Roman" w:eastAsia="仿宋_GB2312" w:cs="仿宋_GB2312"/>
          <w:color w:val="auto"/>
          <w:sz w:val="32"/>
          <w:szCs w:val="32"/>
          <w:highlight w:val="none"/>
          <w:lang w:eastAsia="zh-CN"/>
        </w:rPr>
      </w:pPr>
    </w:p>
    <w:p w14:paraId="2676904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423BEFA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3084.61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2531.92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82.08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552.69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17.91</w:t>
      </w:r>
      <w:r>
        <w:rPr>
          <w:rFonts w:hint="eastAsia" w:ascii="仿宋_GB2312" w:hAnsi="仿宋_GB2312" w:eastAsia="仿宋_GB2312" w:cs="仿宋_GB2312"/>
          <w:color w:val="auto"/>
          <w:sz w:val="32"/>
          <w:szCs w:val="32"/>
          <w:highlight w:val="none"/>
          <w:lang w:eastAsia="zh-CN"/>
        </w:rPr>
        <w:t>%。</w:t>
      </w:r>
    </w:p>
    <w:p w14:paraId="0DC28780">
      <w:pPr>
        <w:ind w:firstLine="525" w:firstLineChars="250"/>
        <w:rPr>
          <w:rFonts w:hint="eastAsia" w:ascii="Times New Roman" w:hAnsi="Times New Roman" w:eastAsia="仿宋_GB2312" w:cs="仿宋_GB2312"/>
          <w:color w:val="auto"/>
          <w:sz w:val="32"/>
          <w:szCs w:val="32"/>
          <w:highlight w:val="none"/>
          <w:lang w:eastAsia="zh-CN"/>
        </w:rPr>
      </w:pPr>
      <w:r>
        <w:rPr>
          <w:highlight w:val="none"/>
        </w:rPr>
        <w:drawing>
          <wp:anchor distT="0" distB="0" distL="114300" distR="114300" simplePos="0" relativeHeight="251660288" behindDoc="0" locked="0" layoutInCell="1" allowOverlap="1">
            <wp:simplePos x="0" y="0"/>
            <wp:positionH relativeFrom="column">
              <wp:posOffset>118745</wp:posOffset>
            </wp:positionH>
            <wp:positionV relativeFrom="paragraph">
              <wp:posOffset>118745</wp:posOffset>
            </wp:positionV>
            <wp:extent cx="4826000" cy="2600960"/>
            <wp:effectExtent l="4445" t="4445" r="8255" b="2349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09B12A2F">
      <w:pPr>
        <w:ind w:firstLine="800" w:firstLineChars="250"/>
        <w:rPr>
          <w:rFonts w:hint="eastAsia" w:ascii="Times New Roman" w:hAnsi="Times New Roman" w:eastAsia="仿宋_GB2312" w:cs="仿宋_GB2312"/>
          <w:color w:val="auto"/>
          <w:sz w:val="32"/>
          <w:szCs w:val="32"/>
          <w:highlight w:val="none"/>
          <w:lang w:eastAsia="zh-CN"/>
        </w:rPr>
      </w:pPr>
    </w:p>
    <w:p w14:paraId="0ABD81F6">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6FC10F6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3084.61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157.2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4.85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 w:eastAsia="仿宋_GB2312" w:cs="Times New Roman"/>
          <w:kern w:val="2"/>
          <w:sz w:val="32"/>
          <w:szCs w:val="32"/>
          <w:highlight w:val="none"/>
          <w:lang w:val="en-US" w:eastAsia="zh-CN" w:bidi="ar-SA"/>
        </w:rPr>
        <w:t>本年安排的项目资金减少，因此收入、支出减少。</w:t>
      </w:r>
    </w:p>
    <w:p w14:paraId="58518306">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1312" behindDoc="0" locked="0" layoutInCell="1" allowOverlap="1">
            <wp:simplePos x="0" y="0"/>
            <wp:positionH relativeFrom="column">
              <wp:posOffset>-24130</wp:posOffset>
            </wp:positionH>
            <wp:positionV relativeFrom="paragraph">
              <wp:posOffset>71120</wp:posOffset>
            </wp:positionV>
            <wp:extent cx="5225415" cy="2781300"/>
            <wp:effectExtent l="4445" t="4445" r="8890"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71CF7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C6724B">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5A778B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ED0F1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3084.61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%。与2023年度相比，一般公共预算财政拨款支出减少157.2万元，下降4.85%。主要变动原因是</w:t>
      </w:r>
      <w:r>
        <w:rPr>
          <w:rFonts w:hint="eastAsia" w:ascii="仿宋_GB2312" w:hAnsi="仿宋" w:eastAsia="仿宋_GB2312" w:cs="Times New Roman"/>
          <w:kern w:val="2"/>
          <w:sz w:val="32"/>
          <w:szCs w:val="32"/>
          <w:highlight w:val="none"/>
          <w:lang w:val="en-US" w:eastAsia="zh-CN" w:bidi="ar-SA"/>
        </w:rPr>
        <w:t>本年安排的项目资金减少，因此收入、支出减少</w:t>
      </w:r>
      <w:r>
        <w:rPr>
          <w:rFonts w:hint="eastAsia" w:ascii="仿宋_GB2312" w:hAnsi="仿宋_GB2312" w:eastAsia="仿宋_GB2312" w:cs="仿宋_GB2312"/>
          <w:color w:val="auto"/>
          <w:kern w:val="2"/>
          <w:sz w:val="32"/>
          <w:szCs w:val="32"/>
          <w:highlight w:val="none"/>
          <w:lang w:val="en-US" w:eastAsia="zh-CN" w:bidi="ar-SA"/>
        </w:rPr>
        <w:t>。</w:t>
      </w:r>
    </w:p>
    <w:p w14:paraId="0345AD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3360" behindDoc="0" locked="0" layoutInCell="1" allowOverlap="1">
            <wp:simplePos x="0" y="0"/>
            <wp:positionH relativeFrom="column">
              <wp:posOffset>410845</wp:posOffset>
            </wp:positionH>
            <wp:positionV relativeFrom="paragraph">
              <wp:posOffset>-2491105</wp:posOffset>
            </wp:positionV>
            <wp:extent cx="5225415" cy="2781300"/>
            <wp:effectExtent l="4445" t="4445" r="8890" b="14605"/>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FEFAA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F7036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1E3ED6D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3084.61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2496.45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80.93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274.65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8.90</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133.64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179.87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2FE4A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4384" behindDoc="0" locked="0" layoutInCell="1" allowOverlap="1">
            <wp:simplePos x="0" y="0"/>
            <wp:positionH relativeFrom="column">
              <wp:posOffset>191770</wp:posOffset>
            </wp:positionH>
            <wp:positionV relativeFrom="paragraph">
              <wp:posOffset>22860</wp:posOffset>
            </wp:positionV>
            <wp:extent cx="5253990" cy="2847340"/>
            <wp:effectExtent l="4445" t="4445" r="18415" b="5715"/>
            <wp:wrapTopAndBottom/>
            <wp:docPr id="11" name="图表 10"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8E8E9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B7A1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7A6793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3084.61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E5C93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教育（类）</w:t>
      </w:r>
      <w:r>
        <w:rPr>
          <w:rFonts w:hint="eastAsia" w:eastAsia="仿宋_GB2312" w:cs="仿宋_GB2312"/>
          <w:color w:val="auto"/>
          <w:kern w:val="2"/>
          <w:sz w:val="32"/>
          <w:szCs w:val="32"/>
          <w:highlight w:val="none"/>
          <w:lang w:val="en-US" w:eastAsia="zh-CN" w:bidi="ar-SA"/>
        </w:rPr>
        <w:t>普通教育</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学前教育</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2381.26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7747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教育</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进修及培训</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培训支出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2CE54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教育</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教育费附加安排的支出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其他教育费附加安排的支出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111.99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E56DB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239.53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5722339">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35.12</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3B9C17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116.66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1B2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公务员医疗补助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16.98</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07ECD1FD">
      <w:pPr>
        <w:spacing w:line="600" w:lineRule="exact"/>
        <w:ind w:firstLine="640"/>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8.住房保障支出（类）</w:t>
      </w:r>
      <w:r>
        <w:rPr>
          <w:rFonts w:hint="eastAsia"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179.87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00DA8E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BC3D3D">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62C47A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2531.92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AA6334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2353.44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其他社会保障缴费、住房公积金、其他工资福利支出、生活补助、医疗费补助、奖励金、其他对个人和家庭的补助支出等。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178.48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元，主要包括：办公费、水费、电费、邮电费、物业管理费、差旅费、维修（护）费、劳务费、工会经费、福利费、公务用车运行维护费、</w:t>
      </w:r>
      <w:r>
        <w:rPr>
          <w:rFonts w:hint="eastAsia" w:eastAsia="仿宋_GB2312" w:cs="仿宋_GB2312"/>
          <w:color w:val="auto"/>
          <w:kern w:val="2"/>
          <w:sz w:val="32"/>
          <w:szCs w:val="32"/>
          <w:highlight w:val="none"/>
          <w:lang w:val="en-US" w:eastAsia="zh-CN" w:bidi="ar-SA"/>
        </w:rPr>
        <w:t>其他商品和服务支出</w:t>
      </w:r>
      <w:r>
        <w:rPr>
          <w:rFonts w:hint="eastAsia" w:ascii="Times New Roman" w:hAnsi="Times New Roman" w:eastAsia="仿宋_GB2312" w:cs="仿宋_GB2312"/>
          <w:color w:val="auto"/>
          <w:kern w:val="2"/>
          <w:sz w:val="32"/>
          <w:szCs w:val="32"/>
          <w:highlight w:val="none"/>
          <w:lang w:val="en-US" w:eastAsia="zh-CN" w:bidi="ar-SA"/>
        </w:rPr>
        <w:t>等。</w:t>
      </w:r>
    </w:p>
    <w:p w14:paraId="241959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C35A33">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201F06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982CC2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4.27</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eastAsia="仿宋_GB2312" w:cs="仿宋_GB2312"/>
          <w:color w:val="auto"/>
          <w:kern w:val="2"/>
          <w:sz w:val="32"/>
          <w:szCs w:val="32"/>
          <w:highlight w:val="none"/>
          <w:lang w:val="en-US" w:eastAsia="zh-CN" w:bidi="ar-SA"/>
        </w:rPr>
        <w:t>本年度车辆维修费减少。</w:t>
      </w:r>
    </w:p>
    <w:p w14:paraId="31430C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5F375B6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D0194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5408" behindDoc="0" locked="0" layoutInCell="1" allowOverlap="1">
            <wp:simplePos x="0" y="0"/>
            <wp:positionH relativeFrom="column">
              <wp:posOffset>410845</wp:posOffset>
            </wp:positionH>
            <wp:positionV relativeFrom="paragraph">
              <wp:posOffset>-2548255</wp:posOffset>
            </wp:positionV>
            <wp:extent cx="5253990" cy="2847340"/>
            <wp:effectExtent l="4445" t="4445" r="18415" b="5715"/>
            <wp:wrapTopAndBottom/>
            <wp:docPr id="13" name="图表 12"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95B71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2024年与2023年均未安排因公出国（</w:t>
      </w:r>
      <w:r>
        <w:rPr>
          <w:rFonts w:hint="eastAsia" w:ascii="仿宋_GB2312" w:eastAsia="仿宋_GB2312"/>
          <w:color w:val="auto"/>
          <w:sz w:val="32"/>
          <w:szCs w:val="32"/>
          <w:highlight w:val="none"/>
        </w:rPr>
        <w:t>境</w:t>
      </w:r>
      <w:r>
        <w:rPr>
          <w:rFonts w:hint="eastAsia" w:eastAsia="仿宋_GB2312" w:cs="仿宋_GB2312"/>
          <w:color w:val="auto"/>
          <w:kern w:val="2"/>
          <w:sz w:val="32"/>
          <w:szCs w:val="32"/>
          <w:highlight w:val="none"/>
          <w:lang w:val="en-US" w:eastAsia="zh-CN" w:bidi="ar-SA"/>
        </w:rPr>
        <w:t>）。</w:t>
      </w:r>
    </w:p>
    <w:p w14:paraId="4A7CAC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（团组名称、出访地点、取得成效等）</w:t>
      </w:r>
    </w:p>
    <w:p w14:paraId="3B4CD9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本年度车辆维修费减少。</w:t>
      </w:r>
    </w:p>
    <w:p w14:paraId="270932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D94E5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参加市、区教育主管部门及相关单位的重要会议、专项活动；幼儿园重大活动、师生集体公务出行；开展教育调研、帮扶活动；园区内紧急事务处置以及经园领导批准的其他重要公务等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5FF689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2024年度和2023年度均未安排公务接待</w:t>
      </w:r>
      <w:r>
        <w:rPr>
          <w:rFonts w:hint="eastAsia" w:ascii="Times New Roman" w:hAnsi="Times New Roman" w:eastAsia="仿宋_GB2312" w:cs="仿宋_GB2312"/>
          <w:color w:val="auto"/>
          <w:kern w:val="2"/>
          <w:sz w:val="32"/>
          <w:szCs w:val="32"/>
          <w:highlight w:val="none"/>
          <w:lang w:val="en-US" w:eastAsia="zh-CN" w:bidi="ar-SA"/>
        </w:rPr>
        <w:t>。其中：</w:t>
      </w:r>
    </w:p>
    <w:p w14:paraId="6819ED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（接待具体项目、金额）。</w:t>
      </w:r>
    </w:p>
    <w:p w14:paraId="4350B2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万元，主要用于无（具体项目）。外事接待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6438B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14:paraId="46BB25E5">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649E064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22D56D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2A2F22">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6980C8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07226A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9E0B1D">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4F537AB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75B722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四川省攀枝花市实验幼儿园</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元，比2023年度与2023年度决算数持平。主要原因是</w:t>
      </w:r>
      <w:r>
        <w:rPr>
          <w:rFonts w:hint="eastAsia" w:eastAsia="仿宋_GB2312" w:cs="仿宋_GB2312"/>
          <w:color w:val="auto"/>
          <w:kern w:val="2"/>
          <w:sz w:val="32"/>
          <w:szCs w:val="32"/>
          <w:highlight w:val="none"/>
          <w:lang w:val="en-US" w:eastAsia="zh-CN" w:bidi="ar-SA"/>
        </w:rPr>
        <w:t>幼儿园</w:t>
      </w:r>
      <w:r>
        <w:rPr>
          <w:rFonts w:hint="eastAsia" w:ascii="仿宋_GB2312" w:eastAsia="仿宋_GB2312"/>
          <w:color w:val="auto"/>
          <w:sz w:val="32"/>
          <w:szCs w:val="32"/>
          <w:highlight w:val="none"/>
          <w:lang w:val="en-US" w:eastAsia="zh-CN"/>
        </w:rPr>
        <w:t>为事业单位，按规定未使用机关运行的相关科目。</w:t>
      </w:r>
    </w:p>
    <w:p w14:paraId="0E0510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9850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0B0846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四川省攀枝花市实验幼儿园</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51.33</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50.66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0.67</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 w:eastAsia="仿宋_GB2312" w:cs="Times New Roman"/>
          <w:kern w:val="2"/>
          <w:sz w:val="32"/>
          <w:szCs w:val="32"/>
          <w:highlight w:val="none"/>
          <w:lang w:val="en-US" w:eastAsia="zh-CN" w:bidi="ar-SA"/>
        </w:rPr>
        <w:t>用于科幼多媒体报告厅建设、科技城园区LED屏采购项目、公务用车车辆加油。加强校园建设，优化育人环境，保障幼儿园正常运转</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51.33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0.33</w:t>
      </w:r>
      <w:r>
        <w:rPr>
          <w:rFonts w:hint="eastAsia" w:ascii="仿宋_GB2312" w:hAnsi="仿宋_GB2312" w:eastAsia="仿宋_GB2312" w:cs="仿宋_GB2312"/>
          <w:color w:val="auto"/>
          <w:kern w:val="2"/>
          <w:sz w:val="32"/>
          <w:szCs w:val="32"/>
          <w:highlight w:val="none"/>
          <w:lang w:val="en-US" w:eastAsia="zh-CN" w:bidi="ar-SA"/>
        </w:rPr>
        <w:t>%。</w:t>
      </w:r>
    </w:p>
    <w:p w14:paraId="45CDE7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6D52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4CCF3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四川省攀枝花市实验幼儿园</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w:t>
      </w:r>
      <w:r>
        <w:rPr>
          <w:rFonts w:hint="eastAsia" w:ascii="Times New Roman" w:hAnsi="Times New Roman" w:eastAsia="仿宋_GB2312" w:cs="仿宋_GB2312"/>
          <w:color w:val="auto"/>
          <w:kern w:val="2"/>
          <w:sz w:val="32"/>
          <w:szCs w:val="32"/>
          <w:highlight w:val="none"/>
          <w:lang w:val="en-US" w:eastAsia="zh-CN" w:bidi="ar-SA"/>
        </w:rPr>
        <w:t>用于</w:t>
      </w:r>
      <w:r>
        <w:rPr>
          <w:rFonts w:hint="eastAsia" w:eastAsia="仿宋_GB2312" w:cs="仿宋_GB2312"/>
          <w:color w:val="auto"/>
          <w:kern w:val="2"/>
          <w:sz w:val="32"/>
          <w:szCs w:val="32"/>
          <w:highlight w:val="none"/>
          <w:lang w:val="en-US" w:eastAsia="zh-CN" w:bidi="ar-SA"/>
        </w:rPr>
        <w:t>参加市、区教育主管部门及相关单位的重要会议、专项活动；幼儿园重大活动、师生集体公务出行；开展教育调研、帮扶活动；园区内紧急事务处置以及经园领导批准的其他重要公务等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6F2BF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5A5B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E9992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四川省攀枝花市实验幼儿园</w:t>
      </w:r>
      <w:r>
        <w:rPr>
          <w:rFonts w:hint="eastAsia" w:ascii="Times New Roman" w:hAnsi="Times New Roman" w:eastAsia="仿宋_GB2312" w:cs="仿宋_GB2312"/>
          <w:color w:val="auto"/>
          <w:kern w:val="2"/>
          <w:sz w:val="32"/>
          <w:szCs w:val="32"/>
          <w:highlight w:val="none"/>
          <w:lang w:val="en-US" w:eastAsia="zh-CN" w:bidi="ar-SA"/>
        </w:rPr>
        <w:t>在2024年度预算编制阶段，组织对市实验幼儿园教学保障经费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E08580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组织对2024年度一般公共预算全面开展绩效自评，形成部门整体绩效自评报告、市实验幼儿园教师教育基地、实践基地跟岗经费</w:t>
      </w:r>
      <w:r>
        <w:rPr>
          <w:rFonts w:hint="eastAsia" w:eastAsia="仿宋_GB2312" w:cs="仿宋_GB2312"/>
          <w:color w:val="auto"/>
          <w:kern w:val="2"/>
          <w:sz w:val="32"/>
          <w:szCs w:val="32"/>
          <w:highlight w:val="none"/>
          <w:lang w:val="en-US" w:eastAsia="zh-CN" w:bidi="ar-SA"/>
        </w:rPr>
        <w:t>、支持学前教育发展资金</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等专项预算项目绩效自评报告，其中，部门整体绩效自评得分为</w:t>
      </w:r>
      <w:r>
        <w:rPr>
          <w:rFonts w:hint="eastAsia" w:eastAsia="仿宋_GB2312" w:cs="仿宋_GB2312"/>
          <w:color w:val="auto"/>
          <w:kern w:val="2"/>
          <w:sz w:val="32"/>
          <w:szCs w:val="32"/>
          <w:highlight w:val="none"/>
          <w:lang w:val="en-US" w:eastAsia="zh-CN" w:bidi="ar-SA"/>
        </w:rPr>
        <w:t>87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度我园积极履职，强化管理，目标完成情况较好，各项指标均能按时完成，各项指标值均能达到，各项质量控制较好，绩效效果明显；市实验幼儿园教师教育基地、实践基地跟岗经费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：该项目</w:t>
      </w:r>
      <w:r>
        <w:rPr>
          <w:rFonts w:hint="eastAsia" w:ascii="仿宋_GB2312" w:hAnsi="仿宋_GB2312" w:eastAsia="仿宋_GB2312" w:cs="仿宋_GB2312"/>
          <w:sz w:val="32"/>
          <w:szCs w:val="32"/>
          <w:lang w:val="en-US" w:eastAsia="zh-CN"/>
        </w:rPr>
        <w:t>跟岗</w:t>
      </w:r>
      <w:r>
        <w:rPr>
          <w:rFonts w:hint="eastAsia" w:ascii="仿宋_GB2312" w:hAnsi="仿宋_GB2312" w:eastAsia="仿宋_GB2312" w:cs="仿宋_GB2312"/>
          <w:sz w:val="32"/>
          <w:szCs w:val="32"/>
        </w:rPr>
        <w:t>培训为期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天，实际参训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准予</w:t>
      </w:r>
      <w:r>
        <w:rPr>
          <w:rFonts w:hint="eastAsia" w:ascii="仿宋_GB2312" w:hAnsi="仿宋_GB2312" w:eastAsia="仿宋_GB2312" w:cs="仿宋_GB2312"/>
          <w:sz w:val="32"/>
          <w:szCs w:val="32"/>
        </w:rPr>
        <w:t>结业4人。经过全体成员的一致努力，本次培训取得了非常好的成效，得到了</w:t>
      </w:r>
      <w:r>
        <w:rPr>
          <w:rFonts w:hint="eastAsia" w:ascii="仿宋_GB2312" w:hAnsi="仿宋_GB2312" w:eastAsia="仿宋_GB2312" w:cs="仿宋_GB2312"/>
          <w:sz w:val="32"/>
          <w:szCs w:val="32"/>
          <w:lang w:eastAsia="zh-CN"/>
        </w:rPr>
        <w:t>培</w:t>
      </w:r>
      <w:r>
        <w:rPr>
          <w:rFonts w:hint="eastAsia" w:ascii="仿宋_GB2312" w:hAnsi="仿宋_GB2312" w:eastAsia="仿宋_GB2312" w:cs="仿宋_GB2312"/>
          <w:sz w:val="32"/>
          <w:szCs w:val="32"/>
        </w:rPr>
        <w:t>训主管部门和全体学员的认可</w:t>
      </w:r>
      <w:r>
        <w:rPr>
          <w:rFonts w:hint="eastAsia" w:ascii="仿宋_GB2312" w:hAnsi="仿宋_GB2312" w:eastAsia="仿宋_GB2312" w:cs="仿宋_GB2312"/>
          <w:sz w:val="32"/>
          <w:szCs w:val="32"/>
          <w:lang w:eastAsia="zh-CN"/>
        </w:rPr>
        <w:t>，</w:t>
      </w:r>
      <w:r>
        <w:rPr>
          <w:rFonts w:hint="eastAsia" w:eastAsia="仿宋_GB2312" w:cs="仿宋_GB2312"/>
          <w:color w:val="auto"/>
          <w:kern w:val="2"/>
          <w:sz w:val="32"/>
          <w:szCs w:val="32"/>
          <w:highlight w:val="none"/>
          <w:lang w:val="en-US" w:eastAsia="zh-CN" w:bidi="ar-SA"/>
        </w:rPr>
        <w:t>支持学前教育发展资金</w:t>
      </w:r>
      <w:r>
        <w:rPr>
          <w:rFonts w:hint="eastAsia" w:ascii="Times New Roman" w:hAnsi="Times New Roman" w:eastAsia="仿宋_GB2312" w:cs="仿宋_GB2312"/>
          <w:color w:val="auto"/>
          <w:kern w:val="2"/>
          <w:sz w:val="32"/>
          <w:szCs w:val="32"/>
          <w:highlight w:val="none"/>
          <w:lang w:val="en-US" w:eastAsia="zh-CN" w:bidi="ar-SA"/>
        </w:rPr>
        <w:t>专项预算项目绩效自评得分为100分。</w:t>
      </w:r>
      <w:r>
        <w:rPr>
          <w:rFonts w:hint="eastAsia" w:ascii="仿宋_GB2312" w:hAnsi="仿宋_GB2312" w:eastAsia="仿宋_GB2312" w:cs="仿宋_GB2312"/>
          <w:sz w:val="32"/>
          <w:szCs w:val="32"/>
          <w:lang w:val="en-US" w:eastAsia="zh-CN"/>
        </w:rPr>
        <w:t>绩效自评综述：该项目完成了科幼多媒体报告厅建设、LED采购项目，建幼校园广播建设项目、三园区教玩具器械游戏材料采购项目、阅读室建设项目，完善了三个园区设施设备更新，为幼儿游戏场所提供了有力支撑，</w:t>
      </w:r>
      <w:r>
        <w:rPr>
          <w:rFonts w:hint="eastAsia" w:ascii="仿宋_GB2312" w:hAnsi="仿宋_GB2312" w:eastAsia="仿宋_GB2312" w:cs="仿宋_GB2312"/>
          <w:sz w:val="32"/>
          <w:szCs w:val="32"/>
          <w:lang w:val="zh-CN" w:eastAsia="zh-CN"/>
        </w:rPr>
        <w:t>改善了</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lang w:val="zh-CN" w:eastAsia="zh-CN"/>
        </w:rPr>
        <w:t>办学条件。</w:t>
      </w:r>
      <w:r>
        <w:rPr>
          <w:rFonts w:hint="eastAsia" w:ascii="仿宋_GB2312" w:hAnsi="仿宋_GB2312" w:eastAsia="仿宋_GB2312" w:cs="仿宋_GB2312"/>
          <w:sz w:val="32"/>
          <w:szCs w:val="32"/>
          <w:lang w:val="en-US" w:eastAsia="zh-CN"/>
        </w:rPr>
        <w:t>绩效自评报告详见附件</w:t>
      </w:r>
      <w:r>
        <w:rPr>
          <w:rFonts w:hint="eastAsia" w:ascii="Times New Roman" w:hAnsi="Times New Roman" w:eastAsia="仿宋_GB2312" w:cs="仿宋_GB2312"/>
          <w:color w:val="auto"/>
          <w:kern w:val="2"/>
          <w:sz w:val="32"/>
          <w:szCs w:val="32"/>
          <w:highlight w:val="none"/>
          <w:lang w:val="en-US" w:eastAsia="zh-CN" w:bidi="ar-SA"/>
        </w:rPr>
        <w:t>。</w:t>
      </w:r>
    </w:p>
    <w:p w14:paraId="0D2975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9B0ED3">
      <w:pPr>
        <w:pStyle w:val="13"/>
        <w:rPr>
          <w:rFonts w:hint="eastAsia" w:ascii="Times New Roman" w:hAnsi="Times New Roman" w:eastAsia="仿宋_GB2312" w:cs="仿宋_GB2312"/>
          <w:color w:val="auto"/>
          <w:kern w:val="2"/>
          <w:sz w:val="32"/>
          <w:szCs w:val="32"/>
          <w:highlight w:val="none"/>
          <w:lang w:val="en-US" w:eastAsia="zh-CN" w:bidi="ar-SA"/>
        </w:rPr>
      </w:pPr>
    </w:p>
    <w:p w14:paraId="3FE81EA4">
      <w:pPr>
        <w:pStyle w:val="7"/>
        <w:rPr>
          <w:rFonts w:hint="eastAsia"/>
          <w:lang w:val="en-US" w:eastAsia="zh-CN"/>
        </w:rPr>
      </w:pPr>
    </w:p>
    <w:p w14:paraId="16365C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F3580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320BC945">
      <w:pPr>
        <w:spacing w:line="600" w:lineRule="exact"/>
        <w:jc w:val="left"/>
        <w:rPr>
          <w:rFonts w:ascii="Times New Roman" w:hAnsi="Times New Roman"/>
          <w:b/>
          <w:color w:val="auto"/>
          <w:sz w:val="44"/>
          <w:szCs w:val="44"/>
          <w:highlight w:val="none"/>
        </w:rPr>
      </w:pPr>
    </w:p>
    <w:p w14:paraId="7BE3D9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0DD7F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2.其他收入：指单位取得的除上述收入以外的各项收入。主要是</w:t>
      </w:r>
      <w:r>
        <w:rPr>
          <w:rFonts w:hint="eastAsia" w:ascii="仿宋_GB2312" w:eastAsia="仿宋_GB2312"/>
          <w:color w:val="auto"/>
          <w:sz w:val="32"/>
          <w:szCs w:val="32"/>
        </w:rPr>
        <w:t>利息收入、除财政外其他相关单位拨款</w:t>
      </w:r>
      <w:r>
        <w:rPr>
          <w:rFonts w:hint="eastAsia" w:ascii="仿宋_GB2312" w:eastAsia="仿宋_GB2312"/>
          <w:color w:val="auto"/>
          <w:sz w:val="32"/>
          <w:szCs w:val="32"/>
          <w:lang w:val="en-US" w:eastAsia="zh-CN"/>
        </w:rPr>
        <w:t>等。</w:t>
      </w:r>
    </w:p>
    <w:p w14:paraId="517C92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3.使用非财政拨款结余（含专用结余）：指事业单位使用以前年度积累的非财政拨款结余弥补当年收支差额的金额。 </w:t>
      </w:r>
    </w:p>
    <w:p w14:paraId="4517CD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5370AD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595195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2988ED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lang w:val="en-US" w:eastAsia="zh-CN"/>
        </w:rPr>
        <w:t>教育（类）普通教育（款）学前教育支出(项）：反映各部门举办的学前教育支出。政府各部门对社会组织等举办的幼儿园资助，如捐赠、补贴等，也在本科目中反映</w:t>
      </w:r>
      <w:r>
        <w:rPr>
          <w:rFonts w:hint="eastAsia" w:ascii="Times New Roman" w:hAnsi="Times New Roman" w:eastAsia="仿宋_GB2312" w:cs="仿宋_GB2312"/>
          <w:color w:val="auto"/>
          <w:kern w:val="2"/>
          <w:sz w:val="32"/>
          <w:szCs w:val="32"/>
          <w:highlight w:val="none"/>
          <w:lang w:val="en-US" w:eastAsia="zh-CN" w:bidi="ar-SA"/>
        </w:rPr>
        <w:t>。</w:t>
      </w:r>
    </w:p>
    <w:p w14:paraId="08F056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w:t>
      </w:r>
      <w:r>
        <w:rPr>
          <w:rFonts w:hint="eastAsia" w:ascii="仿宋_GB2312" w:eastAsia="仿宋_GB2312" w:cs="仿宋_GB2312"/>
          <w:sz w:val="32"/>
          <w:szCs w:val="32"/>
        </w:rPr>
        <w:t>教育（类）进修及培训（款）培训支出（项）</w:t>
      </w:r>
      <w:r>
        <w:rPr>
          <w:rFonts w:ascii="仿宋_GB2312" w:eastAsia="仿宋_GB2312" w:cs="仿宋_GB2312"/>
          <w:sz w:val="32"/>
          <w:szCs w:val="32"/>
        </w:rPr>
        <w:t>:</w:t>
      </w:r>
      <w:r>
        <w:rPr>
          <w:rFonts w:hint="eastAsia" w:ascii="仿宋_GB2312" w:eastAsia="仿宋_GB2312" w:cs="仿宋_GB2312"/>
          <w:sz w:val="32"/>
          <w:szCs w:val="32"/>
        </w:rPr>
        <w:t>反映</w:t>
      </w:r>
      <w:r>
        <w:rPr>
          <w:rFonts w:hint="eastAsia" w:ascii="仿宋_GB2312" w:eastAsia="仿宋_GB2312" w:cs="仿宋_GB2312"/>
          <w:sz w:val="32"/>
          <w:szCs w:val="32"/>
          <w:lang w:val="en-US" w:eastAsia="zh-CN"/>
        </w:rPr>
        <w:t>各部门安排的用于培训的支出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教育部门的师资培训，党校、行政学院等专业干部教育机构的支出，以及退役士兵、转业士官的培训支出，不在本科目反映</w:t>
      </w:r>
      <w:r>
        <w:rPr>
          <w:rFonts w:hint="eastAsia" w:ascii="Times New Roman" w:hAnsi="Times New Roman" w:eastAsia="仿宋_GB2312" w:cs="仿宋_GB2312"/>
          <w:color w:val="auto"/>
          <w:kern w:val="2"/>
          <w:sz w:val="32"/>
          <w:szCs w:val="32"/>
          <w:highlight w:val="none"/>
          <w:lang w:val="en-US" w:eastAsia="zh-CN" w:bidi="ar-SA"/>
        </w:rPr>
        <w:t xml:space="preserve">。 </w:t>
      </w:r>
    </w:p>
    <w:p w14:paraId="52F8EC83">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s="仿宋_GB2312"/>
          <w:sz w:val="32"/>
          <w:szCs w:val="32"/>
        </w:rPr>
        <w:t>教育（类）教育附加安排的支出（款）其他教育附加安排的支出（项）</w:t>
      </w:r>
      <w:r>
        <w:rPr>
          <w:rFonts w:ascii="仿宋_GB2312" w:eastAsia="仿宋_GB2312" w:cs="仿宋_GB2312"/>
          <w:sz w:val="32"/>
          <w:szCs w:val="32"/>
        </w:rPr>
        <w:t>:</w:t>
      </w:r>
      <w:r>
        <w:rPr>
          <w:rFonts w:hint="eastAsia" w:ascii="仿宋_GB2312" w:eastAsia="仿宋_GB2312" w:cs="仿宋_GB2312"/>
          <w:sz w:val="32"/>
          <w:szCs w:val="32"/>
        </w:rPr>
        <w:t>反映除农村中小学校舍建设、农村中小学教学设施、城市中小学校舍建设、城市中小学教学设施、中等职业学校教学设施以外的教育费附加支出</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14:paraId="428F22D8">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社会保障和就业支出（类）行政事业单位养老支出（款）机关事业单位基本养老保险缴费支出（项）：反映事业单位</w:t>
      </w:r>
      <w:r>
        <w:rPr>
          <w:rFonts w:hint="eastAsia" w:ascii="仿宋_GB2312" w:eastAsia="仿宋_GB2312" w:cs="仿宋"/>
          <w:color w:val="auto"/>
          <w:kern w:val="0"/>
          <w:sz w:val="32"/>
          <w:szCs w:val="32"/>
          <w:highlight w:val="none"/>
          <w:lang w:val="en-US" w:eastAsia="zh-CN" w:bidi="ar-SA"/>
        </w:rPr>
        <w:t>实施</w:t>
      </w:r>
      <w:r>
        <w:rPr>
          <w:rFonts w:hint="eastAsia" w:ascii="仿宋_GB2312" w:hAnsi="Calibri" w:eastAsia="仿宋_GB2312" w:cs="仿宋"/>
          <w:color w:val="auto"/>
          <w:kern w:val="0"/>
          <w:sz w:val="32"/>
          <w:szCs w:val="32"/>
          <w:highlight w:val="none"/>
          <w:lang w:val="en-US" w:eastAsia="zh-CN" w:bidi="ar-SA"/>
        </w:rPr>
        <w:t>养老保险制度由单位实际缴纳的基本养老保险费支出</w:t>
      </w:r>
      <w:r>
        <w:rPr>
          <w:rFonts w:hint="eastAsia" w:ascii="仿宋_GB2312" w:eastAsia="仿宋_GB2312"/>
          <w:color w:val="auto"/>
          <w:sz w:val="32"/>
          <w:szCs w:val="32"/>
          <w:highlight w:val="none"/>
        </w:rPr>
        <w:t>。</w:t>
      </w:r>
    </w:p>
    <w:p w14:paraId="1A1BDFE4">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社会保障和就业支出（类）行政事业单位养老支出（款）机关事业单位职业年金缴费支出（项）：反映事业单位</w:t>
      </w:r>
      <w:r>
        <w:rPr>
          <w:rFonts w:hint="eastAsia" w:ascii="仿宋_GB2312" w:eastAsia="仿宋_GB2312" w:cs="仿宋"/>
          <w:color w:val="auto"/>
          <w:kern w:val="0"/>
          <w:sz w:val="32"/>
          <w:szCs w:val="32"/>
          <w:highlight w:val="none"/>
          <w:lang w:val="en-US" w:eastAsia="zh-CN" w:bidi="ar-SA"/>
        </w:rPr>
        <w:t>实施</w:t>
      </w:r>
      <w:r>
        <w:rPr>
          <w:rFonts w:hint="eastAsia" w:ascii="仿宋_GB2312" w:hAnsi="Calibri" w:eastAsia="仿宋_GB2312" w:cs="仿宋"/>
          <w:color w:val="auto"/>
          <w:kern w:val="0"/>
          <w:sz w:val="32"/>
          <w:szCs w:val="32"/>
          <w:highlight w:val="none"/>
          <w:lang w:val="en-US" w:eastAsia="zh-CN" w:bidi="ar-SA"/>
        </w:rPr>
        <w:t>养老保险制度由单位实际缴纳的</w:t>
      </w:r>
      <w:r>
        <w:rPr>
          <w:rFonts w:hint="eastAsia" w:ascii="仿宋_GB2312" w:eastAsia="仿宋_GB2312" w:cs="仿宋"/>
          <w:color w:val="auto"/>
          <w:kern w:val="0"/>
          <w:sz w:val="32"/>
          <w:szCs w:val="32"/>
          <w:highlight w:val="none"/>
          <w:lang w:val="en-US" w:eastAsia="zh-CN" w:bidi="ar-SA"/>
        </w:rPr>
        <w:t>职业年金</w:t>
      </w:r>
      <w:r>
        <w:rPr>
          <w:rFonts w:hint="eastAsia" w:ascii="仿宋_GB2312" w:hAnsi="Calibri"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rPr>
        <w:t>。</w:t>
      </w:r>
    </w:p>
    <w:p w14:paraId="57327BEA">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卫生健康支出（类）行政事业单位医疗（款）事业单位医疗（项）：反映财政部门安排的事业单位基本医疗保险缴费经费，未参加医疗保险的事业单位的公费医疗经费，按国家规定享受离休人员待遇的医疗经费。</w:t>
      </w:r>
    </w:p>
    <w:p w14:paraId="6D3AE152">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13.卫生健康支出（类）行政事业单位医疗（款）公务员医疗补助（项）：反映财政部门安排的公务员医疗补助经费。</w:t>
      </w:r>
    </w:p>
    <w:p w14:paraId="22A69C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住房保障支出（类）住房改革支出（款）住房公积金（项）：反映行政事业单位按人力资源和社会保障部、财政部规定的基本工资和津贴补贴以及规定比例为职工缴纳的住房公积金。</w:t>
      </w:r>
    </w:p>
    <w:p w14:paraId="69FCA4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D9F1D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C6BA47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BC8328">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766D8EA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p>
    <w:p w14:paraId="4E88549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部门预算项目支出绩效自评表（2024年度）见附件3。</w:t>
      </w:r>
      <w:bookmarkStart w:id="67" w:name="_GoBack"/>
      <w:bookmarkEnd w:id="67"/>
    </w:p>
    <w:p w14:paraId="1CDA8A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38542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53BE3A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27FAFCD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14:paraId="0333017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FAE59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715AA7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38629A5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552277F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57BCF0E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380642A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3ABDCC5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1D2A23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177C673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244D9DB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7DA2F59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02D8F8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396D4D7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42288C75">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A05E">
    <w:pPr>
      <w:pStyle w:val="10"/>
      <w:jc w:val="center"/>
    </w:pPr>
  </w:p>
  <w:p w14:paraId="70805C0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49D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804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ED5AB"/>
    <w:multiLevelType w:val="singleLevel"/>
    <w:tmpl w:val="077ED5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7E207C4"/>
    <w:rsid w:val="08DB1887"/>
    <w:rsid w:val="09867E8F"/>
    <w:rsid w:val="0A2032A3"/>
    <w:rsid w:val="0CA8290A"/>
    <w:rsid w:val="0D35B1ED"/>
    <w:rsid w:val="0E254B6B"/>
    <w:rsid w:val="0E8F55E8"/>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1A2410"/>
    <w:rsid w:val="23860B96"/>
    <w:rsid w:val="240371BF"/>
    <w:rsid w:val="244F3473"/>
    <w:rsid w:val="24C97D99"/>
    <w:rsid w:val="25416003"/>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312B50"/>
    <w:rsid w:val="349D6851"/>
    <w:rsid w:val="36AA5135"/>
    <w:rsid w:val="36BE0DA7"/>
    <w:rsid w:val="376B6AA6"/>
    <w:rsid w:val="376D39B2"/>
    <w:rsid w:val="37E16F03"/>
    <w:rsid w:val="37F53A3B"/>
    <w:rsid w:val="381F0013"/>
    <w:rsid w:val="389B6C89"/>
    <w:rsid w:val="38D469F0"/>
    <w:rsid w:val="39627CCD"/>
    <w:rsid w:val="397BAF1F"/>
    <w:rsid w:val="3AB79AF3"/>
    <w:rsid w:val="3AE834C0"/>
    <w:rsid w:val="3B7EF35A"/>
    <w:rsid w:val="3B9FDB6C"/>
    <w:rsid w:val="3BF5BC2F"/>
    <w:rsid w:val="3CEBA265"/>
    <w:rsid w:val="3D3B2C57"/>
    <w:rsid w:val="3D98207C"/>
    <w:rsid w:val="3DEE7CF3"/>
    <w:rsid w:val="3E740A63"/>
    <w:rsid w:val="3E78745D"/>
    <w:rsid w:val="3EE17838"/>
    <w:rsid w:val="3F3D74FE"/>
    <w:rsid w:val="3F55381A"/>
    <w:rsid w:val="3F7F7599"/>
    <w:rsid w:val="3FF4CAE0"/>
    <w:rsid w:val="3FF7B227"/>
    <w:rsid w:val="4377510C"/>
    <w:rsid w:val="44E268DA"/>
    <w:rsid w:val="450D13D7"/>
    <w:rsid w:val="45506656"/>
    <w:rsid w:val="486A6C7A"/>
    <w:rsid w:val="4A627F82"/>
    <w:rsid w:val="4AC4384C"/>
    <w:rsid w:val="4B0E749A"/>
    <w:rsid w:val="4B2477C4"/>
    <w:rsid w:val="4B3E2640"/>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BF308C"/>
    <w:rsid w:val="56E47B74"/>
    <w:rsid w:val="57175D52"/>
    <w:rsid w:val="57BD3DD4"/>
    <w:rsid w:val="58EC4E27"/>
    <w:rsid w:val="5AF92295"/>
    <w:rsid w:val="5B250254"/>
    <w:rsid w:val="5BDD79E6"/>
    <w:rsid w:val="5BF561CA"/>
    <w:rsid w:val="5BFF5DFC"/>
    <w:rsid w:val="5CD71FC4"/>
    <w:rsid w:val="5D1F11B5"/>
    <w:rsid w:val="5D235B2D"/>
    <w:rsid w:val="5D695134"/>
    <w:rsid w:val="5DAE1B18"/>
    <w:rsid w:val="5DE7D9E5"/>
    <w:rsid w:val="5ECEC941"/>
    <w:rsid w:val="5F7A57AC"/>
    <w:rsid w:val="5FBF9FF3"/>
    <w:rsid w:val="5FCD4E2C"/>
    <w:rsid w:val="5FEF394A"/>
    <w:rsid w:val="5FF67715"/>
    <w:rsid w:val="61972646"/>
    <w:rsid w:val="62BF3928"/>
    <w:rsid w:val="63B3701E"/>
    <w:rsid w:val="647F5392"/>
    <w:rsid w:val="65E66580"/>
    <w:rsid w:val="664B1D71"/>
    <w:rsid w:val="664B4E8E"/>
    <w:rsid w:val="67277B67"/>
    <w:rsid w:val="67AA3209"/>
    <w:rsid w:val="67B6380F"/>
    <w:rsid w:val="698D0931"/>
    <w:rsid w:val="6A7FE5F3"/>
    <w:rsid w:val="6ABA214A"/>
    <w:rsid w:val="6B053271"/>
    <w:rsid w:val="6BDD78B3"/>
    <w:rsid w:val="6C4A05C8"/>
    <w:rsid w:val="6C8742B8"/>
    <w:rsid w:val="6D73217F"/>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1E6286"/>
    <w:rsid w:val="70484440"/>
    <w:rsid w:val="712A28F1"/>
    <w:rsid w:val="715C0E4B"/>
    <w:rsid w:val="71992E7C"/>
    <w:rsid w:val="72233669"/>
    <w:rsid w:val="72734D90"/>
    <w:rsid w:val="730E0D0F"/>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B64FEF"/>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收入、支出决算总计变动情况图（单位：万元）</a:t>
            </a:r>
          </a:p>
        </c:rich>
      </c:tx>
      <c:layout>
        <c:manualLayout>
          <c:xMode val="edge"/>
          <c:yMode val="edge"/>
          <c:x val="0.143425609685899"/>
          <c:y val="0.0175038051750381"/>
        </c:manualLayout>
      </c:layout>
      <c:overlay val="0"/>
      <c:spPr>
        <a:noFill/>
        <a:ln>
          <a:noFill/>
        </a:ln>
        <a:effectLst/>
      </c:spPr>
    </c:title>
    <c:autoTitleDeleted val="0"/>
    <c:plotArea>
      <c:layout/>
      <c:barChart>
        <c:barDir val="col"/>
        <c:grouping val="clustered"/>
        <c:varyColors val="0"/>
        <c:ser>
          <c:idx val="0"/>
          <c:order val="0"/>
          <c:tx>
            <c:strRef>
              <c:f>[工作簿1]Sheet1!$A$13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[工作簿1]Sheet1!$B$12:$C$12</c:f>
              <c:strCache>
                <c:ptCount val="2"/>
                <c:pt idx="0">
                  <c:v>收入</c:v>
                </c:pt>
                <c:pt idx="1">
                  <c:v>支出</c:v>
                </c:pt>
              </c:strCache>
            </c:strRef>
          </c:cat>
          <c:val>
            <c:numRef>
              <c:f>[工作簿1]Sheet1!$B$13:$C$13</c:f>
              <c:numCache>
                <c:formatCode>General</c:formatCode>
                <c:ptCount val="2"/>
                <c:pt idx="0">
                  <c:v>3241.81</c:v>
                </c:pt>
                <c:pt idx="1">
                  <c:v>3241.81</c:v>
                </c:pt>
              </c:numCache>
            </c:numRef>
          </c:val>
        </c:ser>
        <c:ser>
          <c:idx val="1"/>
          <c:order val="1"/>
          <c:tx>
            <c:strRef>
              <c:f>[工作簿1]Sheet1!$A$14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[工作簿1]Sheet1!$B$12:$C$12</c:f>
              <c:strCache>
                <c:ptCount val="2"/>
                <c:pt idx="0">
                  <c:v>收入</c:v>
                </c:pt>
                <c:pt idx="1">
                  <c:v>支出</c:v>
                </c:pt>
              </c:strCache>
            </c:strRef>
          </c:cat>
          <c:val>
            <c:numRef>
              <c:f>[工作簿1]Sheet1!$B$14:$C$14</c:f>
              <c:numCache>
                <c:formatCode>General</c:formatCode>
                <c:ptCount val="2"/>
                <c:pt idx="0">
                  <c:v>3084.61</c:v>
                </c:pt>
                <c:pt idx="1">
                  <c:v>3084.61</c:v>
                </c:pt>
              </c:numCache>
            </c:numRef>
          </c:val>
        </c:ser>
        <c:dLbls>
          <c:showLegendKey val="0"/>
          <c:showVal val="1"/>
          <c:showCatName val="0"/>
          <c:showSerName val="0"/>
          <c:showPercent val="0"/>
          <c:showBubbleSize val="0"/>
        </c:dLbls>
        <c:gapWidth val="246"/>
        <c:overlap val="-28"/>
        <c:axId val="590671047"/>
        <c:axId val="271978547"/>
      </c:barChart>
      <c:catAx>
        <c:axId val="590671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978547"/>
        <c:crosses val="autoZero"/>
        <c:auto val="1"/>
        <c:lblAlgn val="ctr"/>
        <c:lblOffset val="100"/>
        <c:noMultiLvlLbl val="0"/>
      </c:catAx>
      <c:valAx>
        <c:axId val="271978547"/>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671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0b25e1-8b3b-4cc3-b9f0-2c5a2e64c3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收入决算结构图</a:t>
            </a:r>
          </a:p>
        </c:rich>
      </c:tx>
      <c:layout>
        <c:manualLayout>
          <c:xMode val="edge"/>
          <c:yMode val="edge"/>
          <c:x val="0.274013157894737"/>
          <c:y val="0.121527777777778"/>
        </c:manualLayout>
      </c:layout>
      <c:overlay val="0"/>
      <c:spPr>
        <a:noFill/>
        <a:ln>
          <a:noFill/>
        </a:ln>
        <a:effectLst/>
      </c:spPr>
    </c:title>
    <c:autoTitleDeleted val="0"/>
    <c:plotArea>
      <c:layout/>
      <c:pieChart>
        <c:varyColors val="1"/>
        <c:ser>
          <c:idx val="0"/>
          <c:order val="0"/>
          <c:tx>
            <c:strRef>
              <c:f>[工作簿1]Sheet1!$A$37</c:f>
              <c:strCache>
                <c:ptCount val="1"/>
                <c:pt idx="0">
                  <c:v>收入决算结构图（单位:%）</c:v>
                </c:pt>
              </c:strCache>
            </c:strRef>
          </c:tx>
          <c:spPr/>
          <c:explosion val="0"/>
          <c:dPt>
            <c:idx val="0"/>
            <c:bubble3D val="0"/>
            <c:explosion val="10"/>
            <c:spPr>
              <a:solidFill>
                <a:schemeClr val="accent1"/>
              </a:solidFill>
              <a:ln>
                <a:solidFill>
                  <a:schemeClr val="bg1"/>
                </a:solidFill>
              </a:ln>
              <a:effectLst/>
            </c:spPr>
          </c:dPt>
          <c:dLbls>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[工作簿1]Sheet1!$B$36</c:f>
              <c:strCache>
                <c:ptCount val="1"/>
                <c:pt idx="0">
                  <c:v>一般公共预算财政拨款收入</c:v>
                </c:pt>
              </c:strCache>
            </c:strRef>
          </c:cat>
          <c:val>
            <c:numRef>
              <c:f>[工作簿1]Sheet1!$B$37</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73157894736842"/>
          <c:y val="0.61504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0c7c08-1d40-4f14-a1b3-11977c673e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6710526315789"/>
          <c:y val="0.079861111111111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[工作簿1]Sheet1!$A$68</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[工作簿1]Sheet1!$B$67:$C$67</c:f>
              <c:strCache>
                <c:ptCount val="2"/>
                <c:pt idx="0">
                  <c:v>基本支出</c:v>
                </c:pt>
                <c:pt idx="1">
                  <c:v>项目支出</c:v>
                </c:pt>
              </c:strCache>
            </c:strRef>
          </c:cat>
          <c:val>
            <c:numRef>
              <c:f>[工作簿1]Sheet1!$B$68:$C$68</c:f>
              <c:numCache>
                <c:formatCode>0.00%</c:formatCode>
                <c:ptCount val="2"/>
                <c:pt idx="0">
                  <c:v>0.8208</c:v>
                </c:pt>
                <c:pt idx="1">
                  <c:v>0.1791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735657894736842"/>
          <c:y val="0.44837962962963"/>
          <c:w val="0.132236842105263"/>
          <c:h val="0.2622685185185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01e99b-a0f6-4cb8-9667-9d62a37113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财政拨款收、支决算总计变动情况（单位：万元）</a:t>
            </a:r>
          </a:p>
        </c:rich>
      </c:tx>
      <c:layout>
        <c:manualLayout>
          <c:xMode val="edge"/>
          <c:yMode val="edge"/>
          <c:x val="0.230921052631579"/>
          <c:y val="0.0277777777777778"/>
        </c:manualLayout>
      </c:layout>
      <c:overlay val="0"/>
      <c:spPr>
        <a:noFill/>
        <a:ln>
          <a:noFill/>
        </a:ln>
        <a:effectLst/>
      </c:spPr>
    </c:title>
    <c:autoTitleDeleted val="0"/>
    <c:plotArea>
      <c:layout/>
      <c:barChart>
        <c:barDir val="col"/>
        <c:grouping val="clustered"/>
        <c:varyColors val="0"/>
        <c:ser>
          <c:idx val="0"/>
          <c:order val="0"/>
          <c:tx>
            <c:strRef>
              <c:f>[工作簿1]Sheet1!$A$95</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[工作簿1]Sheet1!$B$94:$C$94</c:f>
              <c:strCache>
                <c:ptCount val="2"/>
                <c:pt idx="0">
                  <c:v>收入</c:v>
                </c:pt>
                <c:pt idx="1">
                  <c:v>支出</c:v>
                </c:pt>
              </c:strCache>
            </c:strRef>
          </c:cat>
          <c:val>
            <c:numRef>
              <c:f>[工作簿1]Sheet1!$B$95:$C$95</c:f>
              <c:numCache>
                <c:formatCode>General</c:formatCode>
                <c:ptCount val="2"/>
                <c:pt idx="0">
                  <c:v>3241.81</c:v>
                </c:pt>
                <c:pt idx="1">
                  <c:v>3241.81</c:v>
                </c:pt>
              </c:numCache>
            </c:numRef>
          </c:val>
        </c:ser>
        <c:ser>
          <c:idx val="1"/>
          <c:order val="1"/>
          <c:tx>
            <c:strRef>
              <c:f>[工作簿1]Sheet1!$A$96</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[工作簿1]Sheet1!$B$94:$C$94</c:f>
              <c:strCache>
                <c:ptCount val="2"/>
                <c:pt idx="0">
                  <c:v>收入</c:v>
                </c:pt>
                <c:pt idx="1">
                  <c:v>支出</c:v>
                </c:pt>
              </c:strCache>
            </c:strRef>
          </c:cat>
          <c:val>
            <c:numRef>
              <c:f>[工作簿1]Sheet1!$B$96:$C$96</c:f>
              <c:numCache>
                <c:formatCode>General</c:formatCode>
                <c:ptCount val="2"/>
                <c:pt idx="0">
                  <c:v>3084.61</c:v>
                </c:pt>
                <c:pt idx="1">
                  <c:v>3084.61</c:v>
                </c:pt>
              </c:numCache>
            </c:numRef>
          </c:val>
        </c:ser>
        <c:dLbls>
          <c:showLegendKey val="0"/>
          <c:showVal val="1"/>
          <c:showCatName val="0"/>
          <c:showSerName val="0"/>
          <c:showPercent val="0"/>
          <c:showBubbleSize val="0"/>
        </c:dLbls>
        <c:gapWidth val="246"/>
        <c:overlap val="-28"/>
        <c:axId val="590671047"/>
        <c:axId val="271978547"/>
      </c:barChart>
      <c:catAx>
        <c:axId val="590671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978547"/>
        <c:crosses val="autoZero"/>
        <c:auto val="1"/>
        <c:lblAlgn val="ctr"/>
        <c:lblOffset val="100"/>
        <c:noMultiLvlLbl val="0"/>
      </c:catAx>
      <c:valAx>
        <c:axId val="271978547"/>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671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42b168-85be-426d-84a2-d4581a4c8c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81704865974634"/>
          <c:y val="0.0380517503805175"/>
        </c:manualLayout>
      </c:layout>
      <c:overlay val="0"/>
      <c:spPr>
        <a:noFill/>
        <a:ln>
          <a:noFill/>
        </a:ln>
        <a:effectLst/>
      </c:spPr>
    </c:title>
    <c:autoTitleDeleted val="0"/>
    <c:plotArea>
      <c:layout/>
      <c:barChart>
        <c:barDir val="col"/>
        <c:grouping val="clustered"/>
        <c:varyColors val="0"/>
        <c:ser>
          <c:idx val="0"/>
          <c:order val="0"/>
          <c:tx>
            <c:strRef>
              <c:f>[工作簿1]Sheet1!$A$122</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[工作簿1]Sheet1!$B$121:$C$121</c:f>
              <c:strCache>
                <c:ptCount val="2"/>
                <c:pt idx="0">
                  <c:v>2023年</c:v>
                </c:pt>
                <c:pt idx="1">
                  <c:v>2024年</c:v>
                </c:pt>
              </c:strCache>
            </c:strRef>
          </c:cat>
          <c:val>
            <c:numRef>
              <c:f>[工作簿1]Sheet1!$B$122:$C$122</c:f>
              <c:numCache>
                <c:formatCode>General</c:formatCode>
                <c:ptCount val="2"/>
                <c:pt idx="0">
                  <c:v>3241.81</c:v>
                </c:pt>
                <c:pt idx="1">
                  <c:v>3084.61</c:v>
                </c:pt>
              </c:numCache>
            </c:numRef>
          </c:val>
        </c:ser>
        <c:dLbls>
          <c:showLegendKey val="0"/>
          <c:showVal val="1"/>
          <c:showCatName val="0"/>
          <c:showSerName val="0"/>
          <c:showPercent val="0"/>
          <c:showBubbleSize val="0"/>
        </c:dLbls>
        <c:gapWidth val="246"/>
        <c:overlap val="-28"/>
        <c:axId val="590671047"/>
        <c:axId val="271978547"/>
      </c:barChart>
      <c:catAx>
        <c:axId val="590671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978547"/>
        <c:crosses val="autoZero"/>
        <c:auto val="1"/>
        <c:lblAlgn val="ctr"/>
        <c:lblOffset val="100"/>
        <c:noMultiLvlLbl val="0"/>
      </c:catAx>
      <c:valAx>
        <c:axId val="271978547"/>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671047"/>
        <c:crosses val="autoZero"/>
        <c:crossBetween val="between"/>
      </c:valAx>
      <c:spPr>
        <a:noFill/>
        <a:ln>
          <a:noFill/>
        </a:ln>
        <a:effectLst/>
      </c:spPr>
    </c:plotArea>
    <c:plotVisOnly val="1"/>
    <c:dispBlanksAs val="gap"/>
    <c:showDLblsOverMax val="0"/>
    <c:extLst>
      <c:ext uri="{0b15fc19-7d7d-44ad-8c2d-2c3a37ce22c3}">
        <chartProps xmlns="https://web.wps.cn/et/2018/main" chartId="{6d42b168-85be-426d-84a2-d4581a4c8c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[工作簿1]Sheet1!$B$147</c:f>
              <c:strCache>
                <c:ptCount val="1"/>
                <c:pt idx="0">
                  <c:v>占比</c:v>
                </c:pt>
              </c:strCache>
            </c:strRef>
          </c:tx>
          <c:spPr/>
          <c:explosion val="0"/>
          <c:dPt>
            <c:idx val="0"/>
            <c:bubble3D val="0"/>
            <c:explosion val="1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1"/>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[工作簿1]Sheet1!$A$148:$A$151</c:f>
              <c:strCache>
                <c:ptCount val="4"/>
                <c:pt idx="0">
                  <c:v>教育支出</c:v>
                </c:pt>
                <c:pt idx="1">
                  <c:v>社会保障和就业支出</c:v>
                </c:pt>
                <c:pt idx="2">
                  <c:v>卫生健康支出</c:v>
                </c:pt>
                <c:pt idx="3">
                  <c:v>住房保障支出</c:v>
                </c:pt>
              </c:strCache>
            </c:strRef>
          </c:cat>
          <c:val>
            <c:numRef>
              <c:f>[工作簿1]Sheet1!$B$148:$B$151</c:f>
              <c:numCache>
                <c:formatCode>0.00%</c:formatCode>
                <c:ptCount val="4"/>
                <c:pt idx="0">
                  <c:v>0.809324355429049</c:v>
                </c:pt>
                <c:pt idx="1">
                  <c:v>0.0890388087959256</c:v>
                </c:pt>
                <c:pt idx="2">
                  <c:v>0.0433247639085654</c:v>
                </c:pt>
                <c:pt idx="3">
                  <c:v>0.0583120718664596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73797437756829"/>
          <c:y val="0.425289919714541"/>
          <c:w val="0.320884699057288"/>
          <c:h val="0.3608385370205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c80693-1995-45f1-be28-d2b99a841e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[工作簿1]Sheet1!$B$178</c:f>
              <c:strCache>
                <c:ptCount val="1"/>
                <c:pt idx="0">
                  <c:v>占比</c:v>
                </c:pt>
              </c:strCache>
            </c:strRef>
          </c:tx>
          <c:spPr/>
          <c:explosion val="0"/>
          <c:dPt>
            <c:idx val="0"/>
            <c:bubble3D val="0"/>
            <c:explosion val="1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453226976069616"/>
                  <c:y val="-0.00669045495093666"/>
                </c:manualLayout>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[工作簿1]Sheet1!$A$179:$A$181</c:f>
              <c:strCache>
                <c:ptCount val="3"/>
                <c:pt idx="0">
                  <c:v>因公出国（境）费</c:v>
                </c:pt>
                <c:pt idx="1">
                  <c:v>公务用车购置及运行维护费</c:v>
                </c:pt>
                <c:pt idx="2">
                  <c:v>公务接待费</c:v>
                </c:pt>
              </c:strCache>
            </c:strRef>
          </c:cat>
          <c:val>
            <c:numRef>
              <c:f>[工作簿1]Sheet1!$B$179:$B$181</c:f>
              <c:numCache>
                <c:formatCode>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73797437756829"/>
          <c:y val="0.425289919714541"/>
          <c:w val="0.320884699057288"/>
          <c:h val="0.3608385370205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c29435-6da5-4065-ae23-28ecf8b1b0d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5704</Words>
  <Characters>6190</Characters>
  <Lines>61</Lines>
  <Paragraphs>17</Paragraphs>
  <TotalTime>17</TotalTime>
  <ScaleCrop>false</ScaleCrop>
  <LinksUpToDate>false</LinksUpToDate>
  <CharactersWithSpaces>6244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小火柴</cp:lastModifiedBy>
  <cp:lastPrinted>2025-08-06T17:34:00Z</cp:lastPrinted>
  <dcterms:modified xsi:type="dcterms:W3CDTF">2025-09-08T09:05:46Z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eyJoZGlkIjoiY2I3NjE3OTZhNjZlN2I1NDgzZGU4MGI0NTUwMTQ2ZmEiLCJ1c2VySWQiOiI0MjI4MDQ1NDkifQ==</vt:lpwstr>
  </property>
</Properties>
</file>