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B4E35">
      <w:pPr>
        <w:spacing w:line="600" w:lineRule="exact"/>
        <w:jc w:val="left"/>
        <w:outlineLvl w:val="0"/>
        <w:rPr>
          <w:rFonts w:ascii="方正小标宋简体" w:eastAsia="方正小标宋简体"/>
          <w:szCs w:val="21"/>
        </w:rPr>
      </w:pPr>
      <w:bookmarkStart w:id="0" w:name="_Toc15306267"/>
    </w:p>
    <w:p w14:paraId="69026B38">
      <w:pPr>
        <w:spacing w:line="600" w:lineRule="exact"/>
        <w:jc w:val="center"/>
        <w:outlineLvl w:val="0"/>
        <w:rPr>
          <w:rFonts w:ascii="方正小标宋简体" w:eastAsia="方正小标宋简体"/>
          <w:sz w:val="72"/>
          <w:szCs w:val="72"/>
        </w:rPr>
      </w:pPr>
    </w:p>
    <w:p w14:paraId="219A4FAE">
      <w:pPr>
        <w:spacing w:line="600" w:lineRule="exact"/>
        <w:jc w:val="center"/>
        <w:outlineLvl w:val="0"/>
        <w:rPr>
          <w:rFonts w:ascii="方正小标宋简体" w:eastAsia="方正小标宋简体"/>
          <w:sz w:val="72"/>
          <w:szCs w:val="72"/>
        </w:rPr>
      </w:pPr>
    </w:p>
    <w:p w14:paraId="5226E336">
      <w:pPr>
        <w:adjustRightInd w:val="0"/>
        <w:snapToGrid w:val="0"/>
        <w:spacing w:line="360" w:lineRule="auto"/>
        <w:jc w:val="center"/>
        <w:outlineLvl w:val="0"/>
        <w:rPr>
          <w:rFonts w:hint="eastAsia" w:ascii="方正小标宋简体" w:eastAsia="方正小标宋简体" w:cs="方正小标宋简体"/>
          <w:sz w:val="72"/>
          <w:szCs w:val="72"/>
          <w:lang w:val="en-US" w:eastAsia="zh-CN"/>
        </w:rPr>
      </w:pPr>
      <w:bookmarkStart w:id="1" w:name="_Toc15396475"/>
      <w:bookmarkStart w:id="2" w:name="_Toc15396597"/>
      <w:bookmarkStart w:id="3" w:name="_Toc15378441"/>
      <w:bookmarkStart w:id="4" w:name="_Toc15377425"/>
      <w:bookmarkStart w:id="5" w:name="_Toc15377193"/>
      <w:r>
        <w:rPr>
          <w:rFonts w:hint="eastAsia" w:ascii="方正小标宋简体" w:eastAsia="方正小标宋简体" w:cs="方正小标宋简体"/>
          <w:sz w:val="72"/>
          <w:szCs w:val="72"/>
        </w:rPr>
        <w:t>202</w:t>
      </w:r>
      <w:r>
        <w:rPr>
          <w:rFonts w:hint="eastAsia" w:ascii="方正小标宋简体" w:eastAsia="方正小标宋简体" w:cs="方正小标宋简体"/>
          <w:sz w:val="72"/>
          <w:szCs w:val="72"/>
          <w:lang w:val="en-US" w:eastAsia="zh-CN"/>
        </w:rPr>
        <w:t>4</w:t>
      </w:r>
      <w:r>
        <w:rPr>
          <w:rFonts w:hint="eastAsia" w:ascii="方正小标宋简体" w:eastAsia="方正小标宋简体" w:cs="方正小标宋简体"/>
          <w:sz w:val="72"/>
          <w:szCs w:val="72"/>
        </w:rPr>
        <w:t>年度</w:t>
      </w:r>
      <w:bookmarkEnd w:id="1"/>
      <w:bookmarkEnd w:id="2"/>
      <w:bookmarkEnd w:id="3"/>
      <w:bookmarkEnd w:id="4"/>
      <w:bookmarkEnd w:id="5"/>
      <w:r>
        <w:rPr>
          <w:rFonts w:hint="eastAsia" w:ascii="方正小标宋简体" w:eastAsia="方正小标宋简体" w:cs="方正小标宋简体"/>
          <w:sz w:val="72"/>
          <w:szCs w:val="72"/>
          <w:lang w:val="en-US" w:eastAsia="zh-CN"/>
        </w:rPr>
        <w:t>四川省</w:t>
      </w:r>
    </w:p>
    <w:p w14:paraId="5E83A6AE">
      <w:pPr>
        <w:adjustRightInd w:val="0"/>
        <w:snapToGrid w:val="0"/>
        <w:spacing w:line="360" w:lineRule="auto"/>
        <w:jc w:val="center"/>
        <w:outlineLvl w:val="0"/>
        <w:rPr>
          <w:rFonts w:hint="eastAsia" w:ascii="方正小标宋简体" w:eastAsia="方正小标宋简体" w:cs="方正小标宋简体"/>
          <w:sz w:val="72"/>
          <w:szCs w:val="72"/>
        </w:rPr>
      </w:pPr>
      <w:bookmarkStart w:id="6" w:name="_Toc15396476"/>
      <w:bookmarkStart w:id="7" w:name="_Toc15396598"/>
      <w:bookmarkStart w:id="8" w:name="_Toc15378442"/>
      <w:bookmarkStart w:id="9" w:name="_Toc15377194"/>
      <w:bookmarkStart w:id="10" w:name="_Toc15377426"/>
      <w:r>
        <w:rPr>
          <w:rFonts w:hint="eastAsia" w:ascii="方正小标宋简体" w:eastAsia="方正小标宋简体" w:cs="方正小标宋简体"/>
          <w:sz w:val="72"/>
          <w:szCs w:val="72"/>
        </w:rPr>
        <w:t>攀枝花市</w:t>
      </w:r>
      <w:bookmarkEnd w:id="0"/>
      <w:bookmarkStart w:id="11" w:name="_Toc15306268"/>
      <w:r>
        <w:rPr>
          <w:rFonts w:hint="eastAsia" w:ascii="方正小标宋简体" w:eastAsia="方正小标宋简体" w:cs="方正小标宋简体"/>
          <w:sz w:val="72"/>
          <w:szCs w:val="72"/>
        </w:rPr>
        <w:t>体育中学</w:t>
      </w:r>
    </w:p>
    <w:p w14:paraId="0598310C">
      <w:pPr>
        <w:adjustRightInd w:val="0"/>
        <w:snapToGrid w:val="0"/>
        <w:spacing w:line="360" w:lineRule="auto"/>
        <w:jc w:val="center"/>
        <w:outlineLvl w:val="0"/>
        <w:rPr>
          <w:rFonts w:hint="default" w:ascii="方正小标宋简体" w:eastAsia="方正小标宋简体" w:cs="方正小标宋简体"/>
          <w:sz w:val="72"/>
          <w:szCs w:val="72"/>
          <w:lang w:val="en-US" w:eastAsia="zh-CN"/>
        </w:rPr>
      </w:pPr>
      <w:r>
        <w:rPr>
          <w:rFonts w:hint="eastAsia" w:ascii="方正小标宋简体" w:eastAsia="方正小标宋简体" w:cs="方正小标宋简体"/>
          <w:sz w:val="72"/>
          <w:szCs w:val="72"/>
          <w:lang w:eastAsia="zh-CN"/>
        </w:rPr>
        <w:t>单位</w:t>
      </w:r>
      <w:r>
        <w:rPr>
          <w:rFonts w:hint="eastAsia" w:ascii="方正小标宋简体" w:eastAsia="方正小标宋简体" w:cs="方正小标宋简体"/>
          <w:sz w:val="72"/>
          <w:szCs w:val="72"/>
        </w:rPr>
        <w:t>决算</w:t>
      </w:r>
      <w:bookmarkEnd w:id="6"/>
      <w:bookmarkEnd w:id="7"/>
      <w:bookmarkEnd w:id="8"/>
      <w:bookmarkEnd w:id="9"/>
      <w:bookmarkEnd w:id="10"/>
      <w:bookmarkEnd w:id="11"/>
      <w:r>
        <w:rPr>
          <w:rFonts w:hint="eastAsia" w:ascii="方正小标宋简体" w:eastAsia="方正小标宋简体" w:cs="方正小标宋简体"/>
          <w:sz w:val="72"/>
          <w:szCs w:val="72"/>
          <w:lang w:val="en-US" w:eastAsia="zh-CN"/>
        </w:rPr>
        <w:t>公开编制说明</w:t>
      </w:r>
    </w:p>
    <w:p w14:paraId="666A5362">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14:paraId="159606A6">
      <w:pPr>
        <w:widowControl/>
        <w:jc w:val="center"/>
        <w:rPr>
          <w:rFonts w:ascii="黑体" w:eastAsia="黑体" w:cs="Arial"/>
          <w:sz w:val="28"/>
          <w:szCs w:val="28"/>
        </w:rPr>
      </w:pPr>
    </w:p>
    <w:p w14:paraId="40F76B37">
      <w:pPr>
        <w:pStyle w:val="13"/>
      </w:pPr>
      <w:r>
        <w:rPr>
          <w:rFonts w:hint="eastAsia"/>
        </w:rPr>
        <w:t>公开时间：202</w:t>
      </w:r>
      <w:r>
        <w:rPr>
          <w:rFonts w:hint="eastAsia"/>
          <w:lang w:val="en-US" w:eastAsia="zh-CN"/>
        </w:rPr>
        <w:t>5</w:t>
      </w:r>
      <w:r>
        <w:rPr>
          <w:rFonts w:hint="eastAsia"/>
        </w:rPr>
        <w:t>年9月</w:t>
      </w:r>
      <w:r>
        <w:t>1</w:t>
      </w:r>
      <w:r>
        <w:rPr>
          <w:rFonts w:hint="eastAsia"/>
          <w:lang w:val="en-US" w:eastAsia="zh-CN"/>
        </w:rPr>
        <w:t>0</w:t>
      </w:r>
      <w:r>
        <w:rPr>
          <w:rFonts w:hint="eastAsia"/>
        </w:rPr>
        <w:t>日</w:t>
      </w:r>
    </w:p>
    <w:p w14:paraId="4E180E53"/>
    <w:p w14:paraId="2C5B4867">
      <w:pPr>
        <w:pStyle w:val="13"/>
        <w:adjustRightInd w:val="0"/>
        <w:snapToGrid w:val="0"/>
        <w:spacing w:before="0" w:line="440" w:lineRule="exact"/>
        <w:jc w:val="left"/>
        <w:rPr>
          <w:rFonts w:cs="Arial"/>
          <w:sz w:val="24"/>
          <w:szCs w:val="24"/>
        </w:rPr>
      </w:pPr>
      <w:r>
        <w:rPr>
          <w:rFonts w:hint="eastAsia"/>
          <w:sz w:val="24"/>
        </w:rPr>
        <w:t>第一部分单位概况</w:t>
      </w:r>
      <w:r>
        <w:rPr>
          <w:rFonts w:cs="Arial"/>
          <w:sz w:val="24"/>
        </w:rPr>
        <w:tab/>
      </w:r>
      <w:r>
        <w:rPr>
          <w:rFonts w:hint="eastAsia" w:cs="Arial"/>
          <w:sz w:val="24"/>
          <w:szCs w:val="24"/>
        </w:rPr>
        <w:t>4</w:t>
      </w:r>
    </w:p>
    <w:p w14:paraId="670B8838">
      <w:pPr>
        <w:pStyle w:val="14"/>
        <w:adjustRightInd w:val="0"/>
        <w:snapToGrid w:val="0"/>
        <w:spacing w:line="440" w:lineRule="exact"/>
        <w:ind w:left="420"/>
        <w:jc w:val="left"/>
        <w:rPr>
          <w:sz w:val="24"/>
        </w:rPr>
      </w:pPr>
      <w:r>
        <w:rPr>
          <w:rFonts w:hint="eastAsia"/>
          <w:sz w:val="24"/>
        </w:rPr>
        <w:t>一、主要职责</w:t>
      </w:r>
      <w:r>
        <w:rPr>
          <w:rFonts w:cs="Arial"/>
          <w:sz w:val="24"/>
        </w:rPr>
        <w:tab/>
      </w:r>
      <w:r>
        <w:rPr>
          <w:rFonts w:hint="eastAsia" w:cs="Arial"/>
          <w:sz w:val="24"/>
        </w:rPr>
        <w:t>4</w:t>
      </w:r>
    </w:p>
    <w:p w14:paraId="03DB8B86">
      <w:pPr>
        <w:pStyle w:val="14"/>
        <w:adjustRightInd w:val="0"/>
        <w:snapToGrid w:val="0"/>
        <w:spacing w:line="440" w:lineRule="exact"/>
        <w:ind w:left="420"/>
        <w:jc w:val="left"/>
      </w:pPr>
      <w:r>
        <w:rPr>
          <w:rFonts w:hint="eastAsia"/>
          <w:sz w:val="24"/>
        </w:rPr>
        <w:t>二、机构设置</w:t>
      </w:r>
      <w:r>
        <w:rPr>
          <w:rFonts w:cs="Arial"/>
          <w:sz w:val="24"/>
        </w:rPr>
        <w:tab/>
      </w:r>
      <w:r>
        <w:rPr>
          <w:rFonts w:hint="eastAsia" w:cs="Arial"/>
          <w:sz w:val="24"/>
        </w:rPr>
        <w:t>4</w:t>
      </w:r>
    </w:p>
    <w:p w14:paraId="269458C7">
      <w:pPr>
        <w:pStyle w:val="13"/>
        <w:adjustRightInd w:val="0"/>
        <w:snapToGrid w:val="0"/>
        <w:spacing w:before="0" w:line="440" w:lineRule="exact"/>
        <w:jc w:val="left"/>
        <w:rPr>
          <w:sz w:val="24"/>
          <w:szCs w:val="24"/>
        </w:rPr>
      </w:pPr>
      <w:r>
        <w:rPr>
          <w:rFonts w:hint="eastAsia"/>
          <w:sz w:val="24"/>
        </w:rPr>
        <w:t xml:space="preserve">第二部分 </w:t>
      </w:r>
      <w:r>
        <w:rPr>
          <w:rFonts w:hint="eastAsia"/>
          <w:sz w:val="24"/>
          <w:lang w:eastAsia="zh-CN"/>
        </w:rPr>
        <w:t>2023</w:t>
      </w:r>
      <w:r>
        <w:rPr>
          <w:rFonts w:hint="eastAsia"/>
          <w:sz w:val="24"/>
        </w:rPr>
        <w:t>年度单位决算情况说明</w:t>
      </w:r>
      <w:r>
        <w:rPr>
          <w:rFonts w:cs="Arial"/>
          <w:sz w:val="24"/>
          <w:szCs w:val="24"/>
        </w:rPr>
        <w:tab/>
      </w:r>
      <w:r>
        <w:rPr>
          <w:rFonts w:hint="eastAsia" w:cs="Arial"/>
          <w:sz w:val="24"/>
          <w:szCs w:val="24"/>
        </w:rPr>
        <w:t>5</w:t>
      </w:r>
    </w:p>
    <w:p w14:paraId="74033915">
      <w:pPr>
        <w:pStyle w:val="14"/>
        <w:adjustRightInd w:val="0"/>
        <w:snapToGrid w:val="0"/>
        <w:spacing w:line="440" w:lineRule="exact"/>
        <w:ind w:left="420"/>
        <w:jc w:val="left"/>
        <w:rPr>
          <w:rFonts w:ascii="仿宋" w:eastAsia="仿宋" w:cs="Arial"/>
          <w:sz w:val="24"/>
        </w:rPr>
      </w:pPr>
      <w:r>
        <w:rPr>
          <w:rFonts w:hint="eastAsia"/>
          <w:sz w:val="24"/>
        </w:rPr>
        <w:t>一、收入支出决算总体情况说明</w:t>
      </w:r>
      <w:r>
        <w:rPr>
          <w:rFonts w:cs="Arial"/>
          <w:sz w:val="24"/>
        </w:rPr>
        <w:tab/>
      </w:r>
      <w:r>
        <w:rPr>
          <w:rFonts w:hint="eastAsia" w:cs="Arial"/>
          <w:sz w:val="24"/>
        </w:rPr>
        <w:t>5</w:t>
      </w:r>
    </w:p>
    <w:p w14:paraId="2B6F0C24">
      <w:pPr>
        <w:pStyle w:val="14"/>
        <w:adjustRightInd w:val="0"/>
        <w:snapToGrid w:val="0"/>
        <w:spacing w:line="440" w:lineRule="exact"/>
        <w:ind w:left="420"/>
        <w:jc w:val="left"/>
        <w:rPr>
          <w:rFonts w:ascii="仿宋" w:eastAsia="仿宋" w:cs="Arial"/>
          <w:sz w:val="24"/>
        </w:rPr>
      </w:pPr>
      <w:r>
        <w:rPr>
          <w:rFonts w:hint="eastAsia"/>
          <w:sz w:val="24"/>
        </w:rPr>
        <w:t>二、收入决算情况说明</w:t>
      </w:r>
      <w:r>
        <w:rPr>
          <w:rFonts w:cs="Arial"/>
          <w:sz w:val="24"/>
        </w:rPr>
        <w:tab/>
      </w:r>
      <w:r>
        <w:rPr>
          <w:rFonts w:hint="eastAsia" w:cs="Arial"/>
          <w:sz w:val="24"/>
        </w:rPr>
        <w:t>6</w:t>
      </w:r>
    </w:p>
    <w:p w14:paraId="0D751450">
      <w:pPr>
        <w:pStyle w:val="14"/>
        <w:adjustRightInd w:val="0"/>
        <w:snapToGrid w:val="0"/>
        <w:spacing w:line="440" w:lineRule="exact"/>
        <w:ind w:left="420"/>
        <w:jc w:val="left"/>
        <w:rPr>
          <w:rFonts w:ascii="仿宋" w:eastAsia="仿宋" w:cs="Arial"/>
          <w:sz w:val="24"/>
        </w:rPr>
      </w:pPr>
      <w:r>
        <w:rPr>
          <w:rFonts w:hint="eastAsia"/>
          <w:sz w:val="24"/>
        </w:rPr>
        <w:t>三、支出决算情况说明</w:t>
      </w:r>
      <w:r>
        <w:rPr>
          <w:rFonts w:cs="Arial"/>
          <w:sz w:val="24"/>
        </w:rPr>
        <w:tab/>
      </w:r>
      <w:r>
        <w:rPr>
          <w:rFonts w:hint="eastAsia" w:cs="Arial"/>
          <w:sz w:val="24"/>
        </w:rPr>
        <w:t>6</w:t>
      </w:r>
    </w:p>
    <w:p w14:paraId="756A3B75">
      <w:pPr>
        <w:pStyle w:val="14"/>
        <w:adjustRightInd w:val="0"/>
        <w:snapToGrid w:val="0"/>
        <w:spacing w:line="440" w:lineRule="exact"/>
        <w:ind w:left="420"/>
        <w:jc w:val="left"/>
        <w:rPr>
          <w:rFonts w:ascii="仿宋" w:eastAsia="仿宋" w:cs="Arial"/>
          <w:sz w:val="24"/>
        </w:rPr>
      </w:pPr>
      <w:r>
        <w:rPr>
          <w:rFonts w:hint="eastAsia"/>
          <w:sz w:val="24"/>
        </w:rPr>
        <w:t>四、财政拨款收入支出决算总体情况说明</w:t>
      </w:r>
      <w:r>
        <w:rPr>
          <w:rFonts w:cs="Arial"/>
          <w:sz w:val="24"/>
        </w:rPr>
        <w:tab/>
      </w:r>
      <w:r>
        <w:rPr>
          <w:rFonts w:hint="eastAsia" w:cs="Arial"/>
          <w:sz w:val="24"/>
        </w:rPr>
        <w:t>7</w:t>
      </w:r>
    </w:p>
    <w:p w14:paraId="0622EA38">
      <w:pPr>
        <w:pStyle w:val="14"/>
        <w:adjustRightInd w:val="0"/>
        <w:snapToGrid w:val="0"/>
        <w:spacing w:line="440" w:lineRule="exact"/>
        <w:ind w:left="420"/>
        <w:jc w:val="left"/>
        <w:rPr>
          <w:rFonts w:ascii="仿宋" w:eastAsia="仿宋" w:cs="Arial"/>
          <w:sz w:val="24"/>
        </w:rPr>
      </w:pPr>
      <w:r>
        <w:rPr>
          <w:rFonts w:hint="eastAsia"/>
          <w:sz w:val="24"/>
        </w:rPr>
        <w:t>五、一般公共预算财政拨款支出决算情况说明</w:t>
      </w:r>
      <w:r>
        <w:rPr>
          <w:rFonts w:cs="Arial"/>
          <w:sz w:val="24"/>
        </w:rPr>
        <w:tab/>
      </w:r>
      <w:r>
        <w:rPr>
          <w:rFonts w:hint="eastAsia" w:cs="Arial"/>
          <w:sz w:val="24"/>
        </w:rPr>
        <w:t>8</w:t>
      </w:r>
    </w:p>
    <w:p w14:paraId="4FE7593E">
      <w:pPr>
        <w:pStyle w:val="14"/>
        <w:adjustRightInd w:val="0"/>
        <w:snapToGrid w:val="0"/>
        <w:spacing w:line="440" w:lineRule="exact"/>
        <w:ind w:left="420"/>
        <w:jc w:val="left"/>
        <w:rPr>
          <w:rFonts w:ascii="仿宋" w:eastAsia="仿宋" w:cs="Arial"/>
          <w:sz w:val="24"/>
        </w:rPr>
      </w:pPr>
      <w:r>
        <w:rPr>
          <w:rFonts w:hint="eastAsia"/>
          <w:sz w:val="24"/>
        </w:rPr>
        <w:t>六、一般公共预算财政拨款基本支出决算情况说明</w:t>
      </w:r>
      <w:r>
        <w:rPr>
          <w:rFonts w:cs="Arial"/>
          <w:sz w:val="24"/>
        </w:rPr>
        <w:tab/>
      </w:r>
      <w:r>
        <w:rPr>
          <w:rFonts w:hint="eastAsia" w:cs="Arial"/>
          <w:sz w:val="24"/>
        </w:rPr>
        <w:t>11</w:t>
      </w:r>
    </w:p>
    <w:p w14:paraId="267B8C2F">
      <w:pPr>
        <w:pStyle w:val="14"/>
        <w:adjustRightInd w:val="0"/>
        <w:snapToGrid w:val="0"/>
        <w:spacing w:line="440" w:lineRule="exact"/>
        <w:ind w:left="420"/>
        <w:jc w:val="left"/>
        <w:rPr>
          <w:rFonts w:ascii="仿宋" w:eastAsia="仿宋" w:cs="Arial"/>
          <w:sz w:val="24"/>
        </w:rPr>
      </w:pPr>
      <w:r>
        <w:rPr>
          <w:rFonts w:hint="eastAsia"/>
          <w:sz w:val="24"/>
        </w:rPr>
        <w:t>七、财政拨款“三公”经费支出决算情况说明</w:t>
      </w:r>
      <w:r>
        <w:rPr>
          <w:rFonts w:cs="Arial"/>
          <w:sz w:val="24"/>
        </w:rPr>
        <w:tab/>
      </w:r>
      <w:r>
        <w:rPr>
          <w:rFonts w:hint="eastAsia" w:cs="Arial"/>
          <w:sz w:val="24"/>
        </w:rPr>
        <w:t>11</w:t>
      </w:r>
    </w:p>
    <w:p w14:paraId="37E9564E">
      <w:pPr>
        <w:pStyle w:val="14"/>
        <w:adjustRightInd w:val="0"/>
        <w:snapToGrid w:val="0"/>
        <w:spacing w:line="440" w:lineRule="exact"/>
        <w:ind w:left="420"/>
        <w:jc w:val="left"/>
        <w:rPr>
          <w:rFonts w:ascii="仿宋" w:eastAsia="仿宋" w:cs="Arial"/>
          <w:sz w:val="24"/>
        </w:rPr>
      </w:pPr>
      <w:r>
        <w:rPr>
          <w:rFonts w:hint="eastAsia"/>
          <w:sz w:val="24"/>
        </w:rPr>
        <w:t>八、政府性基金预算支出决算情况说明</w:t>
      </w:r>
      <w:r>
        <w:rPr>
          <w:rFonts w:cs="Arial"/>
          <w:sz w:val="24"/>
        </w:rPr>
        <w:tab/>
      </w:r>
      <w:r>
        <w:rPr>
          <w:rFonts w:hint="eastAsia" w:cs="Arial"/>
          <w:sz w:val="24"/>
        </w:rPr>
        <w:t>13</w:t>
      </w:r>
    </w:p>
    <w:p w14:paraId="603A7DF2">
      <w:pPr>
        <w:pStyle w:val="14"/>
        <w:adjustRightInd w:val="0"/>
        <w:snapToGrid w:val="0"/>
        <w:spacing w:line="440" w:lineRule="exact"/>
        <w:ind w:left="420"/>
        <w:jc w:val="left"/>
        <w:rPr>
          <w:sz w:val="24"/>
        </w:rPr>
      </w:pPr>
      <w:r>
        <w:rPr>
          <w:rFonts w:hint="eastAsia"/>
          <w:sz w:val="24"/>
        </w:rPr>
        <w:t>九、国有资本经营预算支出决算情况说明</w:t>
      </w:r>
      <w:r>
        <w:rPr>
          <w:rFonts w:cs="Arial"/>
          <w:sz w:val="24"/>
        </w:rPr>
        <w:tab/>
      </w:r>
      <w:r>
        <w:rPr>
          <w:rFonts w:hint="eastAsia" w:cs="Arial"/>
          <w:sz w:val="24"/>
        </w:rPr>
        <w:t>13</w:t>
      </w:r>
    </w:p>
    <w:p w14:paraId="397ACF17">
      <w:pPr>
        <w:pStyle w:val="14"/>
        <w:adjustRightInd w:val="0"/>
        <w:snapToGrid w:val="0"/>
        <w:spacing w:line="440" w:lineRule="exact"/>
        <w:ind w:left="420"/>
        <w:jc w:val="left"/>
        <w:rPr>
          <w:sz w:val="24"/>
        </w:rPr>
      </w:pPr>
      <w:r>
        <w:rPr>
          <w:rFonts w:hint="eastAsia"/>
          <w:sz w:val="24"/>
        </w:rPr>
        <w:t>十、其他重要事项的情况说明</w:t>
      </w:r>
      <w:r>
        <w:rPr>
          <w:rFonts w:cs="Arial"/>
          <w:sz w:val="24"/>
        </w:rPr>
        <w:tab/>
      </w:r>
      <w:r>
        <w:rPr>
          <w:rFonts w:hint="eastAsia" w:cs="Arial"/>
          <w:sz w:val="24"/>
        </w:rPr>
        <w:t>14</w:t>
      </w:r>
    </w:p>
    <w:p w14:paraId="29F2019F">
      <w:pPr>
        <w:pStyle w:val="13"/>
        <w:adjustRightInd w:val="0"/>
        <w:snapToGrid w:val="0"/>
        <w:spacing w:before="0" w:line="440" w:lineRule="exact"/>
        <w:jc w:val="left"/>
        <w:rPr>
          <w:rFonts w:cs="Arial"/>
          <w:sz w:val="24"/>
          <w:szCs w:val="24"/>
        </w:rPr>
      </w:pPr>
      <w:r>
        <w:rPr>
          <w:rFonts w:hint="eastAsia"/>
          <w:sz w:val="24"/>
        </w:rPr>
        <w:t>第三部分名词解释</w:t>
      </w:r>
      <w:r>
        <w:rPr>
          <w:rFonts w:cs="Arial"/>
          <w:sz w:val="24"/>
          <w:szCs w:val="24"/>
        </w:rPr>
        <w:tab/>
      </w:r>
      <w:r>
        <w:rPr>
          <w:rFonts w:hint="eastAsia" w:cs="Arial"/>
          <w:sz w:val="24"/>
          <w:szCs w:val="24"/>
        </w:rPr>
        <w:t>15</w:t>
      </w:r>
    </w:p>
    <w:p w14:paraId="53284F1F">
      <w:pPr>
        <w:pStyle w:val="13"/>
        <w:adjustRightInd w:val="0"/>
        <w:snapToGrid w:val="0"/>
        <w:spacing w:before="0" w:line="440" w:lineRule="exact"/>
        <w:jc w:val="left"/>
        <w:rPr>
          <w:rFonts w:hint="eastAsia" w:eastAsia="仿宋" w:cs="Arial"/>
          <w:sz w:val="24"/>
          <w:szCs w:val="24"/>
          <w:lang w:eastAsia="zh-CN"/>
        </w:rPr>
      </w:pPr>
      <w:r>
        <w:rPr>
          <w:rFonts w:hint="eastAsia"/>
          <w:sz w:val="24"/>
        </w:rPr>
        <w:t>第四部分附件</w:t>
      </w:r>
      <w:r>
        <w:rPr>
          <w:rFonts w:cs="Arial"/>
          <w:sz w:val="24"/>
          <w:szCs w:val="24"/>
        </w:rPr>
        <w:tab/>
      </w:r>
      <w:r>
        <w:rPr>
          <w:rFonts w:hint="eastAsia" w:cs="Arial"/>
          <w:sz w:val="24"/>
          <w:szCs w:val="24"/>
        </w:rPr>
        <w:t>1</w:t>
      </w:r>
      <w:r>
        <w:rPr>
          <w:rFonts w:hint="eastAsia" w:cs="Arial"/>
          <w:sz w:val="24"/>
          <w:szCs w:val="24"/>
          <w:lang w:val="en-US" w:eastAsia="zh-CN"/>
        </w:rPr>
        <w:t>8</w:t>
      </w:r>
    </w:p>
    <w:p w14:paraId="01DA029B">
      <w:pPr>
        <w:pStyle w:val="13"/>
        <w:adjustRightInd w:val="0"/>
        <w:snapToGrid w:val="0"/>
        <w:spacing w:before="0" w:line="440" w:lineRule="exact"/>
        <w:jc w:val="left"/>
        <w:rPr>
          <w:rFonts w:hint="eastAsia" w:eastAsia="仿宋" w:cs="Arial"/>
          <w:sz w:val="24"/>
          <w:szCs w:val="24"/>
          <w:lang w:eastAsia="zh-CN"/>
        </w:rPr>
      </w:pPr>
      <w:r>
        <w:rPr>
          <w:rFonts w:hint="eastAsia"/>
          <w:sz w:val="24"/>
        </w:rPr>
        <w:t>第五部分附表</w:t>
      </w:r>
      <w:r>
        <w:rPr>
          <w:rFonts w:cs="Arial"/>
          <w:sz w:val="24"/>
          <w:szCs w:val="24"/>
        </w:rPr>
        <w:tab/>
      </w:r>
      <w:r>
        <w:rPr>
          <w:rFonts w:hint="eastAsia" w:cs="Arial"/>
          <w:sz w:val="24"/>
          <w:szCs w:val="24"/>
        </w:rPr>
        <w:t>1</w:t>
      </w:r>
      <w:r>
        <w:rPr>
          <w:rFonts w:hint="eastAsia" w:cs="Arial"/>
          <w:sz w:val="24"/>
          <w:szCs w:val="24"/>
          <w:lang w:val="en-US" w:eastAsia="zh-CN"/>
        </w:rPr>
        <w:t>9</w:t>
      </w:r>
    </w:p>
    <w:p w14:paraId="39818B9D">
      <w:pPr>
        <w:pStyle w:val="14"/>
        <w:adjustRightInd w:val="0"/>
        <w:snapToGrid w:val="0"/>
        <w:spacing w:line="440" w:lineRule="exact"/>
        <w:ind w:left="420"/>
        <w:jc w:val="left"/>
        <w:rPr>
          <w:rFonts w:hint="eastAsia" w:eastAsia="宋体"/>
          <w:sz w:val="24"/>
          <w:lang w:eastAsia="zh-CN"/>
        </w:rPr>
      </w:pPr>
      <w:r>
        <w:rPr>
          <w:rFonts w:hint="eastAsia"/>
          <w:sz w:val="24"/>
        </w:rPr>
        <w:t>一、收入支出决算总表</w:t>
      </w:r>
      <w:r>
        <w:rPr>
          <w:rFonts w:cs="Arial"/>
          <w:sz w:val="24"/>
        </w:rPr>
        <w:tab/>
      </w:r>
      <w:r>
        <w:rPr>
          <w:rFonts w:hint="eastAsia" w:cs="Arial"/>
          <w:sz w:val="24"/>
        </w:rPr>
        <w:t>1</w:t>
      </w:r>
      <w:r>
        <w:rPr>
          <w:rFonts w:hint="eastAsia" w:cs="Arial"/>
          <w:sz w:val="24"/>
          <w:lang w:val="en-US" w:eastAsia="zh-CN"/>
        </w:rPr>
        <w:t>9</w:t>
      </w:r>
    </w:p>
    <w:p w14:paraId="70695B9F">
      <w:pPr>
        <w:pStyle w:val="14"/>
        <w:adjustRightInd w:val="0"/>
        <w:snapToGrid w:val="0"/>
        <w:spacing w:line="440" w:lineRule="exact"/>
        <w:ind w:left="420"/>
        <w:jc w:val="left"/>
        <w:rPr>
          <w:rFonts w:hint="eastAsia" w:eastAsia="宋体"/>
          <w:sz w:val="24"/>
          <w:lang w:eastAsia="zh-CN"/>
        </w:rPr>
      </w:pPr>
      <w:r>
        <w:rPr>
          <w:rFonts w:hint="eastAsia"/>
          <w:sz w:val="24"/>
        </w:rPr>
        <w:t>二、收入决算表</w:t>
      </w:r>
      <w:r>
        <w:rPr>
          <w:rFonts w:cs="Arial"/>
          <w:sz w:val="24"/>
        </w:rPr>
        <w:tab/>
      </w:r>
      <w:r>
        <w:rPr>
          <w:rFonts w:hint="eastAsia" w:cs="Arial"/>
          <w:sz w:val="24"/>
        </w:rPr>
        <w:t>1</w:t>
      </w:r>
      <w:r>
        <w:rPr>
          <w:rFonts w:hint="eastAsia" w:cs="Arial"/>
          <w:sz w:val="24"/>
          <w:lang w:val="en-US" w:eastAsia="zh-CN"/>
        </w:rPr>
        <w:t>9</w:t>
      </w:r>
    </w:p>
    <w:p w14:paraId="2CE7E78D">
      <w:pPr>
        <w:pStyle w:val="14"/>
        <w:adjustRightInd w:val="0"/>
        <w:snapToGrid w:val="0"/>
        <w:spacing w:line="440" w:lineRule="exact"/>
        <w:ind w:left="420"/>
        <w:jc w:val="left"/>
        <w:rPr>
          <w:rFonts w:hint="eastAsia" w:eastAsia="宋体"/>
          <w:sz w:val="24"/>
          <w:lang w:eastAsia="zh-CN"/>
        </w:rPr>
      </w:pPr>
      <w:r>
        <w:rPr>
          <w:rFonts w:hint="eastAsia"/>
          <w:sz w:val="24"/>
        </w:rPr>
        <w:t>三、支出决算表</w:t>
      </w:r>
      <w:r>
        <w:rPr>
          <w:rFonts w:cs="Arial"/>
          <w:sz w:val="24"/>
        </w:rPr>
        <w:tab/>
      </w:r>
      <w:r>
        <w:rPr>
          <w:rFonts w:hint="eastAsia" w:cs="Arial"/>
          <w:sz w:val="24"/>
        </w:rPr>
        <w:t>1</w:t>
      </w:r>
      <w:r>
        <w:rPr>
          <w:rFonts w:hint="eastAsia" w:cs="Arial"/>
          <w:sz w:val="24"/>
          <w:lang w:val="en-US" w:eastAsia="zh-CN"/>
        </w:rPr>
        <w:t>9</w:t>
      </w:r>
    </w:p>
    <w:p w14:paraId="1D50276D">
      <w:pPr>
        <w:pStyle w:val="14"/>
        <w:adjustRightInd w:val="0"/>
        <w:snapToGrid w:val="0"/>
        <w:spacing w:line="440" w:lineRule="exact"/>
        <w:ind w:left="420"/>
        <w:jc w:val="left"/>
        <w:rPr>
          <w:rFonts w:hint="eastAsia" w:eastAsia="宋体"/>
          <w:sz w:val="24"/>
          <w:lang w:eastAsia="zh-CN"/>
        </w:rPr>
      </w:pPr>
      <w:r>
        <w:rPr>
          <w:rFonts w:hint="eastAsia"/>
          <w:sz w:val="24"/>
        </w:rPr>
        <w:t>四、财政拨款收入支出决算总表</w:t>
      </w:r>
      <w:r>
        <w:rPr>
          <w:rFonts w:cs="Arial"/>
          <w:sz w:val="24"/>
        </w:rPr>
        <w:tab/>
      </w:r>
      <w:r>
        <w:rPr>
          <w:rFonts w:hint="eastAsia" w:cs="Arial"/>
          <w:sz w:val="24"/>
        </w:rPr>
        <w:t>1</w:t>
      </w:r>
      <w:r>
        <w:rPr>
          <w:rFonts w:hint="eastAsia" w:cs="Arial"/>
          <w:sz w:val="24"/>
          <w:lang w:val="en-US" w:eastAsia="zh-CN"/>
        </w:rPr>
        <w:t>9</w:t>
      </w:r>
    </w:p>
    <w:p w14:paraId="42A16CF7">
      <w:pPr>
        <w:pStyle w:val="14"/>
        <w:adjustRightInd w:val="0"/>
        <w:snapToGrid w:val="0"/>
        <w:spacing w:line="440" w:lineRule="exact"/>
        <w:ind w:left="420"/>
        <w:jc w:val="left"/>
        <w:rPr>
          <w:rFonts w:hint="eastAsia" w:eastAsia="宋体"/>
          <w:sz w:val="24"/>
          <w:lang w:eastAsia="zh-CN"/>
        </w:rPr>
      </w:pPr>
      <w:r>
        <w:rPr>
          <w:rFonts w:hint="eastAsia"/>
          <w:sz w:val="24"/>
        </w:rPr>
        <w:t>五、财政拨款支出决算明细表</w:t>
      </w:r>
      <w:r>
        <w:rPr>
          <w:rFonts w:cs="Arial"/>
          <w:sz w:val="24"/>
        </w:rPr>
        <w:tab/>
      </w:r>
      <w:r>
        <w:rPr>
          <w:rFonts w:hint="eastAsia" w:cs="Arial"/>
          <w:sz w:val="24"/>
        </w:rPr>
        <w:t>1</w:t>
      </w:r>
      <w:r>
        <w:rPr>
          <w:rFonts w:hint="eastAsia" w:cs="Arial"/>
          <w:sz w:val="24"/>
          <w:lang w:val="en-US" w:eastAsia="zh-CN"/>
        </w:rPr>
        <w:t>9</w:t>
      </w:r>
    </w:p>
    <w:p w14:paraId="0405B528">
      <w:pPr>
        <w:pStyle w:val="14"/>
        <w:adjustRightInd w:val="0"/>
        <w:snapToGrid w:val="0"/>
        <w:spacing w:line="440" w:lineRule="exact"/>
        <w:ind w:left="420"/>
        <w:jc w:val="left"/>
        <w:rPr>
          <w:rFonts w:hint="eastAsia" w:eastAsia="宋体"/>
          <w:sz w:val="24"/>
          <w:lang w:eastAsia="zh-CN"/>
        </w:rPr>
      </w:pPr>
      <w:r>
        <w:rPr>
          <w:rFonts w:hint="eastAsia"/>
          <w:sz w:val="24"/>
        </w:rPr>
        <w:t>六、一般公共预算财政拨款支出决算表</w:t>
      </w:r>
      <w:r>
        <w:rPr>
          <w:rFonts w:cs="Arial"/>
          <w:sz w:val="24"/>
        </w:rPr>
        <w:tab/>
      </w:r>
      <w:r>
        <w:rPr>
          <w:rFonts w:hint="eastAsia" w:cs="Arial"/>
          <w:sz w:val="24"/>
        </w:rPr>
        <w:t>1</w:t>
      </w:r>
      <w:r>
        <w:rPr>
          <w:rFonts w:hint="eastAsia" w:cs="Arial"/>
          <w:sz w:val="24"/>
          <w:lang w:val="en-US" w:eastAsia="zh-CN"/>
        </w:rPr>
        <w:t>9</w:t>
      </w:r>
    </w:p>
    <w:p w14:paraId="5208F296">
      <w:pPr>
        <w:pStyle w:val="14"/>
        <w:adjustRightInd w:val="0"/>
        <w:snapToGrid w:val="0"/>
        <w:spacing w:line="440" w:lineRule="exact"/>
        <w:ind w:left="420"/>
        <w:jc w:val="left"/>
        <w:rPr>
          <w:rFonts w:hint="eastAsia" w:eastAsia="宋体"/>
          <w:sz w:val="24"/>
          <w:lang w:eastAsia="zh-CN"/>
        </w:rPr>
      </w:pPr>
      <w:r>
        <w:rPr>
          <w:rFonts w:hint="eastAsia"/>
          <w:sz w:val="24"/>
        </w:rPr>
        <w:t>七、一般公共预算财政拨款支出决算明细表</w:t>
      </w:r>
      <w:r>
        <w:rPr>
          <w:rFonts w:cs="Arial"/>
          <w:sz w:val="24"/>
        </w:rPr>
        <w:tab/>
      </w:r>
      <w:r>
        <w:rPr>
          <w:rFonts w:hint="eastAsia" w:cs="Arial"/>
          <w:sz w:val="24"/>
        </w:rPr>
        <w:t>1</w:t>
      </w:r>
      <w:r>
        <w:rPr>
          <w:rFonts w:hint="eastAsia" w:cs="Arial"/>
          <w:sz w:val="24"/>
          <w:lang w:val="en-US" w:eastAsia="zh-CN"/>
        </w:rPr>
        <w:t>9</w:t>
      </w:r>
    </w:p>
    <w:p w14:paraId="3E51CBF8">
      <w:pPr>
        <w:pStyle w:val="14"/>
        <w:adjustRightInd w:val="0"/>
        <w:snapToGrid w:val="0"/>
        <w:spacing w:line="440" w:lineRule="exact"/>
        <w:ind w:left="420"/>
        <w:jc w:val="left"/>
        <w:rPr>
          <w:rFonts w:hint="eastAsia" w:eastAsia="宋体"/>
          <w:sz w:val="24"/>
          <w:lang w:eastAsia="zh-CN"/>
        </w:rPr>
      </w:pPr>
      <w:r>
        <w:rPr>
          <w:rFonts w:hint="eastAsia"/>
          <w:sz w:val="24"/>
        </w:rPr>
        <w:t>八、一般公共预算财政拨款基本支出决算明细表</w:t>
      </w:r>
      <w:r>
        <w:rPr>
          <w:rFonts w:cs="Arial"/>
          <w:sz w:val="24"/>
        </w:rPr>
        <w:tab/>
      </w:r>
      <w:r>
        <w:rPr>
          <w:rFonts w:hint="eastAsia" w:cs="Arial"/>
          <w:sz w:val="24"/>
        </w:rPr>
        <w:t>1</w:t>
      </w:r>
      <w:r>
        <w:rPr>
          <w:rFonts w:hint="eastAsia" w:cs="Arial"/>
          <w:sz w:val="24"/>
          <w:lang w:val="en-US" w:eastAsia="zh-CN"/>
        </w:rPr>
        <w:t>9</w:t>
      </w:r>
    </w:p>
    <w:p w14:paraId="6EDB8B4B">
      <w:pPr>
        <w:pStyle w:val="14"/>
        <w:adjustRightInd w:val="0"/>
        <w:snapToGrid w:val="0"/>
        <w:spacing w:line="440" w:lineRule="exact"/>
        <w:ind w:left="420"/>
        <w:jc w:val="left"/>
        <w:rPr>
          <w:rFonts w:hint="eastAsia" w:eastAsia="宋体"/>
          <w:sz w:val="24"/>
          <w:lang w:eastAsia="zh-CN"/>
        </w:rPr>
      </w:pPr>
      <w:r>
        <w:rPr>
          <w:rFonts w:hint="eastAsia"/>
          <w:sz w:val="24"/>
        </w:rPr>
        <w:t>九、一般公共预算财政拨款项目支出决算表</w:t>
      </w:r>
      <w:r>
        <w:rPr>
          <w:rFonts w:cs="Arial"/>
          <w:sz w:val="24"/>
        </w:rPr>
        <w:tab/>
      </w:r>
      <w:r>
        <w:rPr>
          <w:rFonts w:hint="eastAsia" w:cs="Arial"/>
          <w:sz w:val="24"/>
        </w:rPr>
        <w:t>1</w:t>
      </w:r>
      <w:r>
        <w:rPr>
          <w:rFonts w:hint="eastAsia" w:cs="Arial"/>
          <w:sz w:val="24"/>
          <w:lang w:val="en-US" w:eastAsia="zh-CN"/>
        </w:rPr>
        <w:t>9</w:t>
      </w:r>
    </w:p>
    <w:p w14:paraId="4406FE55">
      <w:pPr>
        <w:pStyle w:val="14"/>
        <w:adjustRightInd w:val="0"/>
        <w:snapToGrid w:val="0"/>
        <w:spacing w:line="440" w:lineRule="exact"/>
        <w:ind w:left="420"/>
        <w:jc w:val="left"/>
        <w:rPr>
          <w:rFonts w:hint="eastAsia" w:eastAsia="宋体"/>
          <w:sz w:val="24"/>
          <w:lang w:eastAsia="zh-CN"/>
        </w:rPr>
      </w:pPr>
      <w:r>
        <w:rPr>
          <w:rFonts w:hint="eastAsia"/>
          <w:sz w:val="24"/>
        </w:rPr>
        <w:t>十、政府性基金预算财政拨款收入支出决算表</w:t>
      </w:r>
      <w:r>
        <w:rPr>
          <w:rFonts w:cs="Arial"/>
          <w:sz w:val="24"/>
        </w:rPr>
        <w:tab/>
      </w:r>
      <w:r>
        <w:rPr>
          <w:rFonts w:hint="eastAsia" w:cs="Arial"/>
          <w:sz w:val="24"/>
        </w:rPr>
        <w:t>1</w:t>
      </w:r>
      <w:r>
        <w:rPr>
          <w:rFonts w:hint="eastAsia" w:cs="Arial"/>
          <w:sz w:val="24"/>
          <w:lang w:val="en-US" w:eastAsia="zh-CN"/>
        </w:rPr>
        <w:t>9</w:t>
      </w:r>
    </w:p>
    <w:p w14:paraId="6756E7F3">
      <w:pPr>
        <w:pStyle w:val="14"/>
        <w:adjustRightInd w:val="0"/>
        <w:snapToGrid w:val="0"/>
        <w:spacing w:line="440" w:lineRule="exact"/>
        <w:ind w:left="420"/>
        <w:jc w:val="left"/>
        <w:rPr>
          <w:rFonts w:hint="eastAsia" w:eastAsia="宋体"/>
          <w:sz w:val="24"/>
          <w:lang w:eastAsia="zh-CN"/>
        </w:rPr>
      </w:pPr>
      <w:r>
        <w:rPr>
          <w:rFonts w:hint="eastAsia"/>
          <w:sz w:val="24"/>
        </w:rPr>
        <w:t>十一、国有资本经营预算财政拨款收入支出决算表</w:t>
      </w:r>
      <w:r>
        <w:rPr>
          <w:rFonts w:cs="Arial"/>
          <w:sz w:val="24"/>
        </w:rPr>
        <w:tab/>
      </w:r>
      <w:r>
        <w:rPr>
          <w:rFonts w:hint="eastAsia" w:cs="Arial"/>
          <w:sz w:val="24"/>
        </w:rPr>
        <w:t>1</w:t>
      </w:r>
      <w:r>
        <w:rPr>
          <w:rFonts w:hint="eastAsia" w:cs="Arial"/>
          <w:sz w:val="24"/>
          <w:lang w:val="en-US" w:eastAsia="zh-CN"/>
        </w:rPr>
        <w:t>9</w:t>
      </w:r>
    </w:p>
    <w:p w14:paraId="60FA3A50">
      <w:pPr>
        <w:pStyle w:val="14"/>
        <w:adjustRightInd w:val="0"/>
        <w:snapToGrid w:val="0"/>
        <w:spacing w:line="440" w:lineRule="exact"/>
        <w:ind w:left="420"/>
        <w:jc w:val="left"/>
        <w:rPr>
          <w:rFonts w:hint="eastAsia" w:eastAsia="宋体"/>
          <w:sz w:val="24"/>
          <w:lang w:eastAsia="zh-CN"/>
        </w:rPr>
      </w:pPr>
      <w:r>
        <w:rPr>
          <w:rFonts w:hint="eastAsia"/>
          <w:sz w:val="24"/>
        </w:rPr>
        <w:t>十二、国有资本经营预算财政拨款支出决算表</w:t>
      </w:r>
      <w:r>
        <w:rPr>
          <w:rFonts w:cs="Arial"/>
          <w:sz w:val="24"/>
        </w:rPr>
        <w:tab/>
      </w:r>
      <w:r>
        <w:rPr>
          <w:rFonts w:hint="eastAsia" w:cs="Arial"/>
          <w:sz w:val="24"/>
        </w:rPr>
        <w:t>1</w:t>
      </w:r>
      <w:r>
        <w:rPr>
          <w:rFonts w:hint="eastAsia" w:cs="Arial"/>
          <w:sz w:val="24"/>
          <w:lang w:val="en-US" w:eastAsia="zh-CN"/>
        </w:rPr>
        <w:t>9</w:t>
      </w:r>
    </w:p>
    <w:p w14:paraId="0BFE6E74">
      <w:pPr>
        <w:pStyle w:val="14"/>
        <w:adjustRightInd w:val="0"/>
        <w:snapToGrid w:val="0"/>
        <w:spacing w:line="440" w:lineRule="exact"/>
        <w:ind w:left="420"/>
        <w:jc w:val="left"/>
        <w:rPr>
          <w:rFonts w:hint="eastAsia" w:eastAsia="宋体"/>
          <w:sz w:val="24"/>
          <w:lang w:eastAsia="zh-CN"/>
        </w:rPr>
      </w:pPr>
      <w:r>
        <w:rPr>
          <w:rFonts w:hint="eastAsia"/>
          <w:sz w:val="24"/>
        </w:rPr>
        <w:t>十三、财政拨款“三公”经费支出决算表</w:t>
      </w:r>
      <w:r>
        <w:rPr>
          <w:rFonts w:cs="Arial"/>
          <w:sz w:val="24"/>
        </w:rPr>
        <w:tab/>
      </w:r>
      <w:r>
        <w:rPr>
          <w:rFonts w:hint="eastAsia" w:cs="Arial"/>
          <w:sz w:val="24"/>
        </w:rPr>
        <w:t>1</w:t>
      </w:r>
      <w:r>
        <w:rPr>
          <w:rFonts w:hint="eastAsia" w:cs="Arial"/>
          <w:sz w:val="24"/>
          <w:lang w:val="en-US" w:eastAsia="zh-CN"/>
        </w:rPr>
        <w:t>9</w:t>
      </w:r>
    </w:p>
    <w:p w14:paraId="518CF122">
      <w:pPr>
        <w:pStyle w:val="5"/>
        <w:keepNext w:val="0"/>
        <w:keepLines w:val="0"/>
        <w:jc w:val="center"/>
        <w:rPr>
          <w:rFonts w:hint="eastAsia" w:ascii="黑体" w:eastAsia="黑体"/>
          <w:b w:val="0"/>
        </w:rPr>
      </w:pPr>
      <w:bookmarkStart w:id="12" w:name="_Toc15396599"/>
      <w:bookmarkStart w:id="13" w:name="_Toc15377196"/>
    </w:p>
    <w:p w14:paraId="29AEE902">
      <w:pPr>
        <w:pStyle w:val="5"/>
        <w:keepNext w:val="0"/>
        <w:keepLines w:val="0"/>
        <w:jc w:val="center"/>
        <w:rPr>
          <w:rFonts w:hint="eastAsia" w:ascii="黑体" w:eastAsia="黑体"/>
          <w:b w:val="0"/>
        </w:rPr>
      </w:pPr>
    </w:p>
    <w:p w14:paraId="67A6BF3C">
      <w:pPr>
        <w:pStyle w:val="5"/>
        <w:keepNext w:val="0"/>
        <w:keepLines w:val="0"/>
        <w:jc w:val="center"/>
        <w:rPr>
          <w:rFonts w:hint="eastAsia" w:ascii="黑体" w:eastAsia="黑体"/>
          <w:b w:val="0"/>
        </w:rPr>
      </w:pPr>
    </w:p>
    <w:p w14:paraId="4E0CC354">
      <w:pPr>
        <w:pStyle w:val="5"/>
        <w:keepNext w:val="0"/>
        <w:keepLines w:val="0"/>
        <w:jc w:val="center"/>
        <w:rPr>
          <w:rFonts w:hint="eastAsia" w:ascii="黑体" w:eastAsia="黑体"/>
          <w:b w:val="0"/>
        </w:rPr>
      </w:pPr>
    </w:p>
    <w:p w14:paraId="1DF9148E">
      <w:pPr>
        <w:pStyle w:val="5"/>
        <w:keepNext w:val="0"/>
        <w:keepLines w:val="0"/>
        <w:jc w:val="center"/>
        <w:rPr>
          <w:rFonts w:hint="eastAsia" w:ascii="黑体" w:eastAsia="黑体"/>
          <w:b w:val="0"/>
        </w:rPr>
      </w:pPr>
    </w:p>
    <w:p w14:paraId="0EE953BB">
      <w:pPr>
        <w:pStyle w:val="5"/>
        <w:keepNext w:val="0"/>
        <w:keepLines w:val="0"/>
        <w:jc w:val="center"/>
        <w:rPr>
          <w:rFonts w:hint="eastAsia" w:ascii="黑体" w:eastAsia="黑体"/>
          <w:b w:val="0"/>
        </w:rPr>
      </w:pPr>
    </w:p>
    <w:p w14:paraId="5D6FC80E">
      <w:pPr>
        <w:pStyle w:val="5"/>
        <w:keepNext w:val="0"/>
        <w:keepLines w:val="0"/>
        <w:jc w:val="center"/>
        <w:rPr>
          <w:rFonts w:hint="eastAsia" w:ascii="黑体" w:eastAsia="黑体"/>
          <w:b w:val="0"/>
        </w:rPr>
      </w:pPr>
    </w:p>
    <w:p w14:paraId="63BFC834">
      <w:pPr>
        <w:pStyle w:val="5"/>
        <w:keepNext w:val="0"/>
        <w:keepLines w:val="0"/>
        <w:jc w:val="center"/>
        <w:rPr>
          <w:rFonts w:hint="eastAsia" w:ascii="黑体" w:eastAsia="黑体"/>
          <w:b w:val="0"/>
        </w:rPr>
      </w:pPr>
    </w:p>
    <w:p w14:paraId="17A2AEF3">
      <w:pPr>
        <w:pStyle w:val="5"/>
        <w:keepNext w:val="0"/>
        <w:keepLines w:val="0"/>
        <w:jc w:val="center"/>
        <w:rPr>
          <w:rFonts w:hint="eastAsia" w:ascii="黑体" w:eastAsia="黑体"/>
          <w:b w:val="0"/>
        </w:rPr>
      </w:pPr>
    </w:p>
    <w:p w14:paraId="2D3D2B2F">
      <w:pPr>
        <w:pStyle w:val="5"/>
        <w:keepNext w:val="0"/>
        <w:keepLines w:val="0"/>
        <w:jc w:val="center"/>
        <w:rPr>
          <w:rFonts w:hint="eastAsia" w:ascii="黑体" w:eastAsia="黑体"/>
          <w:b w:val="0"/>
        </w:rPr>
      </w:pPr>
    </w:p>
    <w:p w14:paraId="37892AB6">
      <w:pPr>
        <w:pStyle w:val="5"/>
        <w:keepNext w:val="0"/>
        <w:keepLines w:val="0"/>
        <w:jc w:val="center"/>
        <w:rPr>
          <w:rFonts w:hint="eastAsia" w:ascii="黑体" w:eastAsia="黑体"/>
          <w:b w:val="0"/>
        </w:rPr>
      </w:pPr>
    </w:p>
    <w:p w14:paraId="58643EDF">
      <w:pPr>
        <w:pStyle w:val="5"/>
        <w:keepNext w:val="0"/>
        <w:keepLines w:val="0"/>
        <w:jc w:val="center"/>
        <w:rPr>
          <w:rStyle w:val="20"/>
          <w:rFonts w:ascii="黑体" w:eastAsia="黑体"/>
          <w:b/>
          <w:bCs w:val="0"/>
        </w:rPr>
      </w:pPr>
      <w:r>
        <w:rPr>
          <w:rFonts w:hint="eastAsia" w:ascii="黑体" w:eastAsia="黑体"/>
          <w:b w:val="0"/>
        </w:rPr>
        <w:t>第一部分 单位</w:t>
      </w:r>
      <w:r>
        <w:rPr>
          <w:rStyle w:val="20"/>
          <w:rFonts w:hint="eastAsia" w:ascii="黑体" w:eastAsia="黑体"/>
          <w:b w:val="0"/>
          <w:bCs w:val="0"/>
        </w:rPr>
        <w:t>概况</w:t>
      </w:r>
      <w:bookmarkEnd w:id="12"/>
      <w:bookmarkEnd w:id="13"/>
    </w:p>
    <w:p w14:paraId="70CB8D40">
      <w:pPr>
        <w:widowControl/>
        <w:jc w:val="left"/>
        <w:rPr>
          <w:rFonts w:ascii="黑体" w:eastAsia="黑体"/>
          <w:sz w:val="32"/>
          <w:szCs w:val="32"/>
        </w:rPr>
      </w:pPr>
    </w:p>
    <w:p w14:paraId="1B7F3290">
      <w:pPr>
        <w:pStyle w:val="6"/>
        <w:numPr>
          <w:ilvl w:val="0"/>
          <w:numId w:val="1"/>
        </w:numPr>
        <w:rPr>
          <w:rStyle w:val="21"/>
          <w:rFonts w:ascii="黑体" w:eastAsia="黑体"/>
          <w:b w:val="0"/>
          <w:bCs w:val="0"/>
        </w:rPr>
      </w:pPr>
      <w:bookmarkStart w:id="14" w:name="_Toc15396600"/>
      <w:bookmarkStart w:id="15" w:name="_Toc15377197"/>
      <w:r>
        <w:rPr>
          <w:rStyle w:val="21"/>
          <w:rFonts w:hint="eastAsia" w:ascii="黑体" w:eastAsia="黑体"/>
          <w:b w:val="0"/>
          <w:bCs w:val="0"/>
        </w:rPr>
        <w:t>主要职责</w:t>
      </w:r>
    </w:p>
    <w:p w14:paraId="53213CEF">
      <w:pPr>
        <w:spacing w:line="520" w:lineRule="exact"/>
        <w:ind w:right="210" w:rightChars="100" w:firstLine="640" w:firstLineChars="200"/>
      </w:pPr>
      <w:r>
        <w:rPr>
          <w:rFonts w:eastAsia="仿宋_GB2312"/>
          <w:sz w:val="32"/>
          <w:szCs w:val="32"/>
        </w:rPr>
        <w:t>攀枝花市体育中学按照《义务教育法》的规定确定义务教育阶段的教学内容和课程设置开展教育教学活动，保证教育教学达到国家规定的基本质量要求；开展青少年业余体育的选材和培训工作；制定业余体育训练参赛及管理制度，组队参加省青少年体育竞赛；向国家、省级运动队输送优秀青少年体育后备人才。</w:t>
      </w:r>
    </w:p>
    <w:p w14:paraId="5F19E32D">
      <w:pPr>
        <w:pStyle w:val="6"/>
        <w:rPr>
          <w:rFonts w:ascii="黑体" w:eastAsia="黑体"/>
          <w:b w:val="0"/>
        </w:rPr>
      </w:pPr>
      <w:r>
        <w:rPr>
          <w:rFonts w:hint="eastAsia" w:ascii="黑体" w:eastAsia="黑体"/>
          <w:b w:val="0"/>
        </w:rPr>
        <w:t>二、机构设置</w:t>
      </w:r>
    </w:p>
    <w:bookmarkEnd w:id="14"/>
    <w:bookmarkEnd w:id="15"/>
    <w:p w14:paraId="15C6202D">
      <w:pPr>
        <w:pStyle w:val="8"/>
        <w:adjustRightInd w:val="0"/>
        <w:spacing w:beforeLines="0" w:line="600" w:lineRule="exact"/>
        <w:ind w:firstLine="640" w:firstLineChars="200"/>
        <w:rPr>
          <w:rFonts w:ascii="Times New Roman"/>
          <w:sz w:val="32"/>
        </w:rPr>
      </w:pPr>
      <w:r>
        <w:rPr>
          <w:rFonts w:ascii="Times New Roman"/>
          <w:sz w:val="32"/>
        </w:rPr>
        <w:t>攀枝花市体育中学下属非独立核算单位0个，其中行政单位0个，参照公务员法管理的事业单位0个，其他事业单位0个。</w:t>
      </w:r>
    </w:p>
    <w:p w14:paraId="00F4ADF0">
      <w:pPr>
        <w:widowControl/>
        <w:jc w:val="left"/>
        <w:rPr>
          <w:rFonts w:ascii="仿宋" w:eastAsia="仿宋"/>
          <w:kern w:val="0"/>
          <w:sz w:val="32"/>
          <w:szCs w:val="32"/>
        </w:rPr>
      </w:pPr>
      <w:r>
        <w:rPr>
          <w:rFonts w:ascii="仿宋" w:eastAsia="仿宋"/>
          <w:sz w:val="32"/>
          <w:szCs w:val="32"/>
        </w:rPr>
        <w:br w:type="page"/>
      </w:r>
    </w:p>
    <w:p w14:paraId="71E251B6">
      <w:pPr>
        <w:pStyle w:val="5"/>
        <w:ind w:right="440"/>
        <w:jc w:val="center"/>
        <w:rPr>
          <w:rStyle w:val="20"/>
          <w:rFonts w:ascii="黑体" w:eastAsia="黑体"/>
          <w:b w:val="0"/>
          <w:bCs/>
        </w:rPr>
      </w:pPr>
      <w:bookmarkStart w:id="16" w:name="_Toc15377204"/>
      <w:bookmarkStart w:id="17" w:name="_Toc15396602"/>
      <w:r>
        <w:rPr>
          <w:rFonts w:hint="eastAsia" w:ascii="黑体" w:eastAsia="黑体"/>
          <w:b w:val="0"/>
        </w:rPr>
        <w:t xml:space="preserve">第二部分 </w:t>
      </w:r>
      <w:r>
        <w:rPr>
          <w:rFonts w:hint="eastAsia" w:ascii="黑体" w:eastAsia="黑体"/>
          <w:b w:val="0"/>
          <w:lang w:eastAsia="zh-CN"/>
        </w:rPr>
        <w:t>202</w:t>
      </w:r>
      <w:r>
        <w:rPr>
          <w:rFonts w:hint="eastAsia" w:ascii="黑体" w:eastAsia="黑体"/>
          <w:b w:val="0"/>
          <w:lang w:val="en-US" w:eastAsia="zh-CN"/>
        </w:rPr>
        <w:t>4</w:t>
      </w:r>
      <w:r>
        <w:rPr>
          <w:rFonts w:hint="eastAsia" w:ascii="黑体" w:eastAsia="黑体"/>
          <w:b w:val="0"/>
        </w:rPr>
        <w:t>年度</w:t>
      </w:r>
      <w:r>
        <w:rPr>
          <w:rStyle w:val="20"/>
          <w:rFonts w:hint="eastAsia" w:ascii="黑体" w:eastAsia="黑体"/>
          <w:b w:val="0"/>
          <w:bCs/>
        </w:rPr>
        <w:t>单位决算情况说明</w:t>
      </w:r>
      <w:bookmarkEnd w:id="16"/>
      <w:bookmarkEnd w:id="17"/>
    </w:p>
    <w:p w14:paraId="347BC803"/>
    <w:p w14:paraId="31387BA1">
      <w:pPr>
        <w:pStyle w:val="26"/>
        <w:numPr>
          <w:ilvl w:val="0"/>
          <w:numId w:val="2"/>
        </w:numPr>
        <w:spacing w:line="600" w:lineRule="exact"/>
        <w:ind w:firstLineChars="0"/>
        <w:outlineLvl w:val="1"/>
        <w:rPr>
          <w:rStyle w:val="21"/>
          <w:rFonts w:ascii="黑体" w:eastAsia="黑体"/>
          <w:b w:val="0"/>
        </w:rPr>
      </w:pPr>
      <w:bookmarkStart w:id="18" w:name="_Toc15396603"/>
      <w:bookmarkStart w:id="19" w:name="_Toc15377205"/>
      <w:r>
        <w:rPr>
          <w:rFonts w:hint="eastAsia" w:ascii="黑体" w:eastAsia="黑体"/>
          <w:sz w:val="32"/>
          <w:szCs w:val="32"/>
        </w:rPr>
        <w:t>收</w:t>
      </w:r>
      <w:r>
        <w:rPr>
          <w:rStyle w:val="21"/>
          <w:rFonts w:hint="eastAsia" w:ascii="黑体" w:eastAsia="黑体"/>
          <w:b w:val="0"/>
        </w:rPr>
        <w:t>入支出决算总体情况说明</w:t>
      </w:r>
      <w:bookmarkEnd w:id="18"/>
      <w:bookmarkEnd w:id="19"/>
    </w:p>
    <w:p w14:paraId="01817A85">
      <w:pPr>
        <w:pStyle w:val="3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1653.06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ascii="Times New Roman" w:hAnsi="Times New Roman" w:eastAsia="仿宋_GB2312" w:cs="仿宋_GB2312"/>
          <w:color w:val="auto"/>
          <w:sz w:val="32"/>
          <w:szCs w:val="32"/>
          <w:highlight w:val="none"/>
          <w:lang w:val="en-US" w:eastAsia="zh-CN"/>
        </w:rPr>
        <w:t>41.37</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4.39</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val="en-US" w:eastAsia="zh-CN"/>
        </w:rPr>
        <w:t>2024年</w:t>
      </w:r>
      <w:r>
        <w:rPr>
          <w:rFonts w:hint="eastAsia" w:eastAsia="仿宋_GB2312" w:cs="仿宋_GB2312"/>
          <w:color w:val="auto"/>
          <w:sz w:val="32"/>
          <w:szCs w:val="32"/>
          <w:highlight w:val="none"/>
          <w:lang w:val="en-US" w:eastAsia="zh-CN"/>
        </w:rPr>
        <w:t>拨付</w:t>
      </w:r>
      <w:r>
        <w:rPr>
          <w:rFonts w:hint="eastAsia" w:ascii="Times New Roman" w:hAnsi="Times New Roman" w:eastAsia="仿宋_GB2312" w:cs="仿宋_GB2312"/>
          <w:color w:val="auto"/>
          <w:sz w:val="32"/>
          <w:szCs w:val="32"/>
          <w:highlight w:val="none"/>
          <w:lang w:val="en-US" w:eastAsia="zh-CN"/>
        </w:rPr>
        <w:t>省十四届运动会</w:t>
      </w:r>
      <w:r>
        <w:rPr>
          <w:rFonts w:hint="eastAsia" w:eastAsia="仿宋_GB2312" w:cs="仿宋_GB2312"/>
          <w:color w:val="auto"/>
          <w:sz w:val="32"/>
          <w:szCs w:val="32"/>
          <w:highlight w:val="none"/>
          <w:lang w:val="en-US" w:eastAsia="zh-CN"/>
        </w:rPr>
        <w:t>专项</w:t>
      </w:r>
      <w:r>
        <w:rPr>
          <w:rFonts w:hint="eastAsia" w:ascii="Times New Roman" w:hAnsi="Times New Roman" w:eastAsia="仿宋_GB2312" w:cs="仿宋_GB2312"/>
          <w:color w:val="auto"/>
          <w:sz w:val="32"/>
          <w:szCs w:val="32"/>
          <w:highlight w:val="none"/>
          <w:lang w:val="en-US" w:eastAsia="zh-CN"/>
        </w:rPr>
        <w:t>经费所致。</w:t>
      </w:r>
    </w:p>
    <w:p w14:paraId="22128607">
      <w:pPr>
        <w:spacing w:line="600" w:lineRule="exact"/>
        <w:rPr>
          <w:rFonts w:ascii="仿宋" w:eastAsia="仿宋"/>
          <w:sz w:val="32"/>
          <w:szCs w:val="32"/>
        </w:rPr>
      </w:pPr>
    </w:p>
    <w:p w14:paraId="55B170FD">
      <w:pPr>
        <w:pStyle w:val="8"/>
        <w:spacing w:before="93"/>
      </w:pPr>
      <w:r>
        <w:drawing>
          <wp:inline distT="0" distB="0" distL="114300" distR="114300">
            <wp:extent cx="5010785" cy="4810125"/>
            <wp:effectExtent l="4445" t="4445" r="1397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BEAF974">
      <w:pPr>
        <w:spacing w:line="600" w:lineRule="exact"/>
        <w:jc w:val="left"/>
        <w:rPr>
          <w:rFonts w:ascii="仿宋_GB2312" w:eastAsia="仿宋_GB2312"/>
          <w:sz w:val="32"/>
          <w:szCs w:val="32"/>
        </w:rPr>
      </w:pPr>
    </w:p>
    <w:p w14:paraId="19A978A6">
      <w:pPr>
        <w:pStyle w:val="26"/>
        <w:numPr>
          <w:ilvl w:val="0"/>
          <w:numId w:val="2"/>
        </w:numPr>
        <w:spacing w:line="600" w:lineRule="exact"/>
        <w:ind w:firstLineChars="0"/>
        <w:outlineLvl w:val="1"/>
        <w:rPr>
          <w:rStyle w:val="21"/>
          <w:rFonts w:ascii="黑体" w:eastAsia="黑体"/>
          <w:b w:val="0"/>
        </w:rPr>
      </w:pPr>
      <w:bookmarkStart w:id="20" w:name="_Toc15377206"/>
      <w:bookmarkStart w:id="21" w:name="_Toc15396604"/>
      <w:r>
        <w:rPr>
          <w:rFonts w:hint="eastAsia" w:ascii="黑体" w:eastAsia="黑体"/>
          <w:sz w:val="32"/>
          <w:szCs w:val="32"/>
        </w:rPr>
        <w:t>收</w:t>
      </w:r>
      <w:r>
        <w:rPr>
          <w:rStyle w:val="21"/>
          <w:rFonts w:hint="eastAsia" w:ascii="黑体" w:eastAsia="黑体"/>
          <w:b w:val="0"/>
        </w:rPr>
        <w:t>入决算情况说明</w:t>
      </w:r>
      <w:bookmarkEnd w:id="20"/>
      <w:bookmarkEnd w:id="21"/>
    </w:p>
    <w:p w14:paraId="280AD407">
      <w:pPr>
        <w:spacing w:line="600" w:lineRule="exact"/>
        <w:ind w:firstLine="640" w:firstLineChars="200"/>
        <w:rPr>
          <w:rFonts w:ascii="仿宋" w:eastAsia="仿宋"/>
          <w:b/>
          <w:sz w:val="32"/>
          <w:szCs w:val="32"/>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1637.1万元，其中：一般公共预算财政拨款收入1572.52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96.0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56.19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3.43</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8.39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0.51</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66C2B3FA">
      <w:pPr>
        <w:pStyle w:val="8"/>
        <w:spacing w:before="93"/>
      </w:pPr>
      <w:r>
        <w:drawing>
          <wp:inline distT="0" distB="0" distL="114300" distR="114300">
            <wp:extent cx="5273040" cy="3642360"/>
            <wp:effectExtent l="4445" t="4445" r="18415" b="1079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755B80">
      <w:pPr>
        <w:pStyle w:val="26"/>
        <w:numPr>
          <w:ilvl w:val="0"/>
          <w:numId w:val="2"/>
        </w:numPr>
        <w:spacing w:line="600" w:lineRule="exact"/>
        <w:ind w:firstLineChars="0"/>
        <w:outlineLvl w:val="1"/>
        <w:rPr>
          <w:rStyle w:val="21"/>
          <w:rFonts w:ascii="黑体" w:eastAsia="黑体"/>
          <w:b w:val="0"/>
        </w:rPr>
      </w:pPr>
      <w:bookmarkStart w:id="22" w:name="_Toc15396605"/>
      <w:bookmarkStart w:id="23" w:name="_Toc15377207"/>
      <w:r>
        <w:rPr>
          <w:rFonts w:hint="eastAsia" w:ascii="黑体" w:eastAsia="黑体"/>
          <w:sz w:val="32"/>
          <w:szCs w:val="32"/>
        </w:rPr>
        <w:t>支</w:t>
      </w:r>
      <w:r>
        <w:rPr>
          <w:rStyle w:val="21"/>
          <w:rFonts w:hint="eastAsia" w:ascii="黑体" w:eastAsia="黑体"/>
          <w:b w:val="0"/>
        </w:rPr>
        <w:t>出决算情况说明</w:t>
      </w:r>
      <w:bookmarkEnd w:id="22"/>
      <w:bookmarkEnd w:id="23"/>
    </w:p>
    <w:p w14:paraId="6FAE7418">
      <w:pPr>
        <w:spacing w:line="600" w:lineRule="exact"/>
        <w:ind w:firstLine="640" w:firstLineChars="200"/>
        <w:rPr>
          <w:rFonts w:ascii="仿宋" w:eastAsia="仿宋"/>
          <w:b/>
          <w:sz w:val="32"/>
          <w:szCs w:val="32"/>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1653.06</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1172.96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70.9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480.1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29.04</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4FEDC3D9">
      <w:pPr>
        <w:pStyle w:val="8"/>
        <w:spacing w:before="93"/>
      </w:pPr>
      <w:r>
        <w:drawing>
          <wp:inline distT="0" distB="0" distL="114300" distR="114300">
            <wp:extent cx="5274310" cy="3106420"/>
            <wp:effectExtent l="5080" t="4445" r="16510" b="13335"/>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6411F7">
      <w:pPr>
        <w:pStyle w:val="8"/>
        <w:spacing w:before="93"/>
      </w:pPr>
    </w:p>
    <w:p w14:paraId="77004CEB">
      <w:pPr>
        <w:numPr>
          <w:ilvl w:val="0"/>
          <w:numId w:val="2"/>
        </w:numPr>
        <w:spacing w:line="600" w:lineRule="exact"/>
        <w:ind w:left="1360" w:leftChars="0" w:hanging="720" w:firstLineChars="0"/>
        <w:outlineLvl w:val="1"/>
        <w:rPr>
          <w:rStyle w:val="21"/>
          <w:rFonts w:hint="eastAsia" w:ascii="黑体" w:eastAsia="黑体"/>
          <w:b w:val="0"/>
        </w:rPr>
      </w:pPr>
      <w:bookmarkStart w:id="24" w:name="_Toc15396606"/>
      <w:bookmarkStart w:id="25" w:name="_Toc15377208"/>
      <w:r>
        <w:rPr>
          <w:rFonts w:hint="eastAsia" w:ascii="黑体" w:eastAsia="黑体"/>
          <w:sz w:val="32"/>
          <w:szCs w:val="32"/>
        </w:rPr>
        <w:t>财</w:t>
      </w:r>
      <w:r>
        <w:rPr>
          <w:rStyle w:val="21"/>
          <w:rFonts w:hint="eastAsia" w:ascii="黑体" w:eastAsia="黑体"/>
          <w:b w:val="0"/>
        </w:rPr>
        <w:t>政拨款收入支出决算总体情况说明</w:t>
      </w:r>
      <w:bookmarkEnd w:id="24"/>
      <w:bookmarkEnd w:id="25"/>
    </w:p>
    <w:p w14:paraId="0E27C72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1628.71</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万元。与2023年度相比，财政拨款收入总计、支出总计各增加42.97万元，增长</w:t>
      </w:r>
      <w:r>
        <w:rPr>
          <w:rFonts w:hint="eastAsia" w:eastAsia="仿宋_GB2312" w:cs="仿宋_GB2312"/>
          <w:color w:val="auto"/>
          <w:kern w:val="2"/>
          <w:sz w:val="32"/>
          <w:szCs w:val="32"/>
          <w:highlight w:val="none"/>
          <w:lang w:val="en-US" w:eastAsia="zh-CN" w:bidi="ar-SA"/>
        </w:rPr>
        <w:t>3.19</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Times New Roman" w:hAnsi="Times New Roman" w:eastAsia="仿宋_GB2312" w:cs="仿宋_GB2312"/>
          <w:color w:val="auto"/>
          <w:sz w:val="32"/>
          <w:szCs w:val="32"/>
          <w:highlight w:val="none"/>
          <w:lang w:val="en-US" w:eastAsia="zh-CN"/>
        </w:rPr>
        <w:t>2024年</w:t>
      </w:r>
      <w:r>
        <w:rPr>
          <w:rFonts w:hint="eastAsia" w:eastAsia="仿宋_GB2312" w:cs="仿宋_GB2312"/>
          <w:color w:val="auto"/>
          <w:sz w:val="32"/>
          <w:szCs w:val="32"/>
          <w:highlight w:val="none"/>
          <w:lang w:val="en-US" w:eastAsia="zh-CN"/>
        </w:rPr>
        <w:t>拨付</w:t>
      </w:r>
      <w:r>
        <w:rPr>
          <w:rFonts w:hint="eastAsia" w:ascii="Times New Roman" w:hAnsi="Times New Roman" w:eastAsia="仿宋_GB2312" w:cs="仿宋_GB2312"/>
          <w:color w:val="auto"/>
          <w:sz w:val="32"/>
          <w:szCs w:val="32"/>
          <w:highlight w:val="none"/>
          <w:lang w:val="en-US" w:eastAsia="zh-CN"/>
        </w:rPr>
        <w:t>省十四届运动会</w:t>
      </w:r>
      <w:r>
        <w:rPr>
          <w:rFonts w:hint="eastAsia" w:eastAsia="仿宋_GB2312" w:cs="仿宋_GB2312"/>
          <w:color w:val="auto"/>
          <w:sz w:val="32"/>
          <w:szCs w:val="32"/>
          <w:highlight w:val="none"/>
          <w:lang w:val="en-US" w:eastAsia="zh-CN"/>
        </w:rPr>
        <w:t>专项</w:t>
      </w:r>
      <w:r>
        <w:rPr>
          <w:rFonts w:hint="eastAsia" w:ascii="Times New Roman" w:hAnsi="Times New Roman" w:eastAsia="仿宋_GB2312" w:cs="仿宋_GB2312"/>
          <w:color w:val="auto"/>
          <w:sz w:val="32"/>
          <w:szCs w:val="32"/>
          <w:highlight w:val="none"/>
          <w:lang w:val="en-US" w:eastAsia="zh-CN"/>
        </w:rPr>
        <w:t>经费所致。</w:t>
      </w:r>
    </w:p>
    <w:p w14:paraId="5611A3DF">
      <w:pPr>
        <w:pStyle w:val="2"/>
        <w:numPr>
          <w:ilvl w:val="0"/>
          <w:numId w:val="0"/>
        </w:numPr>
      </w:pPr>
    </w:p>
    <w:p w14:paraId="6B497184">
      <w:pPr>
        <w:pStyle w:val="8"/>
        <w:spacing w:before="93"/>
      </w:pPr>
      <w:r>
        <w:drawing>
          <wp:inline distT="0" distB="0" distL="114300" distR="114300">
            <wp:extent cx="5010785" cy="4810125"/>
            <wp:effectExtent l="4445" t="4445" r="13970"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711262">
      <w:pPr>
        <w:pStyle w:val="8"/>
        <w:spacing w:before="93"/>
      </w:pPr>
    </w:p>
    <w:p w14:paraId="44E78A99">
      <w:pPr>
        <w:spacing w:line="600" w:lineRule="exact"/>
        <w:ind w:firstLine="640" w:firstLineChars="200"/>
        <w:outlineLvl w:val="1"/>
        <w:rPr>
          <w:rStyle w:val="21"/>
          <w:rFonts w:ascii="黑体" w:eastAsia="黑体"/>
          <w:b w:val="0"/>
        </w:rPr>
      </w:pPr>
      <w:bookmarkStart w:id="26" w:name="_Toc15377209"/>
      <w:bookmarkStart w:id="27" w:name="_Toc15396607"/>
      <w:r>
        <w:rPr>
          <w:rFonts w:hint="eastAsia" w:ascii="黑体" w:eastAsia="黑体"/>
          <w:sz w:val="32"/>
          <w:szCs w:val="32"/>
        </w:rPr>
        <w:t>五、</w:t>
      </w:r>
      <w:r>
        <w:rPr>
          <w:rFonts w:hint="eastAsia" w:ascii="黑体" w:eastAsia="黑体"/>
          <w:b/>
          <w:sz w:val="32"/>
          <w:szCs w:val="32"/>
        </w:rPr>
        <w:t>一</w:t>
      </w:r>
      <w:r>
        <w:rPr>
          <w:rStyle w:val="21"/>
          <w:rFonts w:hint="eastAsia" w:ascii="黑体" w:eastAsia="黑体"/>
          <w:b w:val="0"/>
        </w:rPr>
        <w:t>般公共预算财政拨款支出决算情况说明</w:t>
      </w:r>
      <w:bookmarkEnd w:id="26"/>
      <w:bookmarkEnd w:id="27"/>
    </w:p>
    <w:p w14:paraId="416E3422">
      <w:pPr>
        <w:spacing w:line="600" w:lineRule="exact"/>
        <w:ind w:firstLine="643" w:firstLineChars="200"/>
        <w:outlineLvl w:val="2"/>
        <w:rPr>
          <w:rFonts w:ascii="仿宋" w:eastAsia="仿宋"/>
          <w:b/>
          <w:sz w:val="32"/>
          <w:szCs w:val="32"/>
        </w:rPr>
      </w:pPr>
      <w:bookmarkStart w:id="28" w:name="_Toc15377210"/>
      <w:r>
        <w:rPr>
          <w:rFonts w:hint="eastAsia" w:ascii="仿宋" w:eastAsia="仿宋"/>
          <w:b/>
          <w:sz w:val="32"/>
          <w:szCs w:val="32"/>
        </w:rPr>
        <w:t>（一）一般公共预算财政拨款支出决算总体情况</w:t>
      </w:r>
      <w:bookmarkEnd w:id="28"/>
    </w:p>
    <w:p w14:paraId="6B7795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1572.52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95.12</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%。与2023年度相比，一般公共预算财政拨款支出增加98.43万元，增长10.66%。</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Times New Roman" w:hAnsi="Times New Roman" w:eastAsia="仿宋_GB2312" w:cs="仿宋_GB2312"/>
          <w:color w:val="auto"/>
          <w:sz w:val="32"/>
          <w:szCs w:val="32"/>
          <w:highlight w:val="none"/>
          <w:lang w:val="en-US" w:eastAsia="zh-CN"/>
        </w:rPr>
        <w:t>2024年</w:t>
      </w:r>
      <w:r>
        <w:rPr>
          <w:rFonts w:hint="eastAsia" w:eastAsia="仿宋_GB2312" w:cs="仿宋_GB2312"/>
          <w:color w:val="auto"/>
          <w:sz w:val="32"/>
          <w:szCs w:val="32"/>
          <w:highlight w:val="none"/>
          <w:lang w:val="en-US" w:eastAsia="zh-CN"/>
        </w:rPr>
        <w:t>拨付</w:t>
      </w:r>
      <w:r>
        <w:rPr>
          <w:rFonts w:hint="eastAsia" w:ascii="Times New Roman" w:hAnsi="Times New Roman" w:eastAsia="仿宋_GB2312" w:cs="仿宋_GB2312"/>
          <w:color w:val="auto"/>
          <w:sz w:val="32"/>
          <w:szCs w:val="32"/>
          <w:highlight w:val="none"/>
          <w:lang w:val="en-US" w:eastAsia="zh-CN"/>
        </w:rPr>
        <w:t>省十四届运动会</w:t>
      </w:r>
      <w:r>
        <w:rPr>
          <w:rFonts w:hint="eastAsia" w:eastAsia="仿宋_GB2312" w:cs="仿宋_GB2312"/>
          <w:color w:val="auto"/>
          <w:sz w:val="32"/>
          <w:szCs w:val="32"/>
          <w:highlight w:val="none"/>
          <w:lang w:val="en-US" w:eastAsia="zh-CN"/>
        </w:rPr>
        <w:t>专项</w:t>
      </w:r>
      <w:r>
        <w:rPr>
          <w:rFonts w:hint="eastAsia" w:ascii="Times New Roman" w:hAnsi="Times New Roman" w:eastAsia="仿宋_GB2312" w:cs="仿宋_GB2312"/>
          <w:color w:val="auto"/>
          <w:sz w:val="32"/>
          <w:szCs w:val="32"/>
          <w:highlight w:val="none"/>
          <w:lang w:val="en-US" w:eastAsia="zh-CN"/>
        </w:rPr>
        <w:t>经费所致。</w:t>
      </w:r>
    </w:p>
    <w:p w14:paraId="4EC4D8A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24CEDF0">
      <w:pPr>
        <w:pStyle w:val="8"/>
        <w:spacing w:before="93"/>
      </w:pPr>
    </w:p>
    <w:p w14:paraId="3E4631FC">
      <w:pPr>
        <w:pStyle w:val="8"/>
        <w:spacing w:before="93"/>
      </w:pPr>
      <w:r>
        <w:drawing>
          <wp:inline distT="0" distB="0" distL="114300" distR="114300">
            <wp:extent cx="5270500" cy="4461510"/>
            <wp:effectExtent l="4445" t="4445" r="2095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8BC01F">
      <w:pPr>
        <w:pStyle w:val="8"/>
        <w:spacing w:before="93"/>
      </w:pPr>
    </w:p>
    <w:p w14:paraId="5289383E">
      <w:pPr>
        <w:spacing w:line="600" w:lineRule="exact"/>
        <w:ind w:firstLine="643" w:firstLineChars="200"/>
        <w:outlineLvl w:val="2"/>
        <w:rPr>
          <w:rFonts w:ascii="仿宋" w:eastAsia="仿宋"/>
          <w:b/>
          <w:sz w:val="32"/>
          <w:szCs w:val="32"/>
        </w:rPr>
      </w:pPr>
      <w:bookmarkStart w:id="29" w:name="_Toc15377211"/>
      <w:r>
        <w:rPr>
          <w:rFonts w:hint="eastAsia" w:ascii="仿宋" w:eastAsia="仿宋"/>
          <w:b/>
          <w:sz w:val="32"/>
          <w:szCs w:val="32"/>
        </w:rPr>
        <w:t>（二）一般公共预算财政拨款支出决算结构情况</w:t>
      </w:r>
      <w:bookmarkEnd w:id="29"/>
    </w:p>
    <w:p w14:paraId="1A7FDF8B">
      <w:pPr>
        <w:spacing w:line="600" w:lineRule="exact"/>
        <w:ind w:firstLine="640"/>
        <w:rPr>
          <w:rFonts w:asci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1572.52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教育支出1052.81万元，占66.95%；文化旅游体育与传媒支出144.96万元，占9.2</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%；社会保障和就业支出232.85万元，占14.8</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%；卫生健康支出60.6万元，占3.85%；住房保障支出81.3</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万元，占5.17%。</w:t>
      </w:r>
    </w:p>
    <w:p w14:paraId="53972FD5">
      <w:pPr>
        <w:spacing w:line="600" w:lineRule="exact"/>
        <w:ind w:firstLine="640" w:firstLineChars="200"/>
        <w:rPr>
          <w:rFonts w:ascii="仿宋" w:eastAsia="仿宋"/>
          <w:sz w:val="32"/>
          <w:szCs w:val="32"/>
        </w:rPr>
      </w:pPr>
    </w:p>
    <w:p w14:paraId="33356A2A">
      <w:pPr>
        <w:pStyle w:val="8"/>
        <w:spacing w:before="93"/>
      </w:pPr>
    </w:p>
    <w:p w14:paraId="1B04F0CD">
      <w:pPr>
        <w:pStyle w:val="8"/>
        <w:spacing w:before="93"/>
      </w:pPr>
    </w:p>
    <w:p w14:paraId="17E67731">
      <w:pPr>
        <w:pStyle w:val="8"/>
        <w:spacing w:before="93"/>
      </w:pPr>
      <w:r>
        <w:drawing>
          <wp:inline distT="0" distB="0" distL="114300" distR="114300">
            <wp:extent cx="5273675" cy="3263265"/>
            <wp:effectExtent l="4445" t="4445" r="17780" b="889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7F1B86">
      <w:pPr>
        <w:pStyle w:val="8"/>
        <w:spacing w:before="93"/>
      </w:pPr>
    </w:p>
    <w:p w14:paraId="2F842895">
      <w:pPr>
        <w:spacing w:line="600" w:lineRule="exact"/>
        <w:ind w:firstLine="643" w:firstLineChars="200"/>
        <w:outlineLvl w:val="2"/>
        <w:rPr>
          <w:rFonts w:ascii="仿宋" w:eastAsia="仿宋"/>
          <w:b/>
          <w:sz w:val="32"/>
          <w:szCs w:val="32"/>
        </w:rPr>
      </w:pPr>
      <w:bookmarkStart w:id="30" w:name="_Toc15377212"/>
      <w:r>
        <w:rPr>
          <w:rFonts w:hint="eastAsia" w:ascii="仿宋" w:eastAsia="仿宋"/>
          <w:b/>
          <w:sz w:val="32"/>
          <w:szCs w:val="32"/>
        </w:rPr>
        <w:t>（三）一般公共预算财政拨款支出决算具体情况</w:t>
      </w:r>
      <w:bookmarkEnd w:id="30"/>
    </w:p>
    <w:p w14:paraId="593A4B5B">
      <w:pPr>
        <w:spacing w:line="600" w:lineRule="exact"/>
        <w:ind w:firstLine="640" w:firstLineChars="200"/>
        <w:outlineLvl w:val="2"/>
        <w:rPr>
          <w:rStyle w:val="17"/>
          <w:rFonts w:ascii="仿宋" w:eastAsia="仿宋"/>
          <w:bCs/>
          <w:sz w:val="32"/>
          <w:szCs w:val="32"/>
        </w:rPr>
      </w:pPr>
      <w:bookmarkStart w:id="31" w:name="_Toc15377444"/>
      <w:bookmarkStart w:id="32" w:name="_Toc15377213"/>
      <w:bookmarkStart w:id="33"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1572.52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完成预算100%。</w:t>
      </w:r>
      <w:r>
        <w:rPr>
          <w:rStyle w:val="17"/>
          <w:rFonts w:hint="eastAsia" w:ascii="仿宋" w:eastAsia="仿宋"/>
          <w:bCs/>
          <w:sz w:val="32"/>
          <w:szCs w:val="32"/>
        </w:rPr>
        <w:t>其中：</w:t>
      </w:r>
      <w:bookmarkEnd w:id="31"/>
      <w:bookmarkEnd w:id="32"/>
      <w:bookmarkEnd w:id="33"/>
    </w:p>
    <w:p w14:paraId="6729E2A6">
      <w:pPr>
        <w:spacing w:line="600" w:lineRule="exact"/>
        <w:ind w:firstLine="640" w:firstLineChars="200"/>
        <w:rPr>
          <w:rFonts w:ascii="仿宋" w:eastAsia="仿宋"/>
          <w:sz w:val="32"/>
          <w:szCs w:val="32"/>
        </w:rPr>
      </w:pPr>
      <w:r>
        <w:rPr>
          <w:rFonts w:hint="eastAsia" w:ascii="仿宋" w:eastAsia="仿宋"/>
          <w:sz w:val="32"/>
          <w:szCs w:val="32"/>
        </w:rPr>
        <w:t>1</w:t>
      </w:r>
      <w:r>
        <w:rPr>
          <w:rFonts w:ascii="仿宋" w:eastAsia="仿宋"/>
          <w:sz w:val="32"/>
          <w:szCs w:val="32"/>
        </w:rPr>
        <w:t>.</w:t>
      </w:r>
      <w:r>
        <w:rPr>
          <w:rFonts w:hint="eastAsia" w:ascii="仿宋" w:eastAsia="仿宋"/>
          <w:sz w:val="32"/>
          <w:szCs w:val="32"/>
        </w:rPr>
        <w:t>教育（类）普通教育（款）初中教育（项）</w:t>
      </w:r>
      <w:r>
        <w:rPr>
          <w:rFonts w:ascii="仿宋" w:eastAsia="仿宋"/>
          <w:sz w:val="32"/>
          <w:szCs w:val="32"/>
        </w:rPr>
        <w:t xml:space="preserve">: </w:t>
      </w:r>
      <w:r>
        <w:rPr>
          <w:rFonts w:hint="eastAsia" w:ascii="仿宋" w:eastAsia="仿宋"/>
          <w:sz w:val="32"/>
          <w:szCs w:val="32"/>
        </w:rPr>
        <w:t>支出决算为</w:t>
      </w:r>
      <w:r>
        <w:rPr>
          <w:rFonts w:hint="eastAsia" w:ascii="仿宋" w:eastAsia="仿宋"/>
          <w:sz w:val="32"/>
          <w:szCs w:val="32"/>
          <w:lang w:val="en-US" w:eastAsia="zh-CN"/>
        </w:rPr>
        <w:t>1019.83</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509709A8">
      <w:pPr>
        <w:spacing w:line="600" w:lineRule="exact"/>
        <w:ind w:firstLine="640" w:firstLineChars="200"/>
        <w:rPr>
          <w:rFonts w:ascii="仿宋" w:eastAsia="仿宋"/>
          <w:color w:val="000000"/>
          <w:sz w:val="32"/>
          <w:szCs w:val="32"/>
        </w:rPr>
      </w:pPr>
      <w:r>
        <w:rPr>
          <w:rFonts w:hint="eastAsia" w:ascii="仿宋" w:eastAsia="仿宋"/>
          <w:sz w:val="32"/>
          <w:szCs w:val="32"/>
        </w:rPr>
        <w:t>2</w:t>
      </w:r>
      <w:r>
        <w:rPr>
          <w:rFonts w:ascii="仿宋" w:eastAsia="仿宋"/>
          <w:sz w:val="32"/>
          <w:szCs w:val="32"/>
        </w:rPr>
        <w:t>.</w:t>
      </w:r>
      <w:r>
        <w:rPr>
          <w:rFonts w:hint="eastAsia" w:ascii="仿宋" w:eastAsia="仿宋"/>
          <w:sz w:val="32"/>
          <w:szCs w:val="32"/>
        </w:rPr>
        <w:t>教育（类）教育费附加安排的支出（款）其他教育费附加安排的支出（项）</w:t>
      </w:r>
      <w:r>
        <w:rPr>
          <w:rFonts w:ascii="仿宋" w:eastAsia="仿宋"/>
          <w:sz w:val="32"/>
          <w:szCs w:val="32"/>
        </w:rPr>
        <w:t xml:space="preserve">: </w:t>
      </w:r>
      <w:r>
        <w:rPr>
          <w:rFonts w:hint="eastAsia" w:ascii="仿宋" w:eastAsia="仿宋"/>
          <w:sz w:val="32"/>
          <w:szCs w:val="32"/>
        </w:rPr>
        <w:t>支出决算为</w:t>
      </w:r>
      <w:r>
        <w:rPr>
          <w:rFonts w:hint="eastAsia" w:ascii="仿宋" w:eastAsia="仿宋"/>
          <w:sz w:val="32"/>
          <w:szCs w:val="32"/>
          <w:lang w:val="en-US" w:eastAsia="zh-CN"/>
        </w:rPr>
        <w:t>32.98</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7EFE8301">
      <w:pPr>
        <w:spacing w:line="600" w:lineRule="exact"/>
        <w:ind w:firstLine="640" w:firstLineChars="200"/>
        <w:rPr>
          <w:rFonts w:ascii="仿宋" w:eastAsia="仿宋"/>
          <w:sz w:val="32"/>
          <w:szCs w:val="32"/>
        </w:rPr>
      </w:pPr>
      <w:r>
        <w:rPr>
          <w:rFonts w:hint="eastAsia" w:ascii="仿宋" w:eastAsia="仿宋"/>
          <w:sz w:val="32"/>
          <w:szCs w:val="32"/>
        </w:rPr>
        <w:t>3</w:t>
      </w:r>
      <w:r>
        <w:rPr>
          <w:rFonts w:ascii="仿宋" w:eastAsia="仿宋"/>
          <w:sz w:val="32"/>
          <w:szCs w:val="32"/>
        </w:rPr>
        <w:t>.</w:t>
      </w:r>
      <w:r>
        <w:rPr>
          <w:rFonts w:hint="eastAsia" w:ascii="仿宋" w:eastAsia="仿宋"/>
          <w:sz w:val="32"/>
          <w:szCs w:val="32"/>
        </w:rPr>
        <w:t>文化旅游体育与传媒支出（类）体育（款）其他体育支出（项）</w:t>
      </w:r>
      <w:r>
        <w:rPr>
          <w:rFonts w:ascii="仿宋" w:eastAsia="仿宋"/>
          <w:sz w:val="32"/>
          <w:szCs w:val="32"/>
        </w:rPr>
        <w:t xml:space="preserve">: </w:t>
      </w:r>
      <w:r>
        <w:rPr>
          <w:rFonts w:hint="eastAsia" w:ascii="仿宋" w:eastAsia="仿宋"/>
          <w:sz w:val="32"/>
          <w:szCs w:val="32"/>
        </w:rPr>
        <w:t>支出决算为</w:t>
      </w:r>
      <w:r>
        <w:rPr>
          <w:rFonts w:hint="eastAsia" w:ascii="仿宋" w:eastAsia="仿宋"/>
          <w:sz w:val="32"/>
          <w:szCs w:val="32"/>
          <w:lang w:val="en-US" w:eastAsia="zh-CN"/>
        </w:rPr>
        <w:t>144.96</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1D4D4DFD">
      <w:pPr>
        <w:spacing w:line="600" w:lineRule="exact"/>
        <w:ind w:firstLine="640" w:firstLineChars="200"/>
        <w:rPr>
          <w:rFonts w:ascii="仿宋" w:eastAsia="仿宋"/>
          <w:sz w:val="32"/>
          <w:szCs w:val="32"/>
        </w:rPr>
      </w:pPr>
      <w:r>
        <w:rPr>
          <w:rFonts w:hint="eastAsia" w:ascii="仿宋" w:eastAsia="仿宋"/>
          <w:sz w:val="32"/>
          <w:szCs w:val="32"/>
        </w:rPr>
        <w:t>4</w:t>
      </w:r>
      <w:r>
        <w:rPr>
          <w:rFonts w:ascii="仿宋" w:eastAsia="仿宋"/>
          <w:sz w:val="32"/>
          <w:szCs w:val="32"/>
        </w:rPr>
        <w:t>.</w:t>
      </w:r>
      <w:r>
        <w:rPr>
          <w:rFonts w:hint="eastAsia" w:ascii="仿宋" w:eastAsia="仿宋"/>
          <w:sz w:val="32"/>
          <w:szCs w:val="32"/>
        </w:rPr>
        <w:t xml:space="preserve">社会保障和就业（类）行政事业单位养老支出（款）  </w:t>
      </w:r>
      <w:r>
        <w:rPr>
          <w:rFonts w:ascii="仿宋" w:eastAsia="仿宋"/>
          <w:sz w:val="32"/>
          <w:szCs w:val="32"/>
        </w:rPr>
        <w:t xml:space="preserve"> 事业单位离退休</w:t>
      </w:r>
      <w:r>
        <w:rPr>
          <w:rFonts w:hint="eastAsia" w:ascii="仿宋" w:eastAsia="仿宋"/>
          <w:sz w:val="32"/>
          <w:szCs w:val="32"/>
        </w:rPr>
        <w:t>（项）</w:t>
      </w:r>
      <w:r>
        <w:rPr>
          <w:rFonts w:ascii="仿宋" w:eastAsia="仿宋"/>
          <w:sz w:val="32"/>
          <w:szCs w:val="32"/>
        </w:rPr>
        <w:t xml:space="preserve">: </w:t>
      </w:r>
      <w:r>
        <w:rPr>
          <w:rFonts w:hint="eastAsia" w:ascii="仿宋" w:eastAsia="仿宋"/>
          <w:sz w:val="32"/>
          <w:szCs w:val="32"/>
        </w:rPr>
        <w:t>支出决算为</w:t>
      </w:r>
      <w:r>
        <w:rPr>
          <w:rFonts w:hint="eastAsia" w:ascii="仿宋" w:eastAsia="仿宋"/>
          <w:sz w:val="32"/>
          <w:szCs w:val="32"/>
          <w:lang w:val="en-US" w:eastAsia="zh-CN"/>
        </w:rPr>
        <w:t>110.87</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3EC1583F">
      <w:pPr>
        <w:spacing w:line="600" w:lineRule="exact"/>
        <w:ind w:firstLine="640" w:firstLineChars="200"/>
        <w:rPr>
          <w:rFonts w:hint="eastAsia" w:ascii="仿宋" w:eastAsia="仿宋"/>
          <w:sz w:val="32"/>
          <w:szCs w:val="32"/>
        </w:rPr>
      </w:pPr>
      <w:r>
        <w:rPr>
          <w:rFonts w:ascii="仿宋" w:eastAsia="仿宋"/>
          <w:sz w:val="32"/>
          <w:szCs w:val="32"/>
        </w:rPr>
        <w:t>5.</w:t>
      </w:r>
      <w:r>
        <w:rPr>
          <w:rFonts w:hint="eastAsia" w:ascii="仿宋" w:eastAsia="仿宋"/>
          <w:sz w:val="32"/>
          <w:szCs w:val="32"/>
        </w:rPr>
        <w:t>社会保障和就业（类）行政事业单位养老支出（款）  机关事业单位基本养老保险缴费支出（项）</w:t>
      </w:r>
      <w:r>
        <w:rPr>
          <w:rFonts w:ascii="仿宋" w:eastAsia="仿宋"/>
          <w:sz w:val="32"/>
          <w:szCs w:val="32"/>
        </w:rPr>
        <w:t xml:space="preserve">: </w:t>
      </w:r>
      <w:r>
        <w:rPr>
          <w:rFonts w:hint="eastAsia" w:ascii="仿宋" w:eastAsia="仿宋"/>
          <w:sz w:val="32"/>
          <w:szCs w:val="32"/>
        </w:rPr>
        <w:t>支出决算为</w:t>
      </w:r>
      <w:r>
        <w:rPr>
          <w:rFonts w:hint="eastAsia" w:ascii="仿宋" w:eastAsia="仿宋"/>
          <w:sz w:val="32"/>
          <w:szCs w:val="32"/>
          <w:lang w:val="en-US" w:eastAsia="zh-CN"/>
        </w:rPr>
        <w:t>112.95</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4A2639A5">
      <w:pPr>
        <w:spacing w:line="600" w:lineRule="exact"/>
        <w:ind w:firstLine="640" w:firstLineChars="200"/>
        <w:rPr>
          <w:rFonts w:hint="eastAsia" w:ascii="仿宋" w:eastAsia="仿宋"/>
          <w:sz w:val="32"/>
          <w:szCs w:val="32"/>
        </w:rPr>
      </w:pPr>
      <w:r>
        <w:rPr>
          <w:rFonts w:hint="eastAsia" w:ascii="仿宋" w:eastAsia="仿宋"/>
          <w:sz w:val="32"/>
          <w:szCs w:val="32"/>
          <w:lang w:val="en-US" w:eastAsia="zh-CN"/>
        </w:rPr>
        <w:t>6</w:t>
      </w:r>
      <w:r>
        <w:rPr>
          <w:rFonts w:ascii="仿宋" w:eastAsia="仿宋"/>
          <w:sz w:val="32"/>
          <w:szCs w:val="32"/>
        </w:rPr>
        <w:t>.</w:t>
      </w:r>
      <w:r>
        <w:rPr>
          <w:rFonts w:hint="eastAsia" w:ascii="仿宋" w:eastAsia="仿宋"/>
          <w:sz w:val="32"/>
          <w:szCs w:val="32"/>
        </w:rPr>
        <w:t>社会保障和就业（类）行政事业单位养老支出（款）  机关事业单位</w:t>
      </w:r>
      <w:r>
        <w:rPr>
          <w:rFonts w:hint="eastAsia" w:ascii="仿宋" w:eastAsia="仿宋"/>
          <w:sz w:val="32"/>
          <w:szCs w:val="32"/>
          <w:lang w:val="en-US" w:eastAsia="zh-CN"/>
        </w:rPr>
        <w:t>职业年金</w:t>
      </w:r>
      <w:r>
        <w:rPr>
          <w:rFonts w:hint="eastAsia" w:ascii="仿宋" w:eastAsia="仿宋"/>
          <w:sz w:val="32"/>
          <w:szCs w:val="32"/>
        </w:rPr>
        <w:t>缴费支出（项）</w:t>
      </w:r>
      <w:r>
        <w:rPr>
          <w:rFonts w:ascii="仿宋" w:eastAsia="仿宋"/>
          <w:sz w:val="32"/>
          <w:szCs w:val="32"/>
        </w:rPr>
        <w:t xml:space="preserve">: </w:t>
      </w:r>
      <w:r>
        <w:rPr>
          <w:rFonts w:hint="eastAsia" w:ascii="仿宋" w:eastAsia="仿宋"/>
          <w:sz w:val="32"/>
          <w:szCs w:val="32"/>
        </w:rPr>
        <w:t>支出决算为</w:t>
      </w:r>
      <w:r>
        <w:rPr>
          <w:rFonts w:hint="eastAsia" w:ascii="仿宋" w:eastAsia="仿宋"/>
          <w:sz w:val="32"/>
          <w:szCs w:val="32"/>
          <w:lang w:val="en-US" w:eastAsia="zh-CN"/>
        </w:rPr>
        <w:t>9.02</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0110DFBC">
      <w:pPr>
        <w:spacing w:line="600" w:lineRule="exact"/>
        <w:ind w:firstLine="640" w:firstLineChars="200"/>
        <w:rPr>
          <w:rFonts w:hint="eastAsia" w:ascii="仿宋" w:eastAsia="仿宋"/>
          <w:sz w:val="32"/>
          <w:szCs w:val="32"/>
        </w:rPr>
      </w:pPr>
      <w:r>
        <w:rPr>
          <w:rFonts w:hint="eastAsia" w:ascii="仿宋" w:eastAsia="仿宋"/>
          <w:sz w:val="32"/>
          <w:szCs w:val="32"/>
          <w:lang w:val="en-US" w:eastAsia="zh-CN"/>
        </w:rPr>
        <w:t>7</w:t>
      </w:r>
      <w:r>
        <w:rPr>
          <w:rFonts w:ascii="仿宋" w:eastAsia="仿宋"/>
          <w:sz w:val="32"/>
          <w:szCs w:val="32"/>
        </w:rPr>
        <w:t>.</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ascii="仿宋" w:eastAsia="仿宋"/>
          <w:sz w:val="32"/>
          <w:szCs w:val="32"/>
        </w:rPr>
        <w:t>（类）行政事业单位</w:t>
      </w:r>
      <w:r>
        <w:rPr>
          <w:rFonts w:hint="eastAsia" w:ascii="仿宋" w:eastAsia="仿宋"/>
          <w:sz w:val="32"/>
          <w:szCs w:val="32"/>
          <w:lang w:val="en-US" w:eastAsia="zh-CN"/>
        </w:rPr>
        <w:t>医疗</w:t>
      </w:r>
      <w:r>
        <w:rPr>
          <w:rFonts w:hint="eastAsia" w:ascii="仿宋" w:eastAsia="仿宋"/>
          <w:sz w:val="32"/>
          <w:szCs w:val="32"/>
        </w:rPr>
        <w:t>（款）事业单位</w:t>
      </w:r>
      <w:r>
        <w:rPr>
          <w:rFonts w:hint="eastAsia" w:ascii="仿宋" w:eastAsia="仿宋"/>
          <w:sz w:val="32"/>
          <w:szCs w:val="32"/>
          <w:lang w:val="en-US" w:eastAsia="zh-CN"/>
        </w:rPr>
        <w:t>医疗</w:t>
      </w:r>
      <w:r>
        <w:rPr>
          <w:rFonts w:hint="eastAsia" w:ascii="仿宋" w:eastAsia="仿宋"/>
          <w:sz w:val="32"/>
          <w:szCs w:val="32"/>
        </w:rPr>
        <w:t>（项）</w:t>
      </w:r>
      <w:r>
        <w:rPr>
          <w:rFonts w:ascii="仿宋" w:eastAsia="仿宋"/>
          <w:sz w:val="32"/>
          <w:szCs w:val="32"/>
        </w:rPr>
        <w:t xml:space="preserve">: </w:t>
      </w:r>
      <w:r>
        <w:rPr>
          <w:rFonts w:hint="eastAsia" w:ascii="仿宋" w:eastAsia="仿宋"/>
          <w:sz w:val="32"/>
          <w:szCs w:val="32"/>
        </w:rPr>
        <w:t>支出决算为</w:t>
      </w:r>
      <w:r>
        <w:rPr>
          <w:rFonts w:hint="eastAsia" w:ascii="仿宋" w:eastAsia="仿宋"/>
          <w:sz w:val="32"/>
          <w:szCs w:val="32"/>
          <w:lang w:val="en-US" w:eastAsia="zh-CN"/>
        </w:rPr>
        <w:t>54.36</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4C2C5E82">
      <w:pPr>
        <w:spacing w:line="600" w:lineRule="exact"/>
        <w:ind w:firstLine="640" w:firstLineChars="200"/>
        <w:rPr>
          <w:rFonts w:hint="eastAsia" w:ascii="仿宋" w:eastAsia="仿宋"/>
          <w:sz w:val="32"/>
          <w:szCs w:val="32"/>
        </w:rPr>
      </w:pPr>
      <w:r>
        <w:rPr>
          <w:rFonts w:hint="eastAsia" w:ascii="仿宋" w:eastAsia="仿宋"/>
          <w:sz w:val="32"/>
          <w:szCs w:val="32"/>
          <w:lang w:val="en-US" w:eastAsia="zh-CN"/>
        </w:rPr>
        <w:t>8</w:t>
      </w:r>
      <w:r>
        <w:rPr>
          <w:rFonts w:ascii="仿宋" w:eastAsia="仿宋"/>
          <w:sz w:val="32"/>
          <w:szCs w:val="32"/>
        </w:rPr>
        <w:t>.</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ascii="仿宋" w:eastAsia="仿宋"/>
          <w:sz w:val="32"/>
          <w:szCs w:val="32"/>
        </w:rPr>
        <w:t>（类）行政事业单位</w:t>
      </w:r>
      <w:r>
        <w:rPr>
          <w:rFonts w:hint="eastAsia" w:ascii="仿宋" w:eastAsia="仿宋"/>
          <w:sz w:val="32"/>
          <w:szCs w:val="32"/>
          <w:lang w:val="en-US" w:eastAsia="zh-CN"/>
        </w:rPr>
        <w:t>医疗</w:t>
      </w:r>
      <w:r>
        <w:rPr>
          <w:rFonts w:hint="eastAsia" w:ascii="仿宋" w:eastAsia="仿宋"/>
          <w:sz w:val="32"/>
          <w:szCs w:val="32"/>
        </w:rPr>
        <w:t>（款）</w:t>
      </w:r>
      <w:r>
        <w:rPr>
          <w:rFonts w:hint="eastAsia" w:ascii="仿宋" w:eastAsia="仿宋"/>
          <w:sz w:val="32"/>
          <w:szCs w:val="32"/>
          <w:lang w:val="en-US" w:eastAsia="zh-CN"/>
        </w:rPr>
        <w:t>公务员医疗补助</w:t>
      </w:r>
      <w:r>
        <w:rPr>
          <w:rFonts w:hint="eastAsia" w:ascii="仿宋" w:eastAsia="仿宋"/>
          <w:sz w:val="32"/>
          <w:szCs w:val="32"/>
        </w:rPr>
        <w:t>（项）</w:t>
      </w:r>
      <w:r>
        <w:rPr>
          <w:rFonts w:ascii="仿宋" w:eastAsia="仿宋"/>
          <w:sz w:val="32"/>
          <w:szCs w:val="32"/>
        </w:rPr>
        <w:t xml:space="preserve">: </w:t>
      </w:r>
      <w:r>
        <w:rPr>
          <w:rFonts w:hint="eastAsia" w:ascii="仿宋" w:eastAsia="仿宋"/>
          <w:sz w:val="32"/>
          <w:szCs w:val="32"/>
        </w:rPr>
        <w:t>支出决算为</w:t>
      </w:r>
      <w:r>
        <w:rPr>
          <w:rFonts w:hint="eastAsia" w:ascii="仿宋" w:eastAsia="仿宋"/>
          <w:sz w:val="32"/>
          <w:szCs w:val="32"/>
          <w:lang w:val="en-US" w:eastAsia="zh-CN"/>
        </w:rPr>
        <w:t>6.24</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33873B6A">
      <w:pPr>
        <w:spacing w:line="600" w:lineRule="exact"/>
        <w:ind w:firstLine="640" w:firstLineChars="200"/>
        <w:rPr>
          <w:rFonts w:ascii="仿宋" w:eastAsia="仿宋"/>
          <w:sz w:val="32"/>
          <w:szCs w:val="32"/>
        </w:rPr>
      </w:pPr>
      <w:r>
        <w:rPr>
          <w:rFonts w:hint="eastAsia" w:ascii="仿宋" w:eastAsia="仿宋"/>
          <w:sz w:val="32"/>
          <w:szCs w:val="32"/>
          <w:lang w:val="en-US" w:eastAsia="zh-CN"/>
        </w:rPr>
        <w:t>9</w:t>
      </w:r>
      <w:r>
        <w:rPr>
          <w:rFonts w:ascii="仿宋" w:eastAsia="仿宋"/>
          <w:sz w:val="32"/>
          <w:szCs w:val="32"/>
        </w:rPr>
        <w:t>.</w:t>
      </w:r>
      <w:r>
        <w:rPr>
          <w:rFonts w:hint="eastAsia" w:ascii="仿宋" w:eastAsia="仿宋"/>
          <w:color w:val="000000"/>
          <w:sz w:val="32"/>
          <w:szCs w:val="32"/>
        </w:rPr>
        <w:t xml:space="preserve"> 住房保障支出</w:t>
      </w:r>
      <w:r>
        <w:rPr>
          <w:rFonts w:hint="eastAsia" w:ascii="仿宋" w:eastAsia="仿宋"/>
          <w:sz w:val="32"/>
          <w:szCs w:val="32"/>
        </w:rPr>
        <w:t>（类）住房改革支出（款）住房公积金（项）</w:t>
      </w:r>
      <w:r>
        <w:rPr>
          <w:rFonts w:ascii="仿宋" w:eastAsia="仿宋"/>
          <w:sz w:val="32"/>
          <w:szCs w:val="32"/>
        </w:rPr>
        <w:t>:</w:t>
      </w:r>
      <w:r>
        <w:rPr>
          <w:rFonts w:hint="eastAsia" w:ascii="仿宋" w:eastAsia="仿宋"/>
          <w:sz w:val="32"/>
          <w:szCs w:val="32"/>
        </w:rPr>
        <w:t>支出决算为</w:t>
      </w:r>
      <w:r>
        <w:rPr>
          <w:rFonts w:hint="eastAsia" w:ascii="仿宋" w:eastAsia="仿宋"/>
          <w:sz w:val="32"/>
          <w:szCs w:val="32"/>
          <w:lang w:val="en-US" w:eastAsia="zh-CN"/>
        </w:rPr>
        <w:t>81.30</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45CE35FD">
      <w:pPr>
        <w:tabs>
          <w:tab w:val="right" w:pos="8306"/>
        </w:tabs>
        <w:spacing w:line="600" w:lineRule="exact"/>
        <w:ind w:firstLine="640"/>
        <w:outlineLvl w:val="1"/>
        <w:rPr>
          <w:rStyle w:val="21"/>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、一</w:t>
      </w:r>
      <w:r>
        <w:rPr>
          <w:rStyle w:val="21"/>
          <w:rFonts w:hint="eastAsia" w:ascii="黑体" w:eastAsia="黑体"/>
          <w:b w:val="0"/>
        </w:rPr>
        <w:t>般公共预算财政拨款基本支出决算情况说明</w:t>
      </w:r>
      <w:bookmarkEnd w:id="34"/>
      <w:bookmarkEnd w:id="35"/>
      <w:r>
        <w:rPr>
          <w:rStyle w:val="21"/>
          <w:rFonts w:ascii="黑体" w:eastAsia="黑体"/>
          <w:b w:val="0"/>
        </w:rPr>
        <w:tab/>
      </w:r>
    </w:p>
    <w:p w14:paraId="566A144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1172.96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59056041">
      <w:pPr>
        <w:spacing w:line="600" w:lineRule="exact"/>
        <w:ind w:firstLine="645"/>
        <w:rPr>
          <w:rFonts w:asci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1100.05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 w:eastAsia="仿宋"/>
          <w:sz w:val="32"/>
          <w:szCs w:val="32"/>
        </w:rPr>
        <w:t>，主要包括：基本工资、津贴补贴、绩效工资、</w:t>
      </w:r>
      <w:r>
        <w:rPr>
          <w:rFonts w:hint="eastAsia" w:ascii="Times New Roman" w:hAnsi="Times New Roman" w:eastAsia="仿宋_GB2312" w:cs="仿宋_GB2312"/>
          <w:color w:val="auto"/>
          <w:kern w:val="2"/>
          <w:sz w:val="32"/>
          <w:szCs w:val="32"/>
          <w:highlight w:val="none"/>
          <w:lang w:val="en-US" w:eastAsia="zh-CN" w:bidi="ar-SA"/>
        </w:rPr>
        <w:t>奖金、绩效工资、</w:t>
      </w:r>
      <w:r>
        <w:rPr>
          <w:rFonts w:hint="eastAsia" w:ascii="仿宋" w:eastAsia="仿宋"/>
          <w:sz w:val="32"/>
          <w:szCs w:val="32"/>
        </w:rPr>
        <w:t>机关事业单位基本养老保险缴费、</w:t>
      </w:r>
      <w:r>
        <w:rPr>
          <w:rFonts w:hint="eastAsia" w:ascii="Times New Roman" w:hAnsi="Times New Roman" w:eastAsia="仿宋_GB2312" w:cs="仿宋_GB2312"/>
          <w:color w:val="auto"/>
          <w:kern w:val="2"/>
          <w:sz w:val="32"/>
          <w:szCs w:val="32"/>
          <w:highlight w:val="none"/>
          <w:lang w:val="en-US" w:eastAsia="zh-CN" w:bidi="ar-SA"/>
        </w:rPr>
        <w:t>职业年金缴费、</w:t>
      </w:r>
      <w:r>
        <w:rPr>
          <w:rFonts w:hint="eastAsia" w:ascii="仿宋" w:eastAsia="仿宋"/>
          <w:sz w:val="32"/>
          <w:szCs w:val="32"/>
        </w:rPr>
        <w:t>其他社会保障缴费、其他工资福利支出、离休费</w:t>
      </w:r>
      <w:r>
        <w:rPr>
          <w:rFonts w:ascii="仿宋" w:eastAsia="仿宋"/>
          <w:sz w:val="32"/>
          <w:szCs w:val="32"/>
        </w:rPr>
        <w:t>、</w:t>
      </w:r>
      <w:r>
        <w:rPr>
          <w:rFonts w:hint="eastAsia" w:ascii="仿宋" w:eastAsia="仿宋"/>
          <w:sz w:val="32"/>
          <w:szCs w:val="32"/>
        </w:rPr>
        <w:t>生活补助、</w:t>
      </w:r>
      <w:r>
        <w:rPr>
          <w:rFonts w:hint="eastAsia" w:ascii="Times New Roman" w:hAnsi="Times New Roman" w:eastAsia="仿宋_GB2312" w:cs="仿宋_GB2312"/>
          <w:color w:val="auto"/>
          <w:kern w:val="2"/>
          <w:sz w:val="32"/>
          <w:szCs w:val="32"/>
          <w:highlight w:val="none"/>
          <w:lang w:val="en-US" w:eastAsia="zh-CN" w:bidi="ar-SA"/>
        </w:rPr>
        <w:t>医疗费补助、奖励金、</w:t>
      </w:r>
      <w:r>
        <w:rPr>
          <w:rFonts w:hint="eastAsia" w:ascii="仿宋" w:eastAsia="仿宋"/>
          <w:sz w:val="32"/>
          <w:szCs w:val="32"/>
        </w:rPr>
        <w:t>住房公积金。</w:t>
      </w:r>
      <w:r>
        <w:rPr>
          <w:rFonts w:ascii="仿宋" w:eastAsia="仿宋"/>
          <w:sz w:val="32"/>
          <w:szCs w:val="32"/>
        </w:rPr>
        <w:br w:type="textWrapping"/>
      </w:r>
      <w:r>
        <w:rPr>
          <w:rFonts w:hint="eastAsia" w:ascii="仿宋" w:eastAsia="仿宋"/>
          <w:sz w:val="32"/>
          <w:szCs w:val="32"/>
        </w:rPr>
        <w:t>　　公用经费</w:t>
      </w:r>
      <w:r>
        <w:rPr>
          <w:rFonts w:hint="eastAsia" w:ascii="仿宋" w:eastAsia="仿宋"/>
          <w:sz w:val="32"/>
          <w:szCs w:val="32"/>
          <w:lang w:val="en-US" w:eastAsia="zh-CN"/>
        </w:rPr>
        <w:t>72.91</w:t>
      </w:r>
      <w:r>
        <w:rPr>
          <w:rFonts w:hint="eastAsia" w:ascii="仿宋" w:eastAsia="仿宋"/>
          <w:sz w:val="32"/>
          <w:szCs w:val="32"/>
        </w:rPr>
        <w:t>万元，主要包括：办公费、</w:t>
      </w:r>
      <w:r>
        <w:rPr>
          <w:rFonts w:hint="eastAsia" w:ascii="仿宋" w:eastAsia="仿宋"/>
          <w:sz w:val="32"/>
          <w:szCs w:val="32"/>
          <w:lang w:val="en-US" w:eastAsia="zh-CN"/>
        </w:rPr>
        <w:t>水</w:t>
      </w:r>
      <w:r>
        <w:rPr>
          <w:rFonts w:hint="eastAsia" w:ascii="仿宋" w:eastAsia="仿宋"/>
          <w:sz w:val="32"/>
          <w:szCs w:val="32"/>
        </w:rPr>
        <w:t>费、电费、邮电费、差旅费、维修（护）费、培训费、劳务费、工会经费、福利费、公务用车运行维护费</w:t>
      </w:r>
      <w:r>
        <w:rPr>
          <w:rFonts w:ascii="仿宋" w:eastAsia="仿宋"/>
          <w:sz w:val="32"/>
          <w:szCs w:val="32"/>
        </w:rPr>
        <w:t>、</w:t>
      </w:r>
      <w:r>
        <w:rPr>
          <w:rFonts w:hint="eastAsia" w:ascii="仿宋" w:eastAsia="仿宋"/>
          <w:sz w:val="32"/>
          <w:szCs w:val="32"/>
        </w:rPr>
        <w:t>其他商品和服务支出、  办公设备购置。</w:t>
      </w:r>
    </w:p>
    <w:p w14:paraId="2FCB7188">
      <w:pPr>
        <w:spacing w:line="600" w:lineRule="exact"/>
        <w:ind w:firstLine="640"/>
        <w:outlineLvl w:val="1"/>
        <w:rPr>
          <w:rStyle w:val="21"/>
          <w:rFonts w:ascii="黑体" w:eastAsia="黑体"/>
          <w:b w:val="0"/>
        </w:rPr>
      </w:pPr>
      <w:bookmarkStart w:id="36" w:name="_Toc15396609"/>
      <w:bookmarkStart w:id="37" w:name="_Toc15377215"/>
      <w:r>
        <w:rPr>
          <w:rFonts w:hint="eastAsia" w:ascii="黑体" w:eastAsia="黑体"/>
          <w:sz w:val="32"/>
          <w:szCs w:val="32"/>
        </w:rPr>
        <w:t>七、</w:t>
      </w:r>
      <w:r>
        <w:rPr>
          <w:rStyle w:val="21"/>
          <w:rFonts w:hint="eastAsia" w:ascii="黑体" w:eastAsia="黑体"/>
          <w:b w:val="0"/>
        </w:rPr>
        <w:t>财政拨款</w:t>
      </w:r>
      <w:r>
        <w:rPr>
          <w:rStyle w:val="21"/>
          <w:rFonts w:hint="eastAsia" w:ascii="黑体" w:eastAsia="黑体"/>
        </w:rPr>
        <w:t>“</w:t>
      </w:r>
      <w:r>
        <w:rPr>
          <w:rStyle w:val="21"/>
          <w:rFonts w:hint="eastAsia" w:ascii="黑体" w:eastAsia="黑体"/>
          <w:b w:val="0"/>
        </w:rPr>
        <w:t>三公”经费支出决算情况说明</w:t>
      </w:r>
      <w:bookmarkEnd w:id="36"/>
      <w:bookmarkEnd w:id="37"/>
    </w:p>
    <w:p w14:paraId="296CFF0F">
      <w:pPr>
        <w:spacing w:line="600" w:lineRule="exact"/>
        <w:ind w:firstLine="640"/>
        <w:outlineLvl w:val="2"/>
        <w:rPr>
          <w:rFonts w:ascii="仿宋" w:eastAsia="仿宋"/>
          <w:b/>
          <w:sz w:val="32"/>
          <w:szCs w:val="32"/>
        </w:rPr>
      </w:pPr>
      <w:bookmarkStart w:id="38" w:name="_Toc15377216"/>
      <w:r>
        <w:rPr>
          <w:rFonts w:hint="eastAsia" w:ascii="仿宋" w:eastAsia="仿宋"/>
          <w:b/>
          <w:sz w:val="32"/>
          <w:szCs w:val="32"/>
        </w:rPr>
        <w:t>（一）“三公”经费财政拨款支出决算总体情况说明</w:t>
      </w:r>
      <w:bookmarkEnd w:id="38"/>
    </w:p>
    <w:p w14:paraId="5123161B">
      <w:pPr>
        <w:spacing w:line="600" w:lineRule="exact"/>
        <w:ind w:firstLine="640"/>
        <w:rPr>
          <w:rFonts w:ascii="仿宋" w:eastAsia="仿宋"/>
          <w:color w:val="000000"/>
          <w:sz w:val="32"/>
          <w:szCs w:val="32"/>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1.13</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eastAsia="仿宋"/>
          <w:sz w:val="32"/>
          <w:szCs w:val="32"/>
        </w:rPr>
        <w:t>，</w:t>
      </w:r>
      <w:r>
        <w:rPr>
          <w:rFonts w:hint="eastAsia" w:ascii="Times New Roman" w:hAnsi="Times New Roman" w:eastAsia="仿宋_GB2312" w:cs="仿宋_GB2312"/>
          <w:color w:val="auto"/>
          <w:kern w:val="2"/>
          <w:sz w:val="32"/>
          <w:szCs w:val="32"/>
          <w:highlight w:val="none"/>
          <w:lang w:val="en-US" w:eastAsia="zh-CN" w:bidi="ar-SA"/>
        </w:rPr>
        <w:t>较上年度减少0.04万元，下降3.41%。</w:t>
      </w:r>
      <w:r>
        <w:rPr>
          <w:rFonts w:hint="eastAsia" w:ascii="仿宋" w:eastAsia="仿宋"/>
          <w:sz w:val="32"/>
          <w:szCs w:val="32"/>
        </w:rPr>
        <w:t>决算数</w:t>
      </w:r>
      <w:r>
        <w:rPr>
          <w:rFonts w:hint="eastAsia" w:ascii="Times New Roman" w:hAnsi="Times New Roman" w:eastAsia="仿宋_GB2312" w:cs="仿宋_GB2312"/>
          <w:color w:val="auto"/>
          <w:kern w:val="2"/>
          <w:sz w:val="32"/>
          <w:szCs w:val="32"/>
          <w:highlight w:val="none"/>
          <w:lang w:val="en-US" w:eastAsia="zh-CN" w:bidi="ar-SA"/>
        </w:rPr>
        <w:t>与预算数持平</w:t>
      </w:r>
      <w:r>
        <w:rPr>
          <w:rFonts w:hint="eastAsia" w:ascii="仿宋" w:eastAsia="仿宋"/>
          <w:sz w:val="32"/>
          <w:szCs w:val="32"/>
        </w:rPr>
        <w:t>的主要原因是</w:t>
      </w:r>
      <w:r>
        <w:rPr>
          <w:rFonts w:hint="eastAsia" w:ascii="仿宋" w:eastAsia="仿宋"/>
          <w:color w:val="000000"/>
          <w:sz w:val="32"/>
          <w:szCs w:val="32"/>
        </w:rPr>
        <w:t>单位坚决贯彻执行中央“八项规定”和省、市“十项规定”以及《党政机关厉行节约反对浪费条例》等相关规定，加强公务用车的管理，提高了公务车的使用效率，公务车运行维护费</w:t>
      </w:r>
      <w:r>
        <w:rPr>
          <w:rFonts w:hint="eastAsia" w:ascii="Times New Roman" w:hAnsi="Times New Roman" w:eastAsia="仿宋_GB2312" w:cs="仿宋_GB2312"/>
          <w:color w:val="auto"/>
          <w:kern w:val="2"/>
          <w:sz w:val="32"/>
          <w:szCs w:val="32"/>
          <w:highlight w:val="none"/>
          <w:lang w:val="en-US" w:eastAsia="zh-CN" w:bidi="ar-SA"/>
        </w:rPr>
        <w:t>持平</w:t>
      </w:r>
      <w:r>
        <w:rPr>
          <w:rFonts w:hint="eastAsia" w:ascii="仿宋" w:eastAsia="仿宋"/>
          <w:sz w:val="32"/>
          <w:szCs w:val="32"/>
        </w:rPr>
        <w:t>。</w:t>
      </w:r>
    </w:p>
    <w:p w14:paraId="48582955">
      <w:pPr>
        <w:spacing w:line="600" w:lineRule="exact"/>
        <w:ind w:firstLine="640"/>
        <w:outlineLvl w:val="2"/>
        <w:rPr>
          <w:rFonts w:ascii="仿宋" w:eastAsia="仿宋"/>
          <w:b/>
          <w:sz w:val="32"/>
          <w:szCs w:val="32"/>
        </w:rPr>
      </w:pPr>
      <w:bookmarkStart w:id="39" w:name="_Toc15377217"/>
      <w:r>
        <w:rPr>
          <w:rFonts w:hint="eastAsia" w:ascii="仿宋" w:eastAsia="仿宋"/>
          <w:b/>
          <w:sz w:val="32"/>
          <w:szCs w:val="32"/>
        </w:rPr>
        <w:t>（二）“三公”经费财政拨款支出决算具体情况说明</w:t>
      </w:r>
      <w:bookmarkEnd w:id="39"/>
    </w:p>
    <w:p w14:paraId="0B5EF0DD">
      <w:pPr>
        <w:spacing w:line="600" w:lineRule="exact"/>
        <w:ind w:firstLine="640"/>
        <w:rPr>
          <w:rFonts w:ascii="仿宋" w:eastAsia="仿宋"/>
          <w:sz w:val="32"/>
          <w:szCs w:val="32"/>
        </w:rPr>
      </w:pPr>
      <w:r>
        <w:rPr>
          <w:rFonts w:hint="eastAsia" w:ascii="仿宋" w:eastAsia="仿宋"/>
          <w:sz w:val="32"/>
          <w:szCs w:val="32"/>
          <w:lang w:eastAsia="zh-CN"/>
        </w:rPr>
        <w:t>202</w:t>
      </w:r>
      <w:r>
        <w:rPr>
          <w:rFonts w:hint="eastAsia" w:ascii="仿宋" w:eastAsia="仿宋"/>
          <w:sz w:val="32"/>
          <w:szCs w:val="32"/>
          <w:lang w:val="en-US" w:eastAsia="zh-CN"/>
        </w:rPr>
        <w:t>4</w:t>
      </w:r>
      <w:r>
        <w:rPr>
          <w:rFonts w:hint="eastAsia" w:ascii="仿宋" w:eastAsia="仿宋"/>
          <w:sz w:val="32"/>
          <w:szCs w:val="32"/>
        </w:rPr>
        <w:t>年</w:t>
      </w:r>
      <w:r>
        <w:rPr>
          <w:rFonts w:hint="eastAsia" w:ascii="仿宋" w:eastAsia="仿宋"/>
          <w:sz w:val="32"/>
          <w:szCs w:val="32"/>
          <w:lang w:val="en-US" w:eastAsia="zh-CN"/>
        </w:rPr>
        <w:t>度</w:t>
      </w:r>
      <w:r>
        <w:rPr>
          <w:rFonts w:hint="eastAsia" w:ascii="仿宋" w:eastAsia="仿宋"/>
          <w:sz w:val="32"/>
          <w:szCs w:val="32"/>
        </w:rPr>
        <w:t>“三公”经费财政拨款支出决算中，因公出国（境）费支出决算</w:t>
      </w:r>
      <w:r>
        <w:rPr>
          <w:rFonts w:ascii="仿宋" w:eastAsia="仿宋"/>
          <w:sz w:val="32"/>
          <w:szCs w:val="32"/>
        </w:rPr>
        <w:t>0.00</w:t>
      </w:r>
      <w:r>
        <w:rPr>
          <w:rFonts w:hint="eastAsia" w:ascii="仿宋" w:eastAsia="仿宋"/>
          <w:sz w:val="32"/>
          <w:szCs w:val="32"/>
        </w:rPr>
        <w:t>万元，占</w:t>
      </w:r>
      <w:r>
        <w:rPr>
          <w:rFonts w:ascii="仿宋" w:eastAsia="仿宋"/>
          <w:sz w:val="32"/>
          <w:szCs w:val="32"/>
        </w:rPr>
        <w:t>0.00%</w:t>
      </w:r>
      <w:r>
        <w:rPr>
          <w:rFonts w:hint="eastAsia" w:ascii="仿宋" w:eastAsia="仿宋"/>
          <w:sz w:val="32"/>
          <w:szCs w:val="32"/>
        </w:rPr>
        <w:t>；公务用车购置及运行维护费支出决算</w:t>
      </w:r>
      <w:r>
        <w:rPr>
          <w:rFonts w:ascii="仿宋" w:eastAsia="仿宋"/>
          <w:sz w:val="32"/>
          <w:szCs w:val="32"/>
        </w:rPr>
        <w:t>1.1</w:t>
      </w:r>
      <w:r>
        <w:rPr>
          <w:rFonts w:hint="eastAsia" w:ascii="仿宋" w:eastAsia="仿宋"/>
          <w:sz w:val="32"/>
          <w:szCs w:val="32"/>
          <w:lang w:val="en-US" w:eastAsia="zh-CN"/>
        </w:rPr>
        <w:t>3</w:t>
      </w:r>
      <w:r>
        <w:rPr>
          <w:rFonts w:hint="eastAsia" w:ascii="仿宋" w:eastAsia="仿宋"/>
          <w:sz w:val="32"/>
          <w:szCs w:val="32"/>
        </w:rPr>
        <w:t>万元，占</w:t>
      </w:r>
      <w:r>
        <w:rPr>
          <w:rFonts w:hint="eastAsia" w:ascii="仿宋" w:eastAsia="仿宋"/>
          <w:sz w:val="32"/>
          <w:szCs w:val="32"/>
          <w:lang w:val="en-US" w:eastAsia="zh-CN"/>
        </w:rPr>
        <w:t>100.00</w:t>
      </w:r>
      <w:r>
        <w:rPr>
          <w:rFonts w:ascii="仿宋" w:eastAsia="仿宋"/>
          <w:sz w:val="32"/>
          <w:szCs w:val="32"/>
        </w:rPr>
        <w:t>%</w:t>
      </w:r>
      <w:r>
        <w:rPr>
          <w:rFonts w:hint="eastAsia" w:ascii="仿宋" w:eastAsia="仿宋"/>
          <w:sz w:val="32"/>
          <w:szCs w:val="32"/>
        </w:rPr>
        <w:t>；公务接待费支出决算</w:t>
      </w:r>
      <w:r>
        <w:rPr>
          <w:rFonts w:ascii="仿宋" w:eastAsia="仿宋"/>
          <w:sz w:val="32"/>
          <w:szCs w:val="32"/>
        </w:rPr>
        <w:t>0.0</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0.00</w:t>
      </w:r>
      <w:r>
        <w:rPr>
          <w:rFonts w:ascii="仿宋" w:eastAsia="仿宋"/>
          <w:sz w:val="32"/>
          <w:szCs w:val="32"/>
        </w:rPr>
        <w:t>%</w:t>
      </w:r>
      <w:r>
        <w:rPr>
          <w:rFonts w:hint="eastAsia" w:ascii="仿宋" w:eastAsia="仿宋"/>
          <w:sz w:val="32"/>
          <w:szCs w:val="32"/>
        </w:rPr>
        <w:t>。具体情况如下：</w:t>
      </w:r>
    </w:p>
    <w:p w14:paraId="2754F667">
      <w:pPr>
        <w:pStyle w:val="8"/>
        <w:spacing w:before="93"/>
      </w:pPr>
      <w:r>
        <w:drawing>
          <wp:inline distT="0" distB="0" distL="114300" distR="114300">
            <wp:extent cx="5286375" cy="2876550"/>
            <wp:effectExtent l="4445" t="4445" r="5080" b="14605"/>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C489BC">
      <w:pPr>
        <w:pStyle w:val="8"/>
        <w:spacing w:before="93"/>
      </w:pPr>
    </w:p>
    <w:p w14:paraId="63C81A4A">
      <w:pPr>
        <w:spacing w:line="600" w:lineRule="exact"/>
        <w:ind w:firstLine="640"/>
        <w:rPr>
          <w:rFonts w:ascii="仿宋" w:eastAsia="仿宋"/>
          <w:color w:val="00000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0.00</w:t>
      </w:r>
      <w:r>
        <w:rPr>
          <w:rFonts w:hint="eastAsia" w:ascii="仿宋_GB2312" w:eastAsia="仿宋_GB2312"/>
          <w:sz w:val="32"/>
          <w:szCs w:val="32"/>
        </w:rPr>
        <w:t>万元，</w:t>
      </w:r>
      <w:r>
        <w:rPr>
          <w:rStyle w:val="17"/>
          <w:rFonts w:hint="eastAsia" w:ascii="仿宋" w:eastAsia="仿宋"/>
          <w:b w:val="0"/>
          <w:bCs/>
          <w:sz w:val="32"/>
          <w:szCs w:val="32"/>
        </w:rPr>
        <w:t>完成预算</w:t>
      </w:r>
      <w:r>
        <w:rPr>
          <w:rStyle w:val="17"/>
          <w:rFonts w:ascii="仿宋" w:eastAsia="仿宋"/>
          <w:b w:val="0"/>
          <w:bCs/>
          <w:sz w:val="32"/>
          <w:szCs w:val="32"/>
        </w:rPr>
        <w:t>0.00%</w:t>
      </w:r>
      <w:r>
        <w:rPr>
          <w:rStyle w:val="17"/>
          <w:rFonts w:hint="eastAsia" w:asci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w:t>
      </w:r>
      <w:r>
        <w:rPr>
          <w:rFonts w:hint="eastAsia" w:ascii="仿宋" w:eastAsia="仿宋"/>
          <w:color w:val="000000"/>
          <w:sz w:val="32"/>
          <w:szCs w:val="32"/>
        </w:rPr>
        <w:t>因公出国（境）支出决算与</w:t>
      </w:r>
      <w:r>
        <w:rPr>
          <w:rFonts w:hint="eastAsia" w:ascii="仿宋" w:eastAsia="仿宋"/>
          <w:color w:val="000000"/>
          <w:sz w:val="32"/>
          <w:szCs w:val="32"/>
          <w:lang w:eastAsia="zh-CN"/>
        </w:rPr>
        <w:t>202</w:t>
      </w:r>
      <w:r>
        <w:rPr>
          <w:rFonts w:hint="eastAsia" w:ascii="仿宋" w:eastAsia="仿宋"/>
          <w:color w:val="000000"/>
          <w:sz w:val="32"/>
          <w:szCs w:val="32"/>
          <w:lang w:val="en-US" w:eastAsia="zh-CN"/>
        </w:rPr>
        <w:t>3</w:t>
      </w:r>
      <w:r>
        <w:rPr>
          <w:rFonts w:hint="eastAsia" w:ascii="仿宋" w:eastAsia="仿宋"/>
          <w:color w:val="000000"/>
          <w:sz w:val="32"/>
          <w:szCs w:val="32"/>
        </w:rPr>
        <w:t>年</w:t>
      </w:r>
      <w:r>
        <w:rPr>
          <w:rFonts w:hint="eastAsia" w:ascii="仿宋" w:eastAsia="仿宋"/>
          <w:color w:val="000000"/>
          <w:sz w:val="32"/>
          <w:szCs w:val="32"/>
          <w:lang w:val="en-US" w:eastAsia="zh-CN"/>
        </w:rPr>
        <w:t>度</w:t>
      </w:r>
      <w:r>
        <w:rPr>
          <w:rFonts w:hint="eastAsia" w:ascii="仿宋" w:eastAsia="仿宋"/>
          <w:color w:val="000000"/>
          <w:sz w:val="32"/>
          <w:szCs w:val="32"/>
        </w:rPr>
        <w:t>持平。</w:t>
      </w:r>
    </w:p>
    <w:p w14:paraId="7DAD0283">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1.1</w:t>
      </w:r>
      <w:r>
        <w:rPr>
          <w:rFonts w:hint="eastAsia" w:ascii="仿宋_GB2312" w:eastAsia="仿宋_GB2312"/>
          <w:sz w:val="32"/>
          <w:szCs w:val="32"/>
          <w:lang w:val="en-US" w:eastAsia="zh-CN"/>
        </w:rPr>
        <w:t>3</w:t>
      </w:r>
      <w:r>
        <w:rPr>
          <w:rFonts w:hint="eastAsia" w:ascii="仿宋_GB2312" w:eastAsia="仿宋_GB2312"/>
          <w:sz w:val="32"/>
          <w:szCs w:val="32"/>
        </w:rPr>
        <w:t>万元,</w:t>
      </w:r>
      <w:r>
        <w:rPr>
          <w:rStyle w:val="17"/>
          <w:rFonts w:hint="eastAsia" w:ascii="仿宋" w:eastAsia="仿宋"/>
          <w:b w:val="0"/>
          <w:bCs/>
          <w:sz w:val="32"/>
          <w:szCs w:val="32"/>
        </w:rPr>
        <w:t>完成预算</w:t>
      </w:r>
      <w:r>
        <w:rPr>
          <w:rStyle w:val="17"/>
          <w:rFonts w:hint="eastAsia" w:ascii="仿宋" w:eastAsia="仿宋"/>
          <w:b w:val="0"/>
          <w:bCs/>
          <w:sz w:val="32"/>
          <w:szCs w:val="32"/>
          <w:lang w:val="en-US" w:eastAsia="zh-CN"/>
        </w:rPr>
        <w:t>100.00</w:t>
      </w:r>
      <w:r>
        <w:rPr>
          <w:rStyle w:val="17"/>
          <w:rFonts w:ascii="仿宋" w:eastAsia="仿宋"/>
          <w:b w:val="0"/>
          <w:bCs/>
          <w:sz w:val="32"/>
          <w:szCs w:val="32"/>
        </w:rPr>
        <w:t>%</w:t>
      </w:r>
      <w:r>
        <w:rPr>
          <w:rStyle w:val="17"/>
          <w:rFonts w:hint="eastAsia" w:ascii="仿宋" w:eastAsia="仿宋"/>
          <w:b w:val="0"/>
          <w:bCs/>
          <w:sz w:val="32"/>
          <w:szCs w:val="32"/>
        </w:rPr>
        <w:t>。</w:t>
      </w:r>
      <w:r>
        <w:rPr>
          <w:rFonts w:hint="eastAsia" w:ascii="仿宋_GB2312" w:eastAsia="仿宋_GB2312"/>
          <w:sz w:val="32"/>
          <w:szCs w:val="32"/>
        </w:rPr>
        <w:t>公务用车购置及运行维护费支出决算比</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度减少</w:t>
      </w:r>
      <w:r>
        <w:rPr>
          <w:rFonts w:ascii="仿宋_GB2312" w:eastAsia="仿宋_GB2312"/>
          <w:sz w:val="32"/>
          <w:szCs w:val="32"/>
        </w:rPr>
        <w:t>0.0</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eastAsia" w:ascii="仿宋_GB2312" w:eastAsia="仿宋_GB2312"/>
          <w:sz w:val="32"/>
          <w:szCs w:val="32"/>
          <w:lang w:val="en-US" w:eastAsia="zh-CN"/>
        </w:rPr>
        <w:t>下降0.89</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市2024年招生安排多，</w:t>
      </w:r>
      <w:r>
        <w:rPr>
          <w:rFonts w:ascii="仿宋_GB2312" w:eastAsia="仿宋_GB2312"/>
          <w:sz w:val="32"/>
          <w:szCs w:val="32"/>
        </w:rPr>
        <w:t>公务车使用频率较同期有所</w:t>
      </w:r>
      <w:r>
        <w:rPr>
          <w:rFonts w:hint="eastAsia" w:ascii="仿宋_GB2312" w:eastAsia="仿宋_GB2312"/>
          <w:sz w:val="32"/>
          <w:szCs w:val="32"/>
          <w:lang w:val="en-US" w:eastAsia="zh-CN"/>
        </w:rPr>
        <w:t>增加</w:t>
      </w:r>
      <w:r>
        <w:rPr>
          <w:rFonts w:ascii="仿宋_GB2312" w:eastAsia="仿宋_GB2312"/>
          <w:sz w:val="32"/>
          <w:szCs w:val="32"/>
        </w:rPr>
        <w:t>，因此</w:t>
      </w:r>
      <w:r>
        <w:rPr>
          <w:rFonts w:hint="eastAsia" w:ascii="仿宋_GB2312" w:eastAsia="仿宋_GB2312"/>
          <w:sz w:val="32"/>
          <w:szCs w:val="32"/>
        </w:rPr>
        <w:t>公务用车</w:t>
      </w:r>
      <w:r>
        <w:rPr>
          <w:rFonts w:ascii="仿宋_GB2312" w:eastAsia="仿宋_GB2312"/>
          <w:sz w:val="32"/>
          <w:szCs w:val="32"/>
        </w:rPr>
        <w:t>运行维护费支出有所</w:t>
      </w:r>
      <w:r>
        <w:rPr>
          <w:rFonts w:hint="eastAsia" w:ascii="仿宋_GB2312" w:eastAsia="仿宋_GB2312"/>
          <w:sz w:val="32"/>
          <w:szCs w:val="32"/>
          <w:lang w:val="en-US" w:eastAsia="zh-CN"/>
        </w:rPr>
        <w:t>增长</w:t>
      </w:r>
      <w:r>
        <w:rPr>
          <w:rFonts w:hint="eastAsia" w:ascii="仿宋_GB2312" w:eastAsia="仿宋_GB2312"/>
          <w:sz w:val="32"/>
          <w:szCs w:val="32"/>
        </w:rPr>
        <w:t>。</w:t>
      </w:r>
    </w:p>
    <w:p w14:paraId="56305538">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0.00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0.00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0.00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0.00</w:t>
      </w:r>
      <w:r>
        <w:rPr>
          <w:rFonts w:hint="eastAsia" w:ascii="仿宋_GB2312" w:eastAsia="仿宋_GB2312"/>
          <w:sz w:val="32"/>
          <w:szCs w:val="32"/>
        </w:rPr>
        <w:t>万元。截至</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1</w:t>
      </w:r>
      <w:r>
        <w:rPr>
          <w:rFonts w:hint="eastAsia" w:ascii="仿宋_GB2312" w:eastAsia="仿宋_GB2312"/>
          <w:sz w:val="32"/>
          <w:szCs w:val="32"/>
        </w:rPr>
        <w:t>辆，其中：轿车</w:t>
      </w:r>
      <w:r>
        <w:rPr>
          <w:rFonts w:ascii="仿宋_GB2312" w:eastAsia="仿宋_GB2312"/>
          <w:sz w:val="32"/>
          <w:szCs w:val="32"/>
        </w:rPr>
        <w:t>1</w:t>
      </w:r>
      <w:r>
        <w:rPr>
          <w:rFonts w:hint="eastAsia" w:ascii="仿宋_GB2312" w:eastAsia="仿宋_GB2312"/>
          <w:sz w:val="32"/>
          <w:szCs w:val="32"/>
        </w:rPr>
        <w:t>辆、越野车</w:t>
      </w:r>
      <w:r>
        <w:rPr>
          <w:rFonts w:ascii="仿宋_GB2312" w:eastAsia="仿宋_GB2312"/>
          <w:sz w:val="32"/>
          <w:szCs w:val="32"/>
        </w:rPr>
        <w:t>0</w:t>
      </w:r>
      <w:r>
        <w:rPr>
          <w:rFonts w:hint="eastAsia" w:ascii="仿宋_GB2312" w:eastAsia="仿宋_GB2312"/>
          <w:sz w:val="32"/>
          <w:szCs w:val="32"/>
        </w:rPr>
        <w:t>辆、载客汽车</w:t>
      </w:r>
      <w:r>
        <w:rPr>
          <w:rFonts w:ascii="仿宋_GB2312" w:eastAsia="仿宋_GB2312"/>
          <w:sz w:val="32"/>
          <w:szCs w:val="32"/>
        </w:rPr>
        <w:t>0</w:t>
      </w:r>
      <w:r>
        <w:rPr>
          <w:rFonts w:hint="eastAsia" w:ascii="仿宋_GB2312" w:eastAsia="仿宋_GB2312"/>
          <w:sz w:val="32"/>
          <w:szCs w:val="32"/>
        </w:rPr>
        <w:t>辆。</w:t>
      </w:r>
    </w:p>
    <w:p w14:paraId="128A25E6">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1.1</w:t>
      </w:r>
      <w:r>
        <w:rPr>
          <w:rFonts w:hint="eastAsia" w:ascii="仿宋_GB2312" w:eastAsia="仿宋_GB2312"/>
          <w:sz w:val="32"/>
          <w:szCs w:val="32"/>
          <w:lang w:val="en-US" w:eastAsia="zh-CN"/>
        </w:rPr>
        <w:t>3</w:t>
      </w:r>
      <w:r>
        <w:rPr>
          <w:rFonts w:hint="eastAsia" w:ascii="仿宋_GB2312" w:eastAsia="仿宋_GB2312"/>
          <w:sz w:val="32"/>
          <w:szCs w:val="32"/>
        </w:rPr>
        <w:t>万元。主要用于</w:t>
      </w:r>
      <w:r>
        <w:rPr>
          <w:rFonts w:hint="eastAsia" w:ascii="仿宋" w:eastAsia="仿宋"/>
          <w:color w:val="000000"/>
          <w:sz w:val="32"/>
          <w:szCs w:val="32"/>
        </w:rPr>
        <w:t>单位发展教育和体育事业等所需</w:t>
      </w:r>
      <w:r>
        <w:rPr>
          <w:rFonts w:hint="eastAsia" w:ascii="仿宋_GB2312" w:eastAsia="仿宋_GB2312"/>
          <w:sz w:val="32"/>
          <w:szCs w:val="32"/>
        </w:rPr>
        <w:t>的公务用车燃料费、维修费、过路过桥费、保险费等支出。</w:t>
      </w:r>
    </w:p>
    <w:p w14:paraId="6D7C1F05">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0.0</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eastAsia="仿宋"/>
          <w:b w:val="0"/>
          <w:bCs/>
          <w:sz w:val="32"/>
          <w:szCs w:val="32"/>
        </w:rPr>
        <w:t>完成预算</w:t>
      </w:r>
      <w:r>
        <w:rPr>
          <w:rStyle w:val="17"/>
          <w:rFonts w:hint="eastAsia" w:ascii="仿宋" w:eastAsia="仿宋"/>
          <w:b w:val="0"/>
          <w:bCs/>
          <w:sz w:val="32"/>
          <w:szCs w:val="32"/>
          <w:lang w:val="en-US" w:eastAsia="zh-CN"/>
        </w:rPr>
        <w:t>0.00</w:t>
      </w:r>
      <w:r>
        <w:rPr>
          <w:rStyle w:val="17"/>
          <w:rFonts w:ascii="仿宋" w:eastAsia="仿宋"/>
          <w:b w:val="0"/>
          <w:bCs/>
          <w:sz w:val="32"/>
          <w:szCs w:val="32"/>
        </w:rPr>
        <w:t>%</w:t>
      </w:r>
      <w:r>
        <w:rPr>
          <w:rStyle w:val="17"/>
          <w:rFonts w:hint="eastAsia" w:ascii="仿宋" w:eastAsia="仿宋"/>
          <w:b w:val="0"/>
          <w:bCs/>
          <w:sz w:val="32"/>
          <w:szCs w:val="32"/>
        </w:rPr>
        <w:t>。</w:t>
      </w:r>
      <w:r>
        <w:rPr>
          <w:rFonts w:hint="eastAsia" w:ascii="仿宋" w:eastAsia="仿宋"/>
          <w:color w:val="000000"/>
          <w:sz w:val="32"/>
          <w:szCs w:val="32"/>
        </w:rPr>
        <w:t>公务接待费支出决算</w:t>
      </w:r>
      <w:r>
        <w:rPr>
          <w:rFonts w:hint="eastAsia" w:ascii="仿宋" w:eastAsia="仿宋"/>
          <w:color w:val="000000"/>
          <w:sz w:val="32"/>
          <w:szCs w:val="32"/>
          <w:lang w:val="en-US" w:eastAsia="zh-CN"/>
        </w:rPr>
        <w:t>比</w:t>
      </w:r>
      <w:r>
        <w:rPr>
          <w:rFonts w:hint="eastAsia" w:ascii="仿宋" w:eastAsia="仿宋"/>
          <w:color w:val="000000"/>
          <w:sz w:val="32"/>
          <w:szCs w:val="32"/>
          <w:lang w:eastAsia="zh-CN"/>
        </w:rPr>
        <w:t>202</w:t>
      </w:r>
      <w:r>
        <w:rPr>
          <w:rFonts w:hint="eastAsia" w:ascii="仿宋" w:eastAsia="仿宋"/>
          <w:color w:val="000000"/>
          <w:sz w:val="32"/>
          <w:szCs w:val="32"/>
          <w:lang w:val="en-US" w:eastAsia="zh-CN"/>
        </w:rPr>
        <w:t>3</w:t>
      </w:r>
      <w:r>
        <w:rPr>
          <w:rFonts w:hint="eastAsia" w:ascii="仿宋" w:eastAsia="仿宋"/>
          <w:color w:val="000000"/>
          <w:sz w:val="32"/>
          <w:szCs w:val="32"/>
        </w:rPr>
        <w:t>年</w:t>
      </w:r>
      <w:r>
        <w:rPr>
          <w:rFonts w:hint="eastAsia" w:ascii="仿宋" w:eastAsia="仿宋"/>
          <w:color w:val="000000"/>
          <w:sz w:val="32"/>
          <w:szCs w:val="32"/>
          <w:lang w:val="en-US" w:eastAsia="zh-CN"/>
        </w:rPr>
        <w:t>度减少0.05万元，下降100%</w:t>
      </w:r>
      <w:r>
        <w:rPr>
          <w:rFonts w:hint="eastAsia" w:ascii="仿宋_GB2312" w:eastAsia="仿宋_GB2312"/>
          <w:sz w:val="32"/>
          <w:szCs w:val="32"/>
        </w:rPr>
        <w:t>。其中：</w:t>
      </w:r>
    </w:p>
    <w:p w14:paraId="4937260D">
      <w:pPr>
        <w:spacing w:line="600" w:lineRule="exact"/>
        <w:ind w:firstLine="640"/>
        <w:rPr>
          <w:rFonts w:hint="default" w:ascii="仿宋_GB2312" w:eastAsia="仿宋_GB2312"/>
          <w:sz w:val="32"/>
          <w:szCs w:val="32"/>
          <w:highlight w:val="none"/>
          <w:lang w:val="en-US" w:eastAsia="zh-CN"/>
        </w:rPr>
      </w:pPr>
      <w:r>
        <w:rPr>
          <w:rFonts w:hint="eastAsia" w:ascii="仿宋" w:eastAsia="仿宋"/>
          <w:b/>
          <w:sz w:val="32"/>
          <w:szCs w:val="32"/>
          <w:highlight w:val="none"/>
        </w:rPr>
        <w:t>国内公务接待支出</w:t>
      </w:r>
      <w:r>
        <w:rPr>
          <w:rFonts w:ascii="仿宋" w:eastAsia="仿宋"/>
          <w:sz w:val="32"/>
          <w:szCs w:val="32"/>
          <w:highlight w:val="none"/>
        </w:rPr>
        <w:t>0.0</w:t>
      </w:r>
      <w:r>
        <w:rPr>
          <w:rFonts w:hint="eastAsia" w:ascii="仿宋" w:eastAsia="仿宋"/>
          <w:sz w:val="32"/>
          <w:szCs w:val="32"/>
          <w:highlight w:val="none"/>
          <w:lang w:val="en-US" w:eastAsia="zh-CN"/>
        </w:rPr>
        <w:t>0</w:t>
      </w:r>
      <w:r>
        <w:rPr>
          <w:rFonts w:hint="eastAsia" w:ascii="仿宋_GB2312" w:eastAsia="仿宋_GB2312"/>
          <w:sz w:val="32"/>
          <w:szCs w:val="32"/>
          <w:highlight w:val="none"/>
        </w:rPr>
        <w:t>万元。国内公务接待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ascii="仿宋_GB2312" w:eastAsia="仿宋_GB2312"/>
          <w:sz w:val="32"/>
          <w:szCs w:val="32"/>
          <w:highlight w:val="none"/>
        </w:rPr>
        <w:t>0.0</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14CE702C">
      <w:pPr>
        <w:spacing w:line="600" w:lineRule="exact"/>
        <w:ind w:firstLine="643" w:firstLineChars="200"/>
        <w:rPr>
          <w:rFonts w:ascii="仿宋_GB2312" w:eastAsia="仿宋_GB2312"/>
          <w:sz w:val="32"/>
          <w:szCs w:val="32"/>
        </w:rPr>
      </w:pPr>
      <w:r>
        <w:rPr>
          <w:rFonts w:hint="eastAsia" w:ascii="仿宋" w:eastAsia="仿宋"/>
          <w:b/>
          <w:sz w:val="32"/>
          <w:szCs w:val="32"/>
        </w:rPr>
        <w:t>外事接待支出</w:t>
      </w:r>
      <w:r>
        <w:rPr>
          <w:rFonts w:ascii="仿宋" w:eastAsia="仿宋"/>
          <w:sz w:val="32"/>
          <w:szCs w:val="32"/>
        </w:rPr>
        <w:t>0.00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w:t>
      </w:r>
      <w:r>
        <w:rPr>
          <w:rFonts w:ascii="仿宋_GB2312" w:eastAsia="仿宋_GB2312"/>
          <w:sz w:val="32"/>
          <w:szCs w:val="32"/>
        </w:rPr>
        <w:t>0.00</w:t>
      </w:r>
      <w:r>
        <w:rPr>
          <w:rFonts w:hint="eastAsia" w:ascii="仿宋_GB2312" w:eastAsia="仿宋_GB2312"/>
          <w:sz w:val="32"/>
          <w:szCs w:val="32"/>
        </w:rPr>
        <w:t>万元。</w:t>
      </w:r>
      <w:bookmarkStart w:id="40" w:name="_Toc15377218"/>
      <w:bookmarkStart w:id="41" w:name="_Toc15396610"/>
    </w:p>
    <w:p w14:paraId="7AF0E0F3">
      <w:pPr>
        <w:spacing w:line="600" w:lineRule="exact"/>
        <w:ind w:firstLine="640"/>
        <w:outlineLvl w:val="1"/>
        <w:rPr>
          <w:rStyle w:val="21"/>
          <w:rFonts w:ascii="黑体" w:eastAsia="黑体"/>
        </w:rPr>
      </w:pPr>
      <w:r>
        <w:rPr>
          <w:rFonts w:hint="eastAsia" w:ascii="黑体" w:eastAsia="黑体"/>
          <w:sz w:val="32"/>
          <w:szCs w:val="32"/>
        </w:rPr>
        <w:t>八、</w:t>
      </w:r>
      <w:r>
        <w:rPr>
          <w:rStyle w:val="21"/>
          <w:rFonts w:hint="eastAsia" w:ascii="黑体" w:eastAsia="黑体"/>
          <w:b w:val="0"/>
        </w:rPr>
        <w:t>政府性基金预算支出决算情况说明</w:t>
      </w:r>
      <w:bookmarkEnd w:id="40"/>
      <w:bookmarkEnd w:id="41"/>
    </w:p>
    <w:p w14:paraId="22DA848E">
      <w:pPr>
        <w:spacing w:line="600" w:lineRule="exact"/>
        <w:ind w:firstLine="640"/>
        <w:rPr>
          <w:rFonts w:hint="default" w:ascii="仿宋_GB2312" w:eastAsia="仿宋_GB2312"/>
          <w:sz w:val="32"/>
          <w:szCs w:val="32"/>
          <w:lang w:val="en-US"/>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56.19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3.39</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。与2023年度相比，政府性基金预算财政拨款支出减少32.10万元，增长/下降36.35%。主要变动原因是2024年的项目还在推进中，未到支付资金阶段，使用资金较2023年减少。</w:t>
      </w:r>
    </w:p>
    <w:p w14:paraId="5BCDB011">
      <w:pPr>
        <w:numPr>
          <w:ilvl w:val="0"/>
          <w:numId w:val="3"/>
        </w:numPr>
        <w:spacing w:line="600" w:lineRule="exact"/>
        <w:ind w:firstLine="640"/>
        <w:outlineLvl w:val="1"/>
        <w:rPr>
          <w:rStyle w:val="21"/>
          <w:rFonts w:ascii="黑体" w:eastAsia="黑体"/>
          <w:b w:val="0"/>
        </w:rPr>
      </w:pPr>
      <w:bookmarkStart w:id="42" w:name="_Toc15377219"/>
      <w:bookmarkStart w:id="43" w:name="_Toc15396611"/>
      <w:r>
        <w:rPr>
          <w:rStyle w:val="21"/>
          <w:rFonts w:hint="eastAsia" w:ascii="黑体" w:eastAsia="黑体"/>
          <w:b w:val="0"/>
        </w:rPr>
        <w:t>国有资本经营预算支出决算情况说明</w:t>
      </w:r>
      <w:bookmarkEnd w:id="42"/>
      <w:bookmarkEnd w:id="43"/>
    </w:p>
    <w:p w14:paraId="4D833C6C">
      <w:pPr>
        <w:spacing w:line="600" w:lineRule="exact"/>
        <w:ind w:firstLine="640"/>
        <w:rPr>
          <w:rFonts w:ascii="方正小标宋简体" w:eastAsia="方正小标宋简体" w:cs="方正小标宋简体"/>
          <w:sz w:val="44"/>
          <w:szCs w:val="44"/>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度</w:t>
      </w:r>
      <w:r>
        <w:rPr>
          <w:rFonts w:hint="eastAsia" w:ascii="仿宋_GB2312" w:eastAsia="仿宋_GB2312"/>
          <w:sz w:val="32"/>
          <w:szCs w:val="32"/>
        </w:rPr>
        <w:t>国有资本经营预算财政拨款支出</w:t>
      </w:r>
      <w:r>
        <w:rPr>
          <w:rFonts w:ascii="仿宋_GB2312" w:eastAsia="仿宋_GB2312"/>
          <w:sz w:val="32"/>
          <w:szCs w:val="32"/>
        </w:rPr>
        <w:t>0.00</w:t>
      </w:r>
      <w:r>
        <w:rPr>
          <w:rFonts w:hint="eastAsia" w:ascii="仿宋_GB2312" w:eastAsia="仿宋_GB2312"/>
          <w:sz w:val="32"/>
          <w:szCs w:val="32"/>
        </w:rPr>
        <w:t>万元。</w:t>
      </w:r>
    </w:p>
    <w:p w14:paraId="02A21C36">
      <w:pPr>
        <w:numPr>
          <w:ilvl w:val="0"/>
          <w:numId w:val="3"/>
        </w:numPr>
        <w:spacing w:line="600" w:lineRule="exact"/>
        <w:ind w:firstLine="640"/>
        <w:outlineLvl w:val="1"/>
        <w:rPr>
          <w:rStyle w:val="21"/>
          <w:rFonts w:ascii="黑体" w:eastAsia="黑体"/>
          <w:b w:val="0"/>
        </w:rPr>
      </w:pPr>
      <w:bookmarkStart w:id="44" w:name="_Toc15396612"/>
      <w:bookmarkStart w:id="45" w:name="_Toc15377221"/>
      <w:r>
        <w:rPr>
          <w:rStyle w:val="21"/>
          <w:rFonts w:hint="eastAsia" w:ascii="黑体" w:eastAsia="黑体"/>
          <w:b w:val="0"/>
        </w:rPr>
        <w:t>其他重要事项的情况说明</w:t>
      </w:r>
      <w:bookmarkEnd w:id="44"/>
      <w:bookmarkEnd w:id="45"/>
    </w:p>
    <w:p w14:paraId="1E814F9B">
      <w:pPr>
        <w:spacing w:line="600" w:lineRule="exact"/>
        <w:ind w:firstLine="643" w:firstLineChars="200"/>
        <w:outlineLvl w:val="2"/>
        <w:rPr>
          <w:rFonts w:ascii="仿宋" w:eastAsia="仿宋"/>
          <w:sz w:val="32"/>
          <w:szCs w:val="32"/>
        </w:rPr>
      </w:pPr>
      <w:bookmarkStart w:id="46" w:name="_Toc15377222"/>
      <w:r>
        <w:rPr>
          <w:rFonts w:hint="eastAsia" w:ascii="仿宋" w:eastAsia="仿宋"/>
          <w:b/>
          <w:sz w:val="32"/>
          <w:szCs w:val="32"/>
        </w:rPr>
        <w:t>（一）机关运行经费支出情况</w:t>
      </w:r>
      <w:bookmarkEnd w:id="46"/>
    </w:p>
    <w:p w14:paraId="723054BD">
      <w:pPr>
        <w:spacing w:line="600" w:lineRule="exact"/>
        <w:ind w:firstLine="640" w:firstLineChars="200"/>
        <w:rPr>
          <w:rFonts w:ascii="仿宋" w:eastAsia="仿宋"/>
          <w:b/>
          <w:sz w:val="32"/>
          <w:szCs w:val="32"/>
        </w:rPr>
      </w:pPr>
      <w:r>
        <w:rPr>
          <w:rFonts w:hint="eastAsia" w:ascii="仿宋_GB2312" w:eastAsia="仿宋_GB2312"/>
          <w:sz w:val="32"/>
          <w:szCs w:val="32"/>
          <w:lang w:eastAsia="zh-CN"/>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度</w:t>
      </w:r>
      <w:r>
        <w:rPr>
          <w:rFonts w:hint="eastAsia" w:ascii="仿宋_GB2312" w:eastAsia="仿宋_GB2312"/>
          <w:sz w:val="32"/>
          <w:szCs w:val="32"/>
        </w:rPr>
        <w:t>，</w:t>
      </w:r>
      <w:r>
        <w:rPr>
          <w:rFonts w:hint="eastAsia" w:ascii="仿宋" w:eastAsia="仿宋"/>
          <w:color w:val="000000"/>
          <w:sz w:val="32"/>
          <w:szCs w:val="32"/>
        </w:rPr>
        <w:t>攀枝花市体育中学</w:t>
      </w:r>
      <w:r>
        <w:rPr>
          <w:rFonts w:hint="eastAsia" w:ascii="仿宋_GB2312" w:eastAsia="仿宋_GB2312"/>
          <w:sz w:val="32"/>
          <w:szCs w:val="32"/>
        </w:rPr>
        <w:t>机关运行经费支出</w:t>
      </w:r>
      <w:r>
        <w:rPr>
          <w:rFonts w:ascii="仿宋_GB2312" w:eastAsia="仿宋_GB2312"/>
          <w:sz w:val="32"/>
          <w:szCs w:val="32"/>
        </w:rPr>
        <w:t>0.00</w:t>
      </w:r>
      <w:r>
        <w:rPr>
          <w:rFonts w:hint="eastAsia" w:ascii="仿宋_GB2312" w:eastAsia="仿宋_GB2312"/>
          <w:sz w:val="32"/>
          <w:szCs w:val="32"/>
        </w:rPr>
        <w:t>万元，与</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度</w:t>
      </w:r>
      <w:r>
        <w:rPr>
          <w:rFonts w:hint="eastAsia" w:ascii="仿宋_GB2312" w:eastAsia="仿宋_GB2312"/>
          <w:sz w:val="32"/>
          <w:szCs w:val="32"/>
        </w:rPr>
        <w:t>决算数持平。</w:t>
      </w:r>
    </w:p>
    <w:p w14:paraId="0047479D">
      <w:pPr>
        <w:autoSpaceDE w:val="0"/>
        <w:autoSpaceDN w:val="0"/>
        <w:adjustRightInd w:val="0"/>
        <w:spacing w:line="600" w:lineRule="exact"/>
        <w:ind w:firstLine="643" w:firstLineChars="200"/>
        <w:jc w:val="left"/>
        <w:outlineLvl w:val="2"/>
        <w:rPr>
          <w:rFonts w:ascii="仿宋" w:eastAsia="仿宋"/>
          <w:b/>
          <w:sz w:val="32"/>
          <w:szCs w:val="32"/>
        </w:rPr>
      </w:pPr>
      <w:bookmarkStart w:id="47" w:name="_Toc15377223"/>
      <w:r>
        <w:rPr>
          <w:rFonts w:hint="eastAsia" w:ascii="仿宋" w:eastAsia="仿宋"/>
          <w:b/>
          <w:sz w:val="32"/>
          <w:szCs w:val="32"/>
        </w:rPr>
        <w:t>（二）政府采购支出情况</w:t>
      </w:r>
      <w:bookmarkEnd w:id="47"/>
    </w:p>
    <w:p w14:paraId="4251D84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48" w:name="_Toc15377224"/>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四川省攀枝花市体育中学</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31.02</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30.63</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0.38</w:t>
      </w:r>
      <w:r>
        <w:rPr>
          <w:rFonts w:hint="eastAsia" w:ascii="仿宋_GB2312" w:hAnsi="仿宋_GB2312" w:eastAsia="仿宋_GB2312" w:cs="仿宋_GB2312"/>
          <w:color w:val="auto"/>
          <w:kern w:val="2"/>
          <w:sz w:val="32"/>
          <w:szCs w:val="32"/>
          <w:highlight w:val="none"/>
          <w:lang w:val="en-US" w:eastAsia="zh-CN" w:bidi="ar-SA"/>
        </w:rPr>
        <w:t>万元。政府采购货物主要用于教育及训练</w:t>
      </w:r>
      <w:bookmarkStart w:id="67" w:name="_GoBack"/>
      <w:bookmarkEnd w:id="67"/>
      <w:r>
        <w:rPr>
          <w:rFonts w:hint="eastAsia" w:ascii="仿宋_GB2312" w:hAnsi="仿宋_GB2312" w:eastAsia="仿宋_GB2312" w:cs="仿宋_GB2312"/>
          <w:color w:val="auto"/>
          <w:kern w:val="2"/>
          <w:sz w:val="32"/>
          <w:szCs w:val="32"/>
          <w:highlight w:val="none"/>
          <w:lang w:val="en-US" w:eastAsia="zh-CN" w:bidi="ar-SA"/>
        </w:rPr>
        <w:t>设备，政府采购服务主要用于公务车运行维护。授予中小企业合同金额</w:t>
      </w:r>
      <w:r>
        <w:rPr>
          <w:rFonts w:hint="eastAsia" w:ascii="仿宋_GB2312" w:hAnsi="仿宋_GB2312" w:eastAsia="仿宋_GB2312" w:cs="仿宋_GB2312"/>
          <w:sz w:val="32"/>
          <w:szCs w:val="32"/>
        </w:rPr>
        <w:t>31.02</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30.63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98.76</w:t>
      </w:r>
      <w:r>
        <w:rPr>
          <w:rFonts w:hint="eastAsia" w:ascii="仿宋_GB2312" w:hAnsi="仿宋_GB2312" w:eastAsia="仿宋_GB2312" w:cs="仿宋_GB2312"/>
          <w:color w:val="auto"/>
          <w:kern w:val="2"/>
          <w:sz w:val="32"/>
          <w:szCs w:val="32"/>
          <w:highlight w:val="none"/>
          <w:lang w:val="en-US" w:eastAsia="zh-CN" w:bidi="ar-SA"/>
        </w:rPr>
        <w:t>%。</w:t>
      </w:r>
    </w:p>
    <w:p w14:paraId="71EE6C60">
      <w:pPr>
        <w:autoSpaceDE w:val="0"/>
        <w:autoSpaceDN w:val="0"/>
        <w:adjustRightInd w:val="0"/>
        <w:spacing w:line="600" w:lineRule="exact"/>
        <w:ind w:firstLine="643" w:firstLineChars="200"/>
        <w:jc w:val="left"/>
        <w:outlineLvl w:val="2"/>
        <w:rPr>
          <w:rFonts w:ascii="仿宋" w:eastAsia="仿宋"/>
          <w:b/>
          <w:sz w:val="32"/>
          <w:szCs w:val="32"/>
        </w:rPr>
      </w:pPr>
      <w:r>
        <w:rPr>
          <w:rFonts w:hint="eastAsia" w:ascii="仿宋" w:eastAsia="仿宋"/>
          <w:b/>
          <w:sz w:val="32"/>
          <w:szCs w:val="32"/>
        </w:rPr>
        <w:t>（三）国有资产占有使用情况</w:t>
      </w:r>
      <w:bookmarkEnd w:id="48"/>
    </w:p>
    <w:p w14:paraId="6C8D384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eastAsia="仿宋"/>
          <w:color w:val="000000"/>
          <w:sz w:val="32"/>
          <w:szCs w:val="32"/>
        </w:rPr>
        <w:t>攀枝花市体育中学</w:t>
      </w:r>
      <w:r>
        <w:rPr>
          <w:rFonts w:hint="eastAsia" w:ascii="仿宋_GB2312" w:eastAsia="仿宋_GB2312"/>
          <w:sz w:val="32"/>
          <w:szCs w:val="32"/>
        </w:rPr>
        <w:t>共有车辆</w:t>
      </w:r>
      <w:r>
        <w:rPr>
          <w:rFonts w:ascii="仿宋_GB2312" w:eastAsia="仿宋_GB2312"/>
          <w:sz w:val="32"/>
          <w:szCs w:val="32"/>
        </w:rPr>
        <w:t>1</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1</w:t>
      </w:r>
      <w:r>
        <w:rPr>
          <w:rFonts w:hint="eastAsia" w:ascii="仿宋_GB2312" w:eastAsia="仿宋_GB2312"/>
          <w:sz w:val="32"/>
          <w:szCs w:val="32"/>
        </w:rPr>
        <w:t>辆，其他用车主要是用于</w:t>
      </w:r>
      <w:r>
        <w:rPr>
          <w:rFonts w:hint="eastAsia" w:ascii="仿宋" w:eastAsia="仿宋"/>
          <w:color w:val="000000"/>
          <w:sz w:val="32"/>
          <w:szCs w:val="32"/>
        </w:rPr>
        <w:t>单位发展体育和教育事业</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0FD4E64B">
      <w:pPr>
        <w:autoSpaceDE w:val="0"/>
        <w:autoSpaceDN w:val="0"/>
        <w:adjustRightInd w:val="0"/>
        <w:spacing w:line="600" w:lineRule="exact"/>
        <w:ind w:firstLine="643" w:firstLineChars="200"/>
        <w:jc w:val="left"/>
        <w:outlineLvl w:val="2"/>
        <w:rPr>
          <w:rFonts w:ascii="仿宋" w:eastAsia="仿宋"/>
          <w:b/>
          <w:sz w:val="32"/>
          <w:szCs w:val="32"/>
        </w:rPr>
      </w:pPr>
      <w:r>
        <w:rPr>
          <w:rFonts w:hint="eastAsia" w:ascii="仿宋" w:eastAsia="仿宋"/>
          <w:b/>
          <w:sz w:val="32"/>
          <w:szCs w:val="32"/>
        </w:rPr>
        <w:t>（四）预算绩效管理情况</w:t>
      </w:r>
    </w:p>
    <w:p w14:paraId="4379C69C">
      <w:pPr>
        <w:pStyle w:val="8"/>
        <w:spacing w:beforeLines="0"/>
        <w:ind w:firstLine="640" w:firstLineChars="200"/>
        <w:rPr>
          <w:highlight w:val="none"/>
        </w:rPr>
      </w:pPr>
      <w:r>
        <w:rPr>
          <w:rFonts w:hint="eastAsia" w:cs="仿宋_GB2312"/>
          <w:sz w:val="32"/>
          <w:szCs w:val="32"/>
          <w:highlight w:val="none"/>
        </w:rPr>
        <w:t>根据预算绩效管理要求，本单位在</w:t>
      </w:r>
      <w:r>
        <w:rPr>
          <w:rFonts w:hint="eastAsia" w:cs="仿宋_GB2312"/>
          <w:sz w:val="32"/>
          <w:szCs w:val="32"/>
          <w:highlight w:val="none"/>
          <w:lang w:eastAsia="zh-CN"/>
        </w:rPr>
        <w:t>202</w:t>
      </w:r>
      <w:r>
        <w:rPr>
          <w:rFonts w:hint="eastAsia" w:cs="仿宋_GB2312"/>
          <w:sz w:val="32"/>
          <w:szCs w:val="32"/>
          <w:highlight w:val="none"/>
          <w:lang w:val="en-US" w:eastAsia="zh-CN"/>
        </w:rPr>
        <w:t>4</w:t>
      </w:r>
      <w:r>
        <w:rPr>
          <w:rFonts w:hint="eastAsia" w:cs="仿宋_GB2312"/>
          <w:sz w:val="32"/>
          <w:szCs w:val="32"/>
          <w:highlight w:val="none"/>
        </w:rPr>
        <w:t>年度预算编制阶段，组织对</w:t>
      </w:r>
      <w:r>
        <w:rPr>
          <w:rFonts w:cs="仿宋_GB2312"/>
          <w:sz w:val="32"/>
          <w:szCs w:val="32"/>
          <w:highlight w:val="none"/>
        </w:rPr>
        <w:t>运动队</w:t>
      </w:r>
      <w:r>
        <w:rPr>
          <w:rFonts w:hint="eastAsia" w:cs="仿宋_GB2312"/>
          <w:sz w:val="32"/>
          <w:szCs w:val="32"/>
          <w:highlight w:val="none"/>
        </w:rPr>
        <w:t>项目（项目名称）等</w:t>
      </w:r>
      <w:r>
        <w:rPr>
          <w:rFonts w:cs="仿宋_GB2312"/>
          <w:sz w:val="32"/>
          <w:szCs w:val="32"/>
          <w:highlight w:val="none"/>
        </w:rPr>
        <w:t>1</w:t>
      </w:r>
      <w:r>
        <w:rPr>
          <w:rFonts w:hint="eastAsia" w:cs="仿宋_GB2312"/>
          <w:sz w:val="32"/>
          <w:szCs w:val="32"/>
          <w:highlight w:val="none"/>
          <w:lang w:val="en-US" w:eastAsia="zh-CN"/>
        </w:rPr>
        <w:t>7</w:t>
      </w:r>
      <w:r>
        <w:rPr>
          <w:rFonts w:hint="eastAsia" w:cs="仿宋_GB2312"/>
          <w:sz w:val="32"/>
          <w:szCs w:val="32"/>
          <w:highlight w:val="none"/>
        </w:rPr>
        <w:t>个项目开展了预算事前绩效评估，对</w:t>
      </w:r>
      <w:r>
        <w:rPr>
          <w:rFonts w:cs="仿宋_GB2312"/>
          <w:sz w:val="32"/>
          <w:szCs w:val="32"/>
          <w:highlight w:val="none"/>
        </w:rPr>
        <w:t>1</w:t>
      </w:r>
      <w:r>
        <w:rPr>
          <w:rFonts w:hint="eastAsia" w:cs="仿宋_GB2312"/>
          <w:sz w:val="32"/>
          <w:szCs w:val="32"/>
          <w:highlight w:val="none"/>
          <w:lang w:val="en-US" w:eastAsia="zh-CN"/>
        </w:rPr>
        <w:t>7</w:t>
      </w:r>
      <w:r>
        <w:rPr>
          <w:rFonts w:hint="eastAsia" w:cs="仿宋_GB2312"/>
          <w:sz w:val="32"/>
          <w:szCs w:val="32"/>
          <w:highlight w:val="none"/>
        </w:rPr>
        <w:t>个项目编制了绩效目标，预算执行过程中，选取</w:t>
      </w:r>
      <w:r>
        <w:rPr>
          <w:rFonts w:cs="仿宋_GB2312"/>
          <w:sz w:val="32"/>
          <w:szCs w:val="32"/>
          <w:highlight w:val="none"/>
        </w:rPr>
        <w:t>1</w:t>
      </w:r>
      <w:r>
        <w:rPr>
          <w:rFonts w:hint="eastAsia" w:cs="仿宋_GB2312"/>
          <w:sz w:val="32"/>
          <w:szCs w:val="32"/>
          <w:highlight w:val="none"/>
          <w:lang w:val="en-US" w:eastAsia="zh-CN"/>
        </w:rPr>
        <w:t>7</w:t>
      </w:r>
      <w:r>
        <w:rPr>
          <w:rFonts w:hint="eastAsia" w:cs="仿宋_GB2312"/>
          <w:sz w:val="32"/>
          <w:szCs w:val="32"/>
          <w:highlight w:val="none"/>
        </w:rPr>
        <w:t>个项目开展绩效监控，组织对</w:t>
      </w:r>
      <w:r>
        <w:rPr>
          <w:rFonts w:cs="仿宋_GB2312"/>
          <w:sz w:val="32"/>
          <w:szCs w:val="32"/>
          <w:highlight w:val="none"/>
        </w:rPr>
        <w:t>1</w:t>
      </w:r>
      <w:r>
        <w:rPr>
          <w:rFonts w:hint="eastAsia" w:cs="仿宋_GB2312"/>
          <w:sz w:val="32"/>
          <w:szCs w:val="32"/>
          <w:highlight w:val="none"/>
          <w:lang w:val="en-US" w:eastAsia="zh-CN"/>
        </w:rPr>
        <w:t>7</w:t>
      </w:r>
      <w:r>
        <w:rPr>
          <w:rFonts w:hint="eastAsia" w:cs="仿宋_GB2312"/>
          <w:sz w:val="32"/>
          <w:szCs w:val="32"/>
          <w:highlight w:val="none"/>
        </w:rPr>
        <w:t>个项目开展绩效自评，绩效自评表详见附件</w:t>
      </w:r>
      <w:r>
        <w:rPr>
          <w:rFonts w:cs="仿宋_GB2312"/>
          <w:sz w:val="32"/>
          <w:szCs w:val="32"/>
          <w:highlight w:val="none"/>
        </w:rPr>
        <w:t>3</w:t>
      </w:r>
      <w:r>
        <w:rPr>
          <w:rFonts w:hint="eastAsia" w:cs="仿宋_GB2312"/>
          <w:sz w:val="32"/>
          <w:szCs w:val="32"/>
          <w:highlight w:val="none"/>
        </w:rPr>
        <w:t>。</w:t>
      </w:r>
    </w:p>
    <w:p w14:paraId="34E42E20">
      <w:pPr>
        <w:widowControl/>
        <w:jc w:val="left"/>
        <w:rPr>
          <w:rFonts w:ascii="仿宋_GB2312" w:eastAsia="仿宋_GB2312"/>
          <w:b/>
          <w:sz w:val="32"/>
          <w:szCs w:val="32"/>
        </w:rPr>
      </w:pPr>
    </w:p>
    <w:p w14:paraId="392B396C">
      <w:pPr>
        <w:numPr>
          <w:ilvl w:val="0"/>
          <w:numId w:val="4"/>
        </w:numPr>
        <w:spacing w:line="600" w:lineRule="exact"/>
        <w:ind w:firstLine="660" w:firstLineChars="150"/>
        <w:jc w:val="center"/>
        <w:outlineLvl w:val="0"/>
        <w:rPr>
          <w:rStyle w:val="20"/>
          <w:rFonts w:ascii="黑体" w:eastAsia="黑体"/>
          <w:b w:val="0"/>
        </w:rPr>
      </w:pPr>
      <w:bookmarkStart w:id="49" w:name="_Toc15396613"/>
      <w:bookmarkStart w:id="50" w:name="_Toc15377225"/>
      <w:r>
        <w:rPr>
          <w:rFonts w:hint="eastAsia" w:ascii="黑体" w:eastAsia="黑体"/>
          <w:sz w:val="44"/>
          <w:szCs w:val="44"/>
        </w:rPr>
        <w:t>名</w:t>
      </w:r>
      <w:r>
        <w:rPr>
          <w:rStyle w:val="20"/>
          <w:rFonts w:hint="eastAsia" w:ascii="黑体" w:eastAsia="黑体"/>
          <w:b w:val="0"/>
        </w:rPr>
        <w:t>词解释</w:t>
      </w:r>
      <w:bookmarkEnd w:id="49"/>
      <w:bookmarkEnd w:id="50"/>
    </w:p>
    <w:p w14:paraId="6A43EE5F">
      <w:pPr>
        <w:spacing w:line="600" w:lineRule="exact"/>
        <w:jc w:val="left"/>
        <w:rPr>
          <w:rFonts w:ascii="宋体"/>
          <w:b/>
          <w:sz w:val="44"/>
          <w:szCs w:val="44"/>
        </w:rPr>
      </w:pPr>
    </w:p>
    <w:p w14:paraId="505EB880">
      <w:pPr>
        <w:widowControl/>
        <w:spacing w:line="560" w:lineRule="exact"/>
        <w:ind w:firstLine="660"/>
        <w:rPr>
          <w:rFonts w:ascii="仿宋" w:eastAsia="仿宋"/>
          <w:sz w:val="32"/>
          <w:szCs w:val="32"/>
        </w:rPr>
      </w:pPr>
      <w:bookmarkStart w:id="51" w:name="_Toc15377226"/>
      <w:r>
        <w:rPr>
          <w:rFonts w:ascii="仿宋" w:eastAsia="仿宋" w:cs="仿宋_GB2312"/>
          <w:sz w:val="32"/>
          <w:szCs w:val="32"/>
        </w:rPr>
        <w:t>1.</w:t>
      </w:r>
      <w:r>
        <w:rPr>
          <w:rFonts w:hint="eastAsia" w:ascii="仿宋" w:eastAsia="仿宋" w:cs="仿宋_GB2312"/>
          <w:sz w:val="32"/>
          <w:szCs w:val="32"/>
        </w:rPr>
        <w:t>财政拨款收入：指单位从同级财政部门取得的财政预算资金。</w:t>
      </w:r>
    </w:p>
    <w:p w14:paraId="7C5EE832">
      <w:pPr>
        <w:widowControl/>
        <w:spacing w:line="560" w:lineRule="exact"/>
        <w:ind w:firstLine="660"/>
        <w:rPr>
          <w:rFonts w:ascii="仿宋" w:eastAsia="仿宋"/>
          <w:sz w:val="32"/>
          <w:szCs w:val="32"/>
        </w:rPr>
      </w:pPr>
      <w:r>
        <w:rPr>
          <w:rFonts w:ascii="仿宋" w:eastAsia="仿宋" w:cs="仿宋_GB2312"/>
          <w:sz w:val="32"/>
          <w:szCs w:val="32"/>
        </w:rPr>
        <w:t>2.</w:t>
      </w:r>
      <w:r>
        <w:rPr>
          <w:rFonts w:hint="eastAsia" w:ascii="仿宋" w:eastAsia="仿宋" w:cs="仿宋_GB2312"/>
          <w:sz w:val="32"/>
          <w:szCs w:val="32"/>
        </w:rPr>
        <w:t>年初结转和结余：指以前年度尚未完成、结转到本年按有关规定继续使用的资金。</w:t>
      </w:r>
    </w:p>
    <w:p w14:paraId="1D86B31D">
      <w:pPr>
        <w:widowControl/>
        <w:spacing w:line="560" w:lineRule="exact"/>
        <w:ind w:firstLine="660"/>
        <w:rPr>
          <w:rFonts w:ascii="仿宋" w:eastAsia="仿宋"/>
          <w:sz w:val="32"/>
          <w:szCs w:val="32"/>
        </w:rPr>
      </w:pPr>
      <w:r>
        <w:rPr>
          <w:rFonts w:ascii="仿宋" w:eastAsia="仿宋" w:cs="仿宋_GB2312"/>
          <w:sz w:val="32"/>
          <w:szCs w:val="32"/>
        </w:rPr>
        <w:t>3.</w:t>
      </w:r>
      <w:r>
        <w:rPr>
          <w:rFonts w:hint="eastAsia" w:ascii="仿宋" w:eastAsia="仿宋" w:cs="仿宋_GB2312"/>
          <w:sz w:val="32"/>
          <w:szCs w:val="32"/>
        </w:rPr>
        <w:t>年末结转和结余：指单位按有关规定结转到下年或以后年度继续使用的资金。</w:t>
      </w:r>
    </w:p>
    <w:p w14:paraId="6CDAF1C1">
      <w:pPr>
        <w:widowControl/>
        <w:spacing w:line="560" w:lineRule="exact"/>
        <w:ind w:firstLine="660"/>
        <w:rPr>
          <w:rFonts w:ascii="仿宋" w:eastAsia="仿宋"/>
          <w:sz w:val="32"/>
          <w:szCs w:val="32"/>
        </w:rPr>
      </w:pPr>
      <w:r>
        <w:rPr>
          <w:rFonts w:ascii="仿宋" w:eastAsia="仿宋" w:cs="仿宋_GB2312"/>
          <w:sz w:val="32"/>
          <w:szCs w:val="32"/>
        </w:rPr>
        <w:t>4.</w:t>
      </w:r>
      <w:r>
        <w:rPr>
          <w:rFonts w:hint="eastAsia" w:ascii="仿宋" w:eastAsia="仿宋" w:cs="仿宋_GB2312"/>
          <w:sz w:val="32"/>
          <w:szCs w:val="32"/>
        </w:rPr>
        <w:t>教育（类）普通教育（款）初中教育（项）指</w:t>
      </w:r>
      <w:r>
        <w:rPr>
          <w:rFonts w:ascii="仿宋" w:eastAsia="仿宋" w:cs="仿宋_GB2312"/>
          <w:sz w:val="32"/>
          <w:szCs w:val="32"/>
        </w:rPr>
        <w:t xml:space="preserve">: </w:t>
      </w:r>
      <w:r>
        <w:rPr>
          <w:rFonts w:hint="eastAsia" w:ascii="仿宋" w:eastAsia="仿宋" w:cs="仿宋_GB2312"/>
          <w:sz w:val="32"/>
          <w:szCs w:val="32"/>
        </w:rPr>
        <w:t>教育类普通教育款初中教育支出项。教育（类）其他教育支出（款）其他教育支出（项）：其他用于教育方面的支出。</w:t>
      </w:r>
    </w:p>
    <w:p w14:paraId="23F70EDA">
      <w:pPr>
        <w:widowControl/>
        <w:spacing w:line="560" w:lineRule="exact"/>
        <w:ind w:firstLine="660"/>
        <w:rPr>
          <w:rFonts w:ascii="仿宋" w:eastAsia="仿宋"/>
          <w:sz w:val="32"/>
          <w:szCs w:val="32"/>
        </w:rPr>
      </w:pPr>
      <w:r>
        <w:rPr>
          <w:rFonts w:ascii="仿宋" w:eastAsia="仿宋" w:cs="仿宋_GB2312"/>
          <w:sz w:val="32"/>
          <w:szCs w:val="32"/>
        </w:rPr>
        <w:t>5.</w:t>
      </w:r>
      <w:r>
        <w:rPr>
          <w:rFonts w:hint="eastAsia" w:ascii="仿宋" w:eastAsia="仿宋" w:cs="仿宋_GB2312"/>
          <w:sz w:val="32"/>
          <w:szCs w:val="32"/>
        </w:rPr>
        <w:t>文化体育与传媒（类）其他文化体育与传媒支出（款）其他文化体育与传媒支出（项）：指反映除上述项目以外的其他文化体育与传媒方面的支出。</w:t>
      </w:r>
    </w:p>
    <w:p w14:paraId="0F7677B0">
      <w:pPr>
        <w:widowControl/>
        <w:spacing w:line="560" w:lineRule="exact"/>
        <w:ind w:firstLine="660"/>
        <w:rPr>
          <w:rFonts w:ascii="仿宋" w:eastAsia="仿宋"/>
          <w:sz w:val="32"/>
          <w:szCs w:val="32"/>
        </w:rPr>
      </w:pPr>
      <w:r>
        <w:rPr>
          <w:rFonts w:ascii="仿宋" w:eastAsia="仿宋" w:cs="仿宋_GB2312"/>
          <w:sz w:val="32"/>
          <w:szCs w:val="32"/>
        </w:rPr>
        <w:t>6.</w:t>
      </w:r>
      <w:r>
        <w:rPr>
          <w:rFonts w:hint="eastAsia" w:ascii="仿宋" w:eastAsia="仿宋" w:cs="仿宋_GB2312"/>
          <w:sz w:val="32"/>
          <w:szCs w:val="32"/>
        </w:rPr>
        <w:t>社会保障和就业（类）行政事业单位离退休（款）未归口管理的行政事业单位离退休（项）</w:t>
      </w:r>
      <w:r>
        <w:rPr>
          <w:rFonts w:ascii="仿宋" w:eastAsia="仿宋" w:cs="仿宋_GB2312"/>
          <w:sz w:val="32"/>
          <w:szCs w:val="32"/>
        </w:rPr>
        <w:t>:</w:t>
      </w:r>
      <w:r>
        <w:rPr>
          <w:rFonts w:hint="eastAsia" w:ascii="仿宋" w:eastAsia="仿宋" w:cs="仿宋_GB2312"/>
          <w:sz w:val="32"/>
          <w:szCs w:val="32"/>
        </w:rPr>
        <w:t>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w:t>
      </w:r>
    </w:p>
    <w:p w14:paraId="5648428D">
      <w:pPr>
        <w:widowControl/>
        <w:spacing w:line="560" w:lineRule="exact"/>
        <w:ind w:firstLine="660"/>
        <w:rPr>
          <w:rFonts w:hint="eastAsia" w:ascii="仿宋" w:eastAsia="仿宋"/>
          <w:sz w:val="32"/>
          <w:szCs w:val="32"/>
          <w:lang w:eastAsia="zh-CN"/>
        </w:rPr>
      </w:pPr>
      <w:r>
        <w:rPr>
          <w:rFonts w:ascii="仿宋" w:eastAsia="仿宋" w:cs="仿宋_GB2312"/>
          <w:sz w:val="32"/>
          <w:szCs w:val="32"/>
        </w:rPr>
        <w:t>7.</w:t>
      </w:r>
      <w:r>
        <w:rPr>
          <w:rFonts w:hint="eastAsia" w:ascii="仿宋" w:eastAsia="仿宋" w:cs="仿宋_GB2312"/>
          <w:sz w:val="32"/>
          <w:szCs w:val="32"/>
        </w:rPr>
        <w:t>住房保障（类）住房改革支出（款）住房公积金（项）：指反映行政事业单位按人力资源和社会保障部、财政部规定的基本工资和津贴补贴以及规定</w:t>
      </w:r>
      <w:r>
        <w:rPr>
          <w:rFonts w:hint="eastAsia" w:ascii="仿宋" w:eastAsia="仿宋" w:cs="仿宋_GB2312"/>
          <w:sz w:val="32"/>
          <w:szCs w:val="32"/>
          <w:lang w:val="en-US" w:eastAsia="zh-CN"/>
        </w:rPr>
        <w:t>比例</w:t>
      </w:r>
      <w:r>
        <w:rPr>
          <w:rFonts w:hint="eastAsia" w:ascii="仿宋" w:eastAsia="仿宋" w:cs="仿宋_GB2312"/>
          <w:sz w:val="32"/>
          <w:szCs w:val="32"/>
        </w:rPr>
        <w:t>为职工缴纳的住房公积金</w:t>
      </w:r>
      <w:r>
        <w:rPr>
          <w:rFonts w:hint="eastAsia" w:ascii="仿宋" w:eastAsia="仿宋" w:cs="仿宋_GB2312"/>
          <w:sz w:val="32"/>
          <w:szCs w:val="32"/>
          <w:lang w:eastAsia="zh-CN"/>
        </w:rPr>
        <w:t>。</w:t>
      </w:r>
    </w:p>
    <w:p w14:paraId="442CBA8F">
      <w:pPr>
        <w:widowControl/>
        <w:spacing w:line="560" w:lineRule="exact"/>
        <w:ind w:firstLine="660"/>
        <w:rPr>
          <w:rFonts w:ascii="仿宋" w:eastAsia="仿宋"/>
          <w:sz w:val="32"/>
          <w:szCs w:val="32"/>
        </w:rPr>
      </w:pPr>
      <w:r>
        <w:rPr>
          <w:rFonts w:ascii="仿宋" w:eastAsia="仿宋" w:cs="仿宋_GB2312"/>
          <w:sz w:val="32"/>
          <w:szCs w:val="32"/>
        </w:rPr>
        <w:t>8.</w:t>
      </w:r>
      <w:r>
        <w:rPr>
          <w:rFonts w:hint="eastAsia" w:ascii="仿宋" w:eastAsia="仿宋" w:cs="仿宋_GB2312"/>
          <w:sz w:val="32"/>
          <w:szCs w:val="32"/>
        </w:rPr>
        <w:t>其他支出（类）彩票公益金及对应专项债务收入安排的支出（款）用于体育事业的彩票公益金支出（项）：反映用于体育事业的彩票公益金支出。</w:t>
      </w:r>
    </w:p>
    <w:p w14:paraId="298F4BD4">
      <w:pPr>
        <w:widowControl/>
        <w:spacing w:line="560" w:lineRule="exact"/>
        <w:ind w:firstLine="660"/>
        <w:rPr>
          <w:rFonts w:ascii="仿宋" w:eastAsia="仿宋"/>
          <w:sz w:val="32"/>
          <w:szCs w:val="32"/>
        </w:rPr>
      </w:pPr>
      <w:r>
        <w:rPr>
          <w:rFonts w:ascii="仿宋" w:eastAsia="仿宋" w:cs="仿宋_GB2312"/>
          <w:sz w:val="32"/>
          <w:szCs w:val="32"/>
        </w:rPr>
        <w:t>9.</w:t>
      </w:r>
      <w:r>
        <w:rPr>
          <w:rFonts w:hint="eastAsia" w:ascii="仿宋" w:eastAsia="仿宋" w:cs="仿宋_GB2312"/>
          <w:sz w:val="32"/>
          <w:szCs w:val="32"/>
        </w:rPr>
        <w:t>年末结转和结余指单位按有关规定结转到下年或以后年度继续使用的资金。</w:t>
      </w:r>
    </w:p>
    <w:p w14:paraId="26705C65">
      <w:pPr>
        <w:widowControl/>
        <w:spacing w:line="560" w:lineRule="exact"/>
        <w:ind w:firstLine="660"/>
        <w:rPr>
          <w:rFonts w:ascii="仿宋" w:eastAsia="仿宋"/>
          <w:sz w:val="32"/>
          <w:szCs w:val="32"/>
        </w:rPr>
      </w:pPr>
      <w:r>
        <w:rPr>
          <w:rFonts w:ascii="仿宋" w:eastAsia="仿宋" w:cs="仿宋_GB2312"/>
          <w:sz w:val="32"/>
          <w:szCs w:val="32"/>
        </w:rPr>
        <w:t>10.</w:t>
      </w:r>
      <w:r>
        <w:rPr>
          <w:rFonts w:hint="eastAsia" w:ascii="仿宋" w:eastAsia="仿宋" w:cs="仿宋_GB2312"/>
          <w:sz w:val="32"/>
          <w:szCs w:val="32"/>
        </w:rPr>
        <w:t>基本支出：指为保障机构正常运转、完成日常工作任务而发生的人员支出和公用支出。</w:t>
      </w:r>
    </w:p>
    <w:p w14:paraId="13EB005F">
      <w:pPr>
        <w:widowControl/>
        <w:spacing w:line="560" w:lineRule="exact"/>
        <w:ind w:firstLine="660"/>
        <w:rPr>
          <w:rFonts w:ascii="仿宋" w:eastAsia="仿宋" w:cs="仿宋_GB2312"/>
          <w:sz w:val="32"/>
          <w:szCs w:val="32"/>
        </w:rPr>
      </w:pPr>
      <w:r>
        <w:rPr>
          <w:rFonts w:ascii="仿宋" w:eastAsia="仿宋" w:cs="仿宋_GB2312"/>
          <w:sz w:val="32"/>
          <w:szCs w:val="32"/>
        </w:rPr>
        <w:t>11.</w:t>
      </w:r>
      <w:r>
        <w:rPr>
          <w:rFonts w:hint="eastAsia" w:ascii="仿宋" w:eastAsia="仿宋" w:cs="仿宋_GB2312"/>
          <w:sz w:val="32"/>
          <w:szCs w:val="32"/>
        </w:rPr>
        <w:t>项目支出：指在基本支出之外为完成特定行政任务和事业发展目标所发生的支出。</w:t>
      </w:r>
    </w:p>
    <w:p w14:paraId="4BB800DA">
      <w:pPr>
        <w:widowControl/>
        <w:spacing w:line="560" w:lineRule="exact"/>
        <w:ind w:firstLine="660"/>
        <w:rPr>
          <w:rFonts w:ascii="仿宋" w:eastAsia="仿宋"/>
          <w:sz w:val="32"/>
          <w:szCs w:val="32"/>
        </w:rPr>
      </w:pPr>
      <w:r>
        <w:rPr>
          <w:rFonts w:ascii="仿宋" w:eastAsia="仿宋" w:cs="仿宋_GB2312"/>
          <w:sz w:val="32"/>
          <w:szCs w:val="32"/>
        </w:rPr>
        <w:t>12.</w:t>
      </w:r>
      <w:r>
        <w:rPr>
          <w:rFonts w:ascii="仿宋" w:eastAsia="仿宋"/>
          <w:sz w:val="32"/>
          <w:szCs w:val="32"/>
        </w:rPr>
        <w:t>“</w:t>
      </w:r>
      <w:r>
        <w:rPr>
          <w:rFonts w:hint="eastAsia" w:ascii="仿宋" w:eastAsia="仿宋" w:cs="仿宋_GB2312"/>
          <w:sz w:val="32"/>
          <w:szCs w:val="32"/>
        </w:rPr>
        <w:t>三公</w:t>
      </w:r>
      <w:r>
        <w:rPr>
          <w:rFonts w:ascii="仿宋" w:eastAsia="仿宋"/>
          <w:sz w:val="32"/>
          <w:szCs w:val="32"/>
        </w:rPr>
        <w:t>”</w:t>
      </w:r>
      <w:r>
        <w:rPr>
          <w:rFonts w:hint="eastAsia" w:ascii="仿宋" w:eastAsia="仿宋" w:cs="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AD03AAB">
      <w:pPr>
        <w:spacing w:line="600" w:lineRule="exact"/>
        <w:jc w:val="center"/>
        <w:outlineLvl w:val="0"/>
        <w:rPr>
          <w:rFonts w:hint="eastAsia" w:ascii="宋体"/>
          <w:b/>
          <w:sz w:val="44"/>
          <w:szCs w:val="44"/>
        </w:rPr>
      </w:pPr>
      <w:r>
        <w:rPr>
          <w:rFonts w:ascii="宋体"/>
          <w:b/>
          <w:sz w:val="44"/>
          <w:szCs w:val="44"/>
        </w:rPr>
        <w:br w:type="page"/>
      </w:r>
      <w:bookmarkStart w:id="52" w:name="_Toc15396614"/>
    </w:p>
    <w:p w14:paraId="75F25492">
      <w:pPr>
        <w:spacing w:line="600" w:lineRule="exact"/>
        <w:jc w:val="center"/>
        <w:outlineLvl w:val="0"/>
        <w:rPr>
          <w:rStyle w:val="20"/>
          <w:rFonts w:hint="eastAsia" w:ascii="黑体" w:eastAsia="黑体"/>
          <w:b w:val="0"/>
        </w:rPr>
      </w:pPr>
      <w:r>
        <w:rPr>
          <w:rFonts w:hint="eastAsia" w:ascii="黑体" w:eastAsia="黑体"/>
          <w:sz w:val="44"/>
          <w:szCs w:val="44"/>
        </w:rPr>
        <w:t>第</w:t>
      </w:r>
      <w:r>
        <w:rPr>
          <w:rStyle w:val="20"/>
          <w:rFonts w:hint="eastAsia" w:ascii="黑体" w:eastAsia="黑体"/>
          <w:b w:val="0"/>
        </w:rPr>
        <w:t>四部分 附件</w:t>
      </w:r>
      <w:bookmarkEnd w:id="52"/>
    </w:p>
    <w:p w14:paraId="28558E80">
      <w:pPr>
        <w:pStyle w:val="8"/>
        <w:spacing w:before="93"/>
      </w:pPr>
    </w:p>
    <w:p w14:paraId="1DC47511">
      <w:pPr>
        <w:spacing w:line="600" w:lineRule="exact"/>
        <w:jc w:val="center"/>
        <w:outlineLvl w:val="0"/>
        <w:rPr>
          <w:rFonts w:ascii="宋体" w:cs="宋体"/>
          <w:kern w:val="0"/>
          <w:sz w:val="32"/>
          <w:szCs w:val="32"/>
        </w:rPr>
      </w:pPr>
      <w:bookmarkStart w:id="53" w:name="_Toc15396618"/>
      <w:r>
        <w:rPr>
          <w:rFonts w:hint="eastAsia" w:ascii="宋体" w:cs="宋体"/>
          <w:kern w:val="0"/>
          <w:sz w:val="32"/>
          <w:szCs w:val="32"/>
        </w:rPr>
        <w:t>部门预算项目支出绩效自评表（</w:t>
      </w:r>
      <w:r>
        <w:rPr>
          <w:rFonts w:hint="eastAsia" w:ascii="宋体" w:cs="宋体"/>
          <w:kern w:val="0"/>
          <w:sz w:val="32"/>
          <w:szCs w:val="32"/>
          <w:lang w:eastAsia="zh-CN"/>
        </w:rPr>
        <w:t>202</w:t>
      </w:r>
      <w:r>
        <w:rPr>
          <w:rFonts w:hint="eastAsia" w:ascii="宋体" w:cs="宋体"/>
          <w:kern w:val="0"/>
          <w:sz w:val="32"/>
          <w:szCs w:val="32"/>
          <w:lang w:val="en-US" w:eastAsia="zh-CN"/>
        </w:rPr>
        <w:t>4</w:t>
      </w:r>
      <w:r>
        <w:rPr>
          <w:rFonts w:hint="eastAsia" w:ascii="宋体" w:cs="宋体"/>
          <w:kern w:val="0"/>
          <w:sz w:val="32"/>
          <w:szCs w:val="32"/>
        </w:rPr>
        <w:t>年度）见附件</w:t>
      </w:r>
      <w:r>
        <w:rPr>
          <w:rFonts w:ascii="宋体" w:cs="宋体"/>
          <w:kern w:val="0"/>
          <w:sz w:val="32"/>
          <w:szCs w:val="32"/>
        </w:rPr>
        <w:t>3</w:t>
      </w:r>
    </w:p>
    <w:p w14:paraId="2B329707">
      <w:pPr>
        <w:spacing w:line="600" w:lineRule="exact"/>
        <w:jc w:val="center"/>
        <w:outlineLvl w:val="0"/>
        <w:rPr>
          <w:rFonts w:hint="eastAsia" w:ascii="黑体" w:eastAsia="黑体"/>
          <w:sz w:val="44"/>
          <w:szCs w:val="44"/>
        </w:rPr>
      </w:pPr>
    </w:p>
    <w:p w14:paraId="58C19B01">
      <w:pPr>
        <w:spacing w:line="600" w:lineRule="exact"/>
        <w:jc w:val="center"/>
        <w:outlineLvl w:val="0"/>
        <w:rPr>
          <w:rFonts w:hint="eastAsia" w:ascii="黑体" w:eastAsia="黑体"/>
          <w:sz w:val="44"/>
          <w:szCs w:val="44"/>
        </w:rPr>
      </w:pPr>
    </w:p>
    <w:p w14:paraId="3A9FC1AF">
      <w:pPr>
        <w:spacing w:line="600" w:lineRule="exact"/>
        <w:jc w:val="center"/>
        <w:outlineLvl w:val="0"/>
        <w:rPr>
          <w:rFonts w:hint="eastAsia" w:ascii="黑体" w:eastAsia="黑体"/>
          <w:sz w:val="44"/>
          <w:szCs w:val="44"/>
        </w:rPr>
      </w:pPr>
    </w:p>
    <w:p w14:paraId="476ABCC1">
      <w:pPr>
        <w:spacing w:line="600" w:lineRule="exact"/>
        <w:jc w:val="center"/>
        <w:outlineLvl w:val="0"/>
        <w:rPr>
          <w:rFonts w:hint="eastAsia" w:ascii="黑体" w:eastAsia="黑体"/>
          <w:sz w:val="44"/>
          <w:szCs w:val="44"/>
        </w:rPr>
      </w:pPr>
    </w:p>
    <w:p w14:paraId="01439584">
      <w:pPr>
        <w:spacing w:line="600" w:lineRule="exact"/>
        <w:jc w:val="center"/>
        <w:outlineLvl w:val="0"/>
        <w:rPr>
          <w:rFonts w:hint="eastAsia" w:ascii="黑体" w:eastAsia="黑体"/>
          <w:sz w:val="44"/>
          <w:szCs w:val="44"/>
        </w:rPr>
      </w:pPr>
    </w:p>
    <w:p w14:paraId="0C40AD47">
      <w:pPr>
        <w:spacing w:line="600" w:lineRule="exact"/>
        <w:jc w:val="center"/>
        <w:outlineLvl w:val="0"/>
        <w:rPr>
          <w:rFonts w:hint="eastAsia" w:ascii="黑体" w:eastAsia="黑体"/>
          <w:sz w:val="44"/>
          <w:szCs w:val="44"/>
        </w:rPr>
      </w:pPr>
    </w:p>
    <w:p w14:paraId="13F47E50">
      <w:pPr>
        <w:spacing w:line="600" w:lineRule="exact"/>
        <w:jc w:val="center"/>
        <w:outlineLvl w:val="0"/>
        <w:rPr>
          <w:rFonts w:hint="eastAsia" w:ascii="黑体" w:eastAsia="黑体"/>
          <w:sz w:val="44"/>
          <w:szCs w:val="44"/>
        </w:rPr>
      </w:pPr>
    </w:p>
    <w:p w14:paraId="4158DB37">
      <w:pPr>
        <w:spacing w:line="600" w:lineRule="exact"/>
        <w:jc w:val="center"/>
        <w:outlineLvl w:val="0"/>
        <w:rPr>
          <w:rFonts w:hint="eastAsia" w:ascii="黑体" w:eastAsia="黑体"/>
          <w:sz w:val="44"/>
          <w:szCs w:val="44"/>
        </w:rPr>
      </w:pPr>
    </w:p>
    <w:p w14:paraId="48A518CF">
      <w:pPr>
        <w:spacing w:line="600" w:lineRule="exact"/>
        <w:jc w:val="center"/>
        <w:outlineLvl w:val="0"/>
        <w:rPr>
          <w:rFonts w:hint="eastAsia" w:ascii="黑体" w:eastAsia="黑体"/>
          <w:sz w:val="44"/>
          <w:szCs w:val="44"/>
        </w:rPr>
      </w:pPr>
    </w:p>
    <w:p w14:paraId="2F02362D">
      <w:pPr>
        <w:spacing w:line="600" w:lineRule="exact"/>
        <w:jc w:val="center"/>
        <w:outlineLvl w:val="0"/>
        <w:rPr>
          <w:rFonts w:hint="eastAsia" w:ascii="黑体" w:eastAsia="黑体"/>
          <w:sz w:val="44"/>
          <w:szCs w:val="44"/>
        </w:rPr>
      </w:pPr>
    </w:p>
    <w:p w14:paraId="6C0A1864">
      <w:pPr>
        <w:spacing w:line="600" w:lineRule="exact"/>
        <w:jc w:val="center"/>
        <w:outlineLvl w:val="0"/>
        <w:rPr>
          <w:rFonts w:hint="eastAsia" w:ascii="黑体" w:eastAsia="黑体"/>
          <w:sz w:val="44"/>
          <w:szCs w:val="44"/>
        </w:rPr>
      </w:pPr>
    </w:p>
    <w:p w14:paraId="631979A6">
      <w:pPr>
        <w:spacing w:line="600" w:lineRule="exact"/>
        <w:jc w:val="center"/>
        <w:outlineLvl w:val="0"/>
        <w:rPr>
          <w:rFonts w:hint="eastAsia" w:ascii="黑体" w:eastAsia="黑体"/>
          <w:sz w:val="44"/>
          <w:szCs w:val="44"/>
        </w:rPr>
      </w:pPr>
    </w:p>
    <w:p w14:paraId="01DD86E9">
      <w:pPr>
        <w:spacing w:line="600" w:lineRule="exact"/>
        <w:jc w:val="center"/>
        <w:outlineLvl w:val="0"/>
        <w:rPr>
          <w:rFonts w:hint="eastAsia" w:ascii="黑体" w:eastAsia="黑体"/>
          <w:sz w:val="44"/>
          <w:szCs w:val="44"/>
        </w:rPr>
      </w:pPr>
    </w:p>
    <w:p w14:paraId="21A45D7E">
      <w:pPr>
        <w:spacing w:line="600" w:lineRule="exact"/>
        <w:jc w:val="center"/>
        <w:outlineLvl w:val="0"/>
        <w:rPr>
          <w:rFonts w:hint="eastAsia" w:ascii="黑体" w:eastAsia="黑体"/>
          <w:sz w:val="44"/>
          <w:szCs w:val="44"/>
        </w:rPr>
      </w:pPr>
    </w:p>
    <w:p w14:paraId="556E49CB">
      <w:pPr>
        <w:spacing w:line="600" w:lineRule="exact"/>
        <w:jc w:val="center"/>
        <w:outlineLvl w:val="0"/>
        <w:rPr>
          <w:rFonts w:hint="eastAsia" w:ascii="黑体" w:eastAsia="黑体"/>
          <w:sz w:val="44"/>
          <w:szCs w:val="44"/>
        </w:rPr>
      </w:pPr>
    </w:p>
    <w:p w14:paraId="564CC95B">
      <w:pPr>
        <w:spacing w:line="600" w:lineRule="exact"/>
        <w:jc w:val="center"/>
        <w:outlineLvl w:val="0"/>
        <w:rPr>
          <w:rFonts w:hint="eastAsia" w:ascii="黑体" w:eastAsia="黑体"/>
          <w:sz w:val="44"/>
          <w:szCs w:val="44"/>
        </w:rPr>
      </w:pPr>
    </w:p>
    <w:p w14:paraId="03551FF0">
      <w:pPr>
        <w:spacing w:line="600" w:lineRule="exact"/>
        <w:jc w:val="center"/>
        <w:outlineLvl w:val="0"/>
        <w:rPr>
          <w:rFonts w:hint="eastAsia" w:ascii="黑体" w:eastAsia="黑体"/>
          <w:sz w:val="44"/>
          <w:szCs w:val="44"/>
        </w:rPr>
      </w:pPr>
    </w:p>
    <w:p w14:paraId="4A793E30">
      <w:pPr>
        <w:spacing w:line="600" w:lineRule="exact"/>
        <w:jc w:val="center"/>
        <w:outlineLvl w:val="0"/>
        <w:rPr>
          <w:rFonts w:hint="eastAsia" w:ascii="黑体" w:eastAsia="黑体"/>
          <w:sz w:val="44"/>
          <w:szCs w:val="44"/>
        </w:rPr>
      </w:pPr>
    </w:p>
    <w:p w14:paraId="57C24B47">
      <w:pPr>
        <w:spacing w:line="600" w:lineRule="exact"/>
        <w:jc w:val="center"/>
        <w:outlineLvl w:val="0"/>
        <w:rPr>
          <w:rFonts w:hint="eastAsia" w:ascii="黑体" w:eastAsia="黑体"/>
          <w:sz w:val="44"/>
          <w:szCs w:val="44"/>
        </w:rPr>
      </w:pPr>
    </w:p>
    <w:p w14:paraId="114DA378">
      <w:pPr>
        <w:spacing w:line="600" w:lineRule="exact"/>
        <w:jc w:val="center"/>
        <w:outlineLvl w:val="0"/>
        <w:rPr>
          <w:rFonts w:hint="eastAsia" w:ascii="黑体" w:eastAsia="黑体"/>
          <w:sz w:val="44"/>
          <w:szCs w:val="44"/>
        </w:rPr>
      </w:pPr>
    </w:p>
    <w:p w14:paraId="46A4D8B4">
      <w:pPr>
        <w:spacing w:line="600" w:lineRule="exact"/>
        <w:jc w:val="center"/>
        <w:outlineLvl w:val="0"/>
        <w:rPr>
          <w:rFonts w:hint="eastAsia" w:ascii="黑体" w:eastAsia="黑体"/>
          <w:sz w:val="44"/>
          <w:szCs w:val="44"/>
        </w:rPr>
      </w:pPr>
    </w:p>
    <w:p w14:paraId="2B17F6B4">
      <w:pPr>
        <w:spacing w:line="600" w:lineRule="exact"/>
        <w:jc w:val="center"/>
        <w:outlineLvl w:val="0"/>
        <w:rPr>
          <w:rFonts w:ascii="仿宋" w:eastAsia="仿宋"/>
        </w:rPr>
      </w:pPr>
      <w:r>
        <w:rPr>
          <w:rFonts w:hint="eastAsia" w:ascii="黑体" w:eastAsia="黑体"/>
          <w:sz w:val="44"/>
          <w:szCs w:val="44"/>
        </w:rPr>
        <w:t>第</w:t>
      </w:r>
      <w:r>
        <w:rPr>
          <w:rStyle w:val="20"/>
          <w:rFonts w:hint="eastAsia" w:ascii="黑体" w:eastAsia="黑体"/>
          <w:b w:val="0"/>
        </w:rPr>
        <w:t>五部分 附表</w:t>
      </w:r>
      <w:bookmarkEnd w:id="51"/>
      <w:bookmarkEnd w:id="53"/>
      <w:bookmarkStart w:id="54" w:name="_Toc15396619"/>
    </w:p>
    <w:p w14:paraId="5D481335">
      <w:pPr>
        <w:pStyle w:val="6"/>
        <w:rPr>
          <w:rFonts w:ascii="仿宋" w:eastAsia="仿宋"/>
        </w:rPr>
      </w:pPr>
      <w:r>
        <w:rPr>
          <w:rFonts w:hint="eastAsia" w:ascii="仿宋" w:eastAsia="仿宋"/>
          <w:b w:val="0"/>
        </w:rPr>
        <w:t>一、收</w:t>
      </w:r>
      <w:r>
        <w:rPr>
          <w:rStyle w:val="21"/>
          <w:rFonts w:hint="eastAsia" w:ascii="仿宋" w:eastAsia="仿宋"/>
          <w:b w:val="0"/>
          <w:bCs w:val="0"/>
        </w:rPr>
        <w:t>入支出决算总表</w:t>
      </w:r>
      <w:bookmarkEnd w:id="54"/>
    </w:p>
    <w:p w14:paraId="7F0343BA">
      <w:pPr>
        <w:pStyle w:val="6"/>
        <w:rPr>
          <w:rFonts w:ascii="仿宋" w:eastAsia="仿宋"/>
        </w:rPr>
      </w:pPr>
      <w:bookmarkStart w:id="55" w:name="_Toc15396620"/>
      <w:r>
        <w:rPr>
          <w:rFonts w:hint="eastAsia" w:ascii="仿宋" w:eastAsia="仿宋"/>
          <w:b w:val="0"/>
        </w:rPr>
        <w:t>二、收</w:t>
      </w:r>
      <w:r>
        <w:rPr>
          <w:rStyle w:val="21"/>
          <w:rFonts w:hint="eastAsia" w:ascii="仿宋" w:eastAsia="仿宋"/>
          <w:b w:val="0"/>
          <w:bCs w:val="0"/>
        </w:rPr>
        <w:t>入决算表</w:t>
      </w:r>
      <w:bookmarkEnd w:id="55"/>
    </w:p>
    <w:p w14:paraId="3FC3AAE1">
      <w:pPr>
        <w:pStyle w:val="6"/>
        <w:rPr>
          <w:rFonts w:ascii="仿宋" w:eastAsia="仿宋"/>
        </w:rPr>
      </w:pPr>
      <w:bookmarkStart w:id="56" w:name="_Toc15396621"/>
      <w:r>
        <w:rPr>
          <w:rStyle w:val="21"/>
          <w:rFonts w:hint="eastAsia" w:ascii="仿宋" w:eastAsia="仿宋"/>
          <w:b w:val="0"/>
          <w:bCs w:val="0"/>
        </w:rPr>
        <w:t>三、</w:t>
      </w:r>
      <w:r>
        <w:rPr>
          <w:rFonts w:hint="eastAsia" w:ascii="仿宋" w:eastAsia="仿宋"/>
          <w:b w:val="0"/>
        </w:rPr>
        <w:t>支</w:t>
      </w:r>
      <w:r>
        <w:rPr>
          <w:rStyle w:val="21"/>
          <w:rFonts w:hint="eastAsia" w:ascii="仿宋" w:eastAsia="仿宋"/>
          <w:b w:val="0"/>
          <w:bCs w:val="0"/>
        </w:rPr>
        <w:t>出决算表</w:t>
      </w:r>
      <w:bookmarkEnd w:id="56"/>
    </w:p>
    <w:p w14:paraId="3B3B30FC">
      <w:pPr>
        <w:pStyle w:val="6"/>
        <w:rPr>
          <w:rFonts w:ascii="仿宋" w:eastAsia="仿宋"/>
          <w:b w:val="0"/>
        </w:rPr>
      </w:pPr>
      <w:bookmarkStart w:id="57" w:name="_Toc15396622"/>
      <w:r>
        <w:rPr>
          <w:rStyle w:val="21"/>
          <w:rFonts w:hint="eastAsia" w:ascii="仿宋" w:eastAsia="仿宋"/>
          <w:b w:val="0"/>
          <w:bCs w:val="0"/>
        </w:rPr>
        <w:t>四、</w:t>
      </w:r>
      <w:r>
        <w:rPr>
          <w:rFonts w:hint="eastAsia" w:ascii="仿宋" w:eastAsia="仿宋"/>
          <w:b w:val="0"/>
        </w:rPr>
        <w:t>财</w:t>
      </w:r>
      <w:r>
        <w:rPr>
          <w:rStyle w:val="21"/>
          <w:rFonts w:hint="eastAsia" w:ascii="仿宋" w:eastAsia="仿宋"/>
          <w:b w:val="0"/>
          <w:bCs w:val="0"/>
        </w:rPr>
        <w:t>政拨款收入支出决算总表</w:t>
      </w:r>
      <w:bookmarkEnd w:id="57"/>
    </w:p>
    <w:p w14:paraId="78EE8966">
      <w:pPr>
        <w:pStyle w:val="6"/>
        <w:rPr>
          <w:rStyle w:val="21"/>
          <w:rFonts w:ascii="仿宋" w:eastAsia="仿宋"/>
          <w:b w:val="0"/>
          <w:bCs w:val="0"/>
        </w:rPr>
      </w:pPr>
      <w:bookmarkStart w:id="58" w:name="_Toc15396623"/>
      <w:r>
        <w:rPr>
          <w:rStyle w:val="21"/>
          <w:rFonts w:hint="eastAsia" w:ascii="仿宋" w:eastAsia="仿宋"/>
          <w:b w:val="0"/>
          <w:bCs w:val="0"/>
        </w:rPr>
        <w:t>五、</w:t>
      </w:r>
      <w:r>
        <w:rPr>
          <w:rFonts w:hint="eastAsia" w:ascii="仿宋" w:eastAsia="仿宋"/>
          <w:b w:val="0"/>
        </w:rPr>
        <w:t>财</w:t>
      </w:r>
      <w:r>
        <w:rPr>
          <w:rStyle w:val="21"/>
          <w:rFonts w:hint="eastAsia" w:ascii="仿宋" w:eastAsia="仿宋"/>
          <w:b w:val="0"/>
          <w:bCs w:val="0"/>
        </w:rPr>
        <w:t>政拨款支出决算明细表</w:t>
      </w:r>
      <w:bookmarkEnd w:id="58"/>
      <w:bookmarkStart w:id="59" w:name="_Toc15396624"/>
    </w:p>
    <w:p w14:paraId="5BB0BF14">
      <w:pPr>
        <w:pStyle w:val="6"/>
        <w:rPr>
          <w:rFonts w:ascii="仿宋" w:eastAsia="仿宋"/>
        </w:rPr>
      </w:pPr>
      <w:r>
        <w:rPr>
          <w:rStyle w:val="21"/>
          <w:rFonts w:hint="eastAsia" w:ascii="仿宋" w:eastAsia="仿宋"/>
          <w:b w:val="0"/>
          <w:bCs w:val="0"/>
        </w:rPr>
        <w:t>六、</w:t>
      </w:r>
      <w:r>
        <w:rPr>
          <w:rFonts w:hint="eastAsia" w:ascii="仿宋" w:eastAsia="仿宋"/>
          <w:b w:val="0"/>
        </w:rPr>
        <w:t>一</w:t>
      </w:r>
      <w:r>
        <w:rPr>
          <w:rStyle w:val="21"/>
          <w:rFonts w:hint="eastAsia" w:ascii="仿宋" w:eastAsia="仿宋"/>
          <w:b w:val="0"/>
          <w:bCs w:val="0"/>
        </w:rPr>
        <w:t>般公共预算财政拨款支出决算表</w:t>
      </w:r>
      <w:bookmarkEnd w:id="59"/>
    </w:p>
    <w:p w14:paraId="3B30E9B2">
      <w:pPr>
        <w:pStyle w:val="6"/>
        <w:rPr>
          <w:rFonts w:ascii="仿宋" w:eastAsia="仿宋"/>
        </w:rPr>
      </w:pPr>
      <w:bookmarkStart w:id="60" w:name="_Toc15396625"/>
      <w:r>
        <w:rPr>
          <w:rStyle w:val="21"/>
          <w:rFonts w:hint="eastAsia" w:ascii="仿宋" w:eastAsia="仿宋"/>
          <w:b w:val="0"/>
          <w:bCs w:val="0"/>
        </w:rPr>
        <w:t>七、</w:t>
      </w:r>
      <w:r>
        <w:rPr>
          <w:rFonts w:hint="eastAsia" w:ascii="仿宋" w:eastAsia="仿宋"/>
          <w:b w:val="0"/>
        </w:rPr>
        <w:t>一</w:t>
      </w:r>
      <w:r>
        <w:rPr>
          <w:rStyle w:val="21"/>
          <w:rFonts w:hint="eastAsia" w:ascii="仿宋" w:eastAsia="仿宋"/>
          <w:b w:val="0"/>
          <w:bCs w:val="0"/>
        </w:rPr>
        <w:t>般公共预算财政拨款支出决算明细表</w:t>
      </w:r>
      <w:bookmarkEnd w:id="60"/>
    </w:p>
    <w:p w14:paraId="58472B10">
      <w:pPr>
        <w:pStyle w:val="6"/>
        <w:rPr>
          <w:rFonts w:ascii="仿宋" w:eastAsia="仿宋"/>
        </w:rPr>
      </w:pPr>
      <w:bookmarkStart w:id="61" w:name="_Toc15396626"/>
      <w:r>
        <w:rPr>
          <w:rStyle w:val="21"/>
          <w:rFonts w:hint="eastAsia" w:ascii="仿宋" w:eastAsia="仿宋"/>
          <w:b w:val="0"/>
          <w:bCs w:val="0"/>
        </w:rPr>
        <w:t>八、</w:t>
      </w:r>
      <w:r>
        <w:rPr>
          <w:rFonts w:hint="eastAsia" w:ascii="仿宋" w:eastAsia="仿宋"/>
          <w:b w:val="0"/>
        </w:rPr>
        <w:t>一</w:t>
      </w:r>
      <w:r>
        <w:rPr>
          <w:rStyle w:val="21"/>
          <w:rFonts w:hint="eastAsia" w:ascii="仿宋" w:eastAsia="仿宋"/>
          <w:b w:val="0"/>
          <w:bCs w:val="0"/>
        </w:rPr>
        <w:t>般公共预算财政拨款基本支出决算表</w:t>
      </w:r>
      <w:bookmarkEnd w:id="61"/>
    </w:p>
    <w:p w14:paraId="5DA1130B">
      <w:pPr>
        <w:pStyle w:val="6"/>
        <w:rPr>
          <w:rFonts w:ascii="仿宋" w:eastAsia="仿宋"/>
        </w:rPr>
      </w:pPr>
      <w:bookmarkStart w:id="62" w:name="_Toc15396627"/>
      <w:r>
        <w:rPr>
          <w:rStyle w:val="21"/>
          <w:rFonts w:hint="eastAsia" w:ascii="仿宋" w:eastAsia="仿宋"/>
          <w:b w:val="0"/>
          <w:bCs w:val="0"/>
        </w:rPr>
        <w:t>九、</w:t>
      </w:r>
      <w:r>
        <w:rPr>
          <w:rFonts w:hint="eastAsia" w:ascii="仿宋" w:eastAsia="仿宋"/>
          <w:b w:val="0"/>
        </w:rPr>
        <w:t>一</w:t>
      </w:r>
      <w:r>
        <w:rPr>
          <w:rStyle w:val="21"/>
          <w:rFonts w:hint="eastAsia" w:ascii="仿宋" w:eastAsia="仿宋"/>
          <w:b w:val="0"/>
          <w:bCs w:val="0"/>
        </w:rPr>
        <w:t>般公共预算财政拨款项目支出决算表</w:t>
      </w:r>
      <w:bookmarkEnd w:id="62"/>
    </w:p>
    <w:p w14:paraId="3B0DEAD2">
      <w:pPr>
        <w:pStyle w:val="6"/>
        <w:rPr>
          <w:rFonts w:ascii="仿宋" w:eastAsia="仿宋"/>
        </w:rPr>
      </w:pPr>
      <w:bookmarkStart w:id="63" w:name="_Toc15396628"/>
      <w:r>
        <w:rPr>
          <w:rStyle w:val="21"/>
          <w:rFonts w:hint="eastAsia" w:ascii="仿宋" w:eastAsia="仿宋"/>
          <w:b w:val="0"/>
          <w:bCs w:val="0"/>
        </w:rPr>
        <w:t>十、</w:t>
      </w:r>
      <w:bookmarkEnd w:id="63"/>
      <w:r>
        <w:rPr>
          <w:rFonts w:hint="eastAsia" w:ascii="仿宋" w:eastAsia="仿宋"/>
          <w:b w:val="0"/>
        </w:rPr>
        <w:t>政</w:t>
      </w:r>
      <w:r>
        <w:rPr>
          <w:rStyle w:val="21"/>
          <w:rFonts w:hint="eastAsia" w:ascii="仿宋" w:eastAsia="仿宋"/>
          <w:b w:val="0"/>
          <w:bCs w:val="0"/>
        </w:rPr>
        <w:t>府性基金预算财政拨款收入支出决算表</w:t>
      </w:r>
    </w:p>
    <w:p w14:paraId="1A50CE46">
      <w:pPr>
        <w:pStyle w:val="6"/>
        <w:rPr>
          <w:rFonts w:ascii="仿宋" w:eastAsia="仿宋"/>
        </w:rPr>
      </w:pPr>
      <w:bookmarkStart w:id="64" w:name="_Toc15396629"/>
      <w:r>
        <w:rPr>
          <w:rStyle w:val="21"/>
          <w:rFonts w:hint="eastAsia" w:ascii="仿宋" w:eastAsia="仿宋"/>
          <w:b w:val="0"/>
          <w:bCs w:val="0"/>
        </w:rPr>
        <w:t>十一、</w:t>
      </w:r>
      <w:bookmarkEnd w:id="64"/>
      <w:r>
        <w:rPr>
          <w:rFonts w:hint="eastAsia" w:ascii="仿宋" w:eastAsia="仿宋"/>
          <w:b w:val="0"/>
        </w:rPr>
        <w:t>国</w:t>
      </w:r>
      <w:r>
        <w:rPr>
          <w:rStyle w:val="21"/>
          <w:rFonts w:hint="eastAsia" w:ascii="仿宋" w:eastAsia="仿宋"/>
          <w:b w:val="0"/>
          <w:bCs w:val="0"/>
        </w:rPr>
        <w:t>有资本经营预算财政拨款收入支出决算表</w:t>
      </w:r>
      <w:r>
        <w:rPr>
          <w:rStyle w:val="21"/>
          <w:rFonts w:hint="eastAsia" w:ascii="仿宋" w:hAnsi="仿宋" w:eastAsia="仿宋"/>
          <w:b w:val="0"/>
          <w:bCs w:val="0"/>
          <w:lang w:eastAsia="zh-CN"/>
        </w:rPr>
        <w:t>（此表无数据）</w:t>
      </w:r>
    </w:p>
    <w:p w14:paraId="36AF1FA4">
      <w:pPr>
        <w:pStyle w:val="6"/>
        <w:rPr>
          <w:rFonts w:ascii="仿宋" w:eastAsia="仿宋"/>
        </w:rPr>
      </w:pPr>
      <w:bookmarkStart w:id="65" w:name="_Toc15396630"/>
      <w:r>
        <w:rPr>
          <w:rStyle w:val="21"/>
          <w:rFonts w:hint="eastAsia" w:ascii="仿宋" w:eastAsia="仿宋"/>
          <w:b w:val="0"/>
          <w:bCs w:val="0"/>
        </w:rPr>
        <w:t>十二、</w:t>
      </w:r>
      <w:bookmarkEnd w:id="65"/>
      <w:r>
        <w:rPr>
          <w:rStyle w:val="21"/>
          <w:rFonts w:hint="eastAsia" w:ascii="仿宋" w:eastAsia="仿宋"/>
          <w:b w:val="0"/>
          <w:bCs w:val="0"/>
        </w:rPr>
        <w:t>国有资本经营预算财政拨款支出决算表</w:t>
      </w:r>
      <w:r>
        <w:rPr>
          <w:rStyle w:val="21"/>
          <w:rFonts w:hint="eastAsia" w:ascii="仿宋" w:hAnsi="仿宋" w:eastAsia="仿宋"/>
          <w:b w:val="0"/>
          <w:bCs w:val="0"/>
          <w:lang w:eastAsia="zh-CN"/>
        </w:rPr>
        <w:t>（此表无数据）</w:t>
      </w:r>
    </w:p>
    <w:p w14:paraId="5A03B5AC">
      <w:pPr>
        <w:pStyle w:val="6"/>
        <w:rPr>
          <w:rFonts w:eastAsia="仿宋"/>
        </w:rPr>
      </w:pPr>
      <w:bookmarkStart w:id="66" w:name="_Toc15396631"/>
      <w:r>
        <w:rPr>
          <w:rStyle w:val="21"/>
          <w:rFonts w:hint="eastAsia" w:ascii="仿宋" w:eastAsia="仿宋"/>
          <w:b w:val="0"/>
          <w:bCs w:val="0"/>
        </w:rPr>
        <w:t>十三、</w:t>
      </w:r>
      <w:bookmarkEnd w:id="66"/>
      <w:r>
        <w:rPr>
          <w:rStyle w:val="21"/>
          <w:rFonts w:hint="eastAsia" w:asci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05086"/>
      <w:docPartObj>
        <w:docPartGallery w:val="autotext"/>
      </w:docPartObj>
    </w:sdtPr>
    <w:sdtContent>
      <w:p w14:paraId="1C740C6B">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14:paraId="1F18CDA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F25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3">
    <w:nsid w:val="3818A09A"/>
    <w:multiLevelType w:val="singleLevel"/>
    <w:tmpl w:val="3818A09A"/>
    <w:lvl w:ilvl="0" w:tentative="0">
      <w:start w:val="1"/>
      <w:numFmt w:val="chineseCounting"/>
      <w:suff w:val="nothing"/>
      <w:lvlText w:val="%1、"/>
      <w:lvlJc w:val="left"/>
      <w:pPr>
        <w:tabs>
          <w:tab w:val="left" w:pos="0"/>
        </w:tabs>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docVars>
    <w:docVar w:name="commondata" w:val="eyJoZGlkIjoiMTcwMDYxY2YxZjAzNzI0ODM1NWQ1ZmNmYTYxNjk2YWEifQ=="/>
  </w:docVars>
  <w:rsids>
    <w:rsidRoot w:val="003D0C45"/>
    <w:rsid w:val="003D0C45"/>
    <w:rsid w:val="00646321"/>
    <w:rsid w:val="00945BAC"/>
    <w:rsid w:val="00C96793"/>
    <w:rsid w:val="00FD6D35"/>
    <w:rsid w:val="02654B68"/>
    <w:rsid w:val="04CC5E7E"/>
    <w:rsid w:val="0917057A"/>
    <w:rsid w:val="0C6902EE"/>
    <w:rsid w:val="0E6D1544"/>
    <w:rsid w:val="0FDF0019"/>
    <w:rsid w:val="104C2AF0"/>
    <w:rsid w:val="121C7A1C"/>
    <w:rsid w:val="12443874"/>
    <w:rsid w:val="17B648CC"/>
    <w:rsid w:val="1DE303E5"/>
    <w:rsid w:val="339935C8"/>
    <w:rsid w:val="3400642D"/>
    <w:rsid w:val="3C217AB5"/>
    <w:rsid w:val="433D0984"/>
    <w:rsid w:val="4C505090"/>
    <w:rsid w:val="4E551B55"/>
    <w:rsid w:val="4EA82548"/>
    <w:rsid w:val="545A61B9"/>
    <w:rsid w:val="550F531A"/>
    <w:rsid w:val="581110D0"/>
    <w:rsid w:val="669816C7"/>
    <w:rsid w:val="67297347"/>
    <w:rsid w:val="6942733B"/>
    <w:rsid w:val="6D3D17E8"/>
    <w:rsid w:val="6F5C088D"/>
    <w:rsid w:val="7CCE526B"/>
    <w:rsid w:val="7CFA2E81"/>
    <w:rsid w:val="BF457A3C"/>
    <w:rsid w:val="FAF3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1"/>
    <w:qFormat/>
    <w:uiPriority w:val="0"/>
    <w:pPr>
      <w:keepNext/>
      <w:keepLines/>
      <w:spacing w:before="260" w:after="260" w:line="415"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qFormat/>
    <w:uiPriority w:val="0"/>
    <w:pPr>
      <w:spacing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link w:val="3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eastAsia="仿宋"/>
      <w:sz w:val="28"/>
      <w:szCs w:val="28"/>
    </w:rPr>
  </w:style>
  <w:style w:type="paragraph" w:styleId="14">
    <w:name w:val="toc 2"/>
    <w:basedOn w:val="1"/>
    <w:next w:val="1"/>
    <w:qFormat/>
    <w:uiPriority w:val="0"/>
    <w:pPr>
      <w:tabs>
        <w:tab w:val="right" w:leader="dot" w:pos="8296"/>
      </w:tabs>
      <w:ind w:left="200" w:leftChars="200"/>
    </w:p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标题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21">
    <w:name w:val="标题 2 Char"/>
    <w:basedOn w:val="16"/>
    <w:link w:val="6"/>
    <w:qFormat/>
    <w:uiPriority w:val="0"/>
    <w:rPr>
      <w:rFonts w:ascii="Cambria" w:hAnsi="Cambria" w:eastAsia="宋体" w:cs="Times New Roman"/>
      <w:b/>
      <w:bCs/>
      <w:kern w:val="2"/>
      <w:sz w:val="32"/>
      <w:szCs w:val="32"/>
      <w:lang w:val="en-US" w:eastAsia="zh-CN" w:bidi="ar-SA"/>
    </w:rPr>
  </w:style>
  <w:style w:type="character" w:customStyle="1" w:styleId="22">
    <w:name w:val="Header Char"/>
    <w:basedOn w:val="16"/>
    <w:qFormat/>
    <w:uiPriority w:val="0"/>
    <w:rPr>
      <w:rFonts w:ascii="Times New Roman" w:hAnsi="Times New Roman"/>
      <w:sz w:val="18"/>
      <w:szCs w:val="18"/>
    </w:rPr>
  </w:style>
  <w:style w:type="character" w:customStyle="1" w:styleId="23">
    <w:name w:val="Footer Char"/>
    <w:basedOn w:val="16"/>
    <w:qFormat/>
    <w:uiPriority w:val="0"/>
    <w:rPr>
      <w:rFonts w:ascii="Times New Roman" w:hAnsi="Times New Roman"/>
      <w:sz w:val="18"/>
      <w:szCs w:val="18"/>
    </w:rPr>
  </w:style>
  <w:style w:type="character" w:customStyle="1" w:styleId="24">
    <w:name w:val="Body Text Char"/>
    <w:basedOn w:val="16"/>
    <w:qFormat/>
    <w:uiPriority w:val="0"/>
    <w:rPr>
      <w:rFonts w:ascii="Times New Roman" w:hAnsi="Times New Roman"/>
      <w:szCs w:val="24"/>
    </w:rPr>
  </w:style>
  <w:style w:type="paragraph" w:customStyle="1" w:styleId="2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6">
    <w:name w:val="列出段落1"/>
    <w:basedOn w:val="1"/>
    <w:qFormat/>
    <w:uiPriority w:val="0"/>
    <w:pPr>
      <w:ind w:firstLine="200" w:firstLineChars="200"/>
    </w:pPr>
  </w:style>
  <w:style w:type="paragraph" w:customStyle="1" w:styleId="27">
    <w:name w:val="TOC 标题1"/>
    <w:basedOn w:val="5"/>
    <w:next w:val="1"/>
    <w:qFormat/>
    <w:uiPriority w:val="0"/>
    <w:pPr>
      <w:widowControl/>
      <w:spacing w:before="480" w:after="0" w:line="276" w:lineRule="auto"/>
      <w:jc w:val="left"/>
      <w:outlineLvl w:val="9"/>
    </w:pPr>
    <w:rPr>
      <w:rFonts w:ascii="Cambria" w:hAnsi="Cambria"/>
      <w:color w:val="376092"/>
      <w:kern w:val="0"/>
      <w:sz w:val="28"/>
      <w:szCs w:val="28"/>
    </w:rPr>
  </w:style>
  <w:style w:type="paragraph" w:customStyle="1" w:styleId="28">
    <w:name w:val="TOC 标题2"/>
    <w:basedOn w:val="5"/>
    <w:next w:val="1"/>
    <w:qFormat/>
    <w:uiPriority w:val="0"/>
    <w:pPr>
      <w:widowControl/>
      <w:spacing w:before="480" w:after="0" w:line="276" w:lineRule="auto"/>
      <w:jc w:val="left"/>
      <w:outlineLvl w:val="9"/>
    </w:pPr>
    <w:rPr>
      <w:rFonts w:ascii="Cambria" w:hAnsi="Cambria"/>
      <w:color w:val="376092"/>
      <w:kern w:val="0"/>
      <w:sz w:val="28"/>
      <w:szCs w:val="28"/>
    </w:rPr>
  </w:style>
  <w:style w:type="paragraph" w:styleId="29">
    <w:name w:val="No Spacing"/>
    <w:link w:val="30"/>
    <w:qFormat/>
    <w:uiPriority w:val="1"/>
    <w:rPr>
      <w:rFonts w:asciiTheme="minorHAnsi" w:hAnsiTheme="minorHAnsi" w:eastAsiaTheme="minorEastAsia" w:cstheme="minorBidi"/>
      <w:sz w:val="22"/>
      <w:szCs w:val="22"/>
      <w:lang w:val="en-US" w:eastAsia="zh-CN" w:bidi="ar-SA"/>
    </w:rPr>
  </w:style>
  <w:style w:type="character" w:customStyle="1" w:styleId="30">
    <w:name w:val="无间隔 Char"/>
    <w:basedOn w:val="16"/>
    <w:link w:val="29"/>
    <w:qFormat/>
    <w:uiPriority w:val="1"/>
    <w:rPr>
      <w:rFonts w:asciiTheme="minorHAnsi" w:hAnsiTheme="minorHAnsi" w:eastAsiaTheme="minorEastAsia" w:cstheme="minorBidi"/>
      <w:sz w:val="22"/>
      <w:szCs w:val="22"/>
    </w:rPr>
  </w:style>
  <w:style w:type="character" w:customStyle="1" w:styleId="31">
    <w:name w:val="页眉 Char"/>
    <w:basedOn w:val="16"/>
    <w:link w:val="12"/>
    <w:qFormat/>
    <w:uiPriority w:val="99"/>
    <w:rPr>
      <w:rFonts w:ascii="Calibri" w:hAnsi="Calibri"/>
      <w:sz w:val="18"/>
      <w:szCs w:val="18"/>
    </w:rPr>
  </w:style>
  <w:style w:type="character" w:customStyle="1" w:styleId="32">
    <w:name w:val="页脚 Char"/>
    <w:basedOn w:val="16"/>
    <w:link w:val="11"/>
    <w:qFormat/>
    <w:uiPriority w:val="99"/>
    <w:rPr>
      <w:rFonts w:ascii="Calibri" w:hAnsi="Calibri"/>
      <w:sz w:val="18"/>
      <w:szCs w:val="1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1016;&#31890;&#29577;\&#20915;&#31639;&#20844;&#24320;\2024&#24180;&#20915;&#31639;&#20844;&#24320;\2024&#24180;&#20915;&#31639;&#20844;&#24320;&#65288;&#20307;&#20013;&#65289;\&#32534;&#22270;&#25968;&#25454;&#65288;&#24066;&#20307;&#20013;&#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1016;&#31890;&#29577;\&#20915;&#31639;&#20844;&#24320;\2024&#24180;&#20915;&#31639;&#20844;&#24320;\2024&#24180;&#20915;&#31639;&#20844;&#24320;&#65288;&#20307;&#20013;&#65289;\&#32534;&#22270;&#25968;&#25454;&#65288;&#24066;&#20307;&#20013;&#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1016;&#31890;&#29577;\&#20915;&#31639;&#20844;&#24320;\2024&#24180;&#20915;&#31639;&#20844;&#24320;\2024&#24180;&#20915;&#31639;&#20844;&#24320;&#65288;&#20307;&#20013;&#65289;\&#32534;&#22270;&#25968;&#25454;&#65288;&#24066;&#20307;&#20013;&#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1016;&#31890;&#29577;\&#20915;&#31639;&#20844;&#24320;\2024&#24180;&#20915;&#31639;&#20844;&#24320;\2024&#24180;&#20915;&#31639;&#20844;&#24320;&#65288;&#20307;&#20013;&#65289;\&#32534;&#22270;&#25968;&#25454;&#65288;&#24066;&#20307;&#20013;&#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1016;&#31890;&#29577;\&#20915;&#31639;&#20844;&#24320;\2024&#24180;&#20915;&#31639;&#20844;&#24320;\2024&#24180;&#20915;&#31639;&#20844;&#24320;&#65288;&#20307;&#20013;&#65289;\&#32534;&#22270;&#25968;&#25454;&#65288;&#24066;&#20307;&#20013;&#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1016;&#31890;&#29577;\&#20915;&#31639;&#20844;&#24320;\2024&#24180;&#20915;&#31639;&#20844;&#24320;\2024&#24180;&#20915;&#31639;&#20844;&#24320;&#65288;&#20307;&#20013;&#65289;\&#32534;&#22270;&#25968;&#25454;&#65288;&#24066;&#20307;&#20013;&#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123\Desktop\2023&#24180;&#20915;&#31639;&#20844;&#31034;&#20844;&#24320;\&#32534;&#22270;&#25968;&#25454;&#65288;&#24066;&#20307;&#20013;&#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收、支决算总计变动情况</a:t>
            </a:r>
          </a:p>
        </c:rich>
      </c:tx>
      <c:layout/>
      <c:overlay val="0"/>
    </c:title>
    <c:autoTitleDeleted val="0"/>
    <c:plotArea>
      <c:layout>
        <c:manualLayout>
          <c:layoutTarget val="inner"/>
          <c:xMode val="edge"/>
          <c:yMode val="edge"/>
          <c:x val="0.121643439489149"/>
          <c:y val="0.106937345703074"/>
          <c:w val="0.850473169371542"/>
          <c:h val="0.432902887139108"/>
        </c:manualLayout>
      </c:layout>
      <c:barChart>
        <c:barDir val="col"/>
        <c:grouping val="stacked"/>
        <c:varyColors val="0"/>
        <c:ser>
          <c:idx val="0"/>
          <c:order val="0"/>
          <c:tx>
            <c:strRef>
              <c:f>"财政拨款收、支决算总计变动情况"</c:f>
              <c:strCache>
                <c:ptCount val="1"/>
                <c:pt idx="0">
                  <c:v>财政拨款收、支决算总计变动情况</c:v>
                </c:pt>
              </c:strCache>
            </c:strRef>
          </c:tx>
          <c:invertIfNegative val="0"/>
          <c:dLbls>
            <c:dLbl>
              <c:idx val="0"/>
              <c:layout>
                <c:manualLayout>
                  <c:x val="0.0633713434984295"/>
                  <c:y val="-0.2006600660066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1533564557236"/>
                  <c:y val="-0.20858085808580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06970747987436"/>
                  <c:y val="-0.07920792079207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33713434984295"/>
                  <c:y val="-0.079207920792079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'[编图数据（市体中）.xlsx]收支总计变动情况 '!$A$1:$A$4</c:f>
              <c:strCache>
                <c:ptCount val="4"/>
                <c:pt idx="0">
                  <c:v>2023年收、支总计（万元）</c:v>
                </c:pt>
                <c:pt idx="1">
                  <c:v>2024年收、支总计（万元）</c:v>
                </c:pt>
                <c:pt idx="2">
                  <c:v>2023年与2024年相比收、支总计增加（万元）</c:v>
                </c:pt>
                <c:pt idx="3">
                  <c:v>同比增长</c:v>
                </c:pt>
              </c:strCache>
            </c:strRef>
          </c:cat>
          <c:val>
            <c:numRef>
              <c:f>'[编图数据（市体中）.xlsx]收支总计变动情况 '!$B$1:$B$4</c:f>
              <c:numCache>
                <c:formatCode>General</c:formatCode>
                <c:ptCount val="4"/>
                <c:pt idx="0">
                  <c:v>1611.69</c:v>
                </c:pt>
                <c:pt idx="1">
                  <c:v>1653.06</c:v>
                </c:pt>
                <c:pt idx="2">
                  <c:v>41.3699999999999</c:v>
                </c:pt>
                <c:pt idx="3" c:formatCode="0.00%">
                  <c:v>0.0439</c:v>
                </c:pt>
              </c:numCache>
            </c:numRef>
          </c:val>
        </c:ser>
        <c:dLbls>
          <c:showLegendKey val="0"/>
          <c:showVal val="1"/>
          <c:showCatName val="0"/>
          <c:showSerName val="0"/>
          <c:showPercent val="0"/>
          <c:showBubbleSize val="0"/>
        </c:dLbls>
        <c:gapWidth val="150"/>
        <c:overlap val="100"/>
        <c:axId val="97748864"/>
        <c:axId val="97768576"/>
      </c:barChart>
      <c:catAx>
        <c:axId val="977488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768576"/>
        <c:crosses val="autoZero"/>
        <c:auto val="1"/>
        <c:lblAlgn val="ctr"/>
        <c:lblOffset val="100"/>
        <c:noMultiLvlLbl val="0"/>
      </c:catAx>
      <c:valAx>
        <c:axId val="977685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748864"/>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75216823-1812-4c7c-b049-f10be265fc7c}"/>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72338532004744"/>
          <c:y val="0.11799974096196"/>
          <c:w val="0.587408718240117"/>
          <c:h val="0.783895126316758"/>
        </c:manualLayout>
      </c:layout>
      <c:pie3DChart>
        <c:varyColors val="1"/>
        <c:ser>
          <c:idx val="0"/>
          <c:order val="0"/>
          <c:tx>
            <c:strRef>
              <c:f>"收入决算情况"</c:f>
              <c:strCache>
                <c:ptCount val="1"/>
                <c:pt idx="0">
                  <c:v>收入决算情况</c:v>
                </c:pt>
              </c:strCache>
            </c:strRef>
          </c:tx>
          <c:explosion val="52"/>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1,572.52, 96.0</a:t>
                    </a:r>
                    <a:r>
                      <a:rPr lang="en-US" altLang="zh-CN"/>
                      <a:t>6</a:t>
                    </a:r>
                    <a:r>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0360529607660833"/>
                  <c:y val="-0.014054528298850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56.19, 3.43%</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6436111760697"/>
                  <c:y val="-0.00036560766182821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'[编图数据（市体中）.xlsx]收入决算情况'!$A$1:$A$3</c:f>
              <c:strCache>
                <c:ptCount val="3"/>
                <c:pt idx="0">
                  <c:v>一般公共预算财政拨款收入</c:v>
                </c:pt>
                <c:pt idx="1">
                  <c:v>政府性基金预算财政拨款</c:v>
                </c:pt>
                <c:pt idx="2">
                  <c:v>事业收入</c:v>
                </c:pt>
              </c:strCache>
            </c:strRef>
          </c:cat>
          <c:val>
            <c:numRef>
              <c:f>'[编图数据（市体中）.xlsx]收入决算情况'!$B$1:$B$3</c:f>
              <c:numCache>
                <c:formatCode>#,##0.00</c:formatCode>
                <c:ptCount val="3"/>
                <c:pt idx="0">
                  <c:v>1572.52</c:v>
                </c:pt>
                <c:pt idx="1">
                  <c:v>56.19</c:v>
                </c:pt>
                <c:pt idx="2">
                  <c:v>8.39</c:v>
                </c:pt>
              </c:numCache>
            </c:numRef>
          </c:val>
        </c:ser>
        <c:dLbls>
          <c:showLegendKey val="0"/>
          <c:showVal val="1"/>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c877c02-169b-483e-939a-1a4e59797aff}"/>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37324703344121"/>
          <c:y val="0.136813186813187"/>
          <c:w val="0.952535059331176"/>
          <c:h val="0.737179487179487"/>
        </c:manualLayout>
      </c:layout>
      <c:pie3DChart>
        <c:varyColors val="1"/>
        <c:ser>
          <c:idx val="0"/>
          <c:order val="0"/>
          <c:tx>
            <c:strRef>
              <c:f>"支出决算情况"</c:f>
              <c:strCache>
                <c:ptCount val="1"/>
                <c:pt idx="0">
                  <c:v>支出决算情况</c:v>
                </c:pt>
              </c:strCache>
            </c:strRef>
          </c:tx>
          <c:spPr>
            <a:scene3d>
              <a:camera prst="orthographicFront"/>
              <a:lightRig rig="threePt" dir="t"/>
            </a:scene3d>
            <a:sp3d contourW="9525"/>
          </c:spPr>
          <c:explosion val="0"/>
          <c:dPt>
            <c:idx val="0"/>
            <c:bubble3D val="0"/>
            <c:explosion val="24"/>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1,172.96, 7</a:t>
                    </a:r>
                    <a:r>
                      <a:rPr lang="en-US" altLang="zh-CN"/>
                      <a:t>0.96</a:t>
                    </a:r>
                    <a:r>
                      <a:t>%</a:t>
                    </a:r>
                  </a:p>
                </c:rich>
              </c:tx>
              <c:dLblPos val="in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480.10, 29</a:t>
                    </a:r>
                    <a:r>
                      <a:rPr lang="en-US" altLang="zh-CN"/>
                      <a:t>.04</a:t>
                    </a:r>
                    <a:r>
                      <a:t>%</a:t>
                    </a:r>
                  </a:p>
                </c:rich>
              </c:tx>
              <c:dLblPos val="in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'[编图数据（市体中）.xlsx]支出情况'!$A$1:$B$4</c:f>
              <c:multiLvlStrCache>
                <c:ptCount val="2"/>
                <c:lvl/>
                <c:lvl/>
                <c:lvl/>
                <c:lvl>
                  <c:pt idx="0">
                    <c:v>基本支出</c:v>
                  </c:pt>
                  <c:pt idx="1">
                    <c:v>项目支出</c:v>
                  </c:pt>
                </c:lvl>
              </c:multiLvlStrCache>
            </c:multiLvlStrRef>
          </c:cat>
          <c:val>
            <c:numRef>
              <c:f>'[编图数据（市体中）.xlsx]支出情况'!$A$5:$B$5</c:f>
              <c:numCache>
                <c:formatCode>#,##0.00</c:formatCode>
                <c:ptCount val="2"/>
                <c:pt idx="0">
                  <c:v>1172.96</c:v>
                </c:pt>
                <c:pt idx="1">
                  <c:v>480.1</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086a341-b93a-416f-816b-a1bcaf559a5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财政拨款收、支决算总计变动情况</a:t>
            </a:r>
          </a:p>
        </c:rich>
      </c:tx>
      <c:layout/>
      <c:overlay val="0"/>
    </c:title>
    <c:autoTitleDeleted val="0"/>
    <c:plotArea>
      <c:layout>
        <c:manualLayout>
          <c:layoutTarget val="inner"/>
          <c:xMode val="edge"/>
          <c:yMode val="edge"/>
          <c:x val="0.121643439489149"/>
          <c:y val="0.106937345703074"/>
          <c:w val="0.850473169371542"/>
          <c:h val="0.432902887139108"/>
        </c:manualLayout>
      </c:layout>
      <c:barChart>
        <c:barDir val="col"/>
        <c:grouping val="stacked"/>
        <c:varyColors val="0"/>
        <c:ser>
          <c:idx val="0"/>
          <c:order val="0"/>
          <c:tx>
            <c:strRef>
              <c:f>"财政拨款收、支决算总计变动情况"</c:f>
              <c:strCache>
                <c:ptCount val="1"/>
                <c:pt idx="0">
                  <c:v>财政拨款收、支决算总计变动情况</c:v>
                </c:pt>
              </c:strCache>
            </c:strRef>
          </c:tx>
          <c:invertIfNegative val="0"/>
          <c:dLbls>
            <c:dLbl>
              <c:idx val="0"/>
              <c:layout>
                <c:manualLayout>
                  <c:x val="0.0633713434984295"/>
                  <c:y val="-0.2006600660066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1533564557236"/>
                  <c:y val="-0.20858085808580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06970747987436"/>
                  <c:y val="-0.07920792079207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33713434984295"/>
                  <c:y val="-0.079207920792079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'[编图数据（市体中）.xlsx]财政拨款收支总计变动情况'!$A$1:$A$4</c:f>
              <c:strCache>
                <c:ptCount val="4"/>
                <c:pt idx="0">
                  <c:v>2023年收、支总计（万元）</c:v>
                </c:pt>
                <c:pt idx="1">
                  <c:v>2024年收、支总计（万元）</c:v>
                </c:pt>
                <c:pt idx="2">
                  <c:v>2024年与2023年相比收、支总计增加（万元）</c:v>
                </c:pt>
                <c:pt idx="3">
                  <c:v>同比增长</c:v>
                </c:pt>
              </c:strCache>
            </c:strRef>
          </c:cat>
          <c:val>
            <c:numRef>
              <c:f>'[编图数据（市体中）.xlsx]财政拨款收支总计变动情况'!$B$1:$B$4</c:f>
              <c:numCache>
                <c:formatCode>General</c:formatCode>
                <c:ptCount val="4"/>
                <c:pt idx="0">
                  <c:v>1585.74</c:v>
                </c:pt>
                <c:pt idx="1">
                  <c:v>1628.71</c:v>
                </c:pt>
                <c:pt idx="2">
                  <c:v>42.97</c:v>
                </c:pt>
                <c:pt idx="3" c:formatCode="0.00%">
                  <c:v>0.0319</c:v>
                </c:pt>
              </c:numCache>
            </c:numRef>
          </c:val>
        </c:ser>
        <c:dLbls>
          <c:showLegendKey val="0"/>
          <c:showVal val="1"/>
          <c:showCatName val="0"/>
          <c:showSerName val="0"/>
          <c:showPercent val="0"/>
          <c:showBubbleSize val="0"/>
        </c:dLbls>
        <c:gapWidth val="150"/>
        <c:overlap val="100"/>
        <c:axId val="97748864"/>
        <c:axId val="97768576"/>
      </c:barChart>
      <c:catAx>
        <c:axId val="977488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768576"/>
        <c:crosses val="autoZero"/>
        <c:auto val="1"/>
        <c:lblAlgn val="ctr"/>
        <c:lblOffset val="100"/>
        <c:noMultiLvlLbl val="0"/>
      </c:catAx>
      <c:valAx>
        <c:axId val="977685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748864"/>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729b1ee4-bf08-40a0-9e5e-ee67f1be7db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79956557154494"/>
          <c:y val="0.130052375740028"/>
          <c:w val="0.794756086523667"/>
          <c:h val="0.457387804102962"/>
        </c:manualLayout>
      </c:layout>
      <c:barChart>
        <c:barDir val="col"/>
        <c:grouping val="stacked"/>
        <c:varyColors val="0"/>
        <c:ser>
          <c:idx val="0"/>
          <c:order val="0"/>
          <c:tx>
            <c:strRef>
              <c:f>"一般公共预算财政拨款支出决算变动情况"</c:f>
              <c:strCache>
                <c:ptCount val="1"/>
                <c:pt idx="0">
                  <c:v>一般公共预算财政拨款支出决算变动情况</c:v>
                </c:pt>
              </c:strCache>
            </c:strRef>
          </c:tx>
          <c:invertIfNegative val="0"/>
          <c:dLbls>
            <c:dLbl>
              <c:idx val="0"/>
              <c:layout>
                <c:manualLayout>
                  <c:x val="0.0413793103448276"/>
                  <c:y val="-0.18465716225390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6781609195402"/>
                  <c:y val="-0.1928038017651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3908045977012"/>
                  <c:y val="-0.1113374066530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8850574712644"/>
                  <c:y val="-0.057026476578411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'[编图数据（市体中）.xlsx]Sheet4'!$A$1:$A$4</c:f>
              <c:strCache>
                <c:ptCount val="4"/>
                <c:pt idx="0">
                  <c:v>2023年一般公共预算财政拨款支出（万元）</c:v>
                </c:pt>
                <c:pt idx="1">
                  <c:v>2024年一般公共预算财政拨款支出（万元）</c:v>
                </c:pt>
                <c:pt idx="2">
                  <c:v>2024年与2023年相支出增加（万元）</c:v>
                </c:pt>
                <c:pt idx="3">
                  <c:v>同比增长</c:v>
                </c:pt>
              </c:strCache>
            </c:strRef>
          </c:cat>
          <c:val>
            <c:numRef>
              <c:f>'[编图数据（市体中）.xlsx]Sheet4'!$B$1:$B$4</c:f>
              <c:numCache>
                <c:formatCode>General</c:formatCode>
                <c:ptCount val="4"/>
                <c:pt idx="0">
                  <c:v>1474.09</c:v>
                </c:pt>
                <c:pt idx="1">
                  <c:v>1572.52</c:v>
                </c:pt>
                <c:pt idx="2">
                  <c:v>98.4300000000001</c:v>
                </c:pt>
                <c:pt idx="3" c:formatCode="0.00%">
                  <c:v>0.1066</c:v>
                </c:pt>
              </c:numCache>
            </c:numRef>
          </c:val>
        </c:ser>
        <c:dLbls>
          <c:showLegendKey val="0"/>
          <c:showVal val="1"/>
          <c:showCatName val="0"/>
          <c:showSerName val="0"/>
          <c:showPercent val="0"/>
          <c:showBubbleSize val="0"/>
        </c:dLbls>
        <c:gapWidth val="150"/>
        <c:overlap val="100"/>
        <c:axId val="119725056"/>
        <c:axId val="120111872"/>
      </c:barChart>
      <c:catAx>
        <c:axId val="1197250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0111872"/>
        <c:crosses val="autoZero"/>
        <c:auto val="1"/>
        <c:lblAlgn val="ctr"/>
        <c:lblOffset val="100"/>
        <c:noMultiLvlLbl val="0"/>
      </c:catAx>
      <c:valAx>
        <c:axId val="1201118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725056"/>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7c974b96-71a2-4b5a-a473-37626c02be67}"/>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175419944716139"/>
          <c:y val="0.181786941580756"/>
          <c:w val="0.670421132933792"/>
          <c:h val="0.813058419243986"/>
        </c:manualLayout>
      </c:layout>
      <c:pie3DChart>
        <c:varyColors val="1"/>
        <c:ser>
          <c:idx val="0"/>
          <c:order val="0"/>
          <c:tx>
            <c:strRef>
              <c:f>"一般公共预算财政拨款支出决算结构"</c:f>
              <c:strCache>
                <c:ptCount val="1"/>
                <c:pt idx="0">
                  <c:v>一般公共预算财政拨款支出决算结构</c:v>
                </c:pt>
              </c:strCache>
            </c:strRef>
          </c:tx>
          <c:spPr>
            <a:scene3d>
              <a:camera prst="orthographicFront"/>
              <a:lightRig rig="threePt" dir="t"/>
            </a:scene3d>
            <a:sp3d contourW="9525"/>
          </c:spPr>
          <c:explosion val="0"/>
          <c:dPt>
            <c:idx val="0"/>
            <c:bubble3D val="0"/>
            <c:explosion val="35"/>
            <c:spPr>
              <a:solidFill>
                <a:schemeClr val="accent1"/>
              </a:solidFill>
              <a:ln>
                <a:solidFill>
                  <a:schemeClr val="bg1"/>
                </a:solidFill>
              </a:ln>
              <a:effectLst/>
            </c:spPr>
          </c:dPt>
          <c:dPt>
            <c:idx val="1"/>
            <c:bubble3D val="0"/>
            <c:explosion val="18"/>
            <c:spPr>
              <a:solidFill>
                <a:schemeClr val="accent2"/>
              </a:solidFill>
              <a:ln>
                <a:solidFill>
                  <a:schemeClr val="bg1"/>
                </a:solidFill>
              </a:ln>
              <a:effectLst/>
            </c:spPr>
          </c:dPt>
          <c:dPt>
            <c:idx val="2"/>
            <c:bubble3D val="0"/>
            <c:explosion val="41"/>
            <c:spPr>
              <a:solidFill>
                <a:schemeClr val="accent3"/>
              </a:solidFill>
              <a:ln>
                <a:solidFill>
                  <a:schemeClr val="bg1"/>
                </a:solidFill>
              </a:ln>
              <a:effectLst/>
            </c:spPr>
          </c:dPt>
          <c:dPt>
            <c:idx val="3"/>
            <c:bubble3D val="0"/>
            <c:explosion val="26"/>
            <c:spPr>
              <a:solidFill>
                <a:schemeClr val="accent4"/>
              </a:solidFill>
              <a:ln>
                <a:solidFill>
                  <a:schemeClr val="bg1"/>
                </a:solidFill>
              </a:ln>
              <a:effectLst/>
            </c:spPr>
          </c:dPt>
          <c:dPt>
            <c:idx val="4"/>
            <c:bubble3D val="0"/>
            <c:spPr>
              <a:solidFill>
                <a:schemeClr val="accent5"/>
              </a:solidFill>
              <a:ln>
                <a:solidFill>
                  <a:schemeClr val="bg1"/>
                </a:solidFill>
              </a:ln>
              <a:effectLst/>
              <a:scene3d>
                <a:camera prst="orthographicFront"/>
                <a:lightRig rig="threePt" dir="t"/>
              </a:scene3d>
              <a:sp3d contourW="9525"/>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2"/>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3"/>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4"/>
              <c:layout>
                <c:manualLayout>
                  <c:x val="0.0829257920476292"/>
                  <c:y val="-0.015463917525773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'[编图数据（市体中）.xlsx]一般公共预算财政拨款支出决算结构'!$A$1:$A$5</c:f>
              <c:strCache>
                <c:ptCount val="5"/>
                <c:pt idx="0">
                  <c:v>教育支出</c:v>
                </c:pt>
                <c:pt idx="1">
                  <c:v>文化旅游体育与传媒支出</c:v>
                </c:pt>
                <c:pt idx="2">
                  <c:v>社会保障和就业支出</c:v>
                </c:pt>
                <c:pt idx="3">
                  <c:v>卫生健康支出</c:v>
                </c:pt>
                <c:pt idx="4">
                  <c:v>住房保障支出</c:v>
                </c:pt>
              </c:strCache>
            </c:strRef>
          </c:cat>
          <c:val>
            <c:numRef>
              <c:f>'[编图数据（市体中）.xlsx]一般公共预算财政拨款支出决算结构'!$B$1:$B$5</c:f>
              <c:numCache>
                <c:formatCode>#,##0.00</c:formatCode>
                <c:ptCount val="5"/>
                <c:pt idx="0">
                  <c:v>1052.81</c:v>
                </c:pt>
                <c:pt idx="1">
                  <c:v>144.96</c:v>
                </c:pt>
                <c:pt idx="2">
                  <c:v>232.85</c:v>
                </c:pt>
                <c:pt idx="3">
                  <c:v>60.6</c:v>
                </c:pt>
                <c:pt idx="4">
                  <c:v>81.3</c:v>
                </c:pt>
              </c:numCache>
            </c:numRef>
          </c:val>
        </c:ser>
        <c:dLbls>
          <c:showLegendKey val="0"/>
          <c:showVal val="1"/>
          <c:showCatName val="0"/>
          <c:showSerName val="0"/>
          <c:showPercent val="1"/>
          <c:showBubbleSize val="0"/>
        </c:dLbls>
      </c:pie3DChart>
      <c:spPr>
        <a:noFill/>
        <a:ln>
          <a:noFill/>
        </a:ln>
        <a:effectLst/>
      </c:spPr>
    </c:plotArea>
    <c:plotVisOnly val="1"/>
    <c:dispBlanksAs val="gap"/>
    <c:showDLblsOverMax val="0"/>
    <c:extLst>
      <c:ext uri="{0b15fc19-7d7d-44ad-8c2d-2c3a37ce22c3}">
        <chartProps xmlns="https://web.wps.cn/et/2018/main" chartId="{303d89d8-2d80-451e-93d8-4d6c49ca1e4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"“三公”经费财政拨款支出结构"</c:f>
              <c:strCache>
                <c:ptCount val="1"/>
                <c:pt idx="0">
                  <c:v>“三公”经费财政拨款支出结构</c:v>
                </c:pt>
              </c:strCache>
            </c:strRef>
          </c:tx>
          <c:spPr>
            <a:sp3d contourW="9525"/>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layout>
                <c:manualLayout>
                  <c:x val="-0.0285715354155038"/>
                  <c:y val="0.00081041457710095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1.12,</a:t>
                    </a:r>
                    <a:r>
                      <a:t>9</a:t>
                    </a:r>
                    <a:r>
                      <a:rPr lang="en-US" altLang="zh-CN"/>
                      <a:t>5.73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0.05,</a:t>
                    </a:r>
                    <a:r>
                      <a:t>4</a:t>
                    </a:r>
                    <a:r>
                      <a:rPr lang="en-US" altLang="zh-CN"/>
                      <a:t>.27</a:t>
                    </a:r>
                    <a:r>
                      <a:t>%</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'[编图数据（市体中）.xlsx]Sheet5'!$A$1:$C$1</c:f>
              <c:strCache>
                <c:ptCount val="3"/>
                <c:pt idx="0">
                  <c:v>因公出国（境）费</c:v>
                </c:pt>
                <c:pt idx="1">
                  <c:v>公务用车购置及运行费</c:v>
                </c:pt>
                <c:pt idx="2">
                  <c:v>公务接待费</c:v>
                </c:pt>
              </c:strCache>
            </c:strRef>
          </c:cat>
          <c:val>
            <c:numRef>
              <c:f>'[编图数据（市体中）.xlsx]Sheet5'!$A$2:$C$2</c:f>
              <c:numCache>
                <c:formatCode>General</c:formatCode>
                <c:ptCount val="3"/>
                <c:pt idx="0">
                  <c:v>0</c:v>
                </c:pt>
                <c:pt idx="1" c:formatCode="#,##0.00">
                  <c:v>1.12</c:v>
                </c:pt>
                <c:pt idx="2">
                  <c:v>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1f1294e-b5b7-499b-bc8b-f726534b529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9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a:scene3d>
        <a:camera prst="orthographicFront"/>
        <a:lightRig rig="threePt" dir="t"/>
      </a:scene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a:scene3d>
        <a:camera prst="orthographicFront"/>
        <a:lightRig rig="threePt" dir="t"/>
      </a:scene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9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19</Pages>
  <Words>4540</Words>
  <Characters>5111</Characters>
  <Lines>36</Lines>
  <Paragraphs>10</Paragraphs>
  <TotalTime>1</TotalTime>
  <ScaleCrop>false</ScaleCrop>
  <LinksUpToDate>false</LinksUpToDate>
  <CharactersWithSpaces>5168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Administrator</cp:lastModifiedBy>
  <cp:lastPrinted>2023-07-31T10:35:00Z</cp:lastPrinted>
  <dcterms:modified xsi:type="dcterms:W3CDTF">2025-09-07T11:40:06Z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10C176FAE7C645B49A6152A3DCEF560C_12</vt:lpwstr>
  </property>
  <property fmtid="{D5CDD505-2E9C-101B-9397-08002B2CF9AE}" pid="4" name="KSOTemplateDocerSaveRecord">
    <vt:lpwstr>eyJoZGlkIjoiNzdiZDZjMmJiMDE3NzlkMDI2MGNjYTdhOWJmYzY5NmYiLCJ1c2VySWQiOiI0MjcyMDU3OTAifQ==</vt:lpwstr>
  </property>
</Properties>
</file>