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195" w:rsidRDefault="00414195">
      <w:pPr>
        <w:pStyle w:val="a5"/>
        <w:spacing w:before="93"/>
        <w:rPr>
          <w:rFonts w:ascii="Times New Roman" w:eastAsia="方正小标宋简体"/>
          <w:kern w:val="2"/>
          <w:sz w:val="72"/>
          <w:szCs w:val="72"/>
        </w:rPr>
      </w:pPr>
      <w:bookmarkStart w:id="0" w:name="_Toc15377425"/>
      <w:bookmarkStart w:id="1" w:name="_Toc15378441"/>
      <w:bookmarkStart w:id="2" w:name="_Toc15396597"/>
      <w:bookmarkStart w:id="3" w:name="_Toc15306267"/>
      <w:bookmarkStart w:id="4" w:name="_Toc15396475"/>
      <w:bookmarkStart w:id="5" w:name="_Toc15377193"/>
    </w:p>
    <w:p w:rsidR="00414195" w:rsidRDefault="00414195">
      <w:pPr>
        <w:pStyle w:val="a5"/>
        <w:spacing w:before="93"/>
        <w:rPr>
          <w:rFonts w:ascii="Times New Roman" w:eastAsia="方正小标宋简体"/>
          <w:kern w:val="2"/>
          <w:sz w:val="72"/>
          <w:szCs w:val="72"/>
        </w:rPr>
      </w:pPr>
    </w:p>
    <w:p w:rsidR="00414195" w:rsidRDefault="00414195">
      <w:pPr>
        <w:pStyle w:val="a5"/>
        <w:spacing w:before="93"/>
        <w:rPr>
          <w:rFonts w:ascii="Times New Roman" w:eastAsia="方正小标宋简体"/>
          <w:kern w:val="2"/>
          <w:sz w:val="72"/>
          <w:szCs w:val="72"/>
        </w:rPr>
      </w:pPr>
    </w:p>
    <w:p w:rsidR="00C361B7" w:rsidRDefault="00C361B7" w:rsidP="00C361B7">
      <w:pPr>
        <w:pStyle w:val="a5"/>
        <w:spacing w:before="93"/>
        <w:ind w:left="420"/>
        <w:jc w:val="center"/>
        <w:rPr>
          <w:rFonts w:ascii="方正小标宋简体" w:eastAsia="方正小标宋简体" w:hAnsi="宋体"/>
          <w:sz w:val="44"/>
          <w:szCs w:val="44"/>
        </w:rPr>
      </w:pPr>
      <w:r>
        <w:rPr>
          <w:rFonts w:ascii="Times New Roman" w:eastAsia="方正小标宋简体"/>
          <w:kern w:val="2"/>
          <w:sz w:val="44"/>
          <w:szCs w:val="44"/>
        </w:rPr>
        <w:t>2024</w:t>
      </w:r>
      <w:r>
        <w:rPr>
          <w:rFonts w:ascii="Times New Roman" w:eastAsia="方正小标宋简体" w:hint="eastAsia"/>
          <w:kern w:val="2"/>
          <w:sz w:val="44"/>
          <w:szCs w:val="44"/>
        </w:rPr>
        <w:t>年度</w:t>
      </w:r>
      <w:r>
        <w:rPr>
          <w:rFonts w:ascii="方正小标宋简体" w:eastAsia="方正小标宋简体" w:hAnsi="宋体" w:hint="eastAsia"/>
          <w:sz w:val="44"/>
          <w:szCs w:val="44"/>
        </w:rPr>
        <w:t>四川省攀枝花开放大学</w:t>
      </w:r>
    </w:p>
    <w:p w:rsidR="00C361B7" w:rsidRDefault="00C361B7" w:rsidP="00C361B7">
      <w:pPr>
        <w:pStyle w:val="a5"/>
        <w:spacing w:before="93"/>
        <w:ind w:left="420"/>
        <w:jc w:val="center"/>
        <w:rPr>
          <w:rFonts w:ascii="Times New Roman" w:eastAsia="方正小标宋简体"/>
          <w:kern w:val="2"/>
          <w:sz w:val="44"/>
          <w:szCs w:val="44"/>
        </w:rPr>
      </w:pPr>
      <w:r>
        <w:rPr>
          <w:rFonts w:eastAsia="方正小标宋简体" w:hint="eastAsia"/>
          <w:kern w:val="2"/>
          <w:sz w:val="44"/>
          <w:szCs w:val="44"/>
        </w:rPr>
        <w:t>单位决算</w:t>
      </w:r>
      <w:r>
        <w:rPr>
          <w:rFonts w:ascii="Times New Roman" w:eastAsia="方正小标宋简体" w:hint="eastAsia"/>
          <w:kern w:val="2"/>
          <w:sz w:val="44"/>
          <w:szCs w:val="44"/>
        </w:rPr>
        <w:t>公开编制说明</w:t>
      </w:r>
    </w:p>
    <w:p w:rsidR="00414195" w:rsidRPr="00C361B7" w:rsidRDefault="00414195">
      <w:pPr>
        <w:spacing w:line="600" w:lineRule="exact"/>
        <w:jc w:val="center"/>
        <w:outlineLvl w:val="0"/>
        <w:rPr>
          <w:rFonts w:eastAsia="方正小标宋简体"/>
          <w:sz w:val="72"/>
          <w:szCs w:val="72"/>
        </w:rPr>
      </w:pPr>
    </w:p>
    <w:p w:rsidR="00414195" w:rsidRDefault="00414195">
      <w:pPr>
        <w:pStyle w:val="5"/>
        <w:rPr>
          <w:rFonts w:ascii="Times New Roman" w:hAnsi="Times New Roman"/>
        </w:rPr>
        <w:sectPr w:rsidR="00414195">
          <w:headerReference w:type="default" r:id="rId8"/>
          <w:footerReference w:type="default" r:id="rId9"/>
          <w:headerReference w:type="first" r:id="rId10"/>
          <w:footerReference w:type="first" r:id="rId11"/>
          <w:pgSz w:w="11906" w:h="16838"/>
          <w:pgMar w:top="1440" w:right="1800" w:bottom="1440" w:left="1800" w:header="851" w:footer="992" w:gutter="0"/>
          <w:pgNumType w:fmt="numberInDash" w:start="1"/>
          <w:cols w:space="425"/>
          <w:titlePg/>
          <w:docGrid w:type="lines" w:linePitch="312"/>
        </w:sectPr>
      </w:pPr>
    </w:p>
    <w:p w:rsidR="00414195" w:rsidRDefault="00414195"/>
    <w:bookmarkEnd w:id="0"/>
    <w:bookmarkEnd w:id="1"/>
    <w:bookmarkEnd w:id="2"/>
    <w:bookmarkEnd w:id="3"/>
    <w:bookmarkEnd w:id="4"/>
    <w:bookmarkEnd w:id="5"/>
    <w:p w:rsidR="00414195" w:rsidRDefault="004C5CC2">
      <w:pPr>
        <w:widowControl/>
        <w:jc w:val="center"/>
        <w:rPr>
          <w:rFonts w:eastAsia="黑体"/>
          <w:sz w:val="48"/>
          <w:szCs w:val="48"/>
        </w:rPr>
      </w:pPr>
      <w:r>
        <w:rPr>
          <w:rFonts w:eastAsia="黑体" w:hint="eastAsia"/>
          <w:sz w:val="48"/>
          <w:szCs w:val="48"/>
        </w:rPr>
        <w:t>目</w:t>
      </w:r>
      <w:r>
        <w:rPr>
          <w:rFonts w:eastAsia="黑体" w:hint="eastAsia"/>
          <w:sz w:val="48"/>
          <w:szCs w:val="48"/>
        </w:rPr>
        <w:t xml:space="preserve"> </w:t>
      </w:r>
      <w:r>
        <w:rPr>
          <w:rFonts w:eastAsia="黑体" w:hint="eastAsia"/>
          <w:sz w:val="48"/>
          <w:szCs w:val="48"/>
        </w:rPr>
        <w:t>录</w:t>
      </w:r>
    </w:p>
    <w:p w:rsidR="00414195" w:rsidRDefault="00414195">
      <w:pPr>
        <w:widowControl/>
        <w:jc w:val="center"/>
        <w:rPr>
          <w:rFonts w:eastAsia="黑体" w:cstheme="minorBidi"/>
          <w:sz w:val="28"/>
          <w:szCs w:val="28"/>
        </w:rPr>
      </w:pPr>
    </w:p>
    <w:p w:rsidR="00414195" w:rsidRDefault="004C5CC2">
      <w:pPr>
        <w:pStyle w:val="1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2025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日</w:t>
      </w:r>
    </w:p>
    <w:p w:rsidR="00414195" w:rsidRDefault="00414195"/>
    <w:p w:rsidR="00414195" w:rsidRDefault="004C5CC2">
      <w:pPr>
        <w:tabs>
          <w:tab w:val="right" w:leader="dot" w:pos="8296"/>
        </w:tabs>
        <w:suppressAutoHyphens/>
        <w:adjustRightInd w:val="0"/>
        <w:snapToGrid w:val="0"/>
        <w:spacing w:line="440" w:lineRule="exact"/>
        <w:ind w:leftChars="200" w:left="420"/>
        <w:jc w:val="left"/>
        <w:rPr>
          <w:rFonts w:ascii="仿宋" w:hAnsi="仿宋"/>
          <w:sz w:val="24"/>
        </w:rPr>
      </w:pPr>
      <w:r>
        <w:rPr>
          <w:rFonts w:eastAsia="黑体" w:cs="黑体" w:hint="eastAsia"/>
          <w:sz w:val="32"/>
          <w:szCs w:val="32"/>
        </w:rPr>
        <w:t>第一部分</w:t>
      </w:r>
      <w:r>
        <w:rPr>
          <w:rFonts w:eastAsia="黑体" w:cs="黑体" w:hint="eastAsia"/>
          <w:sz w:val="32"/>
          <w:szCs w:val="32"/>
        </w:rPr>
        <w:t xml:space="preserve"> </w:t>
      </w:r>
      <w:r>
        <w:rPr>
          <w:rFonts w:eastAsia="黑体" w:cs="黑体" w:hint="eastAsia"/>
          <w:sz w:val="32"/>
          <w:szCs w:val="32"/>
        </w:rPr>
        <w:t>部门概况</w:t>
      </w:r>
      <w:r>
        <w:rPr>
          <w:rFonts w:ascii="Calibri" w:hAnsi="Calibri"/>
          <w:sz w:val="24"/>
        </w:rPr>
        <w:tab/>
      </w:r>
      <w:r>
        <w:rPr>
          <w:rFonts w:ascii="Calibri" w:hAnsi="Calibri" w:hint="eastAsia"/>
          <w:sz w:val="24"/>
        </w:rPr>
        <w:t>4</w:t>
      </w:r>
    </w:p>
    <w:p w:rsidR="00414195" w:rsidRDefault="004C5CC2">
      <w:pPr>
        <w:pStyle w:val="21"/>
        <w:adjustRightInd w:val="0"/>
        <w:snapToGrid w:val="0"/>
        <w:spacing w:line="560" w:lineRule="exact"/>
        <w:ind w:firstLineChars="200" w:firstLine="640"/>
        <w:jc w:val="left"/>
        <w:rPr>
          <w:rFonts w:ascii="仿宋" w:hAnsi="仿宋"/>
          <w:sz w:val="24"/>
        </w:rPr>
      </w:pPr>
      <w:r>
        <w:rPr>
          <w:rFonts w:eastAsia="仿宋_GB2312" w:cs="仿宋_GB2312" w:hint="eastAsia"/>
          <w:sz w:val="32"/>
          <w:szCs w:val="32"/>
        </w:rPr>
        <w:t>一、主要职责</w:t>
      </w:r>
      <w:r>
        <w:rPr>
          <w:rFonts w:ascii="Calibri" w:hAnsi="Calibri"/>
          <w:sz w:val="24"/>
        </w:rPr>
        <w:tab/>
      </w:r>
      <w:r>
        <w:rPr>
          <w:rFonts w:ascii="Calibri" w:hAnsi="Calibri" w:hint="eastAsia"/>
          <w:sz w:val="24"/>
        </w:rPr>
        <w:t>4</w:t>
      </w:r>
    </w:p>
    <w:p w:rsidR="00414195" w:rsidRDefault="004C5CC2">
      <w:pPr>
        <w:pStyle w:val="21"/>
        <w:adjustRightInd w:val="0"/>
        <w:snapToGrid w:val="0"/>
        <w:spacing w:line="560" w:lineRule="exact"/>
        <w:ind w:firstLineChars="200" w:firstLine="640"/>
        <w:jc w:val="left"/>
        <w:rPr>
          <w:rFonts w:ascii="仿宋" w:hAnsi="仿宋"/>
          <w:sz w:val="24"/>
        </w:rPr>
      </w:pPr>
      <w:r>
        <w:rPr>
          <w:rFonts w:eastAsia="仿宋_GB2312" w:cs="仿宋_GB2312" w:hint="eastAsia"/>
          <w:sz w:val="32"/>
          <w:szCs w:val="32"/>
        </w:rPr>
        <w:t>二、机构设置</w:t>
      </w:r>
      <w:r>
        <w:rPr>
          <w:rFonts w:ascii="Calibri" w:hAnsi="Calibri"/>
          <w:sz w:val="24"/>
        </w:rPr>
        <w:tab/>
      </w:r>
      <w:r>
        <w:rPr>
          <w:rFonts w:ascii="Calibri" w:hAnsi="Calibri" w:hint="eastAsia"/>
          <w:sz w:val="24"/>
        </w:rPr>
        <w:t>4</w:t>
      </w:r>
    </w:p>
    <w:p w:rsidR="00414195" w:rsidRDefault="004C5CC2">
      <w:pPr>
        <w:tabs>
          <w:tab w:val="right" w:leader="dot" w:pos="8296"/>
        </w:tabs>
        <w:suppressAutoHyphens/>
        <w:adjustRightInd w:val="0"/>
        <w:snapToGrid w:val="0"/>
        <w:spacing w:line="440" w:lineRule="exact"/>
        <w:ind w:leftChars="200" w:left="420"/>
        <w:jc w:val="left"/>
        <w:rPr>
          <w:rFonts w:ascii="仿宋" w:hAnsi="仿宋"/>
          <w:sz w:val="24"/>
        </w:rPr>
      </w:pPr>
      <w:r>
        <w:rPr>
          <w:rFonts w:eastAsia="黑体" w:cs="黑体" w:hint="eastAsia"/>
          <w:sz w:val="32"/>
          <w:szCs w:val="32"/>
        </w:rPr>
        <w:t>第二部分</w:t>
      </w:r>
      <w:r>
        <w:rPr>
          <w:rFonts w:eastAsia="黑体" w:cs="黑体" w:hint="eastAsia"/>
          <w:sz w:val="32"/>
          <w:szCs w:val="32"/>
        </w:rPr>
        <w:t xml:space="preserve"> 2024</w:t>
      </w:r>
      <w:r>
        <w:rPr>
          <w:rFonts w:eastAsia="黑体" w:cs="黑体" w:hint="eastAsia"/>
          <w:sz w:val="32"/>
          <w:szCs w:val="32"/>
        </w:rPr>
        <w:t>年度部门决算情况说明</w:t>
      </w:r>
      <w:r>
        <w:rPr>
          <w:rFonts w:ascii="Calibri" w:hAnsi="Calibri"/>
          <w:sz w:val="24"/>
        </w:rPr>
        <w:tab/>
      </w:r>
      <w:r>
        <w:rPr>
          <w:rFonts w:ascii="Calibri" w:hAnsi="Calibri" w:hint="eastAsia"/>
          <w:sz w:val="24"/>
        </w:rPr>
        <w:t>5</w:t>
      </w:r>
    </w:p>
    <w:p w:rsidR="00414195" w:rsidRDefault="004C5CC2">
      <w:pPr>
        <w:pStyle w:val="21"/>
        <w:adjustRightInd w:val="0"/>
        <w:snapToGrid w:val="0"/>
        <w:spacing w:line="560" w:lineRule="exact"/>
        <w:ind w:firstLineChars="200" w:firstLine="640"/>
        <w:jc w:val="left"/>
        <w:rPr>
          <w:rFonts w:ascii="仿宋" w:hAnsi="仿宋"/>
          <w:sz w:val="24"/>
        </w:rPr>
      </w:pPr>
      <w:r>
        <w:rPr>
          <w:rFonts w:eastAsia="仿宋_GB2312" w:cs="仿宋_GB2312" w:hint="eastAsia"/>
          <w:sz w:val="32"/>
          <w:szCs w:val="32"/>
        </w:rPr>
        <w:t>一、收入支出决算总体情况说明</w:t>
      </w:r>
      <w:r>
        <w:rPr>
          <w:rFonts w:ascii="Calibri" w:hAnsi="Calibri"/>
          <w:sz w:val="24"/>
        </w:rPr>
        <w:tab/>
      </w:r>
      <w:r>
        <w:rPr>
          <w:rFonts w:ascii="Calibri" w:hAnsi="Calibri" w:hint="eastAsia"/>
          <w:sz w:val="24"/>
        </w:rPr>
        <w:t>5</w:t>
      </w:r>
    </w:p>
    <w:p w:rsidR="00414195" w:rsidRDefault="004C5CC2">
      <w:pPr>
        <w:pStyle w:val="21"/>
        <w:adjustRightInd w:val="0"/>
        <w:snapToGrid w:val="0"/>
        <w:spacing w:line="560" w:lineRule="exact"/>
        <w:ind w:firstLineChars="200" w:firstLine="640"/>
        <w:jc w:val="left"/>
        <w:rPr>
          <w:rFonts w:ascii="仿宋" w:hAnsi="仿宋"/>
          <w:sz w:val="24"/>
        </w:rPr>
      </w:pPr>
      <w:r>
        <w:rPr>
          <w:rFonts w:eastAsia="仿宋_GB2312" w:cs="仿宋_GB2312" w:hint="eastAsia"/>
          <w:sz w:val="32"/>
          <w:szCs w:val="32"/>
        </w:rPr>
        <w:t>二、收入决算情况说明</w:t>
      </w:r>
      <w:r>
        <w:rPr>
          <w:rFonts w:ascii="Calibri" w:hAnsi="Calibri"/>
          <w:sz w:val="24"/>
        </w:rPr>
        <w:tab/>
      </w:r>
      <w:r>
        <w:rPr>
          <w:rFonts w:ascii="Calibri" w:hAnsi="Calibri" w:hint="eastAsia"/>
          <w:sz w:val="24"/>
        </w:rPr>
        <w:t>5</w:t>
      </w:r>
    </w:p>
    <w:p w:rsidR="00414195" w:rsidRDefault="004C5CC2">
      <w:pPr>
        <w:pStyle w:val="21"/>
        <w:adjustRightInd w:val="0"/>
        <w:snapToGrid w:val="0"/>
        <w:spacing w:line="560" w:lineRule="exact"/>
        <w:ind w:firstLineChars="200" w:firstLine="640"/>
        <w:jc w:val="left"/>
        <w:rPr>
          <w:rFonts w:ascii="仿宋" w:hAnsi="仿宋"/>
          <w:sz w:val="24"/>
        </w:rPr>
      </w:pPr>
      <w:r>
        <w:rPr>
          <w:rFonts w:eastAsia="仿宋_GB2312" w:cs="仿宋_GB2312" w:hint="eastAsia"/>
          <w:sz w:val="32"/>
          <w:szCs w:val="32"/>
        </w:rPr>
        <w:t>三、支出决算情况说明</w:t>
      </w:r>
      <w:r>
        <w:rPr>
          <w:rFonts w:ascii="Calibri" w:hAnsi="Calibri"/>
          <w:sz w:val="24"/>
        </w:rPr>
        <w:tab/>
      </w:r>
      <w:r>
        <w:rPr>
          <w:rFonts w:ascii="Calibri" w:hAnsi="Calibri" w:hint="eastAsia"/>
          <w:sz w:val="24"/>
        </w:rPr>
        <w:t>6</w:t>
      </w:r>
    </w:p>
    <w:p w:rsidR="00414195" w:rsidRDefault="004C5CC2">
      <w:pPr>
        <w:pStyle w:val="21"/>
        <w:adjustRightInd w:val="0"/>
        <w:snapToGrid w:val="0"/>
        <w:spacing w:line="560" w:lineRule="exact"/>
        <w:ind w:firstLineChars="200" w:firstLine="640"/>
        <w:jc w:val="left"/>
        <w:rPr>
          <w:rFonts w:ascii="仿宋" w:hAnsi="仿宋"/>
          <w:sz w:val="24"/>
        </w:rPr>
      </w:pPr>
      <w:r>
        <w:rPr>
          <w:rFonts w:eastAsia="仿宋_GB2312" w:cs="仿宋_GB2312" w:hint="eastAsia"/>
          <w:sz w:val="32"/>
          <w:szCs w:val="32"/>
        </w:rPr>
        <w:t>四、财政拨款收入支出决算总体情况说明</w:t>
      </w:r>
      <w:r>
        <w:rPr>
          <w:rFonts w:ascii="Calibri" w:hAnsi="Calibri"/>
          <w:sz w:val="24"/>
        </w:rPr>
        <w:tab/>
      </w:r>
      <w:r>
        <w:rPr>
          <w:rFonts w:ascii="Calibri" w:hAnsi="Calibri" w:hint="eastAsia"/>
          <w:sz w:val="24"/>
        </w:rPr>
        <w:t>6</w:t>
      </w:r>
    </w:p>
    <w:p w:rsidR="00414195" w:rsidRDefault="004C5CC2">
      <w:pPr>
        <w:pStyle w:val="21"/>
        <w:adjustRightInd w:val="0"/>
        <w:snapToGrid w:val="0"/>
        <w:spacing w:line="560" w:lineRule="exact"/>
        <w:ind w:firstLineChars="200" w:firstLine="640"/>
        <w:jc w:val="left"/>
        <w:rPr>
          <w:rFonts w:ascii="仿宋" w:hAnsi="仿宋"/>
          <w:sz w:val="24"/>
        </w:rPr>
      </w:pPr>
      <w:r>
        <w:rPr>
          <w:rFonts w:eastAsia="仿宋_GB2312" w:cs="仿宋_GB2312" w:hint="eastAsia"/>
          <w:sz w:val="32"/>
          <w:szCs w:val="32"/>
        </w:rPr>
        <w:t>五、一般公共预算财政拨款支出决算情况说明</w:t>
      </w:r>
      <w:r>
        <w:rPr>
          <w:rFonts w:ascii="Calibri" w:hAnsi="Calibri"/>
          <w:sz w:val="24"/>
        </w:rPr>
        <w:tab/>
      </w:r>
      <w:r>
        <w:rPr>
          <w:rFonts w:ascii="Calibri" w:hAnsi="Calibri" w:hint="eastAsia"/>
          <w:sz w:val="24"/>
        </w:rPr>
        <w:t>7</w:t>
      </w:r>
    </w:p>
    <w:p w:rsidR="00414195" w:rsidRDefault="004C5CC2">
      <w:pPr>
        <w:pStyle w:val="21"/>
        <w:adjustRightInd w:val="0"/>
        <w:snapToGrid w:val="0"/>
        <w:spacing w:line="560" w:lineRule="exact"/>
        <w:ind w:firstLineChars="200" w:firstLine="640"/>
        <w:jc w:val="left"/>
        <w:rPr>
          <w:rFonts w:ascii="仿宋" w:hAnsi="仿宋"/>
          <w:sz w:val="24"/>
        </w:rPr>
      </w:pPr>
      <w:r>
        <w:rPr>
          <w:rFonts w:eastAsia="仿宋_GB2312" w:cs="仿宋_GB2312" w:hint="eastAsia"/>
          <w:sz w:val="32"/>
          <w:szCs w:val="32"/>
        </w:rPr>
        <w:t>六、一般公共预算财政拨款基本支出决算情况说明</w:t>
      </w:r>
      <w:r>
        <w:rPr>
          <w:rFonts w:eastAsia="仿宋_GB2312" w:cs="仿宋_GB2312" w:hint="eastAsia"/>
          <w:sz w:val="32"/>
          <w:szCs w:val="32"/>
        </w:rPr>
        <w:t>..</w:t>
      </w:r>
      <w:r>
        <w:rPr>
          <w:rFonts w:ascii="Calibri" w:hAnsi="Calibri" w:hint="eastAsia"/>
          <w:sz w:val="24"/>
        </w:rPr>
        <w:t>9</w:t>
      </w:r>
    </w:p>
    <w:p w:rsidR="00414195" w:rsidRDefault="004C5CC2">
      <w:pPr>
        <w:pStyle w:val="21"/>
        <w:adjustRightInd w:val="0"/>
        <w:snapToGrid w:val="0"/>
        <w:spacing w:line="560" w:lineRule="exact"/>
        <w:ind w:firstLineChars="200" w:firstLine="640"/>
        <w:jc w:val="left"/>
        <w:rPr>
          <w:rFonts w:ascii="仿宋" w:hAnsi="仿宋"/>
          <w:sz w:val="24"/>
        </w:rPr>
      </w:pPr>
      <w:r>
        <w:rPr>
          <w:rFonts w:eastAsia="仿宋_GB2312" w:cs="仿宋_GB2312" w:hint="eastAsia"/>
          <w:sz w:val="32"/>
          <w:szCs w:val="32"/>
        </w:rPr>
        <w:t>七、财政拨款“三公”经费支出决算情况说明</w:t>
      </w:r>
      <w:r>
        <w:rPr>
          <w:rFonts w:ascii="Calibri" w:hAnsi="Calibri"/>
          <w:sz w:val="24"/>
        </w:rPr>
        <w:tab/>
      </w:r>
      <w:r>
        <w:rPr>
          <w:rFonts w:ascii="Calibri" w:hAnsi="Calibri" w:hint="eastAsia"/>
          <w:sz w:val="24"/>
        </w:rPr>
        <w:t>10</w:t>
      </w:r>
    </w:p>
    <w:p w:rsidR="00414195" w:rsidRDefault="004C5CC2">
      <w:pPr>
        <w:pStyle w:val="21"/>
        <w:adjustRightInd w:val="0"/>
        <w:snapToGrid w:val="0"/>
        <w:spacing w:line="560" w:lineRule="exact"/>
        <w:ind w:firstLineChars="200" w:firstLine="640"/>
        <w:jc w:val="left"/>
        <w:rPr>
          <w:rFonts w:ascii="仿宋" w:hAnsi="仿宋"/>
          <w:sz w:val="24"/>
        </w:rPr>
      </w:pPr>
      <w:r>
        <w:rPr>
          <w:rFonts w:eastAsia="仿宋_GB2312" w:cs="仿宋_GB2312" w:hint="eastAsia"/>
          <w:sz w:val="32"/>
          <w:szCs w:val="32"/>
        </w:rPr>
        <w:t>八、政府性基金预算支出决算情况说明</w:t>
      </w:r>
      <w:r>
        <w:rPr>
          <w:rFonts w:ascii="Calibri" w:hAnsi="Calibri"/>
          <w:sz w:val="24"/>
        </w:rPr>
        <w:tab/>
      </w:r>
      <w:r>
        <w:rPr>
          <w:rFonts w:ascii="Calibri" w:hAnsi="Calibri" w:hint="eastAsia"/>
          <w:sz w:val="24"/>
        </w:rPr>
        <w:t>11</w:t>
      </w:r>
    </w:p>
    <w:p w:rsidR="00414195" w:rsidRDefault="004C5CC2">
      <w:pPr>
        <w:pStyle w:val="21"/>
        <w:adjustRightInd w:val="0"/>
        <w:snapToGrid w:val="0"/>
        <w:spacing w:line="560" w:lineRule="exact"/>
        <w:ind w:firstLineChars="200" w:firstLine="640"/>
        <w:jc w:val="left"/>
        <w:rPr>
          <w:rFonts w:ascii="仿宋" w:hAnsi="仿宋"/>
          <w:sz w:val="24"/>
        </w:rPr>
      </w:pPr>
      <w:r>
        <w:rPr>
          <w:rFonts w:eastAsia="仿宋_GB2312" w:cs="仿宋_GB2312" w:hint="eastAsia"/>
          <w:sz w:val="32"/>
          <w:szCs w:val="32"/>
        </w:rPr>
        <w:t>九、国有资本经营预算支出决算情况说明</w:t>
      </w:r>
      <w:r>
        <w:rPr>
          <w:rFonts w:ascii="Calibri" w:hAnsi="Calibri"/>
          <w:sz w:val="24"/>
        </w:rPr>
        <w:tab/>
      </w:r>
      <w:r>
        <w:rPr>
          <w:rFonts w:ascii="Calibri" w:hAnsi="Calibri" w:hint="eastAsia"/>
          <w:sz w:val="24"/>
        </w:rPr>
        <w:t>11</w:t>
      </w:r>
    </w:p>
    <w:p w:rsidR="00414195" w:rsidRDefault="004C5CC2">
      <w:pPr>
        <w:pStyle w:val="21"/>
        <w:adjustRightInd w:val="0"/>
        <w:snapToGrid w:val="0"/>
        <w:spacing w:line="560" w:lineRule="exact"/>
        <w:ind w:firstLineChars="200" w:firstLine="640"/>
        <w:jc w:val="left"/>
        <w:rPr>
          <w:rFonts w:ascii="仿宋" w:hAnsi="仿宋"/>
          <w:sz w:val="24"/>
        </w:rPr>
      </w:pPr>
      <w:r>
        <w:rPr>
          <w:rFonts w:eastAsia="仿宋_GB2312" w:cs="仿宋_GB2312" w:hint="eastAsia"/>
          <w:sz w:val="32"/>
          <w:szCs w:val="32"/>
        </w:rPr>
        <w:t>十、其他重要事项的情况说明</w:t>
      </w:r>
      <w:r>
        <w:rPr>
          <w:rFonts w:ascii="Calibri" w:hAnsi="Calibri"/>
          <w:sz w:val="24"/>
        </w:rPr>
        <w:tab/>
      </w:r>
      <w:r>
        <w:rPr>
          <w:rFonts w:ascii="Calibri" w:hAnsi="Calibri" w:hint="eastAsia"/>
          <w:sz w:val="24"/>
        </w:rPr>
        <w:t>11</w:t>
      </w:r>
    </w:p>
    <w:p w:rsidR="00414195" w:rsidRDefault="004C5CC2">
      <w:pPr>
        <w:pStyle w:val="21"/>
        <w:adjustRightInd w:val="0"/>
        <w:snapToGrid w:val="0"/>
        <w:spacing w:line="560" w:lineRule="exact"/>
        <w:ind w:leftChars="0" w:left="0" w:firstLineChars="200" w:firstLine="640"/>
        <w:jc w:val="left"/>
        <w:rPr>
          <w:rFonts w:eastAsia="仿宋_GB2312" w:cs="仿宋_GB2312"/>
          <w:sz w:val="32"/>
          <w:szCs w:val="32"/>
        </w:rPr>
      </w:pPr>
      <w:r>
        <w:rPr>
          <w:rFonts w:eastAsia="黑体" w:cs="黑体" w:hint="eastAsia"/>
          <w:sz w:val="32"/>
          <w:szCs w:val="32"/>
        </w:rPr>
        <w:t>第三部分</w:t>
      </w:r>
      <w:r>
        <w:rPr>
          <w:rFonts w:eastAsia="黑体" w:cs="黑体" w:hint="eastAsia"/>
          <w:sz w:val="32"/>
          <w:szCs w:val="32"/>
        </w:rPr>
        <w:t xml:space="preserve"> </w:t>
      </w:r>
      <w:r>
        <w:rPr>
          <w:rFonts w:eastAsia="黑体" w:cs="黑体" w:hint="eastAsia"/>
          <w:sz w:val="32"/>
          <w:szCs w:val="32"/>
        </w:rPr>
        <w:t>名词解释</w:t>
      </w:r>
      <w:r>
        <w:rPr>
          <w:rFonts w:ascii="Calibri" w:hAnsi="Calibri"/>
          <w:sz w:val="24"/>
        </w:rPr>
        <w:tab/>
      </w:r>
      <w:r>
        <w:rPr>
          <w:rFonts w:ascii="Calibri" w:hAnsi="Calibri" w:hint="eastAsia"/>
          <w:sz w:val="24"/>
        </w:rPr>
        <w:t>14</w:t>
      </w:r>
    </w:p>
    <w:p w:rsidR="00414195" w:rsidRDefault="004C5CC2">
      <w:pPr>
        <w:pStyle w:val="21"/>
        <w:adjustRightInd w:val="0"/>
        <w:snapToGrid w:val="0"/>
        <w:spacing w:line="560" w:lineRule="exact"/>
        <w:ind w:leftChars="0" w:left="0" w:firstLineChars="200" w:firstLine="640"/>
        <w:jc w:val="left"/>
        <w:rPr>
          <w:rFonts w:eastAsia="仿宋_GB2312" w:cs="仿宋_GB2312"/>
          <w:sz w:val="32"/>
          <w:szCs w:val="32"/>
        </w:rPr>
      </w:pPr>
      <w:r>
        <w:rPr>
          <w:rFonts w:eastAsia="黑体" w:cs="黑体" w:hint="eastAsia"/>
          <w:sz w:val="32"/>
          <w:szCs w:val="32"/>
        </w:rPr>
        <w:t>第四部分</w:t>
      </w:r>
      <w:r>
        <w:rPr>
          <w:rFonts w:eastAsia="黑体" w:cs="黑体" w:hint="eastAsia"/>
          <w:sz w:val="32"/>
          <w:szCs w:val="32"/>
        </w:rPr>
        <w:t xml:space="preserve"> </w:t>
      </w:r>
      <w:r>
        <w:rPr>
          <w:rFonts w:eastAsia="黑体" w:cs="黑体" w:hint="eastAsia"/>
          <w:sz w:val="32"/>
          <w:szCs w:val="32"/>
        </w:rPr>
        <w:t>附件</w:t>
      </w:r>
      <w:r>
        <w:rPr>
          <w:rFonts w:ascii="Calibri" w:hAnsi="Calibri"/>
          <w:sz w:val="24"/>
        </w:rPr>
        <w:tab/>
      </w:r>
      <w:r>
        <w:rPr>
          <w:rFonts w:ascii="Calibri" w:hAnsi="Calibri" w:hint="eastAsia"/>
          <w:sz w:val="24"/>
        </w:rPr>
        <w:t>17</w:t>
      </w:r>
    </w:p>
    <w:p w:rsidR="00414195" w:rsidRDefault="004C5CC2">
      <w:pPr>
        <w:pStyle w:val="21"/>
        <w:adjustRightInd w:val="0"/>
        <w:snapToGrid w:val="0"/>
        <w:spacing w:line="560" w:lineRule="exact"/>
        <w:ind w:leftChars="0" w:left="0" w:firstLineChars="200" w:firstLine="640"/>
        <w:jc w:val="left"/>
        <w:rPr>
          <w:rFonts w:eastAsia="仿宋_GB2312" w:cs="仿宋_GB2312"/>
          <w:sz w:val="32"/>
          <w:szCs w:val="32"/>
        </w:rPr>
      </w:pPr>
      <w:r>
        <w:rPr>
          <w:rFonts w:eastAsia="黑体" w:cs="黑体" w:hint="eastAsia"/>
          <w:sz w:val="32"/>
          <w:szCs w:val="32"/>
        </w:rPr>
        <w:t>第五部分</w:t>
      </w:r>
      <w:r>
        <w:rPr>
          <w:rFonts w:eastAsia="黑体" w:cs="黑体" w:hint="eastAsia"/>
          <w:sz w:val="32"/>
          <w:szCs w:val="32"/>
        </w:rPr>
        <w:t xml:space="preserve"> </w:t>
      </w:r>
      <w:r>
        <w:rPr>
          <w:rFonts w:eastAsia="黑体" w:cs="黑体" w:hint="eastAsia"/>
          <w:sz w:val="32"/>
          <w:szCs w:val="32"/>
        </w:rPr>
        <w:t>附表</w:t>
      </w:r>
      <w:r>
        <w:rPr>
          <w:rFonts w:ascii="Calibri" w:hAnsi="Calibri"/>
          <w:sz w:val="24"/>
        </w:rPr>
        <w:tab/>
      </w:r>
      <w:r>
        <w:rPr>
          <w:rFonts w:ascii="Calibri" w:hAnsi="Calibri" w:hint="eastAsia"/>
          <w:sz w:val="24"/>
        </w:rPr>
        <w:t>18</w:t>
      </w:r>
    </w:p>
    <w:p w:rsidR="00414195" w:rsidRDefault="004C5CC2">
      <w:pPr>
        <w:pStyle w:val="21"/>
        <w:adjustRightInd w:val="0"/>
        <w:snapToGrid w:val="0"/>
        <w:spacing w:line="560" w:lineRule="exact"/>
        <w:ind w:leftChars="0" w:left="0" w:firstLineChars="400" w:firstLine="1280"/>
        <w:jc w:val="left"/>
        <w:rPr>
          <w:rFonts w:eastAsia="仿宋_GB2312" w:cs="仿宋_GB2312"/>
          <w:sz w:val="32"/>
          <w:szCs w:val="32"/>
        </w:rPr>
      </w:pPr>
      <w:r>
        <w:rPr>
          <w:rFonts w:eastAsia="仿宋_GB2312" w:cs="仿宋_GB2312" w:hint="eastAsia"/>
          <w:sz w:val="32"/>
          <w:szCs w:val="32"/>
        </w:rPr>
        <w:t>一、收入支出决算总表</w:t>
      </w:r>
    </w:p>
    <w:p w:rsidR="00414195" w:rsidRDefault="004C5CC2">
      <w:pPr>
        <w:pStyle w:val="21"/>
        <w:adjustRightInd w:val="0"/>
        <w:snapToGrid w:val="0"/>
        <w:spacing w:line="560" w:lineRule="exact"/>
        <w:ind w:leftChars="0" w:left="0" w:firstLineChars="400" w:firstLine="1280"/>
        <w:jc w:val="left"/>
        <w:rPr>
          <w:rFonts w:eastAsia="仿宋_GB2312" w:cs="仿宋_GB2312"/>
          <w:sz w:val="32"/>
          <w:szCs w:val="32"/>
        </w:rPr>
      </w:pPr>
      <w:r>
        <w:rPr>
          <w:rFonts w:eastAsia="仿宋_GB2312" w:cs="仿宋_GB2312" w:hint="eastAsia"/>
          <w:sz w:val="32"/>
          <w:szCs w:val="32"/>
        </w:rPr>
        <w:t>二、收入决算表</w:t>
      </w:r>
    </w:p>
    <w:p w:rsidR="00414195" w:rsidRDefault="004C5CC2">
      <w:pPr>
        <w:pStyle w:val="21"/>
        <w:adjustRightInd w:val="0"/>
        <w:snapToGrid w:val="0"/>
        <w:spacing w:line="560" w:lineRule="exact"/>
        <w:ind w:leftChars="0" w:left="0" w:firstLineChars="400" w:firstLine="1280"/>
        <w:jc w:val="left"/>
        <w:rPr>
          <w:rFonts w:eastAsia="仿宋_GB2312" w:cs="仿宋_GB2312"/>
          <w:sz w:val="32"/>
          <w:szCs w:val="32"/>
        </w:rPr>
      </w:pPr>
      <w:r>
        <w:rPr>
          <w:rFonts w:eastAsia="仿宋_GB2312" w:cs="仿宋_GB2312" w:hint="eastAsia"/>
          <w:sz w:val="32"/>
          <w:szCs w:val="32"/>
        </w:rPr>
        <w:t>三、支出决算表</w:t>
      </w:r>
    </w:p>
    <w:p w:rsidR="00414195" w:rsidRDefault="004C5CC2">
      <w:pPr>
        <w:pStyle w:val="21"/>
        <w:adjustRightInd w:val="0"/>
        <w:snapToGrid w:val="0"/>
        <w:spacing w:line="560" w:lineRule="exact"/>
        <w:ind w:leftChars="0" w:left="0" w:firstLineChars="400" w:firstLine="1280"/>
        <w:jc w:val="left"/>
        <w:rPr>
          <w:rFonts w:eastAsia="仿宋_GB2312" w:cs="仿宋_GB2312"/>
          <w:sz w:val="32"/>
          <w:szCs w:val="32"/>
        </w:rPr>
      </w:pPr>
      <w:r>
        <w:rPr>
          <w:rFonts w:eastAsia="仿宋_GB2312" w:cs="仿宋_GB2312" w:hint="eastAsia"/>
          <w:sz w:val="32"/>
          <w:szCs w:val="32"/>
        </w:rPr>
        <w:lastRenderedPageBreak/>
        <w:t>四、财政拨款收入支出决算总表</w:t>
      </w:r>
    </w:p>
    <w:p w:rsidR="00414195" w:rsidRDefault="004C5CC2">
      <w:pPr>
        <w:pStyle w:val="21"/>
        <w:adjustRightInd w:val="0"/>
        <w:snapToGrid w:val="0"/>
        <w:spacing w:line="560" w:lineRule="exact"/>
        <w:ind w:leftChars="0" w:left="0" w:firstLineChars="400" w:firstLine="1280"/>
        <w:jc w:val="left"/>
        <w:rPr>
          <w:rFonts w:eastAsia="仿宋_GB2312" w:cs="仿宋_GB2312"/>
          <w:sz w:val="32"/>
          <w:szCs w:val="32"/>
        </w:rPr>
      </w:pPr>
      <w:r>
        <w:rPr>
          <w:rFonts w:eastAsia="仿宋_GB2312" w:cs="仿宋_GB2312" w:hint="eastAsia"/>
          <w:sz w:val="32"/>
          <w:szCs w:val="32"/>
        </w:rPr>
        <w:t>五、财政拨款支出决算明细表</w:t>
      </w:r>
    </w:p>
    <w:p w:rsidR="00414195" w:rsidRDefault="004C5CC2">
      <w:pPr>
        <w:pStyle w:val="21"/>
        <w:adjustRightInd w:val="0"/>
        <w:snapToGrid w:val="0"/>
        <w:spacing w:line="560" w:lineRule="exact"/>
        <w:ind w:leftChars="0" w:left="0" w:firstLineChars="400" w:firstLine="1280"/>
        <w:jc w:val="left"/>
        <w:rPr>
          <w:rFonts w:eastAsia="仿宋_GB2312" w:cs="仿宋_GB2312"/>
          <w:sz w:val="32"/>
          <w:szCs w:val="32"/>
        </w:rPr>
      </w:pPr>
      <w:r>
        <w:rPr>
          <w:rFonts w:eastAsia="仿宋_GB2312" w:cs="仿宋_GB2312" w:hint="eastAsia"/>
          <w:sz w:val="32"/>
          <w:szCs w:val="32"/>
        </w:rPr>
        <w:t>六、一般公共预算财政拨款支出决算表</w:t>
      </w:r>
    </w:p>
    <w:p w:rsidR="00414195" w:rsidRDefault="004C5CC2">
      <w:pPr>
        <w:pStyle w:val="21"/>
        <w:adjustRightInd w:val="0"/>
        <w:snapToGrid w:val="0"/>
        <w:spacing w:line="560" w:lineRule="exact"/>
        <w:ind w:leftChars="0" w:left="0" w:firstLineChars="400" w:firstLine="1280"/>
        <w:jc w:val="left"/>
        <w:rPr>
          <w:rFonts w:eastAsia="仿宋_GB2312" w:cs="仿宋_GB2312"/>
          <w:sz w:val="32"/>
          <w:szCs w:val="32"/>
        </w:rPr>
      </w:pPr>
      <w:r>
        <w:rPr>
          <w:rFonts w:eastAsia="仿宋_GB2312" w:cs="仿宋_GB2312" w:hint="eastAsia"/>
          <w:sz w:val="32"/>
          <w:szCs w:val="32"/>
        </w:rPr>
        <w:t>七、一般公共预算财政拨款支出决算明细表</w:t>
      </w:r>
    </w:p>
    <w:p w:rsidR="00414195" w:rsidRDefault="004C5CC2">
      <w:pPr>
        <w:pStyle w:val="21"/>
        <w:adjustRightInd w:val="0"/>
        <w:snapToGrid w:val="0"/>
        <w:spacing w:line="560" w:lineRule="exact"/>
        <w:ind w:leftChars="0" w:left="0" w:firstLineChars="400" w:firstLine="1280"/>
        <w:jc w:val="left"/>
        <w:rPr>
          <w:rFonts w:eastAsia="仿宋_GB2312" w:cs="仿宋_GB2312"/>
          <w:sz w:val="32"/>
          <w:szCs w:val="32"/>
        </w:rPr>
      </w:pPr>
      <w:r>
        <w:rPr>
          <w:rFonts w:eastAsia="仿宋_GB2312" w:cs="仿宋_GB2312" w:hint="eastAsia"/>
          <w:sz w:val="32"/>
          <w:szCs w:val="32"/>
        </w:rPr>
        <w:t>八、一般公共预算财政拨款基本支出决算明细表</w:t>
      </w:r>
    </w:p>
    <w:p w:rsidR="00414195" w:rsidRDefault="004C5CC2">
      <w:pPr>
        <w:pStyle w:val="21"/>
        <w:adjustRightInd w:val="0"/>
        <w:snapToGrid w:val="0"/>
        <w:spacing w:line="560" w:lineRule="exact"/>
        <w:ind w:leftChars="0" w:left="0" w:firstLineChars="400" w:firstLine="1280"/>
        <w:jc w:val="left"/>
        <w:rPr>
          <w:rFonts w:eastAsia="仿宋_GB2312" w:cs="仿宋_GB2312"/>
          <w:sz w:val="32"/>
          <w:szCs w:val="32"/>
        </w:rPr>
      </w:pPr>
      <w:r>
        <w:rPr>
          <w:rFonts w:eastAsia="仿宋_GB2312" w:cs="仿宋_GB2312" w:hint="eastAsia"/>
          <w:sz w:val="32"/>
          <w:szCs w:val="32"/>
        </w:rPr>
        <w:t>九、一般公共预算财政拨款项目支出决算表</w:t>
      </w:r>
    </w:p>
    <w:p w:rsidR="00414195" w:rsidRDefault="004C5CC2">
      <w:pPr>
        <w:pStyle w:val="21"/>
        <w:adjustRightInd w:val="0"/>
        <w:snapToGrid w:val="0"/>
        <w:spacing w:line="560" w:lineRule="exact"/>
        <w:ind w:leftChars="0" w:left="0" w:firstLineChars="400" w:firstLine="1280"/>
        <w:jc w:val="left"/>
        <w:rPr>
          <w:rFonts w:eastAsia="仿宋_GB2312" w:cs="仿宋_GB2312"/>
          <w:sz w:val="32"/>
          <w:szCs w:val="32"/>
        </w:rPr>
      </w:pPr>
      <w:r>
        <w:rPr>
          <w:rFonts w:eastAsia="仿宋_GB2312" w:cs="仿宋_GB2312" w:hint="eastAsia"/>
          <w:sz w:val="32"/>
          <w:szCs w:val="32"/>
        </w:rPr>
        <w:t>十、政府性基金预算财政拨款收入支出决算表</w:t>
      </w:r>
    </w:p>
    <w:p w:rsidR="00414195" w:rsidRDefault="004C5CC2">
      <w:pPr>
        <w:pStyle w:val="21"/>
        <w:adjustRightInd w:val="0"/>
        <w:snapToGrid w:val="0"/>
        <w:spacing w:line="560" w:lineRule="exact"/>
        <w:ind w:leftChars="0" w:left="0" w:firstLineChars="400" w:firstLine="1280"/>
        <w:jc w:val="left"/>
        <w:rPr>
          <w:rFonts w:eastAsia="仿宋_GB2312" w:cs="仿宋_GB2312"/>
          <w:sz w:val="32"/>
          <w:szCs w:val="32"/>
        </w:rPr>
      </w:pPr>
      <w:r>
        <w:rPr>
          <w:rFonts w:eastAsia="仿宋_GB2312" w:cs="仿宋_GB2312" w:hint="eastAsia"/>
          <w:sz w:val="32"/>
          <w:szCs w:val="32"/>
        </w:rPr>
        <w:t>十一、国有资本经营预算财政拨款收入支出决算表</w:t>
      </w:r>
    </w:p>
    <w:p w:rsidR="00414195" w:rsidRDefault="004C5CC2">
      <w:pPr>
        <w:pStyle w:val="21"/>
        <w:adjustRightInd w:val="0"/>
        <w:snapToGrid w:val="0"/>
        <w:spacing w:line="560" w:lineRule="exact"/>
        <w:ind w:leftChars="0" w:left="0" w:firstLineChars="400" w:firstLine="1280"/>
        <w:jc w:val="left"/>
        <w:rPr>
          <w:rFonts w:eastAsia="仿宋_GB2312" w:cs="仿宋_GB2312"/>
          <w:sz w:val="32"/>
          <w:szCs w:val="32"/>
        </w:rPr>
      </w:pPr>
      <w:r>
        <w:rPr>
          <w:rFonts w:eastAsia="仿宋_GB2312" w:cs="仿宋_GB2312" w:hint="eastAsia"/>
          <w:sz w:val="32"/>
          <w:szCs w:val="32"/>
        </w:rPr>
        <w:t>十二、国有资本经营预算财政拨款支出决算表</w:t>
      </w:r>
    </w:p>
    <w:p w:rsidR="00414195" w:rsidRDefault="004C5CC2">
      <w:pPr>
        <w:pStyle w:val="21"/>
        <w:adjustRightInd w:val="0"/>
        <w:snapToGrid w:val="0"/>
        <w:spacing w:line="560" w:lineRule="exact"/>
        <w:ind w:leftChars="0" w:left="0" w:firstLineChars="400" w:firstLine="1280"/>
        <w:jc w:val="left"/>
        <w:rPr>
          <w:rFonts w:eastAsia="仿宋_GB2312" w:cs="仿宋_GB2312"/>
          <w:sz w:val="32"/>
          <w:szCs w:val="32"/>
        </w:rPr>
      </w:pPr>
      <w:r>
        <w:rPr>
          <w:rFonts w:eastAsia="仿宋_GB2312" w:cs="仿宋_GB2312" w:hint="eastAsia"/>
          <w:sz w:val="32"/>
          <w:szCs w:val="32"/>
        </w:rPr>
        <w:t>十三、财政拨款“三公”经费支出决算表</w:t>
      </w:r>
    </w:p>
    <w:p w:rsidR="00414195" w:rsidRDefault="004C5CC2">
      <w:pPr>
        <w:widowControl/>
        <w:spacing w:line="560" w:lineRule="exact"/>
        <w:jc w:val="left"/>
        <w:rPr>
          <w:rFonts w:eastAsia="仿宋_GB2312" w:cs="仿宋_GB2312"/>
          <w:bCs/>
          <w:kern w:val="44"/>
          <w:sz w:val="32"/>
          <w:szCs w:val="32"/>
        </w:rPr>
      </w:pPr>
      <w:bookmarkStart w:id="6" w:name="_Toc15396599"/>
      <w:bookmarkStart w:id="7" w:name="_Toc15377196"/>
      <w:r>
        <w:rPr>
          <w:rFonts w:eastAsia="仿宋_GB2312" w:cs="仿宋_GB2312" w:hint="eastAsia"/>
          <w:b/>
          <w:sz w:val="32"/>
          <w:szCs w:val="32"/>
        </w:rPr>
        <w:br w:type="page"/>
      </w:r>
    </w:p>
    <w:p w:rsidR="00414195" w:rsidRDefault="004C5CC2">
      <w:pPr>
        <w:pStyle w:val="1"/>
        <w:jc w:val="center"/>
        <w:rPr>
          <w:rStyle w:val="1Char"/>
          <w:rFonts w:eastAsia="方正小标宋简体" w:cs="方正小标宋简体"/>
          <w:b/>
        </w:rPr>
      </w:pPr>
      <w:r>
        <w:rPr>
          <w:rFonts w:eastAsia="方正小标宋简体" w:cs="方正小标宋简体" w:hint="eastAsia"/>
          <w:b w:val="0"/>
        </w:rPr>
        <w:lastRenderedPageBreak/>
        <w:t>第一部分</w:t>
      </w:r>
      <w:r>
        <w:rPr>
          <w:rFonts w:eastAsia="方正小标宋简体" w:cs="方正小标宋简体" w:hint="eastAsia"/>
          <w:b w:val="0"/>
        </w:rPr>
        <w:t xml:space="preserve">  </w:t>
      </w:r>
      <w:r>
        <w:rPr>
          <w:rStyle w:val="1Char"/>
          <w:rFonts w:eastAsia="方正小标宋简体" w:cs="方正小标宋简体" w:hint="eastAsia"/>
        </w:rPr>
        <w:t>部门概况</w:t>
      </w:r>
      <w:bookmarkEnd w:id="6"/>
      <w:bookmarkEnd w:id="7"/>
    </w:p>
    <w:p w:rsidR="00414195" w:rsidRDefault="00414195">
      <w:pPr>
        <w:widowControl/>
        <w:jc w:val="left"/>
        <w:rPr>
          <w:rFonts w:eastAsia="黑体"/>
          <w:sz w:val="32"/>
          <w:szCs w:val="32"/>
        </w:rPr>
      </w:pPr>
    </w:p>
    <w:p w:rsidR="00414195" w:rsidRDefault="004C5CC2">
      <w:pPr>
        <w:pStyle w:val="2"/>
        <w:numPr>
          <w:ilvl w:val="0"/>
          <w:numId w:val="1"/>
        </w:numPr>
        <w:rPr>
          <w:rFonts w:ascii="Times New Roman" w:eastAsia="黑体" w:hAnsi="Times New Roman"/>
          <w:b w:val="0"/>
        </w:rPr>
      </w:pPr>
      <w:r>
        <w:rPr>
          <w:rFonts w:ascii="Times New Roman" w:eastAsia="黑体" w:hAnsi="Times New Roman" w:hint="eastAsia"/>
          <w:b w:val="0"/>
        </w:rPr>
        <w:t>主要职责</w:t>
      </w:r>
    </w:p>
    <w:p w:rsidR="00414195" w:rsidRDefault="004C5CC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攀枝花开放大学是攀枝花市人民政府主办，直属市教育和体育局管理，以促进终身学习为使命、以现代信息技术为支撑、以“互联网+”为特征，面向社会成员开展终身教育的市属</w:t>
      </w:r>
      <w:proofErr w:type="gramStart"/>
      <w:r>
        <w:rPr>
          <w:rFonts w:ascii="仿宋_GB2312" w:eastAsia="仿宋_GB2312" w:hAnsi="仿宋_GB2312" w:cs="仿宋_GB2312" w:hint="eastAsia"/>
          <w:sz w:val="32"/>
          <w:szCs w:val="32"/>
        </w:rPr>
        <w:t>公办新型</w:t>
      </w:r>
      <w:proofErr w:type="gramEnd"/>
      <w:r>
        <w:rPr>
          <w:rFonts w:ascii="仿宋_GB2312" w:eastAsia="仿宋_GB2312" w:hAnsi="仿宋_GB2312" w:cs="仿宋_GB2312" w:hint="eastAsia"/>
          <w:sz w:val="32"/>
          <w:szCs w:val="32"/>
        </w:rPr>
        <w:t>高等学校。学校主要职责为服务攀枝花市全民终身学习，推进攀枝花市开放教育体系建设，探索高等教育、职业教育与继续教育融合发展；承担全市普通话培训、测试工作；承担社区教育及社区教育指导工作。</w:t>
      </w:r>
    </w:p>
    <w:p w:rsidR="00414195" w:rsidRDefault="004C5CC2">
      <w:pPr>
        <w:pStyle w:val="2"/>
        <w:rPr>
          <w:rStyle w:val="2Char"/>
          <w:rFonts w:ascii="Times New Roman" w:hAnsi="Times New Roman"/>
        </w:rPr>
      </w:pPr>
      <w:bookmarkStart w:id="8" w:name="_Toc15396601"/>
      <w:bookmarkStart w:id="9" w:name="_Toc15377200"/>
      <w:r>
        <w:rPr>
          <w:rFonts w:ascii="Times New Roman" w:eastAsia="黑体" w:hAnsi="Times New Roman" w:hint="eastAsia"/>
          <w:b w:val="0"/>
        </w:rPr>
        <w:t>二、机</w:t>
      </w:r>
      <w:r>
        <w:rPr>
          <w:rStyle w:val="2Char"/>
          <w:rFonts w:ascii="Times New Roman" w:eastAsia="黑体" w:hAnsi="Times New Roman" w:hint="eastAsia"/>
        </w:rPr>
        <w:t>构设置</w:t>
      </w:r>
      <w:bookmarkEnd w:id="8"/>
      <w:bookmarkEnd w:id="9"/>
    </w:p>
    <w:p w:rsidR="00414195" w:rsidRDefault="004C5CC2">
      <w:pPr>
        <w:suppressAutoHyphens/>
        <w:snapToGrid w:val="0"/>
        <w:spacing w:line="520" w:lineRule="exact"/>
        <w:ind w:firstLineChars="200" w:firstLine="640"/>
        <w:rPr>
          <w:rFonts w:eastAsia="仿宋_GB2312" w:cs="仿宋_GB2312"/>
          <w:sz w:val="32"/>
          <w:szCs w:val="32"/>
        </w:rPr>
      </w:pPr>
      <w:r>
        <w:rPr>
          <w:rFonts w:ascii="仿宋_GB2312" w:eastAsia="仿宋_GB2312" w:hAnsi="仿宋_GB2312" w:cs="仿宋_GB2312" w:hint="eastAsia"/>
          <w:sz w:val="32"/>
          <w:szCs w:val="32"/>
        </w:rPr>
        <w:t>四川省攀枝花开放大学</w:t>
      </w:r>
      <w:r>
        <w:rPr>
          <w:rFonts w:eastAsia="仿宋_GB2312" w:cs="仿宋_GB2312" w:hint="eastAsia"/>
          <w:sz w:val="32"/>
          <w:szCs w:val="32"/>
        </w:rPr>
        <w:t>下属二级预算单位</w:t>
      </w:r>
      <w:r>
        <w:rPr>
          <w:rFonts w:eastAsia="仿宋_GB2312" w:cs="仿宋_GB2312" w:hint="eastAsia"/>
          <w:sz w:val="32"/>
          <w:szCs w:val="32"/>
        </w:rPr>
        <w:t>0</w:t>
      </w:r>
      <w:r>
        <w:rPr>
          <w:rFonts w:eastAsia="仿宋_GB2312" w:cs="仿宋_GB2312" w:hint="eastAsia"/>
          <w:sz w:val="32"/>
          <w:szCs w:val="32"/>
        </w:rPr>
        <w:t>个，其中行政单位</w:t>
      </w:r>
      <w:r>
        <w:rPr>
          <w:rFonts w:eastAsia="仿宋_GB2312" w:cs="仿宋_GB2312" w:hint="eastAsia"/>
          <w:sz w:val="32"/>
          <w:szCs w:val="32"/>
        </w:rPr>
        <w:t>0</w:t>
      </w:r>
      <w:r>
        <w:rPr>
          <w:rFonts w:eastAsia="仿宋_GB2312" w:cs="仿宋_GB2312" w:hint="eastAsia"/>
          <w:sz w:val="32"/>
          <w:szCs w:val="32"/>
        </w:rPr>
        <w:t>个，参照公务员法管理的事业单位</w:t>
      </w:r>
      <w:r>
        <w:rPr>
          <w:rFonts w:eastAsia="仿宋_GB2312" w:cs="仿宋_GB2312" w:hint="eastAsia"/>
          <w:bCs/>
          <w:sz w:val="32"/>
          <w:szCs w:val="32"/>
        </w:rPr>
        <w:t>0</w:t>
      </w:r>
      <w:r>
        <w:rPr>
          <w:rFonts w:eastAsia="仿宋_GB2312" w:cs="仿宋_GB2312" w:hint="eastAsia"/>
          <w:sz w:val="32"/>
          <w:szCs w:val="32"/>
        </w:rPr>
        <w:t>个，其他事业单位</w:t>
      </w:r>
      <w:r>
        <w:rPr>
          <w:rFonts w:eastAsia="仿宋_GB2312" w:cs="仿宋_GB2312" w:hint="eastAsia"/>
          <w:sz w:val="32"/>
          <w:szCs w:val="32"/>
        </w:rPr>
        <w:t>0</w:t>
      </w:r>
      <w:r>
        <w:rPr>
          <w:rFonts w:eastAsia="仿宋_GB2312" w:cs="仿宋_GB2312" w:hint="eastAsia"/>
          <w:sz w:val="32"/>
          <w:szCs w:val="32"/>
        </w:rPr>
        <w:t>个。</w:t>
      </w:r>
    </w:p>
    <w:p w:rsidR="00414195" w:rsidRDefault="004C5CC2">
      <w:pPr>
        <w:suppressAutoHyphens/>
        <w:snapToGrid w:val="0"/>
        <w:spacing w:line="520" w:lineRule="exact"/>
        <w:ind w:firstLineChars="200" w:firstLine="640"/>
        <w:rPr>
          <w:rFonts w:ascii="仿宋_GB2312" w:eastAsia="仿宋_GB2312" w:hAnsi="仿宋"/>
          <w:sz w:val="32"/>
          <w:szCs w:val="32"/>
        </w:rPr>
      </w:pPr>
      <w:r>
        <w:rPr>
          <w:rFonts w:ascii="仿宋_GB2312" w:eastAsia="仿宋_GB2312" w:hAnsi="仿宋_GB2312" w:cs="仿宋_GB2312" w:hint="eastAsia"/>
          <w:sz w:val="32"/>
          <w:szCs w:val="32"/>
        </w:rPr>
        <w:t>四川省攀枝花开放大学</w:t>
      </w:r>
      <w:r>
        <w:rPr>
          <w:rFonts w:ascii="仿宋_GB2312" w:eastAsia="仿宋_GB2312" w:hAnsi="仿宋" w:hint="eastAsia"/>
          <w:sz w:val="32"/>
          <w:szCs w:val="32"/>
        </w:rPr>
        <w:t>现有办公室、教务科、教学科研科、培训和社区教育科、检测科、总务科、招生服务中心、信息资源中心、党委办公室九个内设机构。</w:t>
      </w:r>
    </w:p>
    <w:p w:rsidR="00D270DC" w:rsidRDefault="00D270DC">
      <w:pPr>
        <w:widowControl/>
        <w:jc w:val="left"/>
        <w:rPr>
          <w:rFonts w:eastAsia="仿宋"/>
          <w:kern w:val="0"/>
          <w:sz w:val="32"/>
          <w:szCs w:val="32"/>
        </w:rPr>
      </w:pPr>
      <w:r>
        <w:rPr>
          <w:rFonts w:eastAsia="仿宋"/>
          <w:kern w:val="0"/>
          <w:sz w:val="32"/>
          <w:szCs w:val="32"/>
        </w:rPr>
        <w:br w:type="page"/>
      </w:r>
    </w:p>
    <w:p w:rsidR="00414195" w:rsidRDefault="00414195">
      <w:pPr>
        <w:widowControl/>
        <w:jc w:val="left"/>
        <w:rPr>
          <w:rFonts w:eastAsia="仿宋"/>
          <w:kern w:val="0"/>
          <w:sz w:val="32"/>
          <w:szCs w:val="32"/>
        </w:rPr>
      </w:pPr>
    </w:p>
    <w:p w:rsidR="00414195" w:rsidRDefault="004C5CC2">
      <w:pPr>
        <w:pStyle w:val="1"/>
        <w:jc w:val="center"/>
        <w:rPr>
          <w:rFonts w:eastAsia="方正小标宋简体" w:cs="方正小标宋简体"/>
          <w:b w:val="0"/>
        </w:rPr>
      </w:pPr>
      <w:bookmarkStart w:id="10" w:name="_Toc15377204"/>
      <w:bookmarkStart w:id="11" w:name="_Toc15396602"/>
      <w:r>
        <w:rPr>
          <w:rFonts w:eastAsia="方正小标宋简体" w:cs="方正小标宋简体" w:hint="eastAsia"/>
          <w:b w:val="0"/>
        </w:rPr>
        <w:t>第二部分</w:t>
      </w:r>
      <w:r>
        <w:rPr>
          <w:rFonts w:eastAsia="方正小标宋简体" w:cs="方正小标宋简体" w:hint="eastAsia"/>
          <w:b w:val="0"/>
        </w:rPr>
        <w:t xml:space="preserve">  2024</w:t>
      </w:r>
      <w:r>
        <w:rPr>
          <w:rFonts w:eastAsia="方正小标宋简体" w:cs="方正小标宋简体" w:hint="eastAsia"/>
          <w:b w:val="0"/>
        </w:rPr>
        <w:t>年度部门决算情况说明</w:t>
      </w:r>
      <w:bookmarkEnd w:id="10"/>
      <w:bookmarkEnd w:id="11"/>
    </w:p>
    <w:p w:rsidR="00414195" w:rsidRDefault="00414195"/>
    <w:p w:rsidR="00414195" w:rsidRDefault="004C5CC2">
      <w:pPr>
        <w:pStyle w:val="ab"/>
        <w:spacing w:line="600" w:lineRule="exact"/>
        <w:ind w:firstLine="640"/>
        <w:outlineLvl w:val="1"/>
        <w:rPr>
          <w:rStyle w:val="2Char"/>
          <w:rFonts w:ascii="Times New Roman" w:eastAsia="黑体" w:hAnsi="Times New Roman"/>
          <w:b w:val="0"/>
        </w:rPr>
      </w:pPr>
      <w:bookmarkStart w:id="12" w:name="_Toc15377205"/>
      <w:bookmarkStart w:id="13" w:name="_Toc15396603"/>
      <w:r>
        <w:rPr>
          <w:rFonts w:eastAsia="黑体" w:hint="eastAsia"/>
          <w:sz w:val="32"/>
          <w:szCs w:val="32"/>
        </w:rPr>
        <w:t>一、收</w:t>
      </w:r>
      <w:r>
        <w:rPr>
          <w:rStyle w:val="2Char"/>
          <w:rFonts w:ascii="Times New Roman" w:eastAsia="黑体" w:hAnsi="Times New Roman" w:hint="eastAsia"/>
          <w:b w:val="0"/>
        </w:rPr>
        <w:t>入支出决算总体情况说明</w:t>
      </w:r>
      <w:bookmarkEnd w:id="12"/>
      <w:bookmarkEnd w:id="13"/>
    </w:p>
    <w:p w:rsidR="00414195" w:rsidRDefault="004C5CC2">
      <w:pPr>
        <w:pStyle w:val="ab"/>
        <w:spacing w:line="600" w:lineRule="exact"/>
        <w:ind w:firstLine="640"/>
        <w:outlineLvl w:val="1"/>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年度收入、支出总计均为</w:t>
      </w:r>
      <w:r>
        <w:rPr>
          <w:rFonts w:eastAsia="仿宋_GB2312" w:cs="仿宋_GB2312" w:hint="eastAsia"/>
          <w:sz w:val="32"/>
          <w:szCs w:val="32"/>
        </w:rPr>
        <w:t>1635.89</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年度相比，收入、支出总计各减少</w:t>
      </w:r>
      <w:r>
        <w:rPr>
          <w:rFonts w:eastAsia="仿宋_GB2312" w:cs="仿宋_GB2312" w:hint="eastAsia"/>
          <w:sz w:val="32"/>
          <w:szCs w:val="32"/>
        </w:rPr>
        <w:t>127.57</w:t>
      </w:r>
      <w:r>
        <w:rPr>
          <w:rFonts w:eastAsia="仿宋_GB2312" w:cs="仿宋_GB2312" w:hint="eastAsia"/>
          <w:sz w:val="32"/>
          <w:szCs w:val="32"/>
        </w:rPr>
        <w:t>万元，下降</w:t>
      </w:r>
      <w:r>
        <w:rPr>
          <w:rFonts w:eastAsia="仿宋_GB2312" w:cs="仿宋_GB2312" w:hint="eastAsia"/>
          <w:sz w:val="32"/>
          <w:szCs w:val="32"/>
        </w:rPr>
        <w:t>7.23%</w:t>
      </w:r>
      <w:r>
        <w:rPr>
          <w:rFonts w:eastAsia="仿宋_GB2312" w:cs="仿宋_GB2312" w:hint="eastAsia"/>
          <w:sz w:val="32"/>
          <w:szCs w:val="32"/>
        </w:rPr>
        <w:t>。主要变动原因是事业收入减少。</w:t>
      </w:r>
    </w:p>
    <w:p w:rsidR="00414195" w:rsidRDefault="004C5CC2">
      <w:pPr>
        <w:pStyle w:val="ab"/>
        <w:spacing w:line="600" w:lineRule="exact"/>
        <w:outlineLvl w:val="1"/>
        <w:rPr>
          <w:rFonts w:ascii="仿宋" w:eastAsia="仿宋" w:hAnsi="仿宋"/>
          <w:sz w:val="32"/>
          <w:szCs w:val="32"/>
        </w:rPr>
      </w:pPr>
      <w:r>
        <w:rPr>
          <w:noProof/>
        </w:rPr>
        <w:drawing>
          <wp:anchor distT="0" distB="0" distL="114300" distR="114300" simplePos="0" relativeHeight="251659264" behindDoc="1" locked="0" layoutInCell="1" allowOverlap="1">
            <wp:simplePos x="0" y="0"/>
            <wp:positionH relativeFrom="column">
              <wp:posOffset>128270</wp:posOffset>
            </wp:positionH>
            <wp:positionV relativeFrom="paragraph">
              <wp:posOffset>166370</wp:posOffset>
            </wp:positionV>
            <wp:extent cx="5143500" cy="2743200"/>
            <wp:effectExtent l="4445" t="4445" r="14605" b="14605"/>
            <wp:wrapNone/>
            <wp:docPr id="4097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414195" w:rsidRDefault="00414195">
      <w:pPr>
        <w:pStyle w:val="ab"/>
        <w:spacing w:line="600" w:lineRule="exact"/>
        <w:ind w:firstLine="640"/>
        <w:outlineLvl w:val="1"/>
        <w:rPr>
          <w:rFonts w:ascii="仿宋" w:eastAsia="仿宋" w:hAnsi="仿宋"/>
          <w:sz w:val="32"/>
          <w:szCs w:val="32"/>
        </w:rPr>
      </w:pPr>
    </w:p>
    <w:p w:rsidR="00414195" w:rsidRDefault="00414195">
      <w:pPr>
        <w:pStyle w:val="ab"/>
        <w:spacing w:line="600" w:lineRule="exact"/>
        <w:ind w:firstLine="640"/>
        <w:outlineLvl w:val="1"/>
        <w:rPr>
          <w:rFonts w:ascii="仿宋" w:eastAsia="仿宋" w:hAnsi="仿宋"/>
          <w:sz w:val="32"/>
          <w:szCs w:val="32"/>
        </w:rPr>
      </w:pPr>
    </w:p>
    <w:p w:rsidR="00414195" w:rsidRDefault="00414195">
      <w:pPr>
        <w:pStyle w:val="ab"/>
        <w:spacing w:line="600" w:lineRule="exact"/>
        <w:ind w:firstLine="640"/>
        <w:outlineLvl w:val="1"/>
        <w:rPr>
          <w:rFonts w:ascii="仿宋" w:eastAsia="仿宋" w:hAnsi="仿宋"/>
          <w:sz w:val="32"/>
          <w:szCs w:val="32"/>
        </w:rPr>
      </w:pPr>
    </w:p>
    <w:p w:rsidR="00414195" w:rsidRDefault="00414195">
      <w:pPr>
        <w:pStyle w:val="ab"/>
        <w:spacing w:line="600" w:lineRule="exact"/>
        <w:ind w:firstLine="640"/>
        <w:outlineLvl w:val="1"/>
        <w:rPr>
          <w:rFonts w:ascii="仿宋" w:eastAsia="仿宋" w:hAnsi="仿宋"/>
          <w:sz w:val="32"/>
          <w:szCs w:val="32"/>
        </w:rPr>
      </w:pPr>
    </w:p>
    <w:p w:rsidR="00414195" w:rsidRDefault="00414195">
      <w:pPr>
        <w:pStyle w:val="ab"/>
        <w:spacing w:line="600" w:lineRule="exact"/>
        <w:ind w:firstLine="640"/>
        <w:outlineLvl w:val="1"/>
        <w:rPr>
          <w:rFonts w:ascii="仿宋" w:eastAsia="仿宋" w:hAnsi="仿宋"/>
          <w:sz w:val="32"/>
          <w:szCs w:val="32"/>
        </w:rPr>
      </w:pPr>
    </w:p>
    <w:p w:rsidR="00414195" w:rsidRDefault="00414195">
      <w:pPr>
        <w:pStyle w:val="ab"/>
        <w:spacing w:line="600" w:lineRule="exact"/>
        <w:ind w:firstLine="640"/>
        <w:outlineLvl w:val="1"/>
        <w:rPr>
          <w:rFonts w:ascii="仿宋" w:eastAsia="仿宋" w:hAnsi="仿宋"/>
          <w:sz w:val="32"/>
          <w:szCs w:val="32"/>
        </w:rPr>
      </w:pPr>
    </w:p>
    <w:p w:rsidR="00414195" w:rsidRDefault="00414195">
      <w:pPr>
        <w:pStyle w:val="ab"/>
        <w:spacing w:line="600" w:lineRule="exact"/>
        <w:ind w:firstLineChars="0" w:firstLine="0"/>
        <w:outlineLvl w:val="1"/>
        <w:rPr>
          <w:rFonts w:eastAsia="仿宋_GB2312" w:cs="仿宋_GB2312"/>
          <w:sz w:val="32"/>
          <w:szCs w:val="32"/>
        </w:rPr>
      </w:pPr>
    </w:p>
    <w:p w:rsidR="00414195" w:rsidRDefault="004C5CC2">
      <w:pPr>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1</w:t>
      </w:r>
      <w:r>
        <w:rPr>
          <w:rFonts w:eastAsia="仿宋_GB2312" w:cs="仿宋_GB2312" w:hint="eastAsia"/>
          <w:sz w:val="32"/>
          <w:szCs w:val="32"/>
        </w:rPr>
        <w:t>：收入、支出决算总计变动情况图）（柱状图）</w:t>
      </w:r>
    </w:p>
    <w:p w:rsidR="00414195" w:rsidRDefault="004C5CC2">
      <w:pPr>
        <w:pStyle w:val="ab"/>
        <w:spacing w:line="600" w:lineRule="exact"/>
        <w:ind w:firstLine="640"/>
        <w:outlineLvl w:val="1"/>
        <w:rPr>
          <w:rFonts w:eastAsia="黑体"/>
          <w:sz w:val="32"/>
          <w:szCs w:val="32"/>
        </w:rPr>
      </w:pPr>
      <w:bookmarkStart w:id="14" w:name="_Toc15377206"/>
      <w:bookmarkStart w:id="15" w:name="_Toc15396604"/>
      <w:r>
        <w:rPr>
          <w:rFonts w:eastAsia="黑体" w:hint="eastAsia"/>
          <w:sz w:val="32"/>
          <w:szCs w:val="32"/>
        </w:rPr>
        <w:t>二、收入决算情况说明</w:t>
      </w:r>
      <w:bookmarkEnd w:id="14"/>
      <w:bookmarkEnd w:id="15"/>
    </w:p>
    <w:p w:rsidR="00414195" w:rsidRDefault="004C5CC2">
      <w:pPr>
        <w:pStyle w:val="ab"/>
        <w:spacing w:line="600" w:lineRule="exact"/>
        <w:ind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2024年度本年收入合计1518.99万元，其中：一般公共预算财政拨款收入1088.65万元，占71.66%；政府性基金预算财政拨款收入0万元，占0%%；国有资本经营预算财政拨款收入0万元，占0%；上级补助收入0万元，占0%；事业收入430.33万元，占28.33%；经营收入0万元，占0%；附</w:t>
      </w:r>
      <w:r>
        <w:rPr>
          <w:rFonts w:ascii="仿宋_GB2312" w:eastAsia="仿宋_GB2312" w:hAnsi="仿宋_GB2312" w:cs="仿宋_GB2312" w:hint="eastAsia"/>
          <w:sz w:val="32"/>
          <w:szCs w:val="32"/>
        </w:rPr>
        <w:lastRenderedPageBreak/>
        <w:t>属单位上缴收入0万元，占0%；其他收入0万元，占0%。</w:t>
      </w:r>
    </w:p>
    <w:p w:rsidR="00414195" w:rsidRDefault="004C5CC2">
      <w:pPr>
        <w:spacing w:line="600" w:lineRule="exact"/>
        <w:jc w:val="left"/>
        <w:outlineLvl w:val="1"/>
        <w:rPr>
          <w:rFonts w:eastAsia="仿宋_GB2312" w:cs="仿宋_GB2312"/>
          <w:b/>
          <w:bCs/>
          <w:sz w:val="32"/>
          <w:szCs w:val="32"/>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274310" cy="2585720"/>
            <wp:effectExtent l="0" t="0" r="21590" b="2413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414195" w:rsidRDefault="00414195">
      <w:pPr>
        <w:pStyle w:val="ab"/>
        <w:spacing w:line="600" w:lineRule="exact"/>
        <w:ind w:firstLine="643"/>
        <w:jc w:val="left"/>
        <w:outlineLvl w:val="1"/>
        <w:rPr>
          <w:rFonts w:eastAsia="仿宋_GB2312" w:cs="仿宋_GB2312"/>
          <w:b/>
          <w:bCs/>
          <w:sz w:val="32"/>
          <w:szCs w:val="32"/>
        </w:rPr>
      </w:pPr>
    </w:p>
    <w:p w:rsidR="00414195" w:rsidRDefault="00414195">
      <w:pPr>
        <w:pStyle w:val="ab"/>
        <w:spacing w:line="600" w:lineRule="exact"/>
        <w:ind w:firstLine="643"/>
        <w:jc w:val="left"/>
        <w:outlineLvl w:val="1"/>
        <w:rPr>
          <w:rFonts w:eastAsia="仿宋_GB2312" w:cs="仿宋_GB2312"/>
          <w:b/>
          <w:bCs/>
          <w:sz w:val="32"/>
          <w:szCs w:val="32"/>
        </w:rPr>
      </w:pPr>
    </w:p>
    <w:p w:rsidR="00414195" w:rsidRDefault="00414195">
      <w:pPr>
        <w:pStyle w:val="ab"/>
        <w:spacing w:line="600" w:lineRule="exact"/>
        <w:ind w:firstLine="643"/>
        <w:jc w:val="left"/>
        <w:outlineLvl w:val="1"/>
        <w:rPr>
          <w:rFonts w:eastAsia="仿宋_GB2312" w:cs="仿宋_GB2312"/>
          <w:b/>
          <w:bCs/>
          <w:sz w:val="32"/>
          <w:szCs w:val="32"/>
        </w:rPr>
      </w:pPr>
    </w:p>
    <w:p w:rsidR="00414195" w:rsidRDefault="00414195">
      <w:pPr>
        <w:pStyle w:val="ab"/>
        <w:spacing w:line="600" w:lineRule="exact"/>
        <w:ind w:firstLine="643"/>
        <w:jc w:val="left"/>
        <w:outlineLvl w:val="1"/>
        <w:rPr>
          <w:rFonts w:eastAsia="仿宋_GB2312" w:cs="仿宋_GB2312"/>
          <w:b/>
          <w:bCs/>
          <w:sz w:val="32"/>
          <w:szCs w:val="32"/>
        </w:rPr>
      </w:pPr>
    </w:p>
    <w:p w:rsidR="00414195" w:rsidRDefault="00414195">
      <w:pPr>
        <w:pStyle w:val="ab"/>
        <w:spacing w:line="600" w:lineRule="exact"/>
        <w:ind w:firstLine="643"/>
        <w:jc w:val="left"/>
        <w:outlineLvl w:val="1"/>
        <w:rPr>
          <w:rFonts w:eastAsia="仿宋_GB2312" w:cs="仿宋_GB2312"/>
          <w:b/>
          <w:bCs/>
          <w:sz w:val="32"/>
          <w:szCs w:val="32"/>
        </w:rPr>
      </w:pPr>
    </w:p>
    <w:p w:rsidR="00414195" w:rsidRDefault="00414195">
      <w:pPr>
        <w:spacing w:line="600" w:lineRule="exact"/>
        <w:jc w:val="left"/>
        <w:outlineLvl w:val="1"/>
        <w:rPr>
          <w:rFonts w:eastAsia="仿宋_GB2312" w:cs="仿宋_GB2312"/>
          <w:b/>
          <w:bCs/>
          <w:sz w:val="32"/>
          <w:szCs w:val="32"/>
        </w:rPr>
      </w:pPr>
    </w:p>
    <w:p w:rsidR="00414195" w:rsidRDefault="004C5CC2">
      <w:pPr>
        <w:ind w:firstLineChars="250" w:firstLine="80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2</w:t>
      </w:r>
      <w:r>
        <w:rPr>
          <w:rFonts w:eastAsia="仿宋_GB2312" w:cs="仿宋_GB2312" w:hint="eastAsia"/>
          <w:sz w:val="32"/>
          <w:szCs w:val="32"/>
        </w:rPr>
        <w:t>：收入决算结构图）（饼状图）</w:t>
      </w:r>
    </w:p>
    <w:p w:rsidR="00414195" w:rsidRDefault="004C5CC2">
      <w:pPr>
        <w:pStyle w:val="ab"/>
        <w:spacing w:line="600" w:lineRule="exact"/>
        <w:ind w:firstLine="640"/>
        <w:outlineLvl w:val="1"/>
        <w:rPr>
          <w:rStyle w:val="2Char"/>
          <w:rFonts w:ascii="Times New Roman" w:eastAsia="黑体" w:hAnsi="Times New Roman"/>
          <w:b w:val="0"/>
        </w:rPr>
      </w:pPr>
      <w:bookmarkStart w:id="16" w:name="_Toc15396605"/>
      <w:bookmarkStart w:id="17" w:name="_Toc15377207"/>
      <w:r>
        <w:rPr>
          <w:rFonts w:eastAsia="黑体" w:hint="eastAsia"/>
          <w:sz w:val="32"/>
          <w:szCs w:val="32"/>
        </w:rPr>
        <w:t>三、支</w:t>
      </w:r>
      <w:r>
        <w:rPr>
          <w:rStyle w:val="2Char"/>
          <w:rFonts w:ascii="Times New Roman" w:eastAsia="黑体" w:hAnsi="Times New Roman" w:hint="eastAsia"/>
          <w:b w:val="0"/>
        </w:rPr>
        <w:t>出决算情况说明</w:t>
      </w:r>
      <w:bookmarkEnd w:id="16"/>
      <w:bookmarkEnd w:id="17"/>
    </w:p>
    <w:p w:rsidR="00414195" w:rsidRDefault="004C5CC2">
      <w:pPr>
        <w:pStyle w:val="ab"/>
        <w:spacing w:line="600" w:lineRule="exact"/>
        <w:ind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2024年度本年支出合计1635.89万元，其中：基本支出1584.88万元，占96.88%；项目支出51万元，占3.11%；上缴上级支出0万元，占0%；经营支出0万元，占0%；对附属单位补助支出0万元，占0%。</w:t>
      </w:r>
    </w:p>
    <w:p w:rsidR="00414195" w:rsidRDefault="00414195">
      <w:pPr>
        <w:pStyle w:val="a0"/>
      </w:pPr>
    </w:p>
    <w:p w:rsidR="00414195" w:rsidRDefault="004C5CC2">
      <w:pPr>
        <w:pStyle w:val="a0"/>
      </w:pPr>
      <w:r>
        <w:rPr>
          <w:noProof/>
        </w:rPr>
        <w:drawing>
          <wp:inline distT="0" distB="0" distL="0" distR="0">
            <wp:extent cx="5274310" cy="2567305"/>
            <wp:effectExtent l="0" t="0" r="21590" b="234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14195" w:rsidRDefault="004C5CC2">
      <w:pPr>
        <w:ind w:firstLineChars="250" w:firstLine="80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3</w:t>
      </w:r>
      <w:r>
        <w:rPr>
          <w:rFonts w:eastAsia="仿宋_GB2312" w:cs="仿宋_GB2312" w:hint="eastAsia"/>
          <w:sz w:val="32"/>
          <w:szCs w:val="32"/>
        </w:rPr>
        <w:t>：支出决算结构图）（饼状图）</w:t>
      </w:r>
    </w:p>
    <w:p w:rsidR="00414195" w:rsidRDefault="004C5CC2">
      <w:pPr>
        <w:spacing w:line="600" w:lineRule="exact"/>
        <w:ind w:firstLineChars="200" w:firstLine="640"/>
        <w:outlineLvl w:val="1"/>
        <w:rPr>
          <w:rStyle w:val="2Char"/>
          <w:rFonts w:ascii="Times New Roman" w:eastAsia="黑体" w:hAnsi="Times New Roman"/>
          <w:b w:val="0"/>
        </w:rPr>
      </w:pPr>
      <w:bookmarkStart w:id="18" w:name="_Toc15396606"/>
      <w:bookmarkStart w:id="19" w:name="_Toc15377208"/>
      <w:r>
        <w:rPr>
          <w:rFonts w:eastAsia="黑体" w:hint="eastAsia"/>
          <w:sz w:val="32"/>
          <w:szCs w:val="32"/>
        </w:rPr>
        <w:t>四、财</w:t>
      </w:r>
      <w:r>
        <w:rPr>
          <w:rStyle w:val="2Char"/>
          <w:rFonts w:ascii="Times New Roman" w:eastAsia="黑体" w:hAnsi="Times New Roman" w:hint="eastAsia"/>
          <w:b w:val="0"/>
        </w:rPr>
        <w:t>政拨款收入支出决算总体情况说明</w:t>
      </w:r>
      <w:bookmarkEnd w:id="18"/>
      <w:bookmarkEnd w:id="19"/>
    </w:p>
    <w:p w:rsidR="00414195" w:rsidRDefault="004C5CC2">
      <w:pPr>
        <w:spacing w:line="600" w:lineRule="exact"/>
        <w:ind w:firstLine="640"/>
        <w:rPr>
          <w:rFonts w:ascii="仿宋" w:eastAsia="仿宋" w:hAnsi="仿宋"/>
          <w:sz w:val="32"/>
          <w:szCs w:val="32"/>
        </w:rPr>
      </w:pPr>
      <w:r>
        <w:rPr>
          <w:rFonts w:eastAsia="仿宋_GB2312" w:cs="仿宋_GB2312" w:hint="eastAsia"/>
          <w:sz w:val="32"/>
          <w:szCs w:val="32"/>
        </w:rPr>
        <w:lastRenderedPageBreak/>
        <w:t>2024</w:t>
      </w:r>
      <w:r>
        <w:rPr>
          <w:rFonts w:eastAsia="仿宋_GB2312" w:cs="仿宋_GB2312" w:hint="eastAsia"/>
          <w:sz w:val="32"/>
          <w:szCs w:val="32"/>
        </w:rPr>
        <w:t>年度财政拨款收入、支出总计均为</w:t>
      </w:r>
      <w:r>
        <w:rPr>
          <w:rFonts w:ascii="仿宋_GB2312" w:eastAsia="仿宋_GB2312" w:hAnsi="仿宋_GB2312" w:cs="仿宋_GB2312" w:hint="eastAsia"/>
          <w:sz w:val="32"/>
          <w:szCs w:val="32"/>
        </w:rPr>
        <w:t>1088.65</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年度相比，财政拨款收入总计、支出总计各增加</w:t>
      </w:r>
      <w:r>
        <w:rPr>
          <w:rFonts w:eastAsia="仿宋_GB2312" w:cs="仿宋_GB2312" w:hint="eastAsia"/>
          <w:sz w:val="32"/>
          <w:szCs w:val="32"/>
        </w:rPr>
        <w:t>55.16</w:t>
      </w:r>
      <w:r>
        <w:rPr>
          <w:rFonts w:eastAsia="仿宋_GB2312" w:cs="仿宋_GB2312" w:hint="eastAsia"/>
          <w:sz w:val="32"/>
          <w:szCs w:val="32"/>
        </w:rPr>
        <w:t>万元，增长</w:t>
      </w:r>
      <w:r>
        <w:rPr>
          <w:rFonts w:eastAsia="仿宋_GB2312" w:cs="仿宋_GB2312" w:hint="eastAsia"/>
          <w:sz w:val="32"/>
          <w:szCs w:val="32"/>
        </w:rPr>
        <w:t>5.34%</w:t>
      </w:r>
      <w:r>
        <w:rPr>
          <w:rFonts w:eastAsia="仿宋_GB2312" w:cs="仿宋_GB2312" w:hint="eastAsia"/>
          <w:sz w:val="32"/>
          <w:szCs w:val="32"/>
        </w:rPr>
        <w:t>。主要变动原因是调入</w:t>
      </w:r>
      <w:r>
        <w:rPr>
          <w:rFonts w:eastAsia="仿宋_GB2312" w:cs="仿宋_GB2312" w:hint="eastAsia"/>
          <w:sz w:val="32"/>
          <w:szCs w:val="32"/>
        </w:rPr>
        <w:t>2</w:t>
      </w:r>
      <w:r>
        <w:rPr>
          <w:rFonts w:eastAsia="仿宋_GB2312" w:cs="仿宋_GB2312" w:hint="eastAsia"/>
          <w:sz w:val="32"/>
          <w:szCs w:val="32"/>
        </w:rPr>
        <w:t>人以致</w:t>
      </w:r>
      <w:r>
        <w:rPr>
          <w:rFonts w:ascii="仿宋" w:eastAsia="仿宋" w:hAnsi="仿宋" w:hint="eastAsia"/>
          <w:sz w:val="32"/>
          <w:szCs w:val="32"/>
        </w:rPr>
        <w:t>人员经费</w:t>
      </w:r>
      <w:r>
        <w:rPr>
          <w:rFonts w:eastAsia="仿宋_GB2312" w:cs="仿宋_GB2312" w:hint="eastAsia"/>
          <w:sz w:val="32"/>
          <w:szCs w:val="32"/>
        </w:rPr>
        <w:t>收入和</w:t>
      </w:r>
      <w:r>
        <w:rPr>
          <w:rFonts w:ascii="仿宋" w:eastAsia="仿宋" w:hAnsi="仿宋" w:hint="eastAsia"/>
          <w:sz w:val="32"/>
          <w:szCs w:val="32"/>
        </w:rPr>
        <w:t>支出增加。</w:t>
      </w:r>
    </w:p>
    <w:p w:rsidR="00414195" w:rsidRDefault="00414195">
      <w:pPr>
        <w:pStyle w:val="a0"/>
      </w:pPr>
    </w:p>
    <w:p w:rsidR="00414195" w:rsidRDefault="004C5CC2">
      <w:pPr>
        <w:pStyle w:val="a0"/>
      </w:pPr>
      <w:r>
        <w:rPr>
          <w:noProof/>
        </w:rPr>
        <w:drawing>
          <wp:inline distT="0" distB="0" distL="114300" distR="114300">
            <wp:extent cx="5153025" cy="2695575"/>
            <wp:effectExtent l="4445" t="4445" r="5080" b="5080"/>
            <wp:docPr id="3790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14195" w:rsidRDefault="004C5CC2">
      <w:pPr>
        <w:spacing w:line="600" w:lineRule="exact"/>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4</w:t>
      </w:r>
      <w:r>
        <w:rPr>
          <w:rFonts w:eastAsia="仿宋_GB2312" w:cs="仿宋_GB2312" w:hint="eastAsia"/>
          <w:sz w:val="32"/>
          <w:szCs w:val="32"/>
        </w:rPr>
        <w:t>：财政拨款收、支决算总计变动情况）（柱状图）</w:t>
      </w:r>
    </w:p>
    <w:p w:rsidR="00414195" w:rsidRDefault="004C5CC2">
      <w:pPr>
        <w:spacing w:line="600" w:lineRule="exact"/>
        <w:ind w:firstLineChars="200" w:firstLine="640"/>
        <w:outlineLvl w:val="1"/>
        <w:rPr>
          <w:rStyle w:val="2Char"/>
          <w:rFonts w:ascii="Times New Roman" w:eastAsia="黑体" w:hAnsi="Times New Roman"/>
          <w:b w:val="0"/>
        </w:rPr>
      </w:pPr>
      <w:bookmarkStart w:id="20" w:name="_Toc15377209"/>
      <w:bookmarkStart w:id="21" w:name="_Toc15396607"/>
      <w:r>
        <w:rPr>
          <w:rFonts w:eastAsia="黑体" w:hint="eastAsia"/>
          <w:sz w:val="32"/>
          <w:szCs w:val="32"/>
        </w:rPr>
        <w:t>五、</w:t>
      </w:r>
      <w:r>
        <w:rPr>
          <w:rFonts w:eastAsia="黑体" w:hint="eastAsia"/>
          <w:b/>
          <w:sz w:val="32"/>
          <w:szCs w:val="32"/>
        </w:rPr>
        <w:t>一</w:t>
      </w:r>
      <w:r>
        <w:rPr>
          <w:rStyle w:val="2Char"/>
          <w:rFonts w:ascii="Times New Roman" w:eastAsia="黑体" w:hAnsi="Times New Roman" w:hint="eastAsia"/>
          <w:b w:val="0"/>
        </w:rPr>
        <w:t>般公共预算财政拨款支出决算情况说明</w:t>
      </w:r>
      <w:bookmarkEnd w:id="20"/>
      <w:bookmarkEnd w:id="21"/>
    </w:p>
    <w:p w:rsidR="00414195" w:rsidRDefault="004C5CC2">
      <w:pPr>
        <w:spacing w:line="600" w:lineRule="exact"/>
        <w:ind w:firstLineChars="200" w:firstLine="643"/>
        <w:outlineLvl w:val="2"/>
        <w:rPr>
          <w:rFonts w:eastAsia="楷体_GB2312" w:cs="楷体_GB2312"/>
          <w:b/>
          <w:sz w:val="32"/>
          <w:szCs w:val="32"/>
        </w:rPr>
      </w:pPr>
      <w:bookmarkStart w:id="22" w:name="_Toc15377210"/>
      <w:r>
        <w:rPr>
          <w:rFonts w:eastAsia="楷体_GB2312" w:cs="楷体_GB2312" w:hint="eastAsia"/>
          <w:b/>
          <w:sz w:val="32"/>
          <w:szCs w:val="32"/>
        </w:rPr>
        <w:t>（一）一般公共预算财政拨款支出决算总体情况</w:t>
      </w:r>
      <w:bookmarkEnd w:id="22"/>
    </w:p>
    <w:p w:rsidR="00414195" w:rsidRDefault="004C5CC2">
      <w:pPr>
        <w:spacing w:line="600" w:lineRule="exact"/>
        <w:ind w:firstLine="640"/>
        <w:rPr>
          <w:rFonts w:ascii="仿宋" w:eastAsia="仿宋" w:hAnsi="仿宋"/>
          <w:sz w:val="32"/>
          <w:szCs w:val="32"/>
        </w:rPr>
      </w:pPr>
      <w:r>
        <w:rPr>
          <w:rFonts w:ascii="仿宋_GB2312" w:eastAsia="仿宋_GB2312" w:hAnsi="仿宋_GB2312" w:cs="仿宋_GB2312" w:hint="eastAsia"/>
          <w:sz w:val="32"/>
          <w:szCs w:val="32"/>
        </w:rPr>
        <w:t>2024年度一般公共预算财政拨款支出1088.65万元，占本年支出合计的66.54%。与2023年度相比，一般公共预算财政拨款支出</w:t>
      </w:r>
      <w:r>
        <w:rPr>
          <w:rFonts w:eastAsia="仿宋_GB2312" w:cs="仿宋_GB2312" w:hint="eastAsia"/>
          <w:sz w:val="32"/>
          <w:szCs w:val="32"/>
        </w:rPr>
        <w:t>增加</w:t>
      </w:r>
      <w:r>
        <w:rPr>
          <w:rFonts w:eastAsia="仿宋_GB2312" w:cs="仿宋_GB2312" w:hint="eastAsia"/>
          <w:sz w:val="32"/>
          <w:szCs w:val="32"/>
        </w:rPr>
        <w:t>55.16</w:t>
      </w:r>
      <w:r>
        <w:rPr>
          <w:rFonts w:eastAsia="仿宋_GB2312" w:cs="仿宋_GB2312" w:hint="eastAsia"/>
          <w:sz w:val="32"/>
          <w:szCs w:val="32"/>
        </w:rPr>
        <w:t>万元，增长</w:t>
      </w:r>
      <w:r>
        <w:rPr>
          <w:rFonts w:eastAsia="仿宋_GB2312" w:cs="仿宋_GB2312" w:hint="eastAsia"/>
          <w:sz w:val="32"/>
          <w:szCs w:val="32"/>
        </w:rPr>
        <w:t>5.34%</w:t>
      </w:r>
      <w:r>
        <w:rPr>
          <w:rFonts w:eastAsia="仿宋_GB2312" w:cs="仿宋_GB2312" w:hint="eastAsia"/>
          <w:sz w:val="32"/>
          <w:szCs w:val="32"/>
        </w:rPr>
        <w:t>。</w:t>
      </w:r>
      <w:r>
        <w:rPr>
          <w:rFonts w:ascii="仿宋_GB2312" w:eastAsia="仿宋_GB2312" w:hAnsi="仿宋_GB2312" w:cs="仿宋_GB2312" w:hint="eastAsia"/>
          <w:sz w:val="32"/>
          <w:szCs w:val="32"/>
        </w:rPr>
        <w:t>主要变动原因是</w:t>
      </w:r>
      <w:r>
        <w:rPr>
          <w:rFonts w:eastAsia="仿宋_GB2312" w:cs="仿宋_GB2312" w:hint="eastAsia"/>
          <w:sz w:val="32"/>
          <w:szCs w:val="32"/>
        </w:rPr>
        <w:t>调入</w:t>
      </w:r>
      <w:r>
        <w:rPr>
          <w:rFonts w:eastAsia="仿宋_GB2312" w:cs="仿宋_GB2312" w:hint="eastAsia"/>
          <w:sz w:val="32"/>
          <w:szCs w:val="32"/>
        </w:rPr>
        <w:t>2</w:t>
      </w:r>
      <w:r>
        <w:rPr>
          <w:rFonts w:eastAsia="仿宋_GB2312" w:cs="仿宋_GB2312" w:hint="eastAsia"/>
          <w:sz w:val="32"/>
          <w:szCs w:val="32"/>
        </w:rPr>
        <w:t>人以致</w:t>
      </w:r>
      <w:r>
        <w:rPr>
          <w:rFonts w:ascii="仿宋" w:eastAsia="仿宋" w:hAnsi="仿宋" w:hint="eastAsia"/>
          <w:sz w:val="32"/>
          <w:szCs w:val="32"/>
        </w:rPr>
        <w:t>人员经费支出增加。</w:t>
      </w:r>
    </w:p>
    <w:p w:rsidR="00414195" w:rsidRDefault="004C5CC2">
      <w:pPr>
        <w:pStyle w:val="20"/>
        <w:ind w:leftChars="0" w:left="0" w:firstLineChars="0" w:firstLine="0"/>
      </w:pPr>
      <w:r>
        <w:rPr>
          <w:noProof/>
        </w:rPr>
        <w:drawing>
          <wp:inline distT="0" distB="0" distL="114300" distR="114300">
            <wp:extent cx="5153025" cy="1638300"/>
            <wp:effectExtent l="0" t="0" r="9525" b="19050"/>
            <wp:docPr id="3688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14195" w:rsidRDefault="004C5CC2">
      <w:pPr>
        <w:spacing w:line="600" w:lineRule="exact"/>
        <w:ind w:firstLine="640"/>
        <w:rPr>
          <w:rFonts w:eastAsia="仿宋_GB2312" w:cs="仿宋_GB2312"/>
          <w:sz w:val="32"/>
          <w:szCs w:val="32"/>
        </w:rPr>
      </w:pPr>
      <w:r>
        <w:rPr>
          <w:rFonts w:eastAsia="仿宋_GB2312" w:cs="仿宋_GB2312" w:hint="eastAsia"/>
          <w:sz w:val="32"/>
          <w:szCs w:val="32"/>
        </w:rPr>
        <w:lastRenderedPageBreak/>
        <w:t>（图</w:t>
      </w:r>
      <w:r>
        <w:rPr>
          <w:rFonts w:eastAsia="仿宋_GB2312" w:cs="仿宋_GB2312" w:hint="eastAsia"/>
          <w:sz w:val="32"/>
          <w:szCs w:val="32"/>
        </w:rPr>
        <w:t>5</w:t>
      </w:r>
      <w:r>
        <w:rPr>
          <w:rFonts w:eastAsia="仿宋_GB2312" w:cs="仿宋_GB2312" w:hint="eastAsia"/>
          <w:sz w:val="32"/>
          <w:szCs w:val="32"/>
        </w:rPr>
        <w:t>：一般公共预算财政拨款支出决算变动情况）（柱状图）</w:t>
      </w:r>
    </w:p>
    <w:p w:rsidR="00414195" w:rsidRDefault="004C5CC2">
      <w:pPr>
        <w:spacing w:line="600" w:lineRule="exact"/>
        <w:ind w:firstLineChars="200" w:firstLine="643"/>
        <w:outlineLvl w:val="2"/>
        <w:rPr>
          <w:rFonts w:eastAsia="楷体_GB2312" w:cs="楷体_GB2312"/>
          <w:b/>
          <w:sz w:val="32"/>
          <w:szCs w:val="32"/>
        </w:rPr>
      </w:pPr>
      <w:bookmarkStart w:id="23" w:name="_Toc15377211"/>
      <w:r>
        <w:rPr>
          <w:rFonts w:eastAsia="楷体_GB2312" w:cs="楷体_GB2312" w:hint="eastAsia"/>
          <w:b/>
          <w:sz w:val="32"/>
          <w:szCs w:val="32"/>
        </w:rPr>
        <w:t>（二）一般公共预算财政拨款支出决算结构情况</w:t>
      </w:r>
      <w:bookmarkEnd w:id="23"/>
    </w:p>
    <w:p w:rsidR="00414195" w:rsidRDefault="004C5CC2">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年度一般公共预算财政拨款支出</w:t>
      </w:r>
      <w:r>
        <w:rPr>
          <w:rFonts w:ascii="仿宋_GB2312" w:eastAsia="仿宋_GB2312" w:hAnsi="仿宋_GB2312" w:cs="仿宋_GB2312" w:hint="eastAsia"/>
          <w:sz w:val="32"/>
          <w:szCs w:val="32"/>
        </w:rPr>
        <w:t>1088.65万元</w:t>
      </w:r>
      <w:r>
        <w:rPr>
          <w:rFonts w:eastAsia="仿宋_GB2312" w:cs="仿宋_GB2312" w:hint="eastAsia"/>
          <w:sz w:val="32"/>
          <w:szCs w:val="32"/>
        </w:rPr>
        <w:t>，主要用于以下方面：一般公共</w:t>
      </w:r>
      <w:bookmarkStart w:id="24" w:name="_GoBack"/>
      <w:bookmarkEnd w:id="24"/>
      <w:r>
        <w:rPr>
          <w:rFonts w:eastAsia="仿宋_GB2312" w:cs="仿宋_GB2312" w:hint="eastAsia"/>
          <w:sz w:val="32"/>
          <w:szCs w:val="32"/>
        </w:rPr>
        <w:t>服务支出</w:t>
      </w:r>
      <w:r>
        <w:rPr>
          <w:rFonts w:eastAsia="仿宋_GB2312" w:cs="仿宋_GB2312" w:hint="eastAsia"/>
          <w:sz w:val="32"/>
          <w:szCs w:val="32"/>
        </w:rPr>
        <w:t>0</w:t>
      </w:r>
      <w:r>
        <w:rPr>
          <w:rFonts w:eastAsia="仿宋_GB2312" w:cs="仿宋_GB2312" w:hint="eastAsia"/>
          <w:sz w:val="32"/>
          <w:szCs w:val="32"/>
        </w:rPr>
        <w:t>万元，占</w:t>
      </w:r>
      <w:r>
        <w:rPr>
          <w:rFonts w:eastAsia="仿宋_GB2312" w:cs="仿宋_GB2312" w:hint="eastAsia"/>
          <w:sz w:val="32"/>
          <w:szCs w:val="32"/>
        </w:rPr>
        <w:t>0%</w:t>
      </w:r>
      <w:r>
        <w:rPr>
          <w:rFonts w:eastAsia="仿宋_GB2312" w:cs="仿宋_GB2312" w:hint="eastAsia"/>
          <w:sz w:val="32"/>
          <w:szCs w:val="32"/>
        </w:rPr>
        <w:t>；教育支出</w:t>
      </w:r>
      <w:r>
        <w:rPr>
          <w:rFonts w:eastAsia="仿宋_GB2312" w:cs="仿宋_GB2312" w:hint="eastAsia"/>
          <w:sz w:val="32"/>
          <w:szCs w:val="32"/>
        </w:rPr>
        <w:t>818.22</w:t>
      </w:r>
      <w:r>
        <w:rPr>
          <w:rFonts w:eastAsia="仿宋_GB2312" w:cs="仿宋_GB2312" w:hint="eastAsia"/>
          <w:sz w:val="32"/>
          <w:szCs w:val="32"/>
        </w:rPr>
        <w:t>万元，占</w:t>
      </w:r>
      <w:r>
        <w:rPr>
          <w:rFonts w:eastAsia="仿宋_GB2312" w:cs="仿宋_GB2312" w:hint="eastAsia"/>
          <w:sz w:val="32"/>
          <w:szCs w:val="32"/>
        </w:rPr>
        <w:t>75.16%</w:t>
      </w:r>
      <w:r>
        <w:rPr>
          <w:rFonts w:eastAsia="仿宋_GB2312" w:cs="仿宋_GB2312" w:hint="eastAsia"/>
          <w:sz w:val="32"/>
          <w:szCs w:val="32"/>
        </w:rPr>
        <w:t>；科学技术支出</w:t>
      </w:r>
      <w:r>
        <w:rPr>
          <w:rFonts w:eastAsia="仿宋_GB2312" w:cs="仿宋_GB2312" w:hint="eastAsia"/>
          <w:sz w:val="32"/>
          <w:szCs w:val="32"/>
        </w:rPr>
        <w:t>0</w:t>
      </w:r>
      <w:r>
        <w:rPr>
          <w:rFonts w:eastAsia="仿宋_GB2312" w:cs="仿宋_GB2312" w:hint="eastAsia"/>
          <w:sz w:val="32"/>
          <w:szCs w:val="32"/>
        </w:rPr>
        <w:t>万元，占</w:t>
      </w:r>
      <w:r>
        <w:rPr>
          <w:rFonts w:eastAsia="仿宋_GB2312" w:cs="仿宋_GB2312" w:hint="eastAsia"/>
          <w:sz w:val="32"/>
          <w:szCs w:val="32"/>
        </w:rPr>
        <w:t>0%</w:t>
      </w:r>
      <w:r>
        <w:rPr>
          <w:rFonts w:eastAsia="仿宋_GB2312" w:cs="仿宋_GB2312" w:hint="eastAsia"/>
          <w:sz w:val="32"/>
          <w:szCs w:val="32"/>
        </w:rPr>
        <w:t>；文化旅游体育与传媒支出</w:t>
      </w:r>
      <w:r>
        <w:rPr>
          <w:rFonts w:eastAsia="仿宋_GB2312" w:cs="仿宋_GB2312" w:hint="eastAsia"/>
          <w:sz w:val="32"/>
          <w:szCs w:val="32"/>
        </w:rPr>
        <w:t>0</w:t>
      </w:r>
      <w:r>
        <w:rPr>
          <w:rFonts w:eastAsia="仿宋_GB2312" w:cs="仿宋_GB2312" w:hint="eastAsia"/>
          <w:sz w:val="32"/>
          <w:szCs w:val="32"/>
        </w:rPr>
        <w:t>万元，占</w:t>
      </w:r>
      <w:r>
        <w:rPr>
          <w:rFonts w:eastAsia="仿宋_GB2312" w:cs="仿宋_GB2312" w:hint="eastAsia"/>
          <w:sz w:val="32"/>
          <w:szCs w:val="32"/>
        </w:rPr>
        <w:t>0%</w:t>
      </w:r>
      <w:r>
        <w:rPr>
          <w:rFonts w:eastAsia="仿宋_GB2312" w:cs="仿宋_GB2312" w:hint="eastAsia"/>
          <w:sz w:val="32"/>
          <w:szCs w:val="32"/>
        </w:rPr>
        <w:t>；社会保障和就业支出</w:t>
      </w:r>
      <w:r>
        <w:rPr>
          <w:rFonts w:eastAsia="仿宋_GB2312" w:cs="仿宋_GB2312" w:hint="eastAsia"/>
          <w:sz w:val="32"/>
          <w:szCs w:val="32"/>
        </w:rPr>
        <w:t>139.36</w:t>
      </w:r>
      <w:r>
        <w:rPr>
          <w:rFonts w:eastAsia="仿宋_GB2312" w:cs="仿宋_GB2312" w:hint="eastAsia"/>
          <w:sz w:val="32"/>
          <w:szCs w:val="32"/>
        </w:rPr>
        <w:t>万元，占</w:t>
      </w:r>
      <w:r>
        <w:rPr>
          <w:rFonts w:eastAsia="仿宋_GB2312" w:cs="仿宋_GB2312" w:hint="eastAsia"/>
          <w:sz w:val="32"/>
          <w:szCs w:val="32"/>
        </w:rPr>
        <w:t>12.8%</w:t>
      </w:r>
      <w:r>
        <w:rPr>
          <w:rFonts w:eastAsia="仿宋_GB2312" w:cs="仿宋_GB2312" w:hint="eastAsia"/>
          <w:sz w:val="32"/>
          <w:szCs w:val="32"/>
        </w:rPr>
        <w:t>；卫生健康支出</w:t>
      </w:r>
      <w:r>
        <w:rPr>
          <w:rFonts w:eastAsia="仿宋_GB2312" w:cs="仿宋_GB2312" w:hint="eastAsia"/>
          <w:sz w:val="32"/>
          <w:szCs w:val="32"/>
        </w:rPr>
        <w:t>54.6</w:t>
      </w:r>
      <w:r>
        <w:rPr>
          <w:rFonts w:eastAsia="仿宋_GB2312" w:cs="仿宋_GB2312" w:hint="eastAsia"/>
          <w:sz w:val="32"/>
          <w:szCs w:val="32"/>
        </w:rPr>
        <w:t>万元，占</w:t>
      </w:r>
      <w:r>
        <w:rPr>
          <w:rFonts w:eastAsia="仿宋_GB2312" w:cs="仿宋_GB2312" w:hint="eastAsia"/>
          <w:sz w:val="32"/>
          <w:szCs w:val="32"/>
        </w:rPr>
        <w:t>5.01%</w:t>
      </w:r>
      <w:r>
        <w:rPr>
          <w:rFonts w:eastAsia="仿宋_GB2312" w:cs="仿宋_GB2312" w:hint="eastAsia"/>
          <w:sz w:val="32"/>
          <w:szCs w:val="32"/>
        </w:rPr>
        <w:t>；住房保障支出</w:t>
      </w:r>
      <w:r>
        <w:rPr>
          <w:rFonts w:eastAsia="仿宋_GB2312" w:cs="仿宋_GB2312" w:hint="eastAsia"/>
          <w:sz w:val="32"/>
          <w:szCs w:val="32"/>
        </w:rPr>
        <w:t>76.48</w:t>
      </w:r>
      <w:r>
        <w:rPr>
          <w:rFonts w:eastAsia="仿宋_GB2312" w:cs="仿宋_GB2312" w:hint="eastAsia"/>
          <w:sz w:val="32"/>
          <w:szCs w:val="32"/>
        </w:rPr>
        <w:t>万元，占</w:t>
      </w:r>
      <w:r>
        <w:rPr>
          <w:rFonts w:eastAsia="仿宋_GB2312" w:cs="仿宋_GB2312" w:hint="eastAsia"/>
          <w:sz w:val="32"/>
          <w:szCs w:val="32"/>
        </w:rPr>
        <w:t>7.03%</w:t>
      </w:r>
      <w:r>
        <w:rPr>
          <w:rFonts w:eastAsia="仿宋_GB2312" w:cs="仿宋_GB2312" w:hint="eastAsia"/>
          <w:sz w:val="32"/>
          <w:szCs w:val="32"/>
        </w:rPr>
        <w:t>。</w:t>
      </w:r>
    </w:p>
    <w:p w:rsidR="00414195" w:rsidRDefault="004C5CC2">
      <w:pPr>
        <w:pStyle w:val="20"/>
        <w:ind w:leftChars="0" w:left="0" w:firstLineChars="0" w:firstLine="0"/>
      </w:pPr>
      <w:r>
        <w:rPr>
          <w:rStyle w:val="11"/>
          <w:noProof/>
          <w:color w:val="000000"/>
          <w14:textFill>
            <w14:solidFill>
              <w14:srgbClr w14:val="000000">
                <w14:lumMod w14:val="50000"/>
                <w14:lumOff w14:val="50000"/>
              </w14:srgbClr>
            </w14:solidFill>
          </w14:textFill>
        </w:rPr>
        <w:drawing>
          <wp:inline distT="0" distB="0" distL="114300" distR="114300">
            <wp:extent cx="5269230" cy="2888615"/>
            <wp:effectExtent l="4445" t="4445" r="22225" b="21590"/>
            <wp:docPr id="3587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14195" w:rsidRDefault="004C5CC2">
      <w:pPr>
        <w:spacing w:line="600" w:lineRule="exact"/>
        <w:ind w:firstLineChars="100" w:firstLine="32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6</w:t>
      </w:r>
      <w:r>
        <w:rPr>
          <w:rFonts w:eastAsia="仿宋_GB2312" w:cs="仿宋_GB2312" w:hint="eastAsia"/>
          <w:sz w:val="32"/>
          <w:szCs w:val="32"/>
        </w:rPr>
        <w:t>：一般公共预算财政拨款支出决算结构）（饼状图）</w:t>
      </w:r>
    </w:p>
    <w:p w:rsidR="00414195" w:rsidRDefault="004C5CC2">
      <w:pPr>
        <w:spacing w:line="600" w:lineRule="exact"/>
        <w:ind w:firstLineChars="200" w:firstLine="643"/>
        <w:outlineLvl w:val="2"/>
        <w:rPr>
          <w:rFonts w:eastAsia="楷体_GB2312" w:cs="楷体_GB2312"/>
          <w:b/>
          <w:sz w:val="32"/>
          <w:szCs w:val="32"/>
        </w:rPr>
      </w:pPr>
      <w:bookmarkStart w:id="25" w:name="_Toc15377212"/>
      <w:r>
        <w:rPr>
          <w:rFonts w:eastAsia="楷体_GB2312" w:cs="楷体_GB2312" w:hint="eastAsia"/>
          <w:b/>
          <w:sz w:val="32"/>
          <w:szCs w:val="32"/>
        </w:rPr>
        <w:t>（三）一般公共预算财政拨款支出决算具体情况</w:t>
      </w:r>
      <w:bookmarkEnd w:id="25"/>
    </w:p>
    <w:p w:rsidR="00414195" w:rsidRDefault="004C5CC2">
      <w:pPr>
        <w:spacing w:line="600" w:lineRule="exact"/>
        <w:ind w:firstLine="640"/>
        <w:rPr>
          <w:rFonts w:eastAsia="仿宋_GB2312" w:cs="仿宋_GB2312"/>
          <w:sz w:val="32"/>
          <w:szCs w:val="32"/>
        </w:rPr>
      </w:pPr>
      <w:bookmarkStart w:id="26" w:name="_Toc15377213"/>
      <w:bookmarkStart w:id="27" w:name="_Toc15377444"/>
      <w:bookmarkStart w:id="28" w:name="_Toc15378460"/>
      <w:r>
        <w:rPr>
          <w:rFonts w:eastAsia="仿宋_GB2312" w:cs="仿宋_GB2312" w:hint="eastAsia"/>
          <w:sz w:val="32"/>
          <w:szCs w:val="32"/>
        </w:rPr>
        <w:t>2024</w:t>
      </w:r>
      <w:r>
        <w:rPr>
          <w:rFonts w:eastAsia="仿宋_GB2312" w:cs="仿宋_GB2312" w:hint="eastAsia"/>
          <w:sz w:val="32"/>
          <w:szCs w:val="32"/>
        </w:rPr>
        <w:t>年度一般公共预算财政拨款支出决算数为</w:t>
      </w:r>
      <w:r>
        <w:rPr>
          <w:rFonts w:ascii="仿宋_GB2312" w:eastAsia="仿宋_GB2312" w:hAnsi="仿宋_GB2312" w:cs="仿宋_GB2312" w:hint="eastAsia"/>
          <w:sz w:val="32"/>
          <w:szCs w:val="32"/>
        </w:rPr>
        <w:t>1088.65，</w:t>
      </w:r>
      <w:r>
        <w:rPr>
          <w:rFonts w:eastAsia="仿宋_GB2312" w:cs="仿宋_GB2312" w:hint="eastAsia"/>
          <w:sz w:val="32"/>
          <w:szCs w:val="32"/>
        </w:rPr>
        <w:t>完成预算</w:t>
      </w:r>
      <w:r>
        <w:rPr>
          <w:rFonts w:eastAsia="仿宋_GB2312" w:cs="仿宋_GB2312" w:hint="eastAsia"/>
          <w:sz w:val="32"/>
          <w:szCs w:val="32"/>
        </w:rPr>
        <w:t>100%</w:t>
      </w:r>
      <w:r>
        <w:rPr>
          <w:rFonts w:eastAsia="仿宋_GB2312" w:cs="仿宋_GB2312" w:hint="eastAsia"/>
          <w:sz w:val="32"/>
          <w:szCs w:val="32"/>
        </w:rPr>
        <w:t>。其中：</w:t>
      </w:r>
      <w:bookmarkEnd w:id="26"/>
      <w:bookmarkEnd w:id="27"/>
      <w:bookmarkEnd w:id="28"/>
      <w:r>
        <w:rPr>
          <w:rFonts w:eastAsia="仿宋_GB2312" w:cs="仿宋_GB2312" w:hint="eastAsia"/>
          <w:sz w:val="32"/>
          <w:szCs w:val="32"/>
        </w:rPr>
        <w:t xml:space="preserve"> </w:t>
      </w:r>
    </w:p>
    <w:p w:rsidR="00414195" w:rsidRDefault="004C5CC2">
      <w:pPr>
        <w:spacing w:line="600" w:lineRule="exact"/>
        <w:ind w:firstLine="640"/>
        <w:rPr>
          <w:rFonts w:eastAsia="仿宋_GB2312" w:cs="仿宋_GB2312"/>
          <w:sz w:val="32"/>
          <w:szCs w:val="32"/>
        </w:rPr>
      </w:pPr>
      <w:r>
        <w:rPr>
          <w:rFonts w:eastAsia="仿宋_GB2312" w:cs="仿宋_GB2312" w:hint="eastAsia"/>
          <w:sz w:val="32"/>
          <w:szCs w:val="32"/>
        </w:rPr>
        <w:t>1.</w:t>
      </w:r>
      <w:r>
        <w:rPr>
          <w:rFonts w:hint="eastAsia"/>
        </w:rPr>
        <w:t xml:space="preserve"> </w:t>
      </w:r>
      <w:r>
        <w:rPr>
          <w:rFonts w:eastAsia="仿宋_GB2312" w:cs="仿宋_GB2312" w:hint="eastAsia"/>
          <w:sz w:val="32"/>
          <w:szCs w:val="32"/>
        </w:rPr>
        <w:t>教育（类）广播电视教育（款）广播电视教育（项）</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812.21</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p>
    <w:p w:rsidR="00414195" w:rsidRDefault="004C5CC2">
      <w:pPr>
        <w:spacing w:line="600" w:lineRule="exact"/>
        <w:ind w:firstLine="640"/>
        <w:rPr>
          <w:rFonts w:eastAsia="仿宋_GB2312" w:cs="仿宋_GB2312"/>
          <w:sz w:val="32"/>
          <w:szCs w:val="32"/>
        </w:rPr>
      </w:pPr>
      <w:r>
        <w:rPr>
          <w:rFonts w:eastAsia="仿宋_GB2312" w:cs="仿宋_GB2312" w:hint="eastAsia"/>
          <w:sz w:val="32"/>
          <w:szCs w:val="32"/>
        </w:rPr>
        <w:lastRenderedPageBreak/>
        <w:t>2.</w:t>
      </w:r>
      <w:r>
        <w:rPr>
          <w:rFonts w:eastAsia="仿宋_GB2312" w:cs="仿宋_GB2312" w:hint="eastAsia"/>
          <w:sz w:val="32"/>
          <w:szCs w:val="32"/>
        </w:rPr>
        <w:t>教育（类）教育费附加安排的支出（款）其他教育费附加安排的支出（项）</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6</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p>
    <w:p w:rsidR="00414195" w:rsidRDefault="00414195">
      <w:pPr>
        <w:pStyle w:val="a0"/>
      </w:pPr>
    </w:p>
    <w:p w:rsidR="00414195" w:rsidRDefault="004C5CC2">
      <w:pPr>
        <w:pStyle w:val="20"/>
        <w:ind w:leftChars="95" w:left="199" w:firstLineChars="0"/>
        <w:rPr>
          <w:rFonts w:ascii="Times New Roman" w:eastAsia="仿宋_GB2312" w:cs="仿宋_GB2312"/>
          <w:sz w:val="32"/>
        </w:rPr>
      </w:pPr>
      <w:r>
        <w:rPr>
          <w:rFonts w:ascii="Times New Roman" w:eastAsia="仿宋_GB2312" w:cs="仿宋_GB2312" w:hint="eastAsia"/>
          <w:sz w:val="32"/>
        </w:rPr>
        <w:t>3.</w:t>
      </w:r>
      <w:r>
        <w:rPr>
          <w:rFonts w:ascii="Times New Roman" w:eastAsia="仿宋_GB2312" w:cs="仿宋_GB2312" w:hint="eastAsia"/>
          <w:sz w:val="32"/>
        </w:rPr>
        <w:t>社会保障和就业（类）行政事业单位养老支出（款）事业单位离退休（项）</w:t>
      </w:r>
      <w:r>
        <w:rPr>
          <w:rFonts w:ascii="Times New Roman" w:eastAsia="仿宋_GB2312" w:cs="仿宋_GB2312" w:hint="eastAsia"/>
          <w:sz w:val="32"/>
        </w:rPr>
        <w:t>:</w:t>
      </w:r>
      <w:r>
        <w:rPr>
          <w:rFonts w:ascii="Times New Roman" w:eastAsia="仿宋_GB2312" w:cs="仿宋_GB2312" w:hint="eastAsia"/>
          <w:sz w:val="32"/>
        </w:rPr>
        <w:t>支出决算为</w:t>
      </w:r>
      <w:r>
        <w:rPr>
          <w:rFonts w:ascii="Times New Roman" w:eastAsia="仿宋_GB2312" w:cs="仿宋_GB2312" w:hint="eastAsia"/>
          <w:sz w:val="32"/>
        </w:rPr>
        <w:t>3.74</w:t>
      </w:r>
      <w:r>
        <w:rPr>
          <w:rFonts w:ascii="Times New Roman" w:eastAsia="仿宋_GB2312" w:cs="仿宋_GB2312" w:hint="eastAsia"/>
          <w:sz w:val="32"/>
        </w:rPr>
        <w:t>万元，完成预算</w:t>
      </w:r>
      <w:r>
        <w:rPr>
          <w:rFonts w:ascii="Times New Roman" w:eastAsia="仿宋_GB2312" w:cs="仿宋_GB2312" w:hint="eastAsia"/>
          <w:sz w:val="32"/>
        </w:rPr>
        <w:t>100%</w:t>
      </w:r>
      <w:r>
        <w:rPr>
          <w:rFonts w:ascii="Times New Roman" w:eastAsia="仿宋_GB2312" w:cs="仿宋_GB2312" w:hint="eastAsia"/>
          <w:sz w:val="32"/>
        </w:rPr>
        <w:t>。</w:t>
      </w:r>
    </w:p>
    <w:p w:rsidR="00414195" w:rsidRDefault="004C5CC2">
      <w:pPr>
        <w:spacing w:line="600" w:lineRule="exact"/>
        <w:ind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社会保障和就业（类）行政事业单位养老支出（款）机关事业单位基本养老保险缴费支出（项）</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101.97</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p>
    <w:p w:rsidR="00414195" w:rsidRDefault="004C5CC2">
      <w:pPr>
        <w:spacing w:line="600" w:lineRule="exact"/>
        <w:ind w:firstLine="640"/>
        <w:rPr>
          <w:rFonts w:eastAsia="仿宋_GB2312" w:cs="仿宋_GB2312"/>
          <w:sz w:val="32"/>
          <w:szCs w:val="32"/>
        </w:rPr>
      </w:pPr>
      <w:r>
        <w:rPr>
          <w:rFonts w:eastAsia="仿宋_GB2312" w:cs="仿宋_GB2312" w:hint="eastAsia"/>
          <w:sz w:val="32"/>
          <w:szCs w:val="32"/>
        </w:rPr>
        <w:t>5.</w:t>
      </w:r>
      <w:r>
        <w:rPr>
          <w:rFonts w:eastAsia="仿宋_GB2312" w:cs="仿宋_GB2312" w:hint="eastAsia"/>
          <w:sz w:val="32"/>
          <w:szCs w:val="32"/>
        </w:rPr>
        <w:t>社会保障和就业（类）行政事业单位养老支出（款）机关事业单位职业年金缴费支出（项）</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24.22</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p>
    <w:p w:rsidR="00414195" w:rsidRDefault="004C5CC2">
      <w:pPr>
        <w:pStyle w:val="20"/>
        <w:ind w:left="420" w:firstLineChars="100" w:firstLine="320"/>
        <w:rPr>
          <w:rFonts w:ascii="Times New Roman" w:eastAsia="仿宋_GB2312" w:cs="仿宋_GB2312"/>
          <w:sz w:val="32"/>
        </w:rPr>
      </w:pPr>
      <w:r>
        <w:rPr>
          <w:rFonts w:ascii="Times New Roman" w:eastAsia="仿宋_GB2312" w:cs="仿宋_GB2312" w:hint="eastAsia"/>
          <w:sz w:val="32"/>
        </w:rPr>
        <w:t>6.</w:t>
      </w:r>
      <w:r>
        <w:rPr>
          <w:rFonts w:ascii="Times New Roman" w:eastAsia="仿宋_GB2312" w:cs="仿宋_GB2312" w:hint="eastAsia"/>
          <w:sz w:val="32"/>
        </w:rPr>
        <w:t>社会保障和就业支出（类）抚恤（款）死亡抚恤（项）</w:t>
      </w:r>
      <w:r>
        <w:rPr>
          <w:rFonts w:ascii="Times New Roman" w:eastAsia="仿宋_GB2312" w:cs="仿宋_GB2312" w:hint="eastAsia"/>
          <w:sz w:val="32"/>
        </w:rPr>
        <w:t xml:space="preserve">: </w:t>
      </w:r>
      <w:r>
        <w:rPr>
          <w:rFonts w:ascii="Times New Roman" w:eastAsia="仿宋_GB2312" w:cs="仿宋_GB2312" w:hint="eastAsia"/>
          <w:sz w:val="32"/>
        </w:rPr>
        <w:t>支出决算为</w:t>
      </w:r>
      <w:r>
        <w:rPr>
          <w:rFonts w:ascii="Times New Roman" w:eastAsia="仿宋_GB2312" w:cs="仿宋_GB2312" w:hint="eastAsia"/>
          <w:sz w:val="32"/>
        </w:rPr>
        <w:t>9.43</w:t>
      </w:r>
      <w:r>
        <w:rPr>
          <w:rFonts w:ascii="Times New Roman" w:eastAsia="仿宋_GB2312" w:cs="仿宋_GB2312" w:hint="eastAsia"/>
          <w:sz w:val="32"/>
        </w:rPr>
        <w:t>万元，完成预算</w:t>
      </w:r>
      <w:r>
        <w:rPr>
          <w:rFonts w:ascii="Times New Roman" w:eastAsia="仿宋_GB2312" w:cs="仿宋_GB2312" w:hint="eastAsia"/>
          <w:sz w:val="32"/>
        </w:rPr>
        <w:t>100%</w:t>
      </w:r>
      <w:r>
        <w:rPr>
          <w:rFonts w:ascii="Times New Roman" w:eastAsia="仿宋_GB2312" w:cs="仿宋_GB2312" w:hint="eastAsia"/>
          <w:sz w:val="32"/>
        </w:rPr>
        <w:t>。</w:t>
      </w:r>
    </w:p>
    <w:p w:rsidR="00414195" w:rsidRDefault="004C5CC2">
      <w:pPr>
        <w:pStyle w:val="20"/>
        <w:ind w:left="420" w:firstLineChars="100" w:firstLine="320"/>
        <w:rPr>
          <w:rFonts w:ascii="Times New Roman" w:eastAsia="仿宋_GB2312" w:cs="仿宋_GB2312"/>
          <w:sz w:val="32"/>
        </w:rPr>
      </w:pPr>
      <w:r>
        <w:rPr>
          <w:rFonts w:ascii="Times New Roman" w:eastAsia="仿宋_GB2312" w:cs="仿宋_GB2312" w:hint="eastAsia"/>
          <w:sz w:val="32"/>
        </w:rPr>
        <w:t>7.</w:t>
      </w:r>
      <w:r>
        <w:rPr>
          <w:rFonts w:hint="eastAsia"/>
        </w:rPr>
        <w:t xml:space="preserve"> </w:t>
      </w:r>
      <w:r>
        <w:rPr>
          <w:rFonts w:ascii="Times New Roman" w:eastAsia="仿宋_GB2312" w:cs="仿宋_GB2312" w:hint="eastAsia"/>
          <w:sz w:val="32"/>
        </w:rPr>
        <w:t>卫生健康支出（类）行政事业单位医疗（款）事业单位医疗（项）</w:t>
      </w:r>
      <w:r>
        <w:rPr>
          <w:rFonts w:ascii="Times New Roman" w:eastAsia="仿宋_GB2312" w:cs="仿宋_GB2312" w:hint="eastAsia"/>
          <w:sz w:val="32"/>
        </w:rPr>
        <w:t xml:space="preserve">: </w:t>
      </w:r>
      <w:r>
        <w:rPr>
          <w:rFonts w:ascii="Times New Roman" w:eastAsia="仿宋_GB2312" w:cs="仿宋_GB2312" w:hint="eastAsia"/>
          <w:sz w:val="32"/>
        </w:rPr>
        <w:t>支出决算为</w:t>
      </w:r>
      <w:r>
        <w:rPr>
          <w:rFonts w:ascii="Times New Roman" w:eastAsia="仿宋_GB2312" w:cs="仿宋_GB2312" w:hint="eastAsia"/>
          <w:sz w:val="32"/>
        </w:rPr>
        <w:t>49.08</w:t>
      </w:r>
      <w:r>
        <w:rPr>
          <w:rFonts w:ascii="Times New Roman" w:eastAsia="仿宋_GB2312" w:cs="仿宋_GB2312" w:hint="eastAsia"/>
          <w:sz w:val="32"/>
        </w:rPr>
        <w:t>万元，完成预算</w:t>
      </w:r>
      <w:r>
        <w:rPr>
          <w:rFonts w:ascii="Times New Roman" w:eastAsia="仿宋_GB2312" w:cs="仿宋_GB2312" w:hint="eastAsia"/>
          <w:sz w:val="32"/>
        </w:rPr>
        <w:t>100%</w:t>
      </w:r>
      <w:r>
        <w:rPr>
          <w:rFonts w:ascii="Times New Roman" w:eastAsia="仿宋_GB2312" w:cs="仿宋_GB2312" w:hint="eastAsia"/>
          <w:sz w:val="32"/>
        </w:rPr>
        <w:t>。</w:t>
      </w:r>
    </w:p>
    <w:p w:rsidR="00414195" w:rsidRDefault="004C5CC2">
      <w:pPr>
        <w:pStyle w:val="20"/>
        <w:ind w:left="420" w:firstLineChars="100" w:firstLine="320"/>
        <w:rPr>
          <w:rFonts w:ascii="Times New Roman" w:eastAsia="仿宋_GB2312" w:cs="仿宋_GB2312"/>
          <w:sz w:val="32"/>
        </w:rPr>
      </w:pPr>
      <w:r>
        <w:rPr>
          <w:rFonts w:ascii="Times New Roman" w:eastAsia="仿宋_GB2312" w:cs="仿宋_GB2312" w:hint="eastAsia"/>
          <w:sz w:val="32"/>
        </w:rPr>
        <w:t>8.</w:t>
      </w:r>
      <w:r>
        <w:rPr>
          <w:rFonts w:hint="eastAsia"/>
        </w:rPr>
        <w:t xml:space="preserve"> </w:t>
      </w:r>
      <w:r>
        <w:rPr>
          <w:rFonts w:ascii="Times New Roman" w:eastAsia="仿宋_GB2312" w:cs="仿宋_GB2312" w:hint="eastAsia"/>
          <w:sz w:val="32"/>
        </w:rPr>
        <w:t>卫生健康支出（类）行政事业单位医疗（款）公务员医疗补助（项）</w:t>
      </w:r>
      <w:r>
        <w:rPr>
          <w:rFonts w:ascii="Times New Roman" w:eastAsia="仿宋_GB2312" w:cs="仿宋_GB2312" w:hint="eastAsia"/>
          <w:sz w:val="32"/>
        </w:rPr>
        <w:t xml:space="preserve">: </w:t>
      </w:r>
      <w:r>
        <w:rPr>
          <w:rFonts w:ascii="Times New Roman" w:eastAsia="仿宋_GB2312" w:cs="仿宋_GB2312" w:hint="eastAsia"/>
          <w:sz w:val="32"/>
        </w:rPr>
        <w:t>支出决算为</w:t>
      </w:r>
      <w:r>
        <w:rPr>
          <w:rFonts w:ascii="Times New Roman" w:eastAsia="仿宋_GB2312" w:cs="仿宋_GB2312" w:hint="eastAsia"/>
          <w:sz w:val="32"/>
        </w:rPr>
        <w:t>5.52</w:t>
      </w:r>
      <w:r>
        <w:rPr>
          <w:rFonts w:ascii="Times New Roman" w:eastAsia="仿宋_GB2312" w:cs="仿宋_GB2312" w:hint="eastAsia"/>
          <w:sz w:val="32"/>
        </w:rPr>
        <w:t>万元，完成预算</w:t>
      </w:r>
      <w:r>
        <w:rPr>
          <w:rFonts w:ascii="Times New Roman" w:eastAsia="仿宋_GB2312" w:cs="仿宋_GB2312" w:hint="eastAsia"/>
          <w:sz w:val="32"/>
        </w:rPr>
        <w:t>100%</w:t>
      </w:r>
      <w:r>
        <w:rPr>
          <w:rFonts w:ascii="Times New Roman" w:eastAsia="仿宋_GB2312" w:cs="仿宋_GB2312" w:hint="eastAsia"/>
          <w:sz w:val="32"/>
        </w:rPr>
        <w:t>。</w:t>
      </w:r>
    </w:p>
    <w:p w:rsidR="00414195" w:rsidRDefault="004C5CC2">
      <w:pPr>
        <w:spacing w:line="600" w:lineRule="exact"/>
        <w:ind w:firstLineChars="200" w:firstLine="640"/>
        <w:rPr>
          <w:rFonts w:eastAsia="仿宋_GB2312" w:cs="仿宋_GB2312"/>
          <w:sz w:val="32"/>
          <w:szCs w:val="32"/>
        </w:rPr>
      </w:pPr>
      <w:r>
        <w:rPr>
          <w:rFonts w:eastAsia="仿宋_GB2312" w:cs="仿宋_GB2312" w:hint="eastAsia"/>
          <w:sz w:val="32"/>
          <w:szCs w:val="32"/>
        </w:rPr>
        <w:t>9.</w:t>
      </w:r>
      <w:r>
        <w:rPr>
          <w:rFonts w:eastAsia="仿宋_GB2312" w:cs="仿宋_GB2312" w:hint="eastAsia"/>
          <w:sz w:val="32"/>
          <w:szCs w:val="32"/>
        </w:rPr>
        <w:t>住房保障支出（类）住房改革支出（款）住房公积金（项）</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76.48</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p>
    <w:p w:rsidR="00414195" w:rsidRDefault="00414195">
      <w:pPr>
        <w:pStyle w:val="a0"/>
      </w:pPr>
    </w:p>
    <w:p w:rsidR="00414195" w:rsidRDefault="004C5CC2">
      <w:pPr>
        <w:tabs>
          <w:tab w:val="right" w:pos="8306"/>
        </w:tabs>
        <w:spacing w:line="600" w:lineRule="exact"/>
        <w:ind w:firstLine="640"/>
        <w:outlineLvl w:val="1"/>
        <w:rPr>
          <w:rStyle w:val="2Char"/>
          <w:rFonts w:ascii="Times New Roman" w:hAnsi="Times New Roman"/>
        </w:rPr>
      </w:pPr>
      <w:bookmarkStart w:id="29" w:name="_Toc15377214"/>
      <w:bookmarkStart w:id="30" w:name="_Toc15396608"/>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bookmarkEnd w:id="29"/>
      <w:bookmarkEnd w:id="30"/>
      <w:r>
        <w:rPr>
          <w:rStyle w:val="2Char"/>
          <w:rFonts w:ascii="Times New Roman" w:eastAsia="黑体" w:hAnsi="Times New Roman"/>
          <w:b w:val="0"/>
        </w:rPr>
        <w:tab/>
      </w:r>
    </w:p>
    <w:p w:rsidR="00414195" w:rsidRDefault="004C5CC2">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年度一般公共预算财政拨款基本支出</w:t>
      </w:r>
      <w:r>
        <w:rPr>
          <w:rFonts w:ascii="仿宋_GB2312" w:eastAsia="仿宋_GB2312" w:hAnsi="仿宋_GB2312" w:cs="仿宋_GB2312" w:hint="eastAsia"/>
          <w:sz w:val="32"/>
          <w:szCs w:val="32"/>
        </w:rPr>
        <w:t>1037.65万</w:t>
      </w:r>
      <w:r>
        <w:rPr>
          <w:rFonts w:eastAsia="仿宋_GB2312" w:cs="仿宋_GB2312" w:hint="eastAsia"/>
          <w:sz w:val="32"/>
          <w:szCs w:val="32"/>
        </w:rPr>
        <w:t>元，其中：</w:t>
      </w:r>
    </w:p>
    <w:p w:rsidR="00414195" w:rsidRDefault="004C5CC2">
      <w:pPr>
        <w:spacing w:line="600" w:lineRule="exact"/>
        <w:ind w:firstLine="640"/>
        <w:rPr>
          <w:rFonts w:eastAsia="仿宋_GB2312" w:cs="仿宋_GB2312"/>
          <w:sz w:val="32"/>
          <w:szCs w:val="32"/>
        </w:rPr>
      </w:pPr>
      <w:r>
        <w:rPr>
          <w:rFonts w:eastAsia="仿宋_GB2312" w:cs="仿宋_GB2312" w:hint="eastAsia"/>
          <w:sz w:val="32"/>
          <w:szCs w:val="32"/>
        </w:rPr>
        <w:lastRenderedPageBreak/>
        <w:t>人员经费</w:t>
      </w:r>
      <w:r>
        <w:rPr>
          <w:rFonts w:ascii="仿宋_GB2312" w:eastAsia="仿宋_GB2312" w:hAnsi="仿宋_GB2312" w:cs="仿宋_GB2312" w:hint="eastAsia"/>
          <w:sz w:val="32"/>
          <w:szCs w:val="32"/>
        </w:rPr>
        <w:t>1021.69万</w:t>
      </w:r>
      <w:r>
        <w:rPr>
          <w:rFonts w:eastAsia="仿宋_GB2312" w:cs="仿宋_GB2312" w:hint="eastAsia"/>
          <w:sz w:val="32"/>
          <w:szCs w:val="32"/>
        </w:rPr>
        <w:t>元，主要包括：基本工资</w:t>
      </w:r>
      <w:r>
        <w:rPr>
          <w:rFonts w:eastAsia="仿宋_GB2312" w:cs="仿宋_GB2312"/>
          <w:sz w:val="32"/>
          <w:szCs w:val="32"/>
        </w:rPr>
        <w:t>269.31</w:t>
      </w:r>
      <w:r>
        <w:rPr>
          <w:rFonts w:ascii="仿宋" w:eastAsia="仿宋" w:hAnsi="仿宋" w:hint="eastAsia"/>
          <w:sz w:val="32"/>
          <w:szCs w:val="32"/>
        </w:rPr>
        <w:t>万元</w:t>
      </w:r>
      <w:r>
        <w:rPr>
          <w:rFonts w:eastAsia="仿宋_GB2312" w:cs="仿宋_GB2312" w:hint="eastAsia"/>
          <w:sz w:val="32"/>
          <w:szCs w:val="32"/>
        </w:rPr>
        <w:t>、津贴补贴</w:t>
      </w:r>
      <w:r>
        <w:rPr>
          <w:rFonts w:eastAsia="仿宋_GB2312" w:cs="仿宋_GB2312"/>
          <w:sz w:val="32"/>
          <w:szCs w:val="32"/>
        </w:rPr>
        <w:t>16.79</w:t>
      </w:r>
      <w:r>
        <w:rPr>
          <w:rFonts w:ascii="仿宋" w:eastAsia="仿宋" w:hAnsi="仿宋" w:hint="eastAsia"/>
          <w:sz w:val="32"/>
          <w:szCs w:val="32"/>
        </w:rPr>
        <w:t>万元</w:t>
      </w:r>
      <w:r>
        <w:rPr>
          <w:rFonts w:eastAsia="仿宋_GB2312" w:cs="仿宋_GB2312" w:hint="eastAsia"/>
          <w:sz w:val="32"/>
          <w:szCs w:val="32"/>
        </w:rPr>
        <w:t>、绩效工资</w:t>
      </w:r>
      <w:r>
        <w:rPr>
          <w:rFonts w:eastAsia="仿宋_GB2312" w:cs="仿宋_GB2312"/>
          <w:sz w:val="32"/>
          <w:szCs w:val="32"/>
        </w:rPr>
        <w:t>332.22</w:t>
      </w:r>
      <w:r>
        <w:rPr>
          <w:rFonts w:ascii="仿宋" w:eastAsia="仿宋" w:hAnsi="仿宋" w:hint="eastAsia"/>
          <w:sz w:val="32"/>
          <w:szCs w:val="32"/>
        </w:rPr>
        <w:t>万元</w:t>
      </w:r>
      <w:r>
        <w:rPr>
          <w:rFonts w:eastAsia="仿宋_GB2312" w:cs="仿宋_GB2312" w:hint="eastAsia"/>
          <w:sz w:val="32"/>
          <w:szCs w:val="32"/>
        </w:rPr>
        <w:t>、机关事业单位基本养老保险缴费</w:t>
      </w:r>
      <w:r>
        <w:rPr>
          <w:rFonts w:eastAsia="仿宋_GB2312" w:cs="仿宋_GB2312"/>
          <w:sz w:val="32"/>
          <w:szCs w:val="32"/>
        </w:rPr>
        <w:t>101.97</w:t>
      </w:r>
      <w:r>
        <w:rPr>
          <w:rFonts w:ascii="仿宋" w:eastAsia="仿宋" w:hAnsi="仿宋" w:hint="eastAsia"/>
          <w:sz w:val="32"/>
          <w:szCs w:val="32"/>
        </w:rPr>
        <w:t>万元</w:t>
      </w:r>
      <w:r>
        <w:rPr>
          <w:rFonts w:eastAsia="仿宋_GB2312" w:cs="仿宋_GB2312" w:hint="eastAsia"/>
          <w:sz w:val="32"/>
          <w:szCs w:val="32"/>
        </w:rPr>
        <w:t>、职业年金缴费</w:t>
      </w:r>
      <w:r>
        <w:rPr>
          <w:rFonts w:eastAsia="仿宋_GB2312" w:cs="仿宋_GB2312"/>
          <w:sz w:val="32"/>
          <w:szCs w:val="32"/>
        </w:rPr>
        <w:t>24.22</w:t>
      </w:r>
      <w:r>
        <w:rPr>
          <w:rFonts w:ascii="仿宋" w:eastAsia="仿宋" w:hAnsi="仿宋" w:hint="eastAsia"/>
          <w:sz w:val="32"/>
          <w:szCs w:val="32"/>
        </w:rPr>
        <w:t>万元</w:t>
      </w:r>
      <w:r>
        <w:rPr>
          <w:rFonts w:eastAsia="仿宋_GB2312" w:cs="仿宋_GB2312" w:hint="eastAsia"/>
          <w:sz w:val="32"/>
          <w:szCs w:val="32"/>
        </w:rPr>
        <w:t>、职工基本医疗保险缴费</w:t>
      </w:r>
      <w:r>
        <w:rPr>
          <w:rFonts w:eastAsia="仿宋_GB2312" w:cs="仿宋_GB2312"/>
          <w:sz w:val="32"/>
          <w:szCs w:val="32"/>
        </w:rPr>
        <w:t>49.08</w:t>
      </w:r>
      <w:r>
        <w:rPr>
          <w:rFonts w:ascii="仿宋" w:eastAsia="仿宋" w:hAnsi="仿宋" w:hint="eastAsia"/>
          <w:sz w:val="32"/>
          <w:szCs w:val="32"/>
        </w:rPr>
        <w:t>万元</w:t>
      </w:r>
      <w:r>
        <w:rPr>
          <w:rFonts w:eastAsia="仿宋_GB2312" w:cs="仿宋_GB2312" w:hint="eastAsia"/>
          <w:sz w:val="32"/>
          <w:szCs w:val="32"/>
        </w:rPr>
        <w:t>、</w:t>
      </w:r>
      <w:r>
        <w:rPr>
          <w:rFonts w:ascii="仿宋" w:eastAsia="仿宋" w:hAnsi="仿宋" w:hint="eastAsia"/>
          <w:sz w:val="32"/>
          <w:szCs w:val="32"/>
        </w:rPr>
        <w:t>公务员医疗补助缴费</w:t>
      </w:r>
      <w:r>
        <w:rPr>
          <w:rFonts w:ascii="仿宋" w:eastAsia="仿宋" w:hAnsi="仿宋"/>
          <w:sz w:val="32"/>
          <w:szCs w:val="32"/>
        </w:rPr>
        <w:t>11.89</w:t>
      </w:r>
      <w:r>
        <w:rPr>
          <w:rFonts w:ascii="仿宋" w:eastAsia="仿宋" w:hAnsi="仿宋" w:hint="eastAsia"/>
          <w:sz w:val="32"/>
          <w:szCs w:val="32"/>
        </w:rPr>
        <w:t>万元、其他社会保障缴费</w:t>
      </w:r>
      <w:r>
        <w:rPr>
          <w:rFonts w:ascii="仿宋" w:eastAsia="仿宋" w:hAnsi="仿宋"/>
          <w:sz w:val="32"/>
          <w:szCs w:val="32"/>
        </w:rPr>
        <w:t>8.92</w:t>
      </w:r>
      <w:r>
        <w:rPr>
          <w:rFonts w:ascii="仿宋" w:eastAsia="仿宋" w:hAnsi="仿宋" w:hint="eastAsia"/>
          <w:sz w:val="32"/>
          <w:szCs w:val="32"/>
        </w:rPr>
        <w:t>万元、住房公积金76.48万元、</w:t>
      </w:r>
      <w:r>
        <w:rPr>
          <w:rFonts w:eastAsia="仿宋_GB2312" w:cs="仿宋_GB2312" w:hint="eastAsia"/>
          <w:sz w:val="32"/>
          <w:szCs w:val="32"/>
        </w:rPr>
        <w:t>抚恤金</w:t>
      </w:r>
      <w:r>
        <w:rPr>
          <w:rFonts w:eastAsia="仿宋_GB2312" w:cs="仿宋_GB2312"/>
          <w:sz w:val="32"/>
          <w:szCs w:val="32"/>
        </w:rPr>
        <w:t>9.43</w:t>
      </w:r>
      <w:r>
        <w:rPr>
          <w:rFonts w:ascii="仿宋" w:eastAsia="仿宋" w:hAnsi="仿宋" w:hint="eastAsia"/>
          <w:sz w:val="32"/>
          <w:szCs w:val="32"/>
        </w:rPr>
        <w:t>万元</w:t>
      </w:r>
      <w:r>
        <w:rPr>
          <w:rFonts w:eastAsia="仿宋_GB2312" w:cs="仿宋_GB2312" w:hint="eastAsia"/>
          <w:sz w:val="32"/>
          <w:szCs w:val="32"/>
        </w:rPr>
        <w:t>、生活补助</w:t>
      </w:r>
      <w:r>
        <w:rPr>
          <w:rFonts w:eastAsia="仿宋_GB2312" w:cs="仿宋_GB2312"/>
          <w:sz w:val="32"/>
          <w:szCs w:val="32"/>
        </w:rPr>
        <w:t>101.53</w:t>
      </w:r>
      <w:r>
        <w:rPr>
          <w:rFonts w:ascii="仿宋" w:eastAsia="仿宋" w:hAnsi="仿宋" w:hint="eastAsia"/>
          <w:sz w:val="32"/>
          <w:szCs w:val="32"/>
        </w:rPr>
        <w:t>万元</w:t>
      </w:r>
      <w:r>
        <w:rPr>
          <w:rFonts w:eastAsia="仿宋_GB2312" w:cs="仿宋_GB2312" w:hint="eastAsia"/>
          <w:sz w:val="32"/>
          <w:szCs w:val="32"/>
        </w:rPr>
        <w:t>、医疗费补助</w:t>
      </w:r>
      <w:r>
        <w:rPr>
          <w:rFonts w:eastAsia="仿宋_GB2312" w:cs="仿宋_GB2312" w:hint="eastAsia"/>
          <w:sz w:val="32"/>
          <w:szCs w:val="32"/>
        </w:rPr>
        <w:t>7.82</w:t>
      </w:r>
      <w:r>
        <w:rPr>
          <w:rFonts w:eastAsia="仿宋_GB2312" w:cs="仿宋_GB2312" w:hint="eastAsia"/>
          <w:sz w:val="32"/>
          <w:szCs w:val="32"/>
        </w:rPr>
        <w:t>万元、奖励金</w:t>
      </w:r>
      <w:r>
        <w:rPr>
          <w:rFonts w:eastAsia="仿宋_GB2312" w:cs="仿宋_GB2312" w:hint="eastAsia"/>
          <w:sz w:val="32"/>
          <w:szCs w:val="32"/>
        </w:rPr>
        <w:t>0.04</w:t>
      </w:r>
      <w:r>
        <w:rPr>
          <w:rFonts w:eastAsia="仿宋_GB2312" w:cs="仿宋_GB2312" w:hint="eastAsia"/>
          <w:sz w:val="32"/>
          <w:szCs w:val="32"/>
        </w:rPr>
        <w:t>万元、其他对个人和家庭的补助支出</w:t>
      </w:r>
      <w:r>
        <w:rPr>
          <w:rFonts w:eastAsia="仿宋_GB2312" w:cs="仿宋_GB2312" w:hint="eastAsia"/>
          <w:sz w:val="32"/>
          <w:szCs w:val="32"/>
        </w:rPr>
        <w:t>12</w:t>
      </w:r>
      <w:r>
        <w:rPr>
          <w:rFonts w:ascii="仿宋" w:eastAsia="仿宋" w:hAnsi="仿宋" w:hint="eastAsia"/>
          <w:sz w:val="32"/>
          <w:szCs w:val="32"/>
        </w:rPr>
        <w:t>万元</w:t>
      </w:r>
      <w:r>
        <w:rPr>
          <w:rFonts w:eastAsia="仿宋_GB2312" w:cs="仿宋_GB2312" w:hint="eastAsia"/>
          <w:sz w:val="32"/>
          <w:szCs w:val="32"/>
        </w:rPr>
        <w:t>等。</w:t>
      </w:r>
      <w:r>
        <w:rPr>
          <w:rFonts w:eastAsia="仿宋_GB2312" w:cs="仿宋_GB2312" w:hint="eastAsia"/>
          <w:sz w:val="32"/>
          <w:szCs w:val="32"/>
        </w:rPr>
        <w:br/>
      </w:r>
      <w:r>
        <w:rPr>
          <w:rFonts w:eastAsia="仿宋_GB2312" w:cs="仿宋_GB2312" w:hint="eastAsia"/>
          <w:sz w:val="32"/>
          <w:szCs w:val="32"/>
        </w:rPr>
        <w:t xml:space="preserve">　　公用经费</w:t>
      </w:r>
      <w:r>
        <w:rPr>
          <w:rFonts w:ascii="仿宋_GB2312" w:eastAsia="仿宋_GB2312" w:hAnsi="仿宋_GB2312" w:cs="仿宋_GB2312" w:hint="eastAsia"/>
          <w:sz w:val="32"/>
          <w:szCs w:val="32"/>
        </w:rPr>
        <w:t>15.95万</w:t>
      </w:r>
      <w:r>
        <w:rPr>
          <w:rFonts w:eastAsia="仿宋_GB2312" w:cs="仿宋_GB2312" w:hint="eastAsia"/>
          <w:sz w:val="32"/>
          <w:szCs w:val="32"/>
        </w:rPr>
        <w:t>元，主要包括：工会经费</w:t>
      </w:r>
      <w:r>
        <w:rPr>
          <w:rFonts w:eastAsia="仿宋_GB2312" w:cs="仿宋_GB2312" w:hint="eastAsia"/>
          <w:sz w:val="32"/>
          <w:szCs w:val="32"/>
        </w:rPr>
        <w:t>14.15</w:t>
      </w:r>
      <w:r>
        <w:rPr>
          <w:rFonts w:eastAsia="仿宋_GB2312" w:cs="仿宋_GB2312" w:hint="eastAsia"/>
          <w:sz w:val="32"/>
          <w:szCs w:val="32"/>
        </w:rPr>
        <w:t>万元、福利费</w:t>
      </w:r>
      <w:r>
        <w:rPr>
          <w:rFonts w:eastAsia="仿宋_GB2312" w:cs="仿宋_GB2312" w:hint="eastAsia"/>
          <w:sz w:val="32"/>
          <w:szCs w:val="32"/>
        </w:rPr>
        <w:t>0.78</w:t>
      </w:r>
      <w:r>
        <w:rPr>
          <w:rFonts w:eastAsia="仿宋_GB2312" w:cs="仿宋_GB2312" w:hint="eastAsia"/>
          <w:sz w:val="32"/>
          <w:szCs w:val="32"/>
        </w:rPr>
        <w:t>万元、其他商品和服务支出</w:t>
      </w:r>
      <w:r>
        <w:rPr>
          <w:rFonts w:eastAsia="仿宋_GB2312" w:cs="仿宋_GB2312" w:hint="eastAsia"/>
          <w:sz w:val="32"/>
          <w:szCs w:val="32"/>
        </w:rPr>
        <w:t>1.03</w:t>
      </w:r>
      <w:r>
        <w:rPr>
          <w:rFonts w:eastAsia="仿宋_GB2312" w:cs="仿宋_GB2312" w:hint="eastAsia"/>
          <w:sz w:val="32"/>
          <w:szCs w:val="32"/>
        </w:rPr>
        <w:t>万元。</w:t>
      </w:r>
    </w:p>
    <w:p w:rsidR="00414195" w:rsidRDefault="004C5CC2">
      <w:pPr>
        <w:spacing w:line="600" w:lineRule="exact"/>
        <w:ind w:firstLine="640"/>
        <w:outlineLvl w:val="1"/>
        <w:rPr>
          <w:rStyle w:val="2Char"/>
          <w:rFonts w:ascii="Times New Roman" w:eastAsia="黑体" w:hAnsi="Times New Roman"/>
          <w:b w:val="0"/>
        </w:rPr>
      </w:pPr>
      <w:bookmarkStart w:id="31" w:name="_Toc15396609"/>
      <w:bookmarkStart w:id="32" w:name="_Toc15377215"/>
      <w:r>
        <w:rPr>
          <w:rFonts w:eastAsia="黑体" w:hint="eastAsia"/>
          <w:sz w:val="32"/>
          <w:szCs w:val="32"/>
        </w:rPr>
        <w:t>七、</w:t>
      </w:r>
      <w:r>
        <w:rPr>
          <w:rStyle w:val="2Char"/>
          <w:rFonts w:ascii="Times New Roman" w:eastAsia="黑体" w:hAnsi="Times New Roman" w:hint="eastAsia"/>
          <w:b w:val="0"/>
        </w:rPr>
        <w:t>财政拨款</w:t>
      </w:r>
      <w:r>
        <w:rPr>
          <w:rStyle w:val="2Char"/>
          <w:rFonts w:ascii="Times New Roman" w:eastAsia="黑体" w:hAnsi="Times New Roman" w:hint="eastAsia"/>
        </w:rPr>
        <w:t>“</w:t>
      </w:r>
      <w:r>
        <w:rPr>
          <w:rStyle w:val="2Char"/>
          <w:rFonts w:ascii="Times New Roman" w:eastAsia="黑体" w:hAnsi="Times New Roman" w:hint="eastAsia"/>
          <w:b w:val="0"/>
        </w:rPr>
        <w:t>三公”经费支出决算情况说明</w:t>
      </w:r>
      <w:bookmarkEnd w:id="31"/>
      <w:bookmarkEnd w:id="32"/>
    </w:p>
    <w:p w:rsidR="00414195" w:rsidRDefault="004C5CC2">
      <w:pPr>
        <w:spacing w:line="600" w:lineRule="exact"/>
        <w:ind w:firstLineChars="200" w:firstLine="643"/>
        <w:outlineLvl w:val="2"/>
        <w:rPr>
          <w:rFonts w:eastAsia="楷体_GB2312" w:cs="楷体_GB2312"/>
          <w:b/>
          <w:sz w:val="32"/>
          <w:szCs w:val="32"/>
        </w:rPr>
      </w:pPr>
      <w:bookmarkStart w:id="33" w:name="_Toc15377216"/>
      <w:r>
        <w:rPr>
          <w:rFonts w:eastAsia="楷体_GB2312" w:cs="楷体_GB2312" w:hint="eastAsia"/>
          <w:b/>
          <w:sz w:val="32"/>
          <w:szCs w:val="32"/>
        </w:rPr>
        <w:t>（一）“三公”经费财政拨款支出决算总体情况说明</w:t>
      </w:r>
      <w:bookmarkEnd w:id="33"/>
    </w:p>
    <w:p w:rsidR="00414195" w:rsidRDefault="004C5CC2">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年度“三公”经费财政拨款支出决算为</w:t>
      </w:r>
      <w:r>
        <w:rPr>
          <w:rFonts w:eastAsia="仿宋_GB2312" w:cs="仿宋_GB2312" w:hint="eastAsia"/>
          <w:sz w:val="32"/>
          <w:szCs w:val="32"/>
        </w:rPr>
        <w:t>0</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，与上年度持平。决算数与预算数持平。</w:t>
      </w:r>
    </w:p>
    <w:p w:rsidR="00414195" w:rsidRDefault="004C5CC2">
      <w:pPr>
        <w:spacing w:line="600" w:lineRule="exact"/>
        <w:ind w:firstLineChars="200" w:firstLine="643"/>
        <w:outlineLvl w:val="2"/>
        <w:rPr>
          <w:rFonts w:eastAsia="楷体_GB2312" w:cs="楷体_GB2312"/>
          <w:b/>
          <w:sz w:val="32"/>
          <w:szCs w:val="32"/>
        </w:rPr>
      </w:pPr>
      <w:bookmarkStart w:id="34" w:name="_Toc15377217"/>
      <w:r>
        <w:rPr>
          <w:rFonts w:eastAsia="楷体_GB2312" w:cs="楷体_GB2312" w:hint="eastAsia"/>
          <w:b/>
          <w:sz w:val="32"/>
          <w:szCs w:val="32"/>
        </w:rPr>
        <w:t>（二）“三公”经费财政拨款支出决算具体情况说明</w:t>
      </w:r>
      <w:bookmarkEnd w:id="34"/>
    </w:p>
    <w:p w:rsidR="00414195" w:rsidRDefault="004C5CC2">
      <w:pPr>
        <w:suppressAutoHyphens/>
        <w:spacing w:line="600" w:lineRule="exact"/>
        <w:ind w:firstLine="640"/>
        <w:rPr>
          <w:rFonts w:ascii="仿宋" w:eastAsia="仿宋" w:hAnsi="仿宋"/>
          <w:sz w:val="32"/>
          <w:szCs w:val="32"/>
        </w:rPr>
      </w:pPr>
      <w:r>
        <w:rPr>
          <w:rFonts w:ascii="仿宋" w:eastAsia="仿宋" w:hAnsi="仿宋" w:hint="eastAsia"/>
          <w:sz w:val="32"/>
          <w:szCs w:val="32"/>
        </w:rPr>
        <w:t>2024年度“三公”经费财政拨款支出决算中，因公出国（境）费支出决算0万元，占0</w:t>
      </w:r>
      <w:r>
        <w:rPr>
          <w:rFonts w:ascii="仿宋" w:eastAsia="仿宋" w:hAnsi="仿宋"/>
          <w:sz w:val="32"/>
          <w:szCs w:val="32"/>
        </w:rPr>
        <w:t>%</w:t>
      </w:r>
      <w:r>
        <w:rPr>
          <w:rFonts w:ascii="仿宋" w:eastAsia="仿宋" w:hAnsi="仿宋" w:hint="eastAsia"/>
          <w:sz w:val="32"/>
          <w:szCs w:val="32"/>
        </w:rPr>
        <w:t>；公务用车购置及运行维护费支出决算0万元，占0</w:t>
      </w:r>
      <w:r>
        <w:rPr>
          <w:rFonts w:ascii="仿宋" w:eastAsia="仿宋" w:hAnsi="仿宋"/>
          <w:sz w:val="32"/>
          <w:szCs w:val="32"/>
        </w:rPr>
        <w:t>%</w:t>
      </w:r>
      <w:r>
        <w:rPr>
          <w:rFonts w:ascii="仿宋" w:eastAsia="仿宋" w:hAnsi="仿宋" w:hint="eastAsia"/>
          <w:sz w:val="32"/>
          <w:szCs w:val="32"/>
        </w:rPr>
        <w:t>；公务接待费支出决算0万元，占0</w:t>
      </w:r>
      <w:r>
        <w:rPr>
          <w:rFonts w:ascii="仿宋" w:eastAsia="仿宋" w:hAnsi="仿宋"/>
          <w:sz w:val="32"/>
          <w:szCs w:val="32"/>
        </w:rPr>
        <w:t>%</w:t>
      </w:r>
      <w:r>
        <w:rPr>
          <w:rFonts w:ascii="仿宋" w:eastAsia="仿宋" w:hAnsi="仿宋" w:hint="eastAsia"/>
          <w:sz w:val="32"/>
          <w:szCs w:val="32"/>
        </w:rPr>
        <w:t>。</w:t>
      </w:r>
    </w:p>
    <w:p w:rsidR="00414195" w:rsidRDefault="004C5CC2">
      <w:pPr>
        <w:suppressAutoHyphens/>
        <w:spacing w:line="600" w:lineRule="exact"/>
        <w:ind w:firstLine="640"/>
        <w:rPr>
          <w:rFonts w:ascii="仿宋_GB2312" w:eastAsia="仿宋_GB2312" w:hAnsi="Calibri"/>
          <w:sz w:val="32"/>
          <w:szCs w:val="32"/>
        </w:rPr>
      </w:pPr>
      <w:r>
        <w:rPr>
          <w:rFonts w:eastAsia="仿宋_GB2312" w:cs="仿宋_GB2312"/>
          <w:b/>
          <w:bCs/>
          <w:sz w:val="32"/>
          <w:szCs w:val="32"/>
        </w:rPr>
        <w:t>1.</w:t>
      </w:r>
      <w:r>
        <w:rPr>
          <w:rFonts w:eastAsia="仿宋_GB2312" w:cs="仿宋_GB2312" w:hint="eastAsia"/>
          <w:b/>
          <w:bCs/>
          <w:sz w:val="32"/>
          <w:szCs w:val="32"/>
        </w:rPr>
        <w:t>因公出国（境）经费支出</w:t>
      </w:r>
      <w:r>
        <w:rPr>
          <w:rFonts w:eastAsia="仿宋_GB2312" w:cs="仿宋_GB2312" w:hint="eastAsia"/>
          <w:b/>
          <w:bCs/>
          <w:sz w:val="32"/>
          <w:szCs w:val="32"/>
        </w:rPr>
        <w:t>0</w:t>
      </w:r>
      <w:r>
        <w:rPr>
          <w:rFonts w:eastAsia="仿宋_GB2312" w:cs="仿宋_GB2312" w:hint="eastAsia"/>
          <w:b/>
          <w:bCs/>
          <w:sz w:val="32"/>
          <w:szCs w:val="32"/>
        </w:rPr>
        <w:t>万元，完成预算</w:t>
      </w:r>
      <w:r>
        <w:rPr>
          <w:rFonts w:eastAsia="仿宋_GB2312" w:cs="仿宋_GB2312" w:hint="eastAsia"/>
          <w:b/>
          <w:bCs/>
          <w:sz w:val="32"/>
          <w:szCs w:val="32"/>
        </w:rPr>
        <w:t>0</w:t>
      </w:r>
      <w:r>
        <w:rPr>
          <w:rFonts w:eastAsia="仿宋_GB2312" w:cs="仿宋_GB2312"/>
          <w:b/>
          <w:bCs/>
          <w:sz w:val="32"/>
          <w:szCs w:val="32"/>
        </w:rPr>
        <w:t>%</w:t>
      </w:r>
      <w:r>
        <w:rPr>
          <w:rFonts w:eastAsia="仿宋_GB2312" w:cs="仿宋_GB2312" w:hint="eastAsia"/>
          <w:b/>
          <w:bCs/>
          <w:sz w:val="32"/>
          <w:szCs w:val="32"/>
        </w:rPr>
        <w:t>。</w:t>
      </w:r>
      <w:r>
        <w:rPr>
          <w:rFonts w:ascii="仿宋_GB2312" w:eastAsia="仿宋_GB2312" w:hAnsi="Calibri" w:hint="eastAsia"/>
          <w:sz w:val="32"/>
          <w:szCs w:val="32"/>
        </w:rPr>
        <w:t>全年安排因公出国（境）团组0次，出国（境）0人。因公出国（境）支出决算与2023年度持平。</w:t>
      </w:r>
    </w:p>
    <w:p w:rsidR="00414195" w:rsidRDefault="004C5CC2">
      <w:pPr>
        <w:suppressAutoHyphens/>
        <w:spacing w:line="600" w:lineRule="exact"/>
        <w:ind w:firstLine="640"/>
        <w:rPr>
          <w:rFonts w:ascii="仿宋_GB2312" w:eastAsia="仿宋_GB2312" w:hAnsi="Calibri"/>
          <w:b/>
          <w:sz w:val="32"/>
          <w:szCs w:val="32"/>
        </w:rPr>
      </w:pPr>
      <w:r>
        <w:rPr>
          <w:rFonts w:eastAsia="仿宋_GB2312" w:cs="仿宋_GB2312"/>
          <w:b/>
          <w:bCs/>
          <w:sz w:val="32"/>
          <w:szCs w:val="32"/>
        </w:rPr>
        <w:t>2.</w:t>
      </w:r>
      <w:r>
        <w:rPr>
          <w:rFonts w:eastAsia="仿宋_GB2312" w:cs="仿宋_GB2312" w:hint="eastAsia"/>
          <w:b/>
          <w:bCs/>
          <w:sz w:val="32"/>
          <w:szCs w:val="32"/>
        </w:rPr>
        <w:t>公务用车购置及运行维护费支出</w:t>
      </w:r>
      <w:r>
        <w:rPr>
          <w:rFonts w:eastAsia="仿宋_GB2312" w:cs="仿宋_GB2312" w:hint="eastAsia"/>
          <w:b/>
          <w:bCs/>
          <w:sz w:val="32"/>
          <w:szCs w:val="32"/>
        </w:rPr>
        <w:t>0</w:t>
      </w:r>
      <w:r>
        <w:rPr>
          <w:rFonts w:eastAsia="仿宋_GB2312" w:cs="仿宋_GB2312" w:hint="eastAsia"/>
          <w:b/>
          <w:bCs/>
          <w:sz w:val="32"/>
          <w:szCs w:val="32"/>
        </w:rPr>
        <w:t>万元</w:t>
      </w:r>
      <w:r>
        <w:rPr>
          <w:rFonts w:eastAsia="仿宋_GB2312" w:cs="仿宋_GB2312" w:hint="eastAsia"/>
          <w:b/>
          <w:bCs/>
          <w:sz w:val="32"/>
          <w:szCs w:val="32"/>
        </w:rPr>
        <w:t>,</w:t>
      </w:r>
      <w:r>
        <w:rPr>
          <w:rFonts w:eastAsia="仿宋_GB2312" w:cs="仿宋_GB2312" w:hint="eastAsia"/>
          <w:b/>
          <w:bCs/>
          <w:sz w:val="32"/>
          <w:szCs w:val="32"/>
        </w:rPr>
        <w:t>完成预算</w:t>
      </w:r>
      <w:r>
        <w:rPr>
          <w:rFonts w:eastAsia="仿宋_GB2312" w:cs="仿宋_GB2312" w:hint="eastAsia"/>
          <w:b/>
          <w:bCs/>
          <w:sz w:val="32"/>
          <w:szCs w:val="32"/>
        </w:rPr>
        <w:t>0</w:t>
      </w:r>
      <w:r>
        <w:rPr>
          <w:rFonts w:eastAsia="仿宋_GB2312" w:cs="仿宋_GB2312"/>
          <w:b/>
          <w:bCs/>
          <w:sz w:val="32"/>
          <w:szCs w:val="32"/>
        </w:rPr>
        <w:t>%</w:t>
      </w:r>
      <w:r>
        <w:rPr>
          <w:rFonts w:eastAsia="仿宋_GB2312" w:cs="仿宋_GB2312" w:hint="eastAsia"/>
          <w:b/>
          <w:bCs/>
          <w:sz w:val="32"/>
          <w:szCs w:val="32"/>
        </w:rPr>
        <w:t>。</w:t>
      </w:r>
      <w:r>
        <w:rPr>
          <w:rFonts w:ascii="仿宋_GB2312" w:eastAsia="仿宋_GB2312" w:hAnsi="Calibri" w:hint="eastAsia"/>
          <w:sz w:val="32"/>
          <w:szCs w:val="32"/>
        </w:rPr>
        <w:lastRenderedPageBreak/>
        <w:t>公务用车购置及运行维护费支出决算与2023年度持平。</w:t>
      </w:r>
    </w:p>
    <w:p w:rsidR="00414195" w:rsidRDefault="004C5CC2">
      <w:pPr>
        <w:suppressAutoHyphens/>
        <w:spacing w:line="600" w:lineRule="exact"/>
        <w:ind w:firstLineChars="200" w:firstLine="640"/>
        <w:rPr>
          <w:rFonts w:ascii="仿宋_GB2312" w:eastAsia="仿宋_GB2312" w:hAnsi="Calibri"/>
          <w:b/>
          <w:sz w:val="32"/>
          <w:szCs w:val="32"/>
        </w:rPr>
      </w:pPr>
      <w:r>
        <w:rPr>
          <w:rFonts w:ascii="仿宋_GB2312" w:eastAsia="仿宋_GB2312" w:hAnsi="Calibri" w:hint="eastAsia"/>
          <w:sz w:val="32"/>
          <w:szCs w:val="32"/>
        </w:rPr>
        <w:t>其中：公务用车购置支出0万元。全年按规定更新购置公务用车0辆，其中：轿车0辆、金额0万元，越野车0辆、金额0万元，载客汽车0辆、金额0万元。截至2024年</w:t>
      </w:r>
      <w:r>
        <w:rPr>
          <w:rFonts w:ascii="仿宋_GB2312" w:eastAsia="仿宋_GB2312" w:hAnsi="Calibri"/>
          <w:sz w:val="32"/>
          <w:szCs w:val="32"/>
        </w:rPr>
        <w:t>12</w:t>
      </w:r>
      <w:r>
        <w:rPr>
          <w:rFonts w:ascii="仿宋_GB2312" w:eastAsia="仿宋_GB2312" w:hAnsi="Calibri" w:hint="eastAsia"/>
          <w:sz w:val="32"/>
          <w:szCs w:val="32"/>
        </w:rPr>
        <w:t>月31日，单位共有公务用车1辆，其中：轿车1辆、越野车0辆、载客汽车0辆。</w:t>
      </w:r>
    </w:p>
    <w:p w:rsidR="00414195" w:rsidRDefault="004C5CC2">
      <w:pPr>
        <w:suppressAutoHyphens/>
        <w:spacing w:line="600" w:lineRule="exact"/>
        <w:ind w:firstLine="640"/>
        <w:rPr>
          <w:rFonts w:ascii="仿宋_GB2312" w:eastAsia="仿宋_GB2312" w:hAnsi="Calibri"/>
          <w:sz w:val="32"/>
          <w:szCs w:val="32"/>
        </w:rPr>
      </w:pPr>
      <w:r>
        <w:rPr>
          <w:rFonts w:ascii="仿宋_GB2312" w:eastAsia="仿宋_GB2312" w:hAnsi="Calibri" w:hint="eastAsia"/>
          <w:sz w:val="32"/>
          <w:szCs w:val="32"/>
        </w:rPr>
        <w:t>公务用车运行维护费支出0万元。</w:t>
      </w:r>
    </w:p>
    <w:p w:rsidR="00414195" w:rsidRDefault="004C5CC2">
      <w:pPr>
        <w:spacing w:line="600" w:lineRule="exact"/>
        <w:ind w:firstLine="640"/>
        <w:rPr>
          <w:rFonts w:eastAsia="仿宋_GB2312" w:cs="仿宋_GB2312"/>
          <w:sz w:val="32"/>
          <w:szCs w:val="32"/>
        </w:rPr>
      </w:pPr>
      <w:r>
        <w:rPr>
          <w:rFonts w:ascii="仿宋_GB2312" w:eastAsia="仿宋_GB2312" w:hAnsi="Calibri"/>
          <w:b/>
          <w:sz w:val="32"/>
          <w:szCs w:val="32"/>
        </w:rPr>
        <w:t>3.</w:t>
      </w:r>
      <w:r>
        <w:rPr>
          <w:rFonts w:ascii="仿宋_GB2312" w:eastAsia="仿宋_GB2312" w:hAnsi="Calibri" w:hint="eastAsia"/>
          <w:b/>
          <w:sz w:val="32"/>
          <w:szCs w:val="32"/>
        </w:rPr>
        <w:t>公务接待费支出0万元，完成预算0</w:t>
      </w:r>
      <w:r>
        <w:rPr>
          <w:rFonts w:ascii="仿宋_GB2312" w:eastAsia="仿宋_GB2312" w:hAnsi="Calibri"/>
          <w:b/>
          <w:sz w:val="32"/>
          <w:szCs w:val="32"/>
        </w:rPr>
        <w:t>%</w:t>
      </w:r>
      <w:r>
        <w:rPr>
          <w:rFonts w:ascii="仿宋_GB2312" w:eastAsia="仿宋_GB2312" w:hAnsi="Calibri" w:hint="eastAsia"/>
          <w:b/>
          <w:sz w:val="32"/>
          <w:szCs w:val="32"/>
        </w:rPr>
        <w:t>。</w:t>
      </w:r>
      <w:r>
        <w:rPr>
          <w:rFonts w:ascii="仿宋_GB2312" w:eastAsia="仿宋_GB2312" w:hAnsi="Calibri" w:hint="eastAsia"/>
          <w:sz w:val="32"/>
          <w:szCs w:val="32"/>
        </w:rPr>
        <w:t>公务接待费支出决算与2023年度持平。其中：</w:t>
      </w:r>
      <w:r>
        <w:rPr>
          <w:rFonts w:eastAsia="仿宋_GB2312" w:cs="仿宋_GB2312" w:hint="eastAsia"/>
          <w:sz w:val="32"/>
          <w:szCs w:val="32"/>
        </w:rPr>
        <w:t>其中：</w:t>
      </w:r>
    </w:p>
    <w:p w:rsidR="00414195" w:rsidRDefault="004C5CC2">
      <w:pPr>
        <w:spacing w:line="600" w:lineRule="exact"/>
        <w:ind w:firstLine="640"/>
        <w:rPr>
          <w:rFonts w:eastAsia="仿宋_GB2312" w:cs="仿宋_GB2312"/>
          <w:sz w:val="32"/>
          <w:szCs w:val="32"/>
        </w:rPr>
      </w:pPr>
      <w:r>
        <w:rPr>
          <w:rFonts w:eastAsia="仿宋_GB2312" w:cs="仿宋_GB2312" w:hint="eastAsia"/>
          <w:sz w:val="32"/>
          <w:szCs w:val="32"/>
        </w:rPr>
        <w:t>国内公务接待支</w:t>
      </w:r>
      <w:r>
        <w:rPr>
          <w:rFonts w:ascii="仿宋_GB2312" w:eastAsia="仿宋_GB2312" w:hAnsi="仿宋_GB2312" w:cs="仿宋_GB2312" w:hint="eastAsia"/>
          <w:sz w:val="32"/>
          <w:szCs w:val="32"/>
        </w:rPr>
        <w:t>出0万</w:t>
      </w:r>
      <w:r>
        <w:rPr>
          <w:rFonts w:eastAsia="仿宋_GB2312" w:cs="仿宋_GB2312" w:hint="eastAsia"/>
          <w:sz w:val="32"/>
          <w:szCs w:val="32"/>
        </w:rPr>
        <w:t>元。国内公务接</w:t>
      </w:r>
      <w:r>
        <w:rPr>
          <w:rFonts w:ascii="仿宋_GB2312" w:eastAsia="仿宋_GB2312" w:hAnsi="仿宋_GB2312" w:cs="仿宋_GB2312" w:hint="eastAsia"/>
          <w:sz w:val="32"/>
          <w:szCs w:val="32"/>
        </w:rPr>
        <w:t>待0批次，0</w:t>
      </w:r>
      <w:r>
        <w:rPr>
          <w:rFonts w:eastAsia="仿宋_GB2312" w:cs="仿宋_GB2312" w:hint="eastAsia"/>
          <w:sz w:val="32"/>
          <w:szCs w:val="32"/>
        </w:rPr>
        <w:t>人次（不包括陪同人员），共计支出</w:t>
      </w:r>
      <w:r>
        <w:rPr>
          <w:rFonts w:eastAsia="仿宋_GB2312" w:cs="仿宋_GB2312" w:hint="eastAsia"/>
          <w:sz w:val="32"/>
          <w:szCs w:val="32"/>
        </w:rPr>
        <w:t>0</w:t>
      </w:r>
      <w:r>
        <w:rPr>
          <w:rFonts w:eastAsia="仿宋_GB2312" w:cs="仿宋_GB2312" w:hint="eastAsia"/>
          <w:sz w:val="32"/>
          <w:szCs w:val="32"/>
        </w:rPr>
        <w:t>万元。</w:t>
      </w:r>
    </w:p>
    <w:p w:rsidR="00414195" w:rsidRDefault="004C5CC2">
      <w:pPr>
        <w:spacing w:line="600" w:lineRule="exact"/>
        <w:ind w:firstLine="640"/>
        <w:rPr>
          <w:rFonts w:eastAsia="仿宋_GB2312" w:cs="仿宋_GB2312"/>
          <w:sz w:val="32"/>
          <w:szCs w:val="32"/>
        </w:rPr>
      </w:pPr>
      <w:r>
        <w:rPr>
          <w:rFonts w:eastAsia="仿宋_GB2312" w:cs="仿宋_GB2312" w:hint="eastAsia"/>
          <w:sz w:val="32"/>
          <w:szCs w:val="32"/>
        </w:rPr>
        <w:t>外事接待支</w:t>
      </w:r>
      <w:r>
        <w:rPr>
          <w:rFonts w:ascii="仿宋_GB2312" w:eastAsia="仿宋_GB2312" w:hAnsi="仿宋_GB2312" w:cs="仿宋_GB2312" w:hint="eastAsia"/>
          <w:sz w:val="32"/>
          <w:szCs w:val="32"/>
        </w:rPr>
        <w:t>出0万元。外事接待0批次，0人次（不包括陪同人员），共计支出0万</w:t>
      </w:r>
      <w:r>
        <w:rPr>
          <w:rFonts w:eastAsia="仿宋_GB2312" w:cs="仿宋_GB2312" w:hint="eastAsia"/>
          <w:sz w:val="32"/>
          <w:szCs w:val="32"/>
        </w:rPr>
        <w:t>元。</w:t>
      </w:r>
    </w:p>
    <w:p w:rsidR="00414195" w:rsidRDefault="004C5CC2">
      <w:pPr>
        <w:spacing w:line="600" w:lineRule="exact"/>
        <w:ind w:firstLine="640"/>
        <w:outlineLvl w:val="1"/>
        <w:rPr>
          <w:rStyle w:val="2Char"/>
          <w:rFonts w:ascii="Times New Roman" w:eastAsia="黑体" w:hAnsi="Times New Roman"/>
        </w:rPr>
      </w:pPr>
      <w:bookmarkStart w:id="35" w:name="_Toc15377218"/>
      <w:bookmarkStart w:id="36" w:name="_Toc15396610"/>
      <w:r>
        <w:rPr>
          <w:rFonts w:eastAsia="黑体" w:hint="eastAsia"/>
          <w:sz w:val="32"/>
          <w:szCs w:val="32"/>
        </w:rPr>
        <w:t>八、</w:t>
      </w:r>
      <w:r>
        <w:rPr>
          <w:rStyle w:val="2Char"/>
          <w:rFonts w:ascii="Times New Roman" w:eastAsia="黑体" w:hAnsi="Times New Roman" w:hint="eastAsia"/>
          <w:b w:val="0"/>
        </w:rPr>
        <w:t>政府性基金预算支出决算情况说明</w:t>
      </w:r>
      <w:bookmarkEnd w:id="35"/>
      <w:bookmarkEnd w:id="36"/>
    </w:p>
    <w:p w:rsidR="00414195" w:rsidRDefault="004C5CC2">
      <w:pPr>
        <w:suppressAutoHyphens/>
        <w:spacing w:line="600" w:lineRule="exact"/>
        <w:ind w:firstLine="640"/>
        <w:rPr>
          <w:rFonts w:ascii="仿宋_GB2312" w:eastAsia="仿宋_GB2312" w:hAnsi="Calibri"/>
          <w:sz w:val="32"/>
          <w:szCs w:val="32"/>
        </w:rPr>
      </w:pPr>
      <w:r>
        <w:rPr>
          <w:rFonts w:ascii="仿宋_GB2312" w:eastAsia="仿宋_GB2312" w:hAnsi="Calibri" w:hint="eastAsia"/>
          <w:sz w:val="32"/>
          <w:szCs w:val="32"/>
        </w:rPr>
        <w:t>2024年度政府性基金预算财政拨款支出0万元，</w:t>
      </w:r>
      <w:r>
        <w:rPr>
          <w:rFonts w:ascii="仿宋_GB2312" w:eastAsia="仿宋_GB2312" w:hAnsi="仿宋_GB2312" w:cs="仿宋_GB2312" w:hint="eastAsia"/>
          <w:sz w:val="32"/>
          <w:szCs w:val="32"/>
        </w:rPr>
        <w:t>占本年支出合计的0%，</w:t>
      </w:r>
      <w:r>
        <w:rPr>
          <w:rFonts w:ascii="仿宋_GB2312" w:eastAsia="仿宋_GB2312" w:hAnsi="Calibri" w:hint="eastAsia"/>
          <w:sz w:val="32"/>
          <w:szCs w:val="32"/>
        </w:rPr>
        <w:t>与2023年度持平。</w:t>
      </w:r>
    </w:p>
    <w:p w:rsidR="00414195" w:rsidRDefault="004C5CC2">
      <w:pPr>
        <w:spacing w:line="600" w:lineRule="exact"/>
        <w:ind w:left="630"/>
        <w:outlineLvl w:val="1"/>
        <w:rPr>
          <w:rStyle w:val="2Char"/>
          <w:rFonts w:ascii="Times New Roman" w:eastAsia="黑体" w:hAnsi="Times New Roman"/>
          <w:b w:val="0"/>
        </w:rPr>
      </w:pPr>
      <w:bookmarkStart w:id="37" w:name="_Toc15396611"/>
      <w:bookmarkStart w:id="38" w:name="_Toc15377219"/>
      <w:r>
        <w:rPr>
          <w:rStyle w:val="2Char"/>
          <w:rFonts w:ascii="Times New Roman" w:eastAsia="黑体" w:hAnsi="Times New Roman" w:hint="eastAsia"/>
          <w:b w:val="0"/>
        </w:rPr>
        <w:t>九、国有资本经营预算支出决算情况说明</w:t>
      </w:r>
      <w:bookmarkEnd w:id="37"/>
      <w:bookmarkEnd w:id="38"/>
    </w:p>
    <w:p w:rsidR="00414195" w:rsidRDefault="004C5CC2">
      <w:pPr>
        <w:suppressAutoHyphens/>
        <w:spacing w:line="600" w:lineRule="exact"/>
        <w:ind w:firstLine="640"/>
        <w:rPr>
          <w:rFonts w:ascii="仿宋_GB2312" w:eastAsia="仿宋_GB2312" w:hAnsi="Calibri"/>
          <w:sz w:val="32"/>
          <w:szCs w:val="32"/>
        </w:rPr>
      </w:pPr>
      <w:r>
        <w:rPr>
          <w:rFonts w:ascii="仿宋_GB2312" w:eastAsia="仿宋_GB2312" w:hAnsi="Calibri" w:hint="eastAsia"/>
          <w:sz w:val="32"/>
          <w:szCs w:val="32"/>
        </w:rPr>
        <w:t>2024年度国有资本经营预算财政拨款支出0万元，</w:t>
      </w:r>
      <w:r>
        <w:rPr>
          <w:rFonts w:ascii="仿宋_GB2312" w:eastAsia="仿宋_GB2312" w:hAnsi="仿宋_GB2312" w:cs="仿宋_GB2312" w:hint="eastAsia"/>
          <w:sz w:val="32"/>
          <w:szCs w:val="32"/>
        </w:rPr>
        <w:t>占本年支出合计的0%，</w:t>
      </w:r>
      <w:r>
        <w:rPr>
          <w:rFonts w:ascii="仿宋_GB2312" w:eastAsia="仿宋_GB2312" w:hAnsi="Calibri" w:hint="eastAsia"/>
          <w:sz w:val="32"/>
          <w:szCs w:val="32"/>
        </w:rPr>
        <w:t>与2023年度持平。</w:t>
      </w:r>
    </w:p>
    <w:p w:rsidR="00414195" w:rsidRDefault="004C5CC2">
      <w:pPr>
        <w:spacing w:line="600" w:lineRule="exact"/>
        <w:ind w:left="630"/>
        <w:outlineLvl w:val="1"/>
        <w:rPr>
          <w:rStyle w:val="2Char"/>
          <w:rFonts w:ascii="Times New Roman" w:eastAsia="黑体" w:hAnsi="Times New Roman"/>
          <w:b w:val="0"/>
        </w:rPr>
      </w:pPr>
      <w:bookmarkStart w:id="39" w:name="_Toc15396612"/>
      <w:bookmarkStart w:id="40" w:name="_Toc15377221"/>
      <w:r>
        <w:rPr>
          <w:rStyle w:val="2Char"/>
          <w:rFonts w:ascii="Times New Roman" w:eastAsia="黑体" w:hAnsi="Times New Roman" w:hint="eastAsia"/>
          <w:b w:val="0"/>
        </w:rPr>
        <w:t>十、其他重要事项的情况说明</w:t>
      </w:r>
      <w:bookmarkEnd w:id="39"/>
      <w:bookmarkEnd w:id="40"/>
    </w:p>
    <w:p w:rsidR="00414195" w:rsidRDefault="004C5CC2">
      <w:pPr>
        <w:spacing w:line="600" w:lineRule="exact"/>
        <w:ind w:firstLineChars="200" w:firstLine="643"/>
        <w:outlineLvl w:val="2"/>
        <w:rPr>
          <w:rFonts w:eastAsia="楷体_GB2312" w:cs="楷体_GB2312"/>
          <w:b/>
          <w:sz w:val="32"/>
          <w:szCs w:val="32"/>
        </w:rPr>
      </w:pPr>
      <w:bookmarkStart w:id="41" w:name="_Toc15377222"/>
      <w:r>
        <w:rPr>
          <w:rFonts w:eastAsia="楷体_GB2312" w:cs="楷体_GB2312" w:hint="eastAsia"/>
          <w:b/>
          <w:sz w:val="32"/>
          <w:szCs w:val="32"/>
        </w:rPr>
        <w:t>（一）机关运行经费支出情况</w:t>
      </w:r>
      <w:bookmarkEnd w:id="41"/>
    </w:p>
    <w:p w:rsidR="00414195" w:rsidRDefault="004C5CC2">
      <w:pPr>
        <w:suppressAutoHyphens/>
        <w:spacing w:line="600" w:lineRule="exact"/>
        <w:ind w:firstLineChars="200" w:firstLine="640"/>
        <w:rPr>
          <w:rFonts w:ascii="仿宋_GB2312" w:eastAsia="仿宋_GB2312" w:hAnsi="Calibri"/>
          <w:sz w:val="32"/>
          <w:szCs w:val="32"/>
        </w:rPr>
      </w:pPr>
      <w:r>
        <w:rPr>
          <w:rFonts w:ascii="仿宋_GB2312" w:eastAsia="仿宋_GB2312" w:hAnsi="Calibri" w:hint="eastAsia"/>
          <w:sz w:val="32"/>
          <w:szCs w:val="32"/>
        </w:rPr>
        <w:t>2024年度，</w:t>
      </w:r>
      <w:r>
        <w:rPr>
          <w:rFonts w:ascii="仿宋_GB2312" w:eastAsia="仿宋_GB2312" w:hAnsi="仿宋_GB2312" w:cs="仿宋_GB2312" w:hint="eastAsia"/>
          <w:sz w:val="32"/>
          <w:szCs w:val="32"/>
        </w:rPr>
        <w:t>四川省</w:t>
      </w:r>
      <w:r>
        <w:rPr>
          <w:rFonts w:ascii="仿宋_GB2312" w:eastAsia="仿宋_GB2312" w:hAnsi="Calibri" w:hint="eastAsia"/>
          <w:sz w:val="32"/>
          <w:szCs w:val="32"/>
        </w:rPr>
        <w:t>攀枝花开放大学机关运行经费支出0万元，与2023年度持平。</w:t>
      </w:r>
    </w:p>
    <w:p w:rsidR="00414195" w:rsidRDefault="004C5CC2">
      <w:pPr>
        <w:spacing w:line="600" w:lineRule="exact"/>
        <w:ind w:firstLineChars="200" w:firstLine="643"/>
        <w:outlineLvl w:val="2"/>
        <w:rPr>
          <w:rFonts w:eastAsia="楷体_GB2312" w:cs="楷体_GB2312"/>
          <w:b/>
          <w:sz w:val="32"/>
          <w:szCs w:val="32"/>
        </w:rPr>
      </w:pPr>
      <w:bookmarkStart w:id="42" w:name="_Toc15377223"/>
      <w:r>
        <w:rPr>
          <w:rFonts w:eastAsia="楷体_GB2312" w:cs="楷体_GB2312" w:hint="eastAsia"/>
          <w:b/>
          <w:sz w:val="32"/>
          <w:szCs w:val="32"/>
        </w:rPr>
        <w:lastRenderedPageBreak/>
        <w:t>（二）政府采购支出情况</w:t>
      </w:r>
      <w:bookmarkEnd w:id="42"/>
    </w:p>
    <w:p w:rsidR="00414195" w:rsidRDefault="004C5CC2">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四川省攀枝花开放大学政府采购支出总额8.04万元，其中：政府采购货物支出7.27万元、政府采购工程支出0万元、政府采购服务支出0.77万元。主要用于政府集中采购公务车保险和加油0.77万元、升级考试系统设备采购2.17万元、新四楼阶梯教室空调机采购5.1万元。授予中小企业合同金额7.87万元，占政府采购支出总额的97.85%，其中：授予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合同金额7.27万元，占政府采购支出总额的90.38%。</w:t>
      </w:r>
    </w:p>
    <w:p w:rsidR="00414195" w:rsidRDefault="004C5CC2">
      <w:pPr>
        <w:spacing w:line="600" w:lineRule="exact"/>
        <w:ind w:firstLineChars="200" w:firstLine="643"/>
        <w:outlineLvl w:val="2"/>
        <w:rPr>
          <w:rFonts w:eastAsia="楷体_GB2312" w:cs="楷体_GB2312"/>
          <w:b/>
          <w:sz w:val="32"/>
          <w:szCs w:val="32"/>
        </w:rPr>
      </w:pPr>
      <w:bookmarkStart w:id="43" w:name="_Toc15377224"/>
      <w:r>
        <w:rPr>
          <w:rFonts w:eastAsia="楷体_GB2312" w:cs="楷体_GB2312" w:hint="eastAsia"/>
          <w:b/>
          <w:sz w:val="32"/>
          <w:szCs w:val="32"/>
        </w:rPr>
        <w:t>（三）国有资产占有使用情况</w:t>
      </w:r>
      <w:bookmarkEnd w:id="43"/>
    </w:p>
    <w:p w:rsidR="00414195" w:rsidRDefault="004C5CC2">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截至2024年12月31日，四川省攀枝花开放大学共有车辆1辆，其中：主要负责人用车0辆、机要通信用车0辆、应急保障用车0辆、其他用车1辆，其他用车主要是用于</w:t>
      </w:r>
      <w:r>
        <w:rPr>
          <w:rFonts w:ascii="仿宋_GB2312" w:eastAsia="仿宋_GB2312" w:hAnsi="Calibri" w:hint="eastAsia"/>
          <w:sz w:val="32"/>
          <w:szCs w:val="32"/>
        </w:rPr>
        <w:t>运输</w:t>
      </w:r>
      <w:r>
        <w:rPr>
          <w:rFonts w:ascii="仿宋_GB2312" w:eastAsia="仿宋_GB2312" w:hAnsi="Calibri"/>
          <w:sz w:val="32"/>
          <w:szCs w:val="32"/>
        </w:rPr>
        <w:t>试卷、巡考、巡教、外出办</w:t>
      </w:r>
      <w:r>
        <w:rPr>
          <w:rFonts w:ascii="仿宋_GB2312" w:eastAsia="仿宋_GB2312" w:hAnsi="Calibri" w:hint="eastAsia"/>
          <w:sz w:val="32"/>
          <w:szCs w:val="32"/>
        </w:rPr>
        <w:t>公</w:t>
      </w:r>
      <w:r>
        <w:rPr>
          <w:rFonts w:ascii="仿宋_GB2312" w:eastAsia="仿宋_GB2312" w:hAnsi="仿宋_GB2312" w:cs="仿宋_GB2312" w:hint="eastAsia"/>
          <w:sz w:val="32"/>
          <w:szCs w:val="32"/>
        </w:rPr>
        <w:t>。单价100万元（含）以上设备（不含车辆）0台（套）</w:t>
      </w:r>
      <w:r>
        <w:rPr>
          <w:rFonts w:eastAsia="仿宋_GB2312" w:cs="仿宋_GB2312" w:hint="eastAsia"/>
          <w:sz w:val="32"/>
          <w:szCs w:val="32"/>
        </w:rPr>
        <w:t>。</w:t>
      </w:r>
    </w:p>
    <w:p w:rsidR="00414195" w:rsidRDefault="004C5CC2">
      <w:pPr>
        <w:spacing w:line="600" w:lineRule="exact"/>
        <w:ind w:firstLineChars="200" w:firstLine="643"/>
        <w:outlineLvl w:val="2"/>
        <w:rPr>
          <w:rFonts w:eastAsia="楷体_GB2312" w:cs="楷体_GB2312"/>
          <w:b/>
          <w:sz w:val="32"/>
          <w:szCs w:val="32"/>
        </w:rPr>
      </w:pPr>
      <w:r>
        <w:rPr>
          <w:rFonts w:eastAsia="楷体_GB2312" w:cs="楷体_GB2312" w:hint="eastAsia"/>
          <w:b/>
          <w:sz w:val="32"/>
          <w:szCs w:val="32"/>
        </w:rPr>
        <w:t>（四）预算绩效管理情况</w:t>
      </w:r>
    </w:p>
    <w:p w:rsidR="00414195" w:rsidRDefault="004C5CC2">
      <w:pPr>
        <w:spacing w:line="600" w:lineRule="exact"/>
        <w:ind w:firstLine="640"/>
        <w:rPr>
          <w:rFonts w:ascii="仿宋_GB2312" w:eastAsia="仿宋_GB2312"/>
          <w:sz w:val="32"/>
          <w:szCs w:val="32"/>
        </w:rPr>
      </w:pPr>
      <w:r>
        <w:rPr>
          <w:rFonts w:eastAsia="仿宋_GB2312" w:cs="仿宋_GB2312" w:hint="eastAsia"/>
          <w:sz w:val="32"/>
          <w:szCs w:val="32"/>
        </w:rPr>
        <w:t>根据预算绩效管理要求，</w:t>
      </w:r>
      <w:r>
        <w:rPr>
          <w:rFonts w:ascii="仿宋_GB2312" w:eastAsia="仿宋_GB2312" w:hint="eastAsia"/>
          <w:sz w:val="32"/>
          <w:szCs w:val="32"/>
        </w:rPr>
        <w:t>攀枝花开放大学</w:t>
      </w:r>
      <w:r>
        <w:rPr>
          <w:rFonts w:eastAsia="仿宋_GB2312" w:cs="仿宋_GB2312" w:hint="eastAsia"/>
          <w:sz w:val="32"/>
          <w:szCs w:val="32"/>
        </w:rPr>
        <w:t>在</w:t>
      </w:r>
      <w:r>
        <w:rPr>
          <w:rFonts w:eastAsia="仿宋_GB2312" w:cs="仿宋_GB2312"/>
          <w:sz w:val="32"/>
          <w:szCs w:val="32"/>
        </w:rPr>
        <w:t>2024</w:t>
      </w:r>
      <w:r>
        <w:rPr>
          <w:rFonts w:eastAsia="仿宋_GB2312" w:cs="仿宋_GB2312" w:hint="eastAsia"/>
          <w:sz w:val="32"/>
          <w:szCs w:val="32"/>
        </w:rPr>
        <w:t>年度预算编制阶段，</w:t>
      </w:r>
      <w:r>
        <w:rPr>
          <w:rFonts w:ascii="仿宋_GB2312" w:eastAsia="仿宋_GB2312" w:hint="eastAsia"/>
          <w:sz w:val="32"/>
          <w:szCs w:val="32"/>
        </w:rPr>
        <w:t>攀枝花开放</w:t>
      </w:r>
      <w:proofErr w:type="gramStart"/>
      <w:r>
        <w:rPr>
          <w:rFonts w:ascii="仿宋_GB2312" w:eastAsia="仿宋_GB2312" w:hint="eastAsia"/>
          <w:sz w:val="32"/>
          <w:szCs w:val="32"/>
        </w:rPr>
        <w:t>大学市</w:t>
      </w:r>
      <w:proofErr w:type="gramEnd"/>
      <w:r>
        <w:rPr>
          <w:rFonts w:ascii="仿宋_GB2312" w:eastAsia="仿宋_GB2312" w:hint="eastAsia"/>
          <w:sz w:val="32"/>
          <w:szCs w:val="32"/>
        </w:rPr>
        <w:t>直属学校聘请保安人员经费、攀枝花开放大学法律服务费、攀枝花开放大学教学保障经费、空调柜机采购项目、报告厅LED屏体设备及控制系统采购项目、新四楼阶梯教室改造修缮设备采购项目等6个项目开展了预算事前绩效评估，对6个项目编制了绩效目标，预算执行过程中，选取6个项目开展绩效监控。</w:t>
      </w:r>
    </w:p>
    <w:p w:rsidR="00414195" w:rsidRDefault="004C5CC2">
      <w:pPr>
        <w:spacing w:line="600" w:lineRule="exact"/>
        <w:ind w:firstLine="640"/>
        <w:rPr>
          <w:rFonts w:eastAsia="仿宋_GB2312" w:cs="仿宋_GB2312"/>
          <w:sz w:val="32"/>
          <w:szCs w:val="32"/>
        </w:rPr>
      </w:pPr>
      <w:r>
        <w:rPr>
          <w:rFonts w:eastAsia="仿宋_GB2312" w:cs="仿宋_GB2312" w:hint="eastAsia"/>
          <w:sz w:val="32"/>
          <w:szCs w:val="32"/>
        </w:rPr>
        <w:lastRenderedPageBreak/>
        <w:t>组织对</w:t>
      </w:r>
      <w:r>
        <w:rPr>
          <w:rFonts w:eastAsia="仿宋_GB2312" w:cs="仿宋_GB2312" w:hint="eastAsia"/>
          <w:sz w:val="32"/>
          <w:szCs w:val="32"/>
        </w:rPr>
        <w:t>2024</w:t>
      </w:r>
      <w:r>
        <w:rPr>
          <w:rFonts w:eastAsia="仿宋_GB2312" w:cs="仿宋_GB2312" w:hint="eastAsia"/>
          <w:sz w:val="32"/>
          <w:szCs w:val="32"/>
        </w:rPr>
        <w:t>年度一般公共预算、政府性基金预算、国有资本经营预算、社会保险基金预算以及资本资产、债券资金等全面开展绩效自评，形成攀枝花开放大学整体绩效自评报告，整体绩效自评得分为</w:t>
      </w:r>
      <w:r>
        <w:rPr>
          <w:rFonts w:eastAsia="仿宋_GB2312" w:cs="仿宋_GB2312" w:hint="eastAsia"/>
          <w:sz w:val="32"/>
          <w:szCs w:val="32"/>
        </w:rPr>
        <w:t>93.5</w:t>
      </w:r>
      <w:r>
        <w:rPr>
          <w:rFonts w:eastAsia="仿宋_GB2312" w:cs="仿宋_GB2312" w:hint="eastAsia"/>
          <w:sz w:val="32"/>
          <w:szCs w:val="32"/>
        </w:rPr>
        <w:t>分。学校围绕年度绩效目标任务，团结拼搏，锐意进取，扎实工作，基本完成了各项工作任务。预算编制准确，整体绩效目标编制完整、合理；严格执行预算制度和各项财经纪律，整体绩效目标基本实现；绩效评价公开、合理，与学校绩效工资挂钩，绩效管理工作做到了事前申报、事中监控、事后评价和应用。</w:t>
      </w:r>
    </w:p>
    <w:p w:rsidR="00414195" w:rsidRDefault="004C5CC2">
      <w:pPr>
        <w:widowControl/>
        <w:jc w:val="left"/>
        <w:rPr>
          <w:rFonts w:eastAsia="仿宋_GB2312" w:cs="仿宋_GB2312"/>
          <w:sz w:val="32"/>
          <w:szCs w:val="32"/>
        </w:rPr>
      </w:pPr>
      <w:r>
        <w:rPr>
          <w:rFonts w:eastAsia="仿宋_GB2312" w:cs="仿宋_GB2312"/>
          <w:sz w:val="32"/>
          <w:szCs w:val="32"/>
        </w:rPr>
        <w:br w:type="page"/>
      </w:r>
    </w:p>
    <w:p w:rsidR="00414195" w:rsidRDefault="00414195">
      <w:pPr>
        <w:spacing w:line="600" w:lineRule="exact"/>
        <w:ind w:firstLine="640"/>
        <w:rPr>
          <w:rFonts w:eastAsia="仿宋_GB2312" w:cs="仿宋_GB2312"/>
          <w:sz w:val="32"/>
          <w:szCs w:val="32"/>
        </w:rPr>
      </w:pPr>
    </w:p>
    <w:p w:rsidR="00414195" w:rsidRDefault="004C5CC2">
      <w:pPr>
        <w:spacing w:line="600" w:lineRule="exact"/>
        <w:jc w:val="center"/>
        <w:outlineLvl w:val="0"/>
        <w:rPr>
          <w:rFonts w:eastAsia="黑体"/>
          <w:sz w:val="44"/>
          <w:szCs w:val="44"/>
        </w:rPr>
      </w:pPr>
      <w:bookmarkStart w:id="44" w:name="_Toc15377225"/>
      <w:bookmarkStart w:id="45" w:name="_Toc15396613"/>
      <w:r>
        <w:rPr>
          <w:rFonts w:eastAsia="黑体" w:hint="eastAsia"/>
          <w:sz w:val="44"/>
          <w:szCs w:val="44"/>
        </w:rPr>
        <w:t>第三部分</w:t>
      </w:r>
      <w:r>
        <w:rPr>
          <w:rFonts w:eastAsia="黑体" w:hint="eastAsia"/>
          <w:sz w:val="44"/>
          <w:szCs w:val="44"/>
        </w:rPr>
        <w:t xml:space="preserve">  </w:t>
      </w:r>
      <w:r>
        <w:rPr>
          <w:rFonts w:eastAsia="黑体" w:hint="eastAsia"/>
          <w:sz w:val="44"/>
          <w:szCs w:val="44"/>
        </w:rPr>
        <w:t>名词解释</w:t>
      </w:r>
      <w:bookmarkEnd w:id="44"/>
      <w:bookmarkEnd w:id="45"/>
    </w:p>
    <w:p w:rsidR="00414195" w:rsidRDefault="00414195">
      <w:pPr>
        <w:suppressAutoHyphens/>
        <w:ind w:firstLineChars="200" w:firstLine="640"/>
        <w:rPr>
          <w:rFonts w:ascii="仿宋_GB2312" w:eastAsia="仿宋_GB2312" w:hAnsi="Calibri" w:cs="仿宋"/>
          <w:kern w:val="0"/>
          <w:sz w:val="32"/>
          <w:szCs w:val="32"/>
        </w:rPr>
      </w:pPr>
    </w:p>
    <w:p w:rsidR="00414195" w:rsidRDefault="004C5CC2">
      <w:pPr>
        <w:suppressAutoHyphens/>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1.财政拨款收入：指单位从同级财政部门取得的财政预算资金。</w:t>
      </w:r>
    </w:p>
    <w:p w:rsidR="00414195" w:rsidRDefault="004C5CC2">
      <w:pPr>
        <w:suppressAutoHyphens/>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2.事业收入：指事业单位开展专业业务活动及辅助活动取得的收入。</w:t>
      </w:r>
    </w:p>
    <w:p w:rsidR="00414195" w:rsidRDefault="004C5CC2">
      <w:pPr>
        <w:suppressAutoHyphens/>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3.年初结转和结余：指以前年度尚未完成、结转到本年按有关规定继续使用的资金。</w:t>
      </w:r>
    </w:p>
    <w:p w:rsidR="00414195" w:rsidRDefault="004C5CC2">
      <w:pPr>
        <w:suppressAutoHyphens/>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4.教育支出（类）广播电视教育（款）广播电视学校（项）：指各类普通教育支出中，反映广播电视教育支出的，由各部门举办广播电视学校的支出。</w:t>
      </w:r>
    </w:p>
    <w:p w:rsidR="00414195" w:rsidRDefault="004C5CC2">
      <w:pPr>
        <w:suppressAutoHyphens/>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5.社会保障和就业支出（类）人力资源和社会保障管理事务（款）其他人力资源和社会保障管理事务支出（项）：指反映其他用于人力资源和社会保障管理事务方面的支出。</w:t>
      </w:r>
    </w:p>
    <w:p w:rsidR="00414195" w:rsidRDefault="004C5CC2">
      <w:pPr>
        <w:suppressAutoHyphens/>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6. 社会保障和就业支出（类）行政事业单位基本养老保险支出（款）行政事业单位基本养老保险缴费支出（项）:指反映机关事业单位实施养老保险制度由单位缴纳的基本养老保险费支出。</w:t>
      </w:r>
    </w:p>
    <w:p w:rsidR="00414195" w:rsidRDefault="004C5CC2">
      <w:pPr>
        <w:suppressAutoHyphens/>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7.社会保障和就业支出（类）抚恤（款）死亡抚恤（项）：指反映按规定用于烈士和牺牲、病故人员家属的一次性和定期抚恤金以及丧葬补助费。</w:t>
      </w:r>
    </w:p>
    <w:p w:rsidR="00414195" w:rsidRDefault="004C5CC2">
      <w:pPr>
        <w:suppressAutoHyphens/>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lastRenderedPageBreak/>
        <w:t>8.住房保障支出（类）住房改革支出（款）住房公积金（项）：指反映行政事业单位按人力资源和社会保障部、财政部规定的基本工资和津贴补贴以及规定比例为职工缴纳的住房公积金。</w:t>
      </w:r>
    </w:p>
    <w:p w:rsidR="00414195" w:rsidRDefault="004C5CC2">
      <w:pPr>
        <w:suppressAutoHyphens/>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9.教育支出（类）教育费附加安排的支出（款）其他教育费附加安排的支出（项）：指反映用教育费附加安排的支出中其他类教育费附加支出。</w:t>
      </w:r>
    </w:p>
    <w:p w:rsidR="00414195" w:rsidRDefault="004C5CC2">
      <w:pPr>
        <w:suppressAutoHyphens/>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10.基本支出：指为保障机构正常运转、完成日常工作任务而发生的人员支出和公用支出。</w:t>
      </w:r>
    </w:p>
    <w:p w:rsidR="00414195" w:rsidRDefault="004C5CC2">
      <w:pPr>
        <w:suppressAutoHyphens/>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11.项目支出：指在基本支出之外为完成特定行政任务和事业发展目标所发生的支出。</w:t>
      </w:r>
    </w:p>
    <w:p w:rsidR="00414195" w:rsidRDefault="004C5CC2">
      <w:pPr>
        <w:autoSpaceDE w:val="0"/>
        <w:autoSpaceDN w:val="0"/>
        <w:adjustRightInd w:val="0"/>
        <w:spacing w:line="560" w:lineRule="exact"/>
        <w:ind w:firstLineChars="200" w:firstLine="640"/>
        <w:jc w:val="left"/>
        <w:rPr>
          <w:rFonts w:ascii="仿宋_GB2312" w:eastAsia="仿宋_GB2312" w:hAnsi="Calibri" w:cs="仿宋"/>
          <w:kern w:val="0"/>
          <w:sz w:val="32"/>
          <w:szCs w:val="32"/>
        </w:rPr>
      </w:pPr>
      <w:r>
        <w:rPr>
          <w:rFonts w:ascii="仿宋_GB2312" w:eastAsia="仿宋_GB2312" w:hAnsi="Calibri" w:cs="仿宋" w:hint="eastAsia"/>
          <w:kern w:val="0"/>
          <w:sz w:val="32"/>
          <w:szCs w:val="32"/>
        </w:rPr>
        <w:t>12. “三公”经费：指单位用财政拨款安排的因公出国（境）费、公务用车购置及运行费和公务接待费。其中，因公出国（境）</w:t>
      </w:r>
      <w:proofErr w:type="gramStart"/>
      <w:r>
        <w:rPr>
          <w:rFonts w:ascii="仿宋_GB2312" w:eastAsia="仿宋_GB2312" w:hAnsi="Calibri" w:cs="仿宋" w:hint="eastAsia"/>
          <w:kern w:val="0"/>
          <w:sz w:val="32"/>
          <w:szCs w:val="32"/>
        </w:rPr>
        <w:t>费反映</w:t>
      </w:r>
      <w:proofErr w:type="gramEnd"/>
      <w:r>
        <w:rPr>
          <w:rFonts w:ascii="仿宋_GB2312" w:eastAsia="仿宋_GB2312" w:hAnsi="Calibri" w:cs="仿宋" w:hint="eastAsia"/>
          <w:kern w:val="0"/>
          <w:sz w:val="32"/>
          <w:szCs w:val="32"/>
        </w:rPr>
        <w:t>单位公务出国（境）的国际旅费、国外城市间交通费、住宿费、伙食费、培训费、公杂费等支出；公务用车购置及运行</w:t>
      </w:r>
      <w:proofErr w:type="gramStart"/>
      <w:r>
        <w:rPr>
          <w:rFonts w:ascii="仿宋_GB2312" w:eastAsia="仿宋_GB2312" w:hAnsi="Calibri" w:cs="仿宋" w:hint="eastAsia"/>
          <w:kern w:val="0"/>
          <w:sz w:val="32"/>
          <w:szCs w:val="32"/>
        </w:rPr>
        <w:t>费反映</w:t>
      </w:r>
      <w:proofErr w:type="gramEnd"/>
      <w:r>
        <w:rPr>
          <w:rFonts w:ascii="仿宋_GB2312" w:eastAsia="仿宋_GB2312" w:hAnsi="Calibri" w:cs="仿宋" w:hint="eastAsia"/>
          <w:kern w:val="0"/>
          <w:sz w:val="32"/>
          <w:szCs w:val="32"/>
        </w:rPr>
        <w:t>单位公务用车车辆购置支出（</w:t>
      </w:r>
      <w:proofErr w:type="gramStart"/>
      <w:r>
        <w:rPr>
          <w:rFonts w:ascii="仿宋_GB2312" w:eastAsia="仿宋_GB2312" w:hAnsi="Calibri" w:cs="仿宋" w:hint="eastAsia"/>
          <w:kern w:val="0"/>
          <w:sz w:val="32"/>
          <w:szCs w:val="32"/>
        </w:rPr>
        <w:t>含车辆</w:t>
      </w:r>
      <w:proofErr w:type="gramEnd"/>
      <w:r>
        <w:rPr>
          <w:rFonts w:ascii="仿宋_GB2312" w:eastAsia="仿宋_GB2312" w:hAnsi="Calibri" w:cs="仿宋" w:hint="eastAsia"/>
          <w:kern w:val="0"/>
          <w:sz w:val="32"/>
          <w:szCs w:val="32"/>
        </w:rPr>
        <w:t>购置税）及租用费、燃料费、维修费、过路过桥费、保险费等支出；公务接待</w:t>
      </w:r>
      <w:proofErr w:type="gramStart"/>
      <w:r>
        <w:rPr>
          <w:rFonts w:ascii="仿宋_GB2312" w:eastAsia="仿宋_GB2312" w:hAnsi="Calibri" w:cs="仿宋" w:hint="eastAsia"/>
          <w:kern w:val="0"/>
          <w:sz w:val="32"/>
          <w:szCs w:val="32"/>
        </w:rPr>
        <w:t>费反映</w:t>
      </w:r>
      <w:proofErr w:type="gramEnd"/>
      <w:r>
        <w:rPr>
          <w:rFonts w:ascii="仿宋_GB2312" w:eastAsia="仿宋_GB2312" w:hAnsi="Calibri" w:cs="仿宋" w:hint="eastAsia"/>
          <w:kern w:val="0"/>
          <w:sz w:val="32"/>
          <w:szCs w:val="32"/>
        </w:rPr>
        <w:t>单位按规定开支的各类公务接待（含外宾接待）支出。</w:t>
      </w:r>
    </w:p>
    <w:p w:rsidR="00414195" w:rsidRDefault="004C5CC2">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13</w:t>
      </w:r>
      <w:r>
        <w:rPr>
          <w:rFonts w:ascii="仿宋_GB2312" w:eastAsia="仿宋_GB2312"/>
          <w:color w:val="auto"/>
          <w:sz w:val="32"/>
          <w:szCs w:val="32"/>
        </w:rPr>
        <w:t>.</w:t>
      </w:r>
      <w:r>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w:t>
      </w:r>
      <w:r>
        <w:rPr>
          <w:rFonts w:ascii="仿宋_GB2312" w:eastAsia="仿宋_GB2312" w:hint="eastAsia"/>
          <w:color w:val="auto"/>
          <w:sz w:val="32"/>
          <w:szCs w:val="32"/>
        </w:rPr>
        <w:lastRenderedPageBreak/>
        <w:t>公用房取暖费、办公用房物业管理费、公务用车运行维护费以及其他费用。</w:t>
      </w:r>
    </w:p>
    <w:p w:rsidR="00414195" w:rsidRDefault="00414195">
      <w:pPr>
        <w:pStyle w:val="20"/>
        <w:ind w:left="420"/>
      </w:pPr>
    </w:p>
    <w:p w:rsidR="00414195" w:rsidRDefault="00414195">
      <w:pPr>
        <w:pStyle w:val="20"/>
        <w:ind w:left="420"/>
      </w:pPr>
    </w:p>
    <w:p w:rsidR="00414195" w:rsidRDefault="004C5CC2">
      <w:pPr>
        <w:spacing w:line="600" w:lineRule="exact"/>
        <w:jc w:val="center"/>
        <w:rPr>
          <w:rStyle w:val="1Char"/>
          <w:rFonts w:eastAsia="黑体"/>
          <w:b w:val="0"/>
        </w:rPr>
      </w:pPr>
      <w:bookmarkStart w:id="46" w:name="_Toc15377226"/>
      <w:r>
        <w:rPr>
          <w:rFonts w:eastAsia="仿宋_GB2312" w:cs="仿宋_GB2312" w:hint="eastAsia"/>
          <w:sz w:val="32"/>
          <w:szCs w:val="32"/>
        </w:rPr>
        <w:br w:type="page"/>
      </w:r>
      <w:bookmarkStart w:id="47" w:name="_Toc15396614"/>
      <w:r>
        <w:rPr>
          <w:rFonts w:eastAsia="黑体" w:hint="eastAsia"/>
          <w:sz w:val="44"/>
          <w:szCs w:val="44"/>
        </w:rPr>
        <w:lastRenderedPageBreak/>
        <w:t>第四部分</w:t>
      </w:r>
      <w:r>
        <w:rPr>
          <w:rFonts w:eastAsia="黑体" w:hint="eastAsia"/>
          <w:sz w:val="44"/>
          <w:szCs w:val="44"/>
        </w:rPr>
        <w:t xml:space="preserve">  </w:t>
      </w:r>
      <w:r>
        <w:rPr>
          <w:rFonts w:eastAsia="黑体" w:hint="eastAsia"/>
          <w:sz w:val="44"/>
          <w:szCs w:val="44"/>
        </w:rPr>
        <w:t>附件</w:t>
      </w:r>
      <w:bookmarkEnd w:id="47"/>
    </w:p>
    <w:p w:rsidR="00414195" w:rsidRDefault="00414195">
      <w:pPr>
        <w:spacing w:line="572" w:lineRule="exact"/>
        <w:ind w:firstLineChars="200" w:firstLine="640"/>
        <w:jc w:val="left"/>
        <w:outlineLvl w:val="0"/>
        <w:rPr>
          <w:rFonts w:eastAsia="仿宋_GB2312" w:cs="仿宋_GB2312"/>
          <w:sz w:val="32"/>
          <w:szCs w:val="32"/>
        </w:rPr>
      </w:pPr>
    </w:p>
    <w:p w:rsidR="00414195" w:rsidRDefault="004C5CC2">
      <w:pPr>
        <w:spacing w:line="572" w:lineRule="exact"/>
        <w:ind w:firstLineChars="200" w:firstLine="640"/>
        <w:jc w:val="left"/>
        <w:outlineLvl w:val="0"/>
        <w:rPr>
          <w:rFonts w:eastAsia="仿宋_GB2312" w:cs="仿宋_GB2312"/>
          <w:sz w:val="32"/>
          <w:szCs w:val="32"/>
        </w:rPr>
      </w:pPr>
      <w:r>
        <w:rPr>
          <w:rFonts w:eastAsia="仿宋_GB2312" w:cs="仿宋_GB2312" w:hint="eastAsia"/>
          <w:sz w:val="32"/>
          <w:szCs w:val="32"/>
        </w:rPr>
        <w:t>部门预算项目支出绩效自评表（</w:t>
      </w:r>
      <w:r>
        <w:rPr>
          <w:rFonts w:eastAsia="仿宋_GB2312" w:cs="仿宋_GB2312" w:hint="eastAsia"/>
          <w:sz w:val="32"/>
          <w:szCs w:val="32"/>
        </w:rPr>
        <w:t>2024</w:t>
      </w:r>
      <w:r>
        <w:rPr>
          <w:rFonts w:eastAsia="仿宋_GB2312" w:cs="仿宋_GB2312" w:hint="eastAsia"/>
          <w:sz w:val="32"/>
          <w:szCs w:val="32"/>
        </w:rPr>
        <w:t>年度）见附件</w:t>
      </w:r>
    </w:p>
    <w:p w:rsidR="00414195" w:rsidRDefault="00414195">
      <w:pPr>
        <w:pStyle w:val="a5"/>
        <w:spacing w:before="93"/>
        <w:rPr>
          <w:rFonts w:ascii="Times New Roman" w:cs="宋体"/>
          <w:sz w:val="32"/>
          <w:szCs w:val="32"/>
          <w:shd w:val="clear" w:color="auto" w:fill="FFFFFF"/>
          <w:lang w:val="zh-CN"/>
        </w:rPr>
      </w:pPr>
    </w:p>
    <w:p w:rsidR="00414195" w:rsidRDefault="004C5CC2">
      <w:pPr>
        <w:rPr>
          <w:rFonts w:eastAsia="黑体" w:cs="黑体"/>
          <w:kern w:val="0"/>
          <w:sz w:val="32"/>
          <w:szCs w:val="32"/>
          <w:shd w:val="clear" w:color="auto" w:fill="FFFFFF"/>
          <w:lang w:val="zh-CN"/>
        </w:rPr>
      </w:pPr>
      <w:r>
        <w:rPr>
          <w:rFonts w:eastAsia="黑体" w:cs="黑体" w:hint="eastAsia"/>
          <w:kern w:val="0"/>
          <w:sz w:val="32"/>
          <w:szCs w:val="32"/>
          <w:shd w:val="clear" w:color="auto" w:fill="FFFFFF"/>
          <w:lang w:val="zh-CN"/>
        </w:rPr>
        <w:br w:type="page"/>
      </w:r>
    </w:p>
    <w:p w:rsidR="00414195" w:rsidRDefault="004C5CC2">
      <w:pPr>
        <w:widowControl/>
        <w:jc w:val="center"/>
        <w:rPr>
          <w:rFonts w:eastAsia="仿宋"/>
        </w:rPr>
      </w:pPr>
      <w:bookmarkStart w:id="48" w:name="_Toc15396618"/>
      <w:r>
        <w:rPr>
          <w:rFonts w:eastAsia="黑体" w:hint="eastAsia"/>
          <w:sz w:val="44"/>
          <w:szCs w:val="44"/>
        </w:rPr>
        <w:lastRenderedPageBreak/>
        <w:t>第</w:t>
      </w:r>
      <w:r>
        <w:rPr>
          <w:rStyle w:val="1Char"/>
          <w:rFonts w:eastAsia="黑体" w:hint="eastAsia"/>
          <w:b w:val="0"/>
        </w:rPr>
        <w:t>五部分</w:t>
      </w:r>
      <w:r>
        <w:rPr>
          <w:rStyle w:val="1Char"/>
          <w:rFonts w:eastAsia="黑体" w:hint="eastAsia"/>
          <w:b w:val="0"/>
        </w:rPr>
        <w:t xml:space="preserve"> </w:t>
      </w:r>
      <w:r>
        <w:rPr>
          <w:rStyle w:val="1Char"/>
          <w:rFonts w:eastAsia="黑体" w:hint="eastAsia"/>
          <w:b w:val="0"/>
        </w:rPr>
        <w:t>附表</w:t>
      </w:r>
      <w:bookmarkStart w:id="49" w:name="_Toc15396619"/>
      <w:bookmarkEnd w:id="46"/>
      <w:bookmarkEnd w:id="48"/>
    </w:p>
    <w:p w:rsidR="00414195" w:rsidRDefault="00414195">
      <w:pPr>
        <w:pStyle w:val="21"/>
        <w:adjustRightInd w:val="0"/>
        <w:snapToGrid w:val="0"/>
        <w:spacing w:line="560" w:lineRule="exact"/>
        <w:jc w:val="left"/>
        <w:rPr>
          <w:rFonts w:eastAsia="仿宋_GB2312" w:cs="仿宋_GB2312"/>
          <w:sz w:val="32"/>
          <w:szCs w:val="32"/>
        </w:rPr>
      </w:pPr>
    </w:p>
    <w:p w:rsidR="00414195" w:rsidRDefault="004C5CC2">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49"/>
    </w:p>
    <w:p w:rsidR="00414195" w:rsidRDefault="004C5CC2">
      <w:pPr>
        <w:pStyle w:val="21"/>
        <w:adjustRightInd w:val="0"/>
        <w:snapToGrid w:val="0"/>
        <w:spacing w:line="560" w:lineRule="exact"/>
        <w:jc w:val="left"/>
        <w:rPr>
          <w:rFonts w:eastAsia="仿宋_GB2312" w:cs="仿宋_GB2312"/>
          <w:sz w:val="32"/>
          <w:szCs w:val="32"/>
        </w:rPr>
      </w:pPr>
      <w:bookmarkStart w:id="50" w:name="_Toc15396620"/>
      <w:r>
        <w:rPr>
          <w:rFonts w:eastAsia="仿宋_GB2312" w:cs="仿宋_GB2312" w:hint="eastAsia"/>
          <w:sz w:val="32"/>
          <w:szCs w:val="32"/>
        </w:rPr>
        <w:t>二、收入决算表</w:t>
      </w:r>
      <w:bookmarkEnd w:id="50"/>
    </w:p>
    <w:p w:rsidR="00414195" w:rsidRDefault="004C5CC2">
      <w:pPr>
        <w:pStyle w:val="21"/>
        <w:adjustRightInd w:val="0"/>
        <w:snapToGrid w:val="0"/>
        <w:spacing w:line="560" w:lineRule="exact"/>
        <w:jc w:val="left"/>
        <w:rPr>
          <w:rFonts w:eastAsia="仿宋_GB2312" w:cs="仿宋_GB2312"/>
          <w:sz w:val="32"/>
          <w:szCs w:val="32"/>
        </w:rPr>
      </w:pPr>
      <w:bookmarkStart w:id="51" w:name="_Toc15396621"/>
      <w:r>
        <w:rPr>
          <w:rFonts w:eastAsia="仿宋_GB2312" w:cs="仿宋_GB2312" w:hint="eastAsia"/>
          <w:sz w:val="32"/>
          <w:szCs w:val="32"/>
        </w:rPr>
        <w:t>三、支出决算表</w:t>
      </w:r>
      <w:bookmarkEnd w:id="51"/>
    </w:p>
    <w:p w:rsidR="00414195" w:rsidRDefault="004C5CC2">
      <w:pPr>
        <w:pStyle w:val="21"/>
        <w:adjustRightInd w:val="0"/>
        <w:snapToGrid w:val="0"/>
        <w:spacing w:line="560" w:lineRule="exact"/>
        <w:jc w:val="left"/>
        <w:rPr>
          <w:rFonts w:eastAsia="仿宋_GB2312" w:cs="仿宋_GB2312"/>
          <w:sz w:val="32"/>
          <w:szCs w:val="32"/>
        </w:rPr>
      </w:pPr>
      <w:bookmarkStart w:id="52" w:name="_Toc15396622"/>
      <w:r>
        <w:rPr>
          <w:rFonts w:eastAsia="仿宋_GB2312" w:cs="仿宋_GB2312" w:hint="eastAsia"/>
          <w:sz w:val="32"/>
          <w:szCs w:val="32"/>
        </w:rPr>
        <w:t>四、财政拨款收入支出决算总表</w:t>
      </w:r>
      <w:bookmarkEnd w:id="52"/>
    </w:p>
    <w:p w:rsidR="00414195" w:rsidRDefault="004C5CC2">
      <w:pPr>
        <w:pStyle w:val="21"/>
        <w:adjustRightInd w:val="0"/>
        <w:snapToGrid w:val="0"/>
        <w:spacing w:line="560" w:lineRule="exact"/>
        <w:jc w:val="left"/>
        <w:rPr>
          <w:rFonts w:eastAsia="仿宋_GB2312" w:cs="仿宋_GB2312"/>
          <w:sz w:val="32"/>
          <w:szCs w:val="32"/>
        </w:rPr>
      </w:pPr>
      <w:bookmarkStart w:id="53" w:name="_Toc15396623"/>
      <w:r>
        <w:rPr>
          <w:rFonts w:eastAsia="仿宋_GB2312" w:cs="仿宋_GB2312" w:hint="eastAsia"/>
          <w:sz w:val="32"/>
          <w:szCs w:val="32"/>
        </w:rPr>
        <w:t>五、财政拨款支出决算明细表</w:t>
      </w:r>
      <w:bookmarkStart w:id="54" w:name="_Toc15396624"/>
      <w:bookmarkEnd w:id="53"/>
    </w:p>
    <w:p w:rsidR="00414195" w:rsidRDefault="004C5CC2">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54"/>
    </w:p>
    <w:p w:rsidR="00414195" w:rsidRDefault="004C5CC2">
      <w:pPr>
        <w:pStyle w:val="21"/>
        <w:adjustRightInd w:val="0"/>
        <w:snapToGrid w:val="0"/>
        <w:spacing w:line="560" w:lineRule="exact"/>
        <w:jc w:val="left"/>
        <w:rPr>
          <w:rFonts w:eastAsia="仿宋_GB2312" w:cs="仿宋_GB2312"/>
          <w:sz w:val="32"/>
          <w:szCs w:val="32"/>
        </w:rPr>
      </w:pPr>
      <w:bookmarkStart w:id="55" w:name="_Toc15396625"/>
      <w:r>
        <w:rPr>
          <w:rFonts w:eastAsia="仿宋_GB2312" w:cs="仿宋_GB2312" w:hint="eastAsia"/>
          <w:sz w:val="32"/>
          <w:szCs w:val="32"/>
        </w:rPr>
        <w:t>七、一般公共预算财政拨款支出决算明细表</w:t>
      </w:r>
      <w:bookmarkEnd w:id="55"/>
    </w:p>
    <w:p w:rsidR="00414195" w:rsidRDefault="004C5CC2">
      <w:pPr>
        <w:pStyle w:val="21"/>
        <w:adjustRightInd w:val="0"/>
        <w:snapToGrid w:val="0"/>
        <w:spacing w:line="560" w:lineRule="exact"/>
        <w:jc w:val="left"/>
        <w:rPr>
          <w:rFonts w:eastAsia="仿宋_GB2312" w:cs="仿宋_GB2312"/>
          <w:sz w:val="32"/>
          <w:szCs w:val="32"/>
        </w:rPr>
      </w:pPr>
      <w:bookmarkStart w:id="56" w:name="_Toc15396626"/>
      <w:r>
        <w:rPr>
          <w:rFonts w:eastAsia="仿宋_GB2312" w:cs="仿宋_GB2312" w:hint="eastAsia"/>
          <w:sz w:val="32"/>
          <w:szCs w:val="32"/>
        </w:rPr>
        <w:t>八、一般公共预算财政拨款基本支出决算表</w:t>
      </w:r>
      <w:bookmarkEnd w:id="56"/>
    </w:p>
    <w:p w:rsidR="00414195" w:rsidRDefault="004C5CC2">
      <w:pPr>
        <w:pStyle w:val="21"/>
        <w:adjustRightInd w:val="0"/>
        <w:snapToGrid w:val="0"/>
        <w:spacing w:line="560" w:lineRule="exact"/>
        <w:jc w:val="left"/>
        <w:rPr>
          <w:rFonts w:eastAsia="仿宋_GB2312" w:cs="仿宋_GB2312"/>
          <w:sz w:val="32"/>
          <w:szCs w:val="32"/>
        </w:rPr>
      </w:pPr>
      <w:bookmarkStart w:id="57" w:name="_Toc15396627"/>
      <w:r>
        <w:rPr>
          <w:rFonts w:eastAsia="仿宋_GB2312" w:cs="仿宋_GB2312" w:hint="eastAsia"/>
          <w:sz w:val="32"/>
          <w:szCs w:val="32"/>
        </w:rPr>
        <w:t>九、一般公共预算财政拨款项目支出决算表</w:t>
      </w:r>
      <w:bookmarkEnd w:id="57"/>
    </w:p>
    <w:p w:rsidR="00414195" w:rsidRDefault="004C5CC2">
      <w:pPr>
        <w:pStyle w:val="21"/>
        <w:adjustRightInd w:val="0"/>
        <w:snapToGrid w:val="0"/>
        <w:spacing w:line="560" w:lineRule="exact"/>
        <w:jc w:val="left"/>
        <w:rPr>
          <w:rFonts w:eastAsia="仿宋_GB2312" w:cs="仿宋_GB2312"/>
          <w:sz w:val="32"/>
          <w:szCs w:val="32"/>
        </w:rPr>
      </w:pPr>
      <w:bookmarkStart w:id="58" w:name="_Toc15396628"/>
      <w:r>
        <w:rPr>
          <w:rFonts w:eastAsia="仿宋_GB2312" w:cs="仿宋_GB2312" w:hint="eastAsia"/>
          <w:sz w:val="32"/>
          <w:szCs w:val="32"/>
        </w:rPr>
        <w:t>十、</w:t>
      </w:r>
      <w:bookmarkEnd w:id="58"/>
      <w:r>
        <w:rPr>
          <w:rFonts w:eastAsia="仿宋_GB2312" w:cs="仿宋_GB2312" w:hint="eastAsia"/>
          <w:sz w:val="32"/>
          <w:szCs w:val="32"/>
        </w:rPr>
        <w:t>政府性基金预算财政拨款收入支出决算表（此表无数据）</w:t>
      </w:r>
    </w:p>
    <w:p w:rsidR="00414195" w:rsidRDefault="004C5CC2">
      <w:pPr>
        <w:pStyle w:val="21"/>
        <w:adjustRightInd w:val="0"/>
        <w:snapToGrid w:val="0"/>
        <w:spacing w:line="560" w:lineRule="exact"/>
        <w:jc w:val="left"/>
        <w:rPr>
          <w:rFonts w:eastAsia="仿宋_GB2312" w:cs="仿宋_GB2312"/>
          <w:sz w:val="32"/>
          <w:szCs w:val="32"/>
        </w:rPr>
      </w:pPr>
      <w:bookmarkStart w:id="59" w:name="_Toc15396629"/>
      <w:r>
        <w:rPr>
          <w:rFonts w:eastAsia="仿宋_GB2312" w:cs="仿宋_GB2312" w:hint="eastAsia"/>
          <w:sz w:val="32"/>
          <w:szCs w:val="32"/>
        </w:rPr>
        <w:t>十一、</w:t>
      </w:r>
      <w:bookmarkEnd w:id="59"/>
      <w:r>
        <w:rPr>
          <w:rFonts w:eastAsia="仿宋_GB2312" w:cs="仿宋_GB2312" w:hint="eastAsia"/>
          <w:sz w:val="32"/>
          <w:szCs w:val="32"/>
        </w:rPr>
        <w:t>国有资本经营预算财政拨款收入支出决算表（此表无数据）</w:t>
      </w:r>
      <w:bookmarkStart w:id="60" w:name="_Toc15396630"/>
    </w:p>
    <w:p w:rsidR="00414195" w:rsidRDefault="004C5CC2">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十二、</w:t>
      </w:r>
      <w:bookmarkEnd w:id="60"/>
      <w:r>
        <w:rPr>
          <w:rFonts w:eastAsia="仿宋_GB2312" w:cs="仿宋_GB2312" w:hint="eastAsia"/>
          <w:sz w:val="32"/>
          <w:szCs w:val="32"/>
        </w:rPr>
        <w:t>国有资本经营预算财政拨款支出决算表（此表无数据）</w:t>
      </w:r>
    </w:p>
    <w:p w:rsidR="00414195" w:rsidRDefault="004C5CC2">
      <w:pPr>
        <w:pStyle w:val="21"/>
        <w:adjustRightInd w:val="0"/>
        <w:snapToGrid w:val="0"/>
        <w:spacing w:line="560" w:lineRule="exact"/>
        <w:jc w:val="left"/>
        <w:rPr>
          <w:rFonts w:eastAsia="仿宋_GB2312" w:cs="仿宋_GB2312"/>
          <w:sz w:val="32"/>
          <w:szCs w:val="32"/>
        </w:rPr>
      </w:pPr>
      <w:bookmarkStart w:id="61" w:name="_Toc15396631"/>
      <w:r>
        <w:rPr>
          <w:rFonts w:eastAsia="仿宋_GB2312" w:cs="仿宋_GB2312" w:hint="eastAsia"/>
          <w:sz w:val="32"/>
          <w:szCs w:val="32"/>
        </w:rPr>
        <w:t>十三、</w:t>
      </w:r>
      <w:bookmarkEnd w:id="61"/>
      <w:r>
        <w:rPr>
          <w:rFonts w:eastAsia="仿宋_GB2312" w:cs="仿宋_GB2312" w:hint="eastAsia"/>
          <w:sz w:val="32"/>
          <w:szCs w:val="32"/>
        </w:rPr>
        <w:t>财政拨款“三公”经费支出决算表（此表无数据）</w:t>
      </w:r>
    </w:p>
    <w:p w:rsidR="00414195" w:rsidRDefault="00414195">
      <w:pPr>
        <w:pStyle w:val="21"/>
        <w:adjustRightInd w:val="0"/>
        <w:snapToGrid w:val="0"/>
        <w:spacing w:line="560" w:lineRule="exact"/>
        <w:jc w:val="left"/>
        <w:rPr>
          <w:rFonts w:eastAsia="仿宋_GB2312" w:cs="仿宋_GB2312"/>
          <w:sz w:val="32"/>
          <w:szCs w:val="32"/>
        </w:rPr>
      </w:pPr>
    </w:p>
    <w:p w:rsidR="00414195" w:rsidRDefault="00414195"/>
    <w:sectPr w:rsidR="00414195">
      <w:footerReference w:type="default" r:id="rId18"/>
      <w:footerReference w:type="first" r:id="rId19"/>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E6C" w:rsidRDefault="00C80E6C">
      <w:r>
        <w:separator/>
      </w:r>
    </w:p>
  </w:endnote>
  <w:endnote w:type="continuationSeparator" w:id="0">
    <w:p w:rsidR="00C80E6C" w:rsidRDefault="00C8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roman"/>
    <w:pitch w:val="default"/>
  </w:font>
  <w:font w:name="方正小标宋简体">
    <w:altName w:val="黑体"/>
    <w:charset w:val="86"/>
    <w:family w:val="script"/>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195" w:rsidRDefault="00414195">
    <w:pPr>
      <w:pStyle w:val="a7"/>
      <w:jc w:val="center"/>
    </w:pPr>
  </w:p>
  <w:p w:rsidR="00414195" w:rsidRDefault="0041419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838562"/>
      <w:docPartObj>
        <w:docPartGallery w:val="AutoText"/>
      </w:docPartObj>
    </w:sdtPr>
    <w:sdtEndPr/>
    <w:sdtContent>
      <w:p w:rsidR="00414195" w:rsidRDefault="004C5CC2">
        <w:pPr>
          <w:pStyle w:val="a7"/>
          <w:jc w:val="center"/>
        </w:pPr>
        <w:r>
          <w:fldChar w:fldCharType="begin"/>
        </w:r>
        <w:r>
          <w:instrText>PAGE   \* MERGEFORMAT</w:instrText>
        </w:r>
        <w:r>
          <w:fldChar w:fldCharType="separate"/>
        </w:r>
        <w:r w:rsidR="00D270DC" w:rsidRPr="00D270DC">
          <w:rPr>
            <w:noProof/>
            <w:lang w:val="zh-CN"/>
          </w:rPr>
          <w:t>-</w:t>
        </w:r>
        <w:r w:rsidR="00D270DC">
          <w:rPr>
            <w:noProof/>
          </w:rPr>
          <w:t xml:space="preserve"> 1 -</w:t>
        </w:r>
        <w:r>
          <w:fldChar w:fldCharType="end"/>
        </w:r>
      </w:p>
    </w:sdtContent>
  </w:sdt>
  <w:p w:rsidR="00414195" w:rsidRDefault="0041419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693748"/>
      <w:docPartObj>
        <w:docPartGallery w:val="AutoText"/>
      </w:docPartObj>
    </w:sdtPr>
    <w:sdtEndPr/>
    <w:sdtContent>
      <w:p w:rsidR="00414195" w:rsidRDefault="004C5CC2">
        <w:pPr>
          <w:pStyle w:val="a7"/>
          <w:jc w:val="center"/>
        </w:pPr>
        <w:r>
          <w:fldChar w:fldCharType="begin"/>
        </w:r>
        <w:r>
          <w:instrText>PAGE   \* MERGEFORMAT</w:instrText>
        </w:r>
        <w:r>
          <w:fldChar w:fldCharType="separate"/>
        </w:r>
        <w:r w:rsidR="00EA5507" w:rsidRPr="00EA5507">
          <w:rPr>
            <w:noProof/>
            <w:lang w:val="zh-CN"/>
          </w:rPr>
          <w:t>-</w:t>
        </w:r>
        <w:r w:rsidR="00EA5507">
          <w:rPr>
            <w:noProof/>
          </w:rPr>
          <w:t xml:space="preserve"> 10 -</w:t>
        </w:r>
        <w:r>
          <w:fldChar w:fldCharType="end"/>
        </w:r>
      </w:p>
    </w:sdtContent>
  </w:sdt>
  <w:p w:rsidR="00414195" w:rsidRDefault="00414195">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936753"/>
      <w:docPartObj>
        <w:docPartGallery w:val="AutoText"/>
      </w:docPartObj>
    </w:sdtPr>
    <w:sdtEndPr/>
    <w:sdtContent>
      <w:p w:rsidR="00414195" w:rsidRDefault="004C5CC2">
        <w:pPr>
          <w:pStyle w:val="a7"/>
          <w:jc w:val="center"/>
        </w:pPr>
        <w:r>
          <w:fldChar w:fldCharType="begin"/>
        </w:r>
        <w:r>
          <w:instrText>PAGE   \* MERGEFORMAT</w:instrText>
        </w:r>
        <w:r>
          <w:fldChar w:fldCharType="separate"/>
        </w:r>
        <w:r w:rsidR="00D270DC" w:rsidRPr="00D270DC">
          <w:rPr>
            <w:noProof/>
            <w:lang w:val="zh-CN"/>
          </w:rPr>
          <w:t>-</w:t>
        </w:r>
        <w:r w:rsidR="00D270DC">
          <w:rPr>
            <w:noProof/>
          </w:rPr>
          <w:t xml:space="preserve"> 2 -</w:t>
        </w:r>
        <w:r>
          <w:fldChar w:fldCharType="end"/>
        </w:r>
      </w:p>
    </w:sdtContent>
  </w:sdt>
  <w:p w:rsidR="00414195" w:rsidRDefault="0041419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E6C" w:rsidRDefault="00C80E6C">
      <w:r>
        <w:separator/>
      </w:r>
    </w:p>
  </w:footnote>
  <w:footnote w:type="continuationSeparator" w:id="0">
    <w:p w:rsidR="00C80E6C" w:rsidRDefault="00C80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195" w:rsidRDefault="00414195">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195" w:rsidRDefault="00414195">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A69EC"/>
    <w:multiLevelType w:val="multilevel"/>
    <w:tmpl w:val="664A69EC"/>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YTgwMjc5NzI2Y2FiZTkwZWRiNTQ4MDA2NGYyNmMifQ=="/>
  </w:docVars>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026BE"/>
    <w:rsid w:val="00020062"/>
    <w:rsid w:val="000222C6"/>
    <w:rsid w:val="0002549F"/>
    <w:rsid w:val="00027C41"/>
    <w:rsid w:val="000468DB"/>
    <w:rsid w:val="00063836"/>
    <w:rsid w:val="0006487A"/>
    <w:rsid w:val="00065F8F"/>
    <w:rsid w:val="00070A43"/>
    <w:rsid w:val="000768F2"/>
    <w:rsid w:val="0009184B"/>
    <w:rsid w:val="00094236"/>
    <w:rsid w:val="0009593C"/>
    <w:rsid w:val="00097322"/>
    <w:rsid w:val="000A6A92"/>
    <w:rsid w:val="000B047F"/>
    <w:rsid w:val="000B25ED"/>
    <w:rsid w:val="000B5923"/>
    <w:rsid w:val="000B5A48"/>
    <w:rsid w:val="000B6FF3"/>
    <w:rsid w:val="000C3467"/>
    <w:rsid w:val="000C3CA6"/>
    <w:rsid w:val="000C4554"/>
    <w:rsid w:val="000D1267"/>
    <w:rsid w:val="000D1D50"/>
    <w:rsid w:val="000D4DC8"/>
    <w:rsid w:val="000D5782"/>
    <w:rsid w:val="000E6613"/>
    <w:rsid w:val="000E7119"/>
    <w:rsid w:val="001130D4"/>
    <w:rsid w:val="00114E9B"/>
    <w:rsid w:val="00131910"/>
    <w:rsid w:val="00142216"/>
    <w:rsid w:val="001425DD"/>
    <w:rsid w:val="00144D6A"/>
    <w:rsid w:val="0014729F"/>
    <w:rsid w:val="00157BAB"/>
    <w:rsid w:val="001654D1"/>
    <w:rsid w:val="00173642"/>
    <w:rsid w:val="00174518"/>
    <w:rsid w:val="00181068"/>
    <w:rsid w:val="0018106D"/>
    <w:rsid w:val="00182145"/>
    <w:rsid w:val="00182861"/>
    <w:rsid w:val="00186C2C"/>
    <w:rsid w:val="001877A7"/>
    <w:rsid w:val="00191536"/>
    <w:rsid w:val="00196687"/>
    <w:rsid w:val="001B3D94"/>
    <w:rsid w:val="001C0962"/>
    <w:rsid w:val="001C5B28"/>
    <w:rsid w:val="001D1B99"/>
    <w:rsid w:val="001D2AC0"/>
    <w:rsid w:val="001D7531"/>
    <w:rsid w:val="001E737D"/>
    <w:rsid w:val="001E7932"/>
    <w:rsid w:val="001F0592"/>
    <w:rsid w:val="001F3764"/>
    <w:rsid w:val="001F52ED"/>
    <w:rsid w:val="001F7273"/>
    <w:rsid w:val="001F7506"/>
    <w:rsid w:val="002006CD"/>
    <w:rsid w:val="00202B36"/>
    <w:rsid w:val="002046F7"/>
    <w:rsid w:val="00204B7A"/>
    <w:rsid w:val="00204CDE"/>
    <w:rsid w:val="0020640F"/>
    <w:rsid w:val="0021101A"/>
    <w:rsid w:val="00220536"/>
    <w:rsid w:val="00234284"/>
    <w:rsid w:val="00235629"/>
    <w:rsid w:val="00246EE9"/>
    <w:rsid w:val="0025548A"/>
    <w:rsid w:val="00260C38"/>
    <w:rsid w:val="002616C0"/>
    <w:rsid w:val="00265372"/>
    <w:rsid w:val="002662AA"/>
    <w:rsid w:val="00280496"/>
    <w:rsid w:val="00294DC9"/>
    <w:rsid w:val="00295495"/>
    <w:rsid w:val="002A31DE"/>
    <w:rsid w:val="002B2613"/>
    <w:rsid w:val="002C15FF"/>
    <w:rsid w:val="002D6D05"/>
    <w:rsid w:val="002E051A"/>
    <w:rsid w:val="002F1818"/>
    <w:rsid w:val="002F567B"/>
    <w:rsid w:val="00307E3F"/>
    <w:rsid w:val="0031551B"/>
    <w:rsid w:val="003216A9"/>
    <w:rsid w:val="00323FCA"/>
    <w:rsid w:val="0033290D"/>
    <w:rsid w:val="00335A74"/>
    <w:rsid w:val="003404FF"/>
    <w:rsid w:val="00347570"/>
    <w:rsid w:val="00357077"/>
    <w:rsid w:val="003572F1"/>
    <w:rsid w:val="0036561B"/>
    <w:rsid w:val="0037013F"/>
    <w:rsid w:val="00371015"/>
    <w:rsid w:val="00375484"/>
    <w:rsid w:val="00380C92"/>
    <w:rsid w:val="003866F9"/>
    <w:rsid w:val="003A484F"/>
    <w:rsid w:val="003A4883"/>
    <w:rsid w:val="003B0BE0"/>
    <w:rsid w:val="003B0C1B"/>
    <w:rsid w:val="003B688C"/>
    <w:rsid w:val="003C0291"/>
    <w:rsid w:val="003C2605"/>
    <w:rsid w:val="003C39AE"/>
    <w:rsid w:val="003C7B60"/>
    <w:rsid w:val="003D0C0F"/>
    <w:rsid w:val="003D1FB2"/>
    <w:rsid w:val="003D21F3"/>
    <w:rsid w:val="003D66DA"/>
    <w:rsid w:val="003E1310"/>
    <w:rsid w:val="003E6F55"/>
    <w:rsid w:val="00406254"/>
    <w:rsid w:val="00414195"/>
    <w:rsid w:val="004223DE"/>
    <w:rsid w:val="004324DC"/>
    <w:rsid w:val="00434489"/>
    <w:rsid w:val="00437085"/>
    <w:rsid w:val="00443880"/>
    <w:rsid w:val="004464F4"/>
    <w:rsid w:val="00460D20"/>
    <w:rsid w:val="00471401"/>
    <w:rsid w:val="00473F31"/>
    <w:rsid w:val="0048263A"/>
    <w:rsid w:val="00487E5D"/>
    <w:rsid w:val="00493954"/>
    <w:rsid w:val="004A565B"/>
    <w:rsid w:val="004A711F"/>
    <w:rsid w:val="004B199D"/>
    <w:rsid w:val="004B1CAB"/>
    <w:rsid w:val="004B4690"/>
    <w:rsid w:val="004C0017"/>
    <w:rsid w:val="004C5CC2"/>
    <w:rsid w:val="004C70A2"/>
    <w:rsid w:val="004C763B"/>
    <w:rsid w:val="004D4E86"/>
    <w:rsid w:val="004E0A2D"/>
    <w:rsid w:val="004E206B"/>
    <w:rsid w:val="004E6DF7"/>
    <w:rsid w:val="004F0FBD"/>
    <w:rsid w:val="004F1934"/>
    <w:rsid w:val="004F7749"/>
    <w:rsid w:val="00505A47"/>
    <w:rsid w:val="00512FDA"/>
    <w:rsid w:val="00514B86"/>
    <w:rsid w:val="00520DA0"/>
    <w:rsid w:val="00540E5D"/>
    <w:rsid w:val="00550709"/>
    <w:rsid w:val="00556E5D"/>
    <w:rsid w:val="005664BB"/>
    <w:rsid w:val="00566FFA"/>
    <w:rsid w:val="0057481D"/>
    <w:rsid w:val="00577DED"/>
    <w:rsid w:val="005838C1"/>
    <w:rsid w:val="0058486E"/>
    <w:rsid w:val="00585B33"/>
    <w:rsid w:val="0059014D"/>
    <w:rsid w:val="005B3EF6"/>
    <w:rsid w:val="005B5C64"/>
    <w:rsid w:val="005C02C4"/>
    <w:rsid w:val="005C5337"/>
    <w:rsid w:val="005C6BD0"/>
    <w:rsid w:val="005D1C8B"/>
    <w:rsid w:val="005D36DE"/>
    <w:rsid w:val="005D468D"/>
    <w:rsid w:val="005D5CED"/>
    <w:rsid w:val="005E4C0F"/>
    <w:rsid w:val="005F1A4C"/>
    <w:rsid w:val="00605688"/>
    <w:rsid w:val="006070AF"/>
    <w:rsid w:val="006075AB"/>
    <w:rsid w:val="00607E6C"/>
    <w:rsid w:val="006101B1"/>
    <w:rsid w:val="00614E44"/>
    <w:rsid w:val="006160C8"/>
    <w:rsid w:val="0062270A"/>
    <w:rsid w:val="00622830"/>
    <w:rsid w:val="00623DA0"/>
    <w:rsid w:val="00624789"/>
    <w:rsid w:val="00630AEF"/>
    <w:rsid w:val="006325F8"/>
    <w:rsid w:val="00633463"/>
    <w:rsid w:val="00634C9A"/>
    <w:rsid w:val="006379F5"/>
    <w:rsid w:val="006439EA"/>
    <w:rsid w:val="006440E4"/>
    <w:rsid w:val="0064553D"/>
    <w:rsid w:val="00647E8C"/>
    <w:rsid w:val="00661D21"/>
    <w:rsid w:val="00661DD7"/>
    <w:rsid w:val="0066343B"/>
    <w:rsid w:val="00664777"/>
    <w:rsid w:val="00665EE3"/>
    <w:rsid w:val="006748A4"/>
    <w:rsid w:val="00681A31"/>
    <w:rsid w:val="00683E73"/>
    <w:rsid w:val="00686FED"/>
    <w:rsid w:val="006875C3"/>
    <w:rsid w:val="006A3141"/>
    <w:rsid w:val="006A5E34"/>
    <w:rsid w:val="006A7191"/>
    <w:rsid w:val="006B2422"/>
    <w:rsid w:val="006B2B9A"/>
    <w:rsid w:val="006B6AA8"/>
    <w:rsid w:val="006C1937"/>
    <w:rsid w:val="006C4CA7"/>
    <w:rsid w:val="006C5525"/>
    <w:rsid w:val="006D0EBF"/>
    <w:rsid w:val="006D30CA"/>
    <w:rsid w:val="006D5FA8"/>
    <w:rsid w:val="006F020C"/>
    <w:rsid w:val="00700A09"/>
    <w:rsid w:val="00702EF7"/>
    <w:rsid w:val="007127B7"/>
    <w:rsid w:val="0071798E"/>
    <w:rsid w:val="00721990"/>
    <w:rsid w:val="007279F6"/>
    <w:rsid w:val="007333BC"/>
    <w:rsid w:val="00737C4F"/>
    <w:rsid w:val="007416B6"/>
    <w:rsid w:val="00746F48"/>
    <w:rsid w:val="0075404D"/>
    <w:rsid w:val="0076182A"/>
    <w:rsid w:val="00767B7E"/>
    <w:rsid w:val="00767CC1"/>
    <w:rsid w:val="007770C3"/>
    <w:rsid w:val="00784D24"/>
    <w:rsid w:val="00784E20"/>
    <w:rsid w:val="00785FBA"/>
    <w:rsid w:val="00786E4A"/>
    <w:rsid w:val="007875EB"/>
    <w:rsid w:val="0079426B"/>
    <w:rsid w:val="007D1682"/>
    <w:rsid w:val="007D312A"/>
    <w:rsid w:val="007D3F19"/>
    <w:rsid w:val="007E0C63"/>
    <w:rsid w:val="007E23B0"/>
    <w:rsid w:val="007E23E5"/>
    <w:rsid w:val="007F11B1"/>
    <w:rsid w:val="007F1991"/>
    <w:rsid w:val="007F2C2F"/>
    <w:rsid w:val="007F55FC"/>
    <w:rsid w:val="007F5665"/>
    <w:rsid w:val="00800112"/>
    <w:rsid w:val="0080565A"/>
    <w:rsid w:val="008067B7"/>
    <w:rsid w:val="00813348"/>
    <w:rsid w:val="00823D97"/>
    <w:rsid w:val="008253BB"/>
    <w:rsid w:val="00833104"/>
    <w:rsid w:val="008354C2"/>
    <w:rsid w:val="0083706E"/>
    <w:rsid w:val="008408F6"/>
    <w:rsid w:val="008423A5"/>
    <w:rsid w:val="00850625"/>
    <w:rsid w:val="00853718"/>
    <w:rsid w:val="00855221"/>
    <w:rsid w:val="00855691"/>
    <w:rsid w:val="00860645"/>
    <w:rsid w:val="0086428C"/>
    <w:rsid w:val="008703F8"/>
    <w:rsid w:val="00871F71"/>
    <w:rsid w:val="00872FD8"/>
    <w:rsid w:val="008738E5"/>
    <w:rsid w:val="008816D1"/>
    <w:rsid w:val="00885AF4"/>
    <w:rsid w:val="008877A1"/>
    <w:rsid w:val="008939CD"/>
    <w:rsid w:val="008A1973"/>
    <w:rsid w:val="008B768C"/>
    <w:rsid w:val="008C167F"/>
    <w:rsid w:val="008C4DB1"/>
    <w:rsid w:val="008C4EAF"/>
    <w:rsid w:val="008C5176"/>
    <w:rsid w:val="008C7FD0"/>
    <w:rsid w:val="008D2278"/>
    <w:rsid w:val="008D3CBA"/>
    <w:rsid w:val="008E1DE7"/>
    <w:rsid w:val="008E2E5C"/>
    <w:rsid w:val="008E707C"/>
    <w:rsid w:val="008F2561"/>
    <w:rsid w:val="00900B08"/>
    <w:rsid w:val="00901708"/>
    <w:rsid w:val="00902155"/>
    <w:rsid w:val="009025BB"/>
    <w:rsid w:val="00902FA3"/>
    <w:rsid w:val="00910B5E"/>
    <w:rsid w:val="00910D49"/>
    <w:rsid w:val="00916711"/>
    <w:rsid w:val="00923564"/>
    <w:rsid w:val="0092392E"/>
    <w:rsid w:val="009250CE"/>
    <w:rsid w:val="009315F9"/>
    <w:rsid w:val="00933499"/>
    <w:rsid w:val="00935C98"/>
    <w:rsid w:val="00946945"/>
    <w:rsid w:val="00951248"/>
    <w:rsid w:val="0095152F"/>
    <w:rsid w:val="00954C49"/>
    <w:rsid w:val="00955E37"/>
    <w:rsid w:val="0097099F"/>
    <w:rsid w:val="00971997"/>
    <w:rsid w:val="00971FFC"/>
    <w:rsid w:val="0098631A"/>
    <w:rsid w:val="0098660A"/>
    <w:rsid w:val="00991474"/>
    <w:rsid w:val="009931C3"/>
    <w:rsid w:val="009A0A06"/>
    <w:rsid w:val="009A773A"/>
    <w:rsid w:val="009B2C43"/>
    <w:rsid w:val="009B4EAE"/>
    <w:rsid w:val="009B730E"/>
    <w:rsid w:val="009B7573"/>
    <w:rsid w:val="009C22F4"/>
    <w:rsid w:val="009C2A4B"/>
    <w:rsid w:val="009C2E98"/>
    <w:rsid w:val="009D3447"/>
    <w:rsid w:val="009D4711"/>
    <w:rsid w:val="009E17E5"/>
    <w:rsid w:val="009F1185"/>
    <w:rsid w:val="009F18CD"/>
    <w:rsid w:val="009F2A13"/>
    <w:rsid w:val="009F7527"/>
    <w:rsid w:val="00A04EB0"/>
    <w:rsid w:val="00A1266C"/>
    <w:rsid w:val="00A13CC1"/>
    <w:rsid w:val="00A16847"/>
    <w:rsid w:val="00A237D8"/>
    <w:rsid w:val="00A263D6"/>
    <w:rsid w:val="00A268C4"/>
    <w:rsid w:val="00A307CD"/>
    <w:rsid w:val="00A31F6F"/>
    <w:rsid w:val="00A331C8"/>
    <w:rsid w:val="00A346B5"/>
    <w:rsid w:val="00A40865"/>
    <w:rsid w:val="00A40A00"/>
    <w:rsid w:val="00A4142F"/>
    <w:rsid w:val="00A422EB"/>
    <w:rsid w:val="00A4271A"/>
    <w:rsid w:val="00A45BB7"/>
    <w:rsid w:val="00A56DF2"/>
    <w:rsid w:val="00A56E6E"/>
    <w:rsid w:val="00A67AB5"/>
    <w:rsid w:val="00A722F7"/>
    <w:rsid w:val="00A733B2"/>
    <w:rsid w:val="00A741C2"/>
    <w:rsid w:val="00A83749"/>
    <w:rsid w:val="00A91760"/>
    <w:rsid w:val="00A93B00"/>
    <w:rsid w:val="00A93C21"/>
    <w:rsid w:val="00AB64C9"/>
    <w:rsid w:val="00AB70A6"/>
    <w:rsid w:val="00AC313B"/>
    <w:rsid w:val="00AC3C6A"/>
    <w:rsid w:val="00AD5620"/>
    <w:rsid w:val="00AD656B"/>
    <w:rsid w:val="00AD7C1B"/>
    <w:rsid w:val="00AE16BA"/>
    <w:rsid w:val="00AE187D"/>
    <w:rsid w:val="00AE1EBE"/>
    <w:rsid w:val="00B03C9D"/>
    <w:rsid w:val="00B060AE"/>
    <w:rsid w:val="00B10517"/>
    <w:rsid w:val="00B14E76"/>
    <w:rsid w:val="00B161B8"/>
    <w:rsid w:val="00B2048C"/>
    <w:rsid w:val="00B249A1"/>
    <w:rsid w:val="00B24F07"/>
    <w:rsid w:val="00B310B9"/>
    <w:rsid w:val="00B34CDF"/>
    <w:rsid w:val="00B35F3F"/>
    <w:rsid w:val="00B36CBB"/>
    <w:rsid w:val="00B425E0"/>
    <w:rsid w:val="00B440AA"/>
    <w:rsid w:val="00B44B70"/>
    <w:rsid w:val="00B53C56"/>
    <w:rsid w:val="00B57DAF"/>
    <w:rsid w:val="00B7029B"/>
    <w:rsid w:val="00B75769"/>
    <w:rsid w:val="00B77EA6"/>
    <w:rsid w:val="00B80D63"/>
    <w:rsid w:val="00B81598"/>
    <w:rsid w:val="00B841F1"/>
    <w:rsid w:val="00B944D6"/>
    <w:rsid w:val="00BB4DF0"/>
    <w:rsid w:val="00BB5D88"/>
    <w:rsid w:val="00BC0A16"/>
    <w:rsid w:val="00BC289F"/>
    <w:rsid w:val="00BC2D50"/>
    <w:rsid w:val="00BC5361"/>
    <w:rsid w:val="00BC5460"/>
    <w:rsid w:val="00BC6B50"/>
    <w:rsid w:val="00BC794A"/>
    <w:rsid w:val="00BD0E25"/>
    <w:rsid w:val="00BE1391"/>
    <w:rsid w:val="00BE7963"/>
    <w:rsid w:val="00BF1238"/>
    <w:rsid w:val="00BF1496"/>
    <w:rsid w:val="00BF5BD6"/>
    <w:rsid w:val="00C03E31"/>
    <w:rsid w:val="00C33B30"/>
    <w:rsid w:val="00C33E72"/>
    <w:rsid w:val="00C35337"/>
    <w:rsid w:val="00C354B2"/>
    <w:rsid w:val="00C35554"/>
    <w:rsid w:val="00C361B7"/>
    <w:rsid w:val="00C419E8"/>
    <w:rsid w:val="00C42709"/>
    <w:rsid w:val="00C47872"/>
    <w:rsid w:val="00C5109D"/>
    <w:rsid w:val="00C533CC"/>
    <w:rsid w:val="00C5751C"/>
    <w:rsid w:val="00C61BFC"/>
    <w:rsid w:val="00C62B85"/>
    <w:rsid w:val="00C65438"/>
    <w:rsid w:val="00C80E6C"/>
    <w:rsid w:val="00C869D6"/>
    <w:rsid w:val="00C87FD8"/>
    <w:rsid w:val="00C91381"/>
    <w:rsid w:val="00C91CBB"/>
    <w:rsid w:val="00C9679A"/>
    <w:rsid w:val="00CA6EAA"/>
    <w:rsid w:val="00CB08FB"/>
    <w:rsid w:val="00CB23E0"/>
    <w:rsid w:val="00CB2AFB"/>
    <w:rsid w:val="00CB4E70"/>
    <w:rsid w:val="00CC09B6"/>
    <w:rsid w:val="00CC666F"/>
    <w:rsid w:val="00CD1E3F"/>
    <w:rsid w:val="00CD44D1"/>
    <w:rsid w:val="00CD6FCC"/>
    <w:rsid w:val="00CE44F6"/>
    <w:rsid w:val="00CE49DA"/>
    <w:rsid w:val="00CE7B61"/>
    <w:rsid w:val="00D00095"/>
    <w:rsid w:val="00D114F0"/>
    <w:rsid w:val="00D13A2C"/>
    <w:rsid w:val="00D20620"/>
    <w:rsid w:val="00D24A81"/>
    <w:rsid w:val="00D254F7"/>
    <w:rsid w:val="00D26091"/>
    <w:rsid w:val="00D2685C"/>
    <w:rsid w:val="00D270DC"/>
    <w:rsid w:val="00D34E7C"/>
    <w:rsid w:val="00D35489"/>
    <w:rsid w:val="00D36AFE"/>
    <w:rsid w:val="00D40EB0"/>
    <w:rsid w:val="00D4297C"/>
    <w:rsid w:val="00D51064"/>
    <w:rsid w:val="00D51276"/>
    <w:rsid w:val="00D56B16"/>
    <w:rsid w:val="00D7035F"/>
    <w:rsid w:val="00D73459"/>
    <w:rsid w:val="00D73DDB"/>
    <w:rsid w:val="00D81700"/>
    <w:rsid w:val="00D95B80"/>
    <w:rsid w:val="00D967B0"/>
    <w:rsid w:val="00DA634F"/>
    <w:rsid w:val="00DA65AC"/>
    <w:rsid w:val="00DB007B"/>
    <w:rsid w:val="00DB1913"/>
    <w:rsid w:val="00DB55B7"/>
    <w:rsid w:val="00DC11FE"/>
    <w:rsid w:val="00DC410D"/>
    <w:rsid w:val="00DC5A81"/>
    <w:rsid w:val="00DC68CA"/>
    <w:rsid w:val="00DC7CBA"/>
    <w:rsid w:val="00DD460A"/>
    <w:rsid w:val="00DD47A2"/>
    <w:rsid w:val="00DD73B7"/>
    <w:rsid w:val="00DE16CE"/>
    <w:rsid w:val="00DF28BC"/>
    <w:rsid w:val="00DF34B9"/>
    <w:rsid w:val="00E01053"/>
    <w:rsid w:val="00E07ACF"/>
    <w:rsid w:val="00E16FA7"/>
    <w:rsid w:val="00E26956"/>
    <w:rsid w:val="00E331A1"/>
    <w:rsid w:val="00E33202"/>
    <w:rsid w:val="00E336A9"/>
    <w:rsid w:val="00E420B0"/>
    <w:rsid w:val="00E472B1"/>
    <w:rsid w:val="00E50624"/>
    <w:rsid w:val="00E54633"/>
    <w:rsid w:val="00E568DF"/>
    <w:rsid w:val="00E57337"/>
    <w:rsid w:val="00E57375"/>
    <w:rsid w:val="00E64269"/>
    <w:rsid w:val="00E7145C"/>
    <w:rsid w:val="00E82267"/>
    <w:rsid w:val="00E853CE"/>
    <w:rsid w:val="00E867B6"/>
    <w:rsid w:val="00E9724A"/>
    <w:rsid w:val="00EA010F"/>
    <w:rsid w:val="00EA0121"/>
    <w:rsid w:val="00EA5507"/>
    <w:rsid w:val="00EB04BF"/>
    <w:rsid w:val="00EC1916"/>
    <w:rsid w:val="00EC1F08"/>
    <w:rsid w:val="00EC4087"/>
    <w:rsid w:val="00ED1B63"/>
    <w:rsid w:val="00ED3C1F"/>
    <w:rsid w:val="00ED4085"/>
    <w:rsid w:val="00ED420E"/>
    <w:rsid w:val="00ED6140"/>
    <w:rsid w:val="00ED6FBE"/>
    <w:rsid w:val="00EE2F57"/>
    <w:rsid w:val="00EE624B"/>
    <w:rsid w:val="00EF4C34"/>
    <w:rsid w:val="00EF77C6"/>
    <w:rsid w:val="00F05438"/>
    <w:rsid w:val="00F11614"/>
    <w:rsid w:val="00F1361C"/>
    <w:rsid w:val="00F143D3"/>
    <w:rsid w:val="00F156F0"/>
    <w:rsid w:val="00F160C7"/>
    <w:rsid w:val="00F2408F"/>
    <w:rsid w:val="00F240E9"/>
    <w:rsid w:val="00F36D8F"/>
    <w:rsid w:val="00F417B1"/>
    <w:rsid w:val="00F45853"/>
    <w:rsid w:val="00F50360"/>
    <w:rsid w:val="00F54586"/>
    <w:rsid w:val="00F602DF"/>
    <w:rsid w:val="00F740D3"/>
    <w:rsid w:val="00F754A1"/>
    <w:rsid w:val="00F817FD"/>
    <w:rsid w:val="00F81FD9"/>
    <w:rsid w:val="00F83E51"/>
    <w:rsid w:val="00F841AA"/>
    <w:rsid w:val="00F84A94"/>
    <w:rsid w:val="00F87E96"/>
    <w:rsid w:val="00FA23E8"/>
    <w:rsid w:val="00FA5324"/>
    <w:rsid w:val="00FD02DA"/>
    <w:rsid w:val="00FD39DE"/>
    <w:rsid w:val="00FD3CC1"/>
    <w:rsid w:val="00FD489F"/>
    <w:rsid w:val="00FD55A9"/>
    <w:rsid w:val="00FE1B28"/>
    <w:rsid w:val="00FE7BDD"/>
    <w:rsid w:val="00FF1E02"/>
    <w:rsid w:val="00FF30B4"/>
    <w:rsid w:val="00FF68E0"/>
    <w:rsid w:val="012A5EC2"/>
    <w:rsid w:val="015975B8"/>
    <w:rsid w:val="02FEBE30"/>
    <w:rsid w:val="03700BEF"/>
    <w:rsid w:val="04916F1E"/>
    <w:rsid w:val="061E35DE"/>
    <w:rsid w:val="066E0107"/>
    <w:rsid w:val="07996F6E"/>
    <w:rsid w:val="07DFD8BA"/>
    <w:rsid w:val="09867E8F"/>
    <w:rsid w:val="0A187F18"/>
    <w:rsid w:val="0A2032A3"/>
    <w:rsid w:val="0CA8290A"/>
    <w:rsid w:val="0D35B1ED"/>
    <w:rsid w:val="0E254B6B"/>
    <w:rsid w:val="0F202398"/>
    <w:rsid w:val="0F98263C"/>
    <w:rsid w:val="101860EC"/>
    <w:rsid w:val="101F47CC"/>
    <w:rsid w:val="10C055FF"/>
    <w:rsid w:val="10F03467"/>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131725"/>
    <w:rsid w:val="2BFF7BC6"/>
    <w:rsid w:val="2C8A61B5"/>
    <w:rsid w:val="2DF04E50"/>
    <w:rsid w:val="2E586DFA"/>
    <w:rsid w:val="2F040D46"/>
    <w:rsid w:val="2F6B035B"/>
    <w:rsid w:val="2FAE5751"/>
    <w:rsid w:val="2FB1A395"/>
    <w:rsid w:val="2FD9A7D8"/>
    <w:rsid w:val="2FDBF714"/>
    <w:rsid w:val="30AB6865"/>
    <w:rsid w:val="319F7F4E"/>
    <w:rsid w:val="32BD1EF1"/>
    <w:rsid w:val="3304709D"/>
    <w:rsid w:val="335F3AF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314D11"/>
    <w:rsid w:val="3D98207C"/>
    <w:rsid w:val="3DEE7CF3"/>
    <w:rsid w:val="3E740A63"/>
    <w:rsid w:val="3E78745D"/>
    <w:rsid w:val="3EE17838"/>
    <w:rsid w:val="3F55381A"/>
    <w:rsid w:val="3F7F7599"/>
    <w:rsid w:val="3FF4CAE0"/>
    <w:rsid w:val="3FF7B227"/>
    <w:rsid w:val="42A951F9"/>
    <w:rsid w:val="44E268DA"/>
    <w:rsid w:val="450D13D7"/>
    <w:rsid w:val="45506656"/>
    <w:rsid w:val="462E0BC8"/>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6A7157D"/>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680B2F"/>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semiHidden/>
    <w:qFormat/>
    <w:pPr>
      <w:snapToGrid w:val="0"/>
      <w:jc w:val="left"/>
    </w:pPr>
    <w:rPr>
      <w:sz w:val="18"/>
      <w:szCs w:val="18"/>
    </w:rPr>
  </w:style>
  <w:style w:type="paragraph" w:styleId="20">
    <w:name w:val="Body Text First Indent 2"/>
    <w:basedOn w:val="a4"/>
    <w:uiPriority w:val="99"/>
    <w:unhideWhenUsed/>
    <w:qFormat/>
    <w:pPr>
      <w:ind w:firstLineChars="200" w:firstLine="420"/>
    </w:pPr>
  </w:style>
  <w:style w:type="paragraph" w:styleId="a4">
    <w:name w:val="Body Text Indent"/>
    <w:basedOn w:val="a"/>
    <w:next w:val="20"/>
    <w:qFormat/>
    <w:pPr>
      <w:spacing w:after="120"/>
      <w:ind w:leftChars="200" w:left="200"/>
    </w:pPr>
    <w:rPr>
      <w:rFonts w:ascii="仿宋_GB2312"/>
      <w:szCs w:val="32"/>
    </w:rPr>
  </w:style>
  <w:style w:type="paragraph" w:styleId="a5">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pPr>
      <w:tabs>
        <w:tab w:val="right" w:leader="dot" w:pos="8296"/>
      </w:tabs>
      <w:ind w:leftChars="200" w:left="420"/>
    </w:pPr>
  </w:style>
  <w:style w:type="character" w:styleId="a9">
    <w:name w:val="Strong"/>
    <w:basedOn w:val="a1"/>
    <w:uiPriority w:val="99"/>
    <w:qFormat/>
    <w:rPr>
      <w:b/>
    </w:rPr>
  </w:style>
  <w:style w:type="character" w:styleId="aa">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8"/>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7"/>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5"/>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6"/>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pPr>
      <w:spacing w:line="360" w:lineRule="auto"/>
    </w:pPr>
    <w:rPr>
      <w:rFonts w:ascii="??" w:hAnsi="??"/>
      <w:color w:val="000000"/>
      <w:kern w:val="0"/>
      <w:sz w:val="28"/>
      <w:szCs w:val="21"/>
      <w:lang w:val="zh-CN"/>
    </w:rPr>
  </w:style>
  <w:style w:type="character" w:customStyle="1" w:styleId="11">
    <w:name w:val="不明显强调1"/>
    <w:basedOn w:val="a1"/>
    <w:uiPriority w:val="19"/>
    <w:qFormat/>
    <w:rPr>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semiHidden/>
    <w:qFormat/>
    <w:pPr>
      <w:snapToGrid w:val="0"/>
      <w:jc w:val="left"/>
    </w:pPr>
    <w:rPr>
      <w:sz w:val="18"/>
      <w:szCs w:val="18"/>
    </w:rPr>
  </w:style>
  <w:style w:type="paragraph" w:styleId="20">
    <w:name w:val="Body Text First Indent 2"/>
    <w:basedOn w:val="a4"/>
    <w:uiPriority w:val="99"/>
    <w:unhideWhenUsed/>
    <w:qFormat/>
    <w:pPr>
      <w:ind w:firstLineChars="200" w:firstLine="420"/>
    </w:pPr>
  </w:style>
  <w:style w:type="paragraph" w:styleId="a4">
    <w:name w:val="Body Text Indent"/>
    <w:basedOn w:val="a"/>
    <w:next w:val="20"/>
    <w:qFormat/>
    <w:pPr>
      <w:spacing w:after="120"/>
      <w:ind w:leftChars="200" w:left="200"/>
    </w:pPr>
    <w:rPr>
      <w:rFonts w:ascii="仿宋_GB2312"/>
      <w:szCs w:val="32"/>
    </w:rPr>
  </w:style>
  <w:style w:type="paragraph" w:styleId="a5">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pPr>
      <w:tabs>
        <w:tab w:val="right" w:leader="dot" w:pos="8296"/>
      </w:tabs>
      <w:ind w:leftChars="200" w:left="420"/>
    </w:pPr>
  </w:style>
  <w:style w:type="character" w:styleId="a9">
    <w:name w:val="Strong"/>
    <w:basedOn w:val="a1"/>
    <w:uiPriority w:val="99"/>
    <w:qFormat/>
    <w:rPr>
      <w:b/>
    </w:rPr>
  </w:style>
  <w:style w:type="character" w:styleId="aa">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8"/>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7"/>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5"/>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6"/>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pPr>
      <w:spacing w:line="360" w:lineRule="auto"/>
    </w:pPr>
    <w:rPr>
      <w:rFonts w:ascii="??" w:hAnsi="??"/>
      <w:color w:val="000000"/>
      <w:kern w:val="0"/>
      <w:sz w:val="28"/>
      <w:szCs w:val="21"/>
      <w:lang w:val="zh-CN"/>
    </w:rPr>
  </w:style>
  <w:style w:type="character" w:customStyle="1" w:styleId="11">
    <w:name w:val="不明显强调1"/>
    <w:basedOn w:val="a1"/>
    <w:uiPriority w:val="19"/>
    <w:qFormat/>
    <w:rPr>
      <w:i/>
      <w:i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298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F:\&#36130;&#25919;\&#20915;&#31639;\2024&#20915;&#31639;&#20844;&#24320;\&#2227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4&#20915;&#31639;&#20844;&#24320;\&#22270;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4&#20915;&#31639;&#20844;&#24320;\&#22270;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36130;&#25919;\&#20915;&#31639;\2024&#20915;&#31639;&#20844;&#24320;\&#22270;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36130;&#25919;\&#20915;&#31639;\2024&#20915;&#31639;&#20844;&#24320;\&#22270;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36130;&#25919;\&#20915;&#31639;\2024&#20915;&#31639;&#20844;&#24320;\&#2227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r>
              <a:rPr lang="zh-CN" altLang="en-US"/>
              <a:t>收入支出决算总体情况</a:t>
            </a:r>
            <a:endParaRPr lang="zh-CN" altLang="en-US" sz="1400" b="0" i="0" u="none" strike="noStrike" baseline="0">
              <a:solidFill>
                <a:srgbClr val="333333">
                  <a:alpha val="100000"/>
                </a:srgbClr>
              </a:solidFill>
              <a:latin typeface="宋体" panose="02010600030101010101" charset="-122"/>
              <a:ea typeface="宋体" panose="02010600030101010101" charset="-122"/>
              <a:cs typeface="宋体" panose="02010600030101010101" charset="-122"/>
            </a:endParaRPr>
          </a:p>
        </c:rich>
      </c:tx>
      <c:overlay val="0"/>
    </c:title>
    <c:autoTitleDeleted val="0"/>
    <c:plotArea>
      <c:layout/>
      <c:barChart>
        <c:barDir val="col"/>
        <c:grouping val="clustered"/>
        <c:varyColors val="0"/>
        <c:ser>
          <c:idx val="0"/>
          <c:order val="0"/>
          <c:tx>
            <c:strRef>
              <c:f>'[图1.xls]1'!$B$3</c:f>
              <c:strCache>
                <c:ptCount val="1"/>
                <c:pt idx="0">
                  <c:v>收入决算</c:v>
                </c:pt>
              </c:strCache>
            </c:strRef>
          </c:tx>
          <c:spPr>
            <a:solidFill>
              <a:srgbClr val="5B9BD5">
                <a:alpha val="100000"/>
              </a:srgbClr>
            </a:solidFill>
            <a:ln w="3175">
              <a:noFill/>
            </a:ln>
          </c:spPr>
          <c:invertIfNegative val="0"/>
          <c:cat>
            <c:strRef>
              <c:f>'[图1.xls]1'!$C$2:$F$2</c:f>
              <c:strCache>
                <c:ptCount val="4"/>
                <c:pt idx="0">
                  <c:v>2024年</c:v>
                </c:pt>
                <c:pt idx="1">
                  <c:v>2023年</c:v>
                </c:pt>
              </c:strCache>
            </c:strRef>
          </c:cat>
          <c:val>
            <c:numRef>
              <c:f>'[图1.xls]1'!$C$3:$F$3</c:f>
              <c:numCache>
                <c:formatCode>General</c:formatCode>
                <c:ptCount val="4"/>
                <c:pt idx="0">
                  <c:v>1635.89</c:v>
                </c:pt>
                <c:pt idx="1">
                  <c:v>1763.46</c:v>
                </c:pt>
              </c:numCache>
            </c:numRef>
          </c:val>
        </c:ser>
        <c:ser>
          <c:idx val="1"/>
          <c:order val="1"/>
          <c:tx>
            <c:strRef>
              <c:f>'[图1.xls]1'!$B$4</c:f>
              <c:strCache>
                <c:ptCount val="1"/>
                <c:pt idx="0">
                  <c:v>支出决算</c:v>
                </c:pt>
              </c:strCache>
            </c:strRef>
          </c:tx>
          <c:spPr>
            <a:solidFill>
              <a:srgbClr val="ED7D31">
                <a:alpha val="100000"/>
              </a:srgbClr>
            </a:solidFill>
            <a:ln w="3175">
              <a:noFill/>
            </a:ln>
          </c:spPr>
          <c:invertIfNegative val="0"/>
          <c:cat>
            <c:strRef>
              <c:f>'[图1.xls]1'!$C$2:$F$2</c:f>
              <c:strCache>
                <c:ptCount val="4"/>
                <c:pt idx="0">
                  <c:v>2024年</c:v>
                </c:pt>
                <c:pt idx="1">
                  <c:v>2023年</c:v>
                </c:pt>
              </c:strCache>
            </c:strRef>
          </c:cat>
          <c:val>
            <c:numRef>
              <c:f>'[图1.xls]1'!$C$4:$F$4</c:f>
              <c:numCache>
                <c:formatCode>General</c:formatCode>
                <c:ptCount val="4"/>
                <c:pt idx="0">
                  <c:v>1635.89</c:v>
                </c:pt>
                <c:pt idx="1">
                  <c:v>1763.46</c:v>
                </c:pt>
              </c:numCache>
            </c:numRef>
          </c:val>
        </c:ser>
        <c:ser>
          <c:idx val="2"/>
          <c:order val="2"/>
          <c:tx>
            <c:strRef>
              <c:f>'[图1.xls]1'!$B$5</c:f>
              <c:strCache>
                <c:ptCount val="1"/>
              </c:strCache>
            </c:strRef>
          </c:tx>
          <c:spPr>
            <a:solidFill>
              <a:srgbClr val="A5A5A5">
                <a:alpha val="100000"/>
              </a:srgbClr>
            </a:solidFill>
            <a:ln w="3175">
              <a:noFill/>
            </a:ln>
          </c:spPr>
          <c:invertIfNegative val="0"/>
          <c:cat>
            <c:strRef>
              <c:f>'[图1.xls]1'!$C$2:$F$2</c:f>
              <c:strCache>
                <c:ptCount val="4"/>
                <c:pt idx="0">
                  <c:v>2024年</c:v>
                </c:pt>
                <c:pt idx="1">
                  <c:v>2023年</c:v>
                </c:pt>
              </c:strCache>
            </c:strRef>
          </c:cat>
          <c:val>
            <c:numRef>
              <c:f>'[图1.xls]1'!$C$5:$F$5</c:f>
              <c:numCache>
                <c:formatCode>General</c:formatCode>
                <c:ptCount val="4"/>
              </c:numCache>
            </c:numRef>
          </c:val>
        </c:ser>
        <c:dLbls>
          <c:showLegendKey val="0"/>
          <c:showVal val="0"/>
          <c:showCatName val="0"/>
          <c:showSerName val="0"/>
          <c:showPercent val="0"/>
          <c:showBubbleSize val="0"/>
        </c:dLbls>
        <c:gapWidth val="219"/>
        <c:overlap val="-27"/>
        <c:axId val="301946752"/>
        <c:axId val="301978752"/>
      </c:barChart>
      <c:catAx>
        <c:axId val="30194675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endParaRPr lang="zh-CN"/>
          </a:p>
        </c:txPr>
        <c:crossAx val="301978752"/>
        <c:crosses val="autoZero"/>
        <c:auto val="1"/>
        <c:lblAlgn val="ctr"/>
        <c:lblOffset val="100"/>
        <c:noMultiLvlLbl val="0"/>
      </c:catAx>
      <c:valAx>
        <c:axId val="3019787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endParaRPr lang="zh-CN"/>
          </a:p>
        </c:txPr>
        <c:crossAx val="301946752"/>
        <c:crosses val="autoZero"/>
        <c:crossBetween val="between"/>
      </c:valAx>
      <c:spPr>
        <a:noFill/>
        <a:ln>
          <a:noFill/>
        </a:ln>
        <a:effectLst/>
      </c:spPr>
    </c:plotArea>
    <c:legend>
      <c:legendPos val="b"/>
      <c:legendEntry>
        <c:idx val="2"/>
        <c:delete val="1"/>
      </c:legendEntry>
      <c:layout>
        <c:manualLayout>
          <c:xMode val="edge"/>
          <c:yMode val="edge"/>
          <c:x val="0.36050004860503498"/>
          <c:y val="0.90452792359288403"/>
          <c:w val="0.34075007290755299"/>
          <c:h val="6.0999927092446699E-2"/>
        </c:manualLayout>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pieChart>
        <c:varyColors val="1"/>
        <c:ser>
          <c:idx val="0"/>
          <c:order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LegendKey val="0"/>
            <c:showVal val="0"/>
            <c:showCatName val="1"/>
            <c:showSerName val="0"/>
            <c:showPercent val="1"/>
            <c:showBubbleSize val="0"/>
            <c:showLeaderLines val="0"/>
            <c:extLst>
              <c:ext xmlns:c15="http://schemas.microsoft.com/office/drawing/2012/chart" uri="{CE6537A1-D6FC-4f65-9D91-7224C49458BB}">
                <c15:layout/>
                <c15:showLeaderLines val="0"/>
                <c15:leaderLines/>
              </c:ext>
            </c:extLst>
          </c:dLbls>
          <c:cat>
            <c:strRef>
              <c:f>'2'!$A$14:$A$15</c:f>
              <c:strCache>
                <c:ptCount val="2"/>
                <c:pt idx="0">
                  <c:v>一般公共预算财政拨款收入</c:v>
                </c:pt>
                <c:pt idx="1">
                  <c:v>事业收入</c:v>
                </c:pt>
              </c:strCache>
            </c:strRef>
          </c:cat>
          <c:val>
            <c:numRef>
              <c:f>'2'!$B$14:$B$15</c:f>
              <c:numCache>
                <c:formatCode>#,##0.00</c:formatCode>
                <c:ptCount val="2"/>
                <c:pt idx="0">
                  <c:v>1088.6500000000001</c:v>
                </c:pt>
                <c:pt idx="1">
                  <c:v>430.33</c:v>
                </c:pt>
              </c:numCache>
            </c:numRef>
          </c:val>
        </c:ser>
        <c:dLbls>
          <c:showLegendKey val="0"/>
          <c:showVal val="0"/>
          <c:showCatName val="0"/>
          <c:showSerName val="0"/>
          <c:showPercent val="0"/>
          <c:showBubbleSize val="0"/>
          <c:showLeaderLines val="0"/>
        </c:dLbls>
        <c:firstSliceAng val="0"/>
      </c:pieChart>
      <c:spPr>
        <a:noFill/>
        <a:ln w="25400">
          <a:noFill/>
        </a:ln>
      </c:spPr>
    </c:plotArea>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30617309918861202"/>
          <c:y val="8.8372419151577203E-2"/>
          <c:w val="0.39234038627421097"/>
          <c:h val="0.80592664184124996"/>
        </c:manualLayout>
      </c:layout>
      <c:pieChart>
        <c:varyColors val="1"/>
        <c:ser>
          <c:idx val="0"/>
          <c:order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LegendKey val="0"/>
            <c:showVal val="0"/>
            <c:showCatName val="1"/>
            <c:showSerName val="0"/>
            <c:showPercent val="1"/>
            <c:showBubbleSize val="0"/>
            <c:showLeaderLines val="0"/>
            <c:extLst>
              <c:ext xmlns:c15="http://schemas.microsoft.com/office/drawing/2012/chart" uri="{CE6537A1-D6FC-4f65-9D91-7224C49458BB}">
                <c15:layout/>
                <c15:showLeaderLines val="0"/>
                <c15:leaderLines/>
              </c:ext>
            </c:extLst>
          </c:dLbls>
          <c:cat>
            <c:strRef>
              <c:f>'3'!$A$15:$A$16</c:f>
              <c:strCache>
                <c:ptCount val="2"/>
                <c:pt idx="0">
                  <c:v>基本支出</c:v>
                </c:pt>
                <c:pt idx="1">
                  <c:v>项目支出</c:v>
                </c:pt>
              </c:strCache>
            </c:strRef>
          </c:cat>
          <c:val>
            <c:numRef>
              <c:f>'3'!$B$15:$B$16</c:f>
              <c:numCache>
                <c:formatCode>#,##0.00</c:formatCode>
                <c:ptCount val="2"/>
                <c:pt idx="0" formatCode="General">
                  <c:v>1584.88</c:v>
                </c:pt>
                <c:pt idx="1">
                  <c:v>51</c:v>
                </c:pt>
              </c:numCache>
            </c:numRef>
          </c:val>
        </c:ser>
        <c:dLbls>
          <c:showLegendKey val="0"/>
          <c:showVal val="0"/>
          <c:showCatName val="0"/>
          <c:showSerName val="0"/>
          <c:showPercent val="0"/>
          <c:showBubbleSize val="0"/>
          <c:showLeaderLines val="0"/>
        </c:dLbls>
        <c:firstSliceAng val="0"/>
      </c:pieChart>
      <c:spPr>
        <a:noFill/>
        <a:ln w="25400">
          <a:noFill/>
        </a:ln>
      </c:spPr>
    </c:plotArea>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r>
              <a:rPr lang="zh-CN" altLang="en-US"/>
              <a:t>财政拨款收、支决算总计变动情况</a:t>
            </a:r>
            <a:endParaRPr lang="zh-CN" altLang="en-US" sz="1400" b="0" i="0" u="none" strike="noStrike" baseline="0">
              <a:solidFill>
                <a:srgbClr val="333333">
                  <a:alpha val="100000"/>
                </a:srgbClr>
              </a:solidFill>
              <a:latin typeface="宋体" panose="02010600030101010101" charset="-122"/>
              <a:ea typeface="宋体" panose="02010600030101010101" charset="-122"/>
              <a:cs typeface="宋体" panose="02010600030101010101" charset="-122"/>
            </a:endParaRPr>
          </a:p>
        </c:rich>
      </c:tx>
      <c:overlay val="0"/>
    </c:title>
    <c:autoTitleDeleted val="0"/>
    <c:plotArea>
      <c:layout/>
      <c:barChart>
        <c:barDir val="col"/>
        <c:grouping val="clustered"/>
        <c:varyColors val="0"/>
        <c:ser>
          <c:idx val="0"/>
          <c:order val="0"/>
          <c:tx>
            <c:strRef>
              <c:f>'[图1.xls]4'!$B$3</c:f>
              <c:strCache>
                <c:ptCount val="1"/>
                <c:pt idx="0">
                  <c:v>财政拨款收入决算</c:v>
                </c:pt>
              </c:strCache>
            </c:strRef>
          </c:tx>
          <c:spPr>
            <a:solidFill>
              <a:srgbClr val="5B9BD5">
                <a:alpha val="100000"/>
              </a:srgbClr>
            </a:solidFill>
            <a:ln w="3175">
              <a:noFill/>
            </a:ln>
          </c:spPr>
          <c:invertIfNegative val="0"/>
          <c:cat>
            <c:strRef>
              <c:f>'[图1.xls]4'!$C$2:$F$2</c:f>
              <c:strCache>
                <c:ptCount val="4"/>
                <c:pt idx="0">
                  <c:v>2024年</c:v>
                </c:pt>
                <c:pt idx="1">
                  <c:v>2023年</c:v>
                </c:pt>
              </c:strCache>
            </c:strRef>
          </c:cat>
          <c:val>
            <c:numRef>
              <c:f>'[图1.xls]4'!$C$3:$F$3</c:f>
              <c:numCache>
                <c:formatCode>General</c:formatCode>
                <c:ptCount val="4"/>
                <c:pt idx="0">
                  <c:v>1088.6500000000001</c:v>
                </c:pt>
                <c:pt idx="1">
                  <c:v>1033.49</c:v>
                </c:pt>
              </c:numCache>
            </c:numRef>
          </c:val>
        </c:ser>
        <c:ser>
          <c:idx val="1"/>
          <c:order val="1"/>
          <c:tx>
            <c:strRef>
              <c:f>'[图1.xls]4'!$B$4</c:f>
              <c:strCache>
                <c:ptCount val="1"/>
                <c:pt idx="0">
                  <c:v>财政拨款支出决算</c:v>
                </c:pt>
              </c:strCache>
            </c:strRef>
          </c:tx>
          <c:spPr>
            <a:solidFill>
              <a:srgbClr val="ED7D31">
                <a:alpha val="100000"/>
              </a:srgbClr>
            </a:solidFill>
            <a:ln w="3175">
              <a:noFill/>
            </a:ln>
          </c:spPr>
          <c:invertIfNegative val="0"/>
          <c:cat>
            <c:strRef>
              <c:f>'[图1.xls]4'!$C$2:$F$2</c:f>
              <c:strCache>
                <c:ptCount val="4"/>
                <c:pt idx="0">
                  <c:v>2024年</c:v>
                </c:pt>
                <c:pt idx="1">
                  <c:v>2023年</c:v>
                </c:pt>
              </c:strCache>
            </c:strRef>
          </c:cat>
          <c:val>
            <c:numRef>
              <c:f>'[图1.xls]4'!$C$4:$F$4</c:f>
              <c:numCache>
                <c:formatCode>General</c:formatCode>
                <c:ptCount val="4"/>
                <c:pt idx="0">
                  <c:v>1088.6500000000001</c:v>
                </c:pt>
                <c:pt idx="1">
                  <c:v>1033.49</c:v>
                </c:pt>
              </c:numCache>
            </c:numRef>
          </c:val>
        </c:ser>
        <c:ser>
          <c:idx val="2"/>
          <c:order val="2"/>
          <c:tx>
            <c:strRef>
              <c:f>'[图1.xls]4'!$B$5</c:f>
              <c:strCache>
                <c:ptCount val="1"/>
              </c:strCache>
            </c:strRef>
          </c:tx>
          <c:spPr>
            <a:solidFill>
              <a:srgbClr val="A5A5A5">
                <a:alpha val="100000"/>
              </a:srgbClr>
            </a:solidFill>
            <a:ln w="3175">
              <a:noFill/>
            </a:ln>
          </c:spPr>
          <c:invertIfNegative val="0"/>
          <c:cat>
            <c:strRef>
              <c:f>'[图1.xls]4'!$C$2:$F$2</c:f>
              <c:strCache>
                <c:ptCount val="4"/>
                <c:pt idx="0">
                  <c:v>2024年</c:v>
                </c:pt>
                <c:pt idx="1">
                  <c:v>2023年</c:v>
                </c:pt>
              </c:strCache>
            </c:strRef>
          </c:cat>
          <c:val>
            <c:numRef>
              <c:f>'[图1.xls]4'!$C$5:$F$5</c:f>
              <c:numCache>
                <c:formatCode>General</c:formatCode>
                <c:ptCount val="4"/>
              </c:numCache>
            </c:numRef>
          </c:val>
        </c:ser>
        <c:dLbls>
          <c:showLegendKey val="0"/>
          <c:showVal val="0"/>
          <c:showCatName val="0"/>
          <c:showSerName val="0"/>
          <c:showPercent val="0"/>
          <c:showBubbleSize val="0"/>
        </c:dLbls>
        <c:gapWidth val="219"/>
        <c:overlap val="-27"/>
        <c:axId val="360646528"/>
        <c:axId val="360648064"/>
      </c:barChart>
      <c:catAx>
        <c:axId val="36064652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endParaRPr lang="zh-CN"/>
          </a:p>
        </c:txPr>
        <c:crossAx val="360648064"/>
        <c:crosses val="autoZero"/>
        <c:auto val="1"/>
        <c:lblAlgn val="ctr"/>
        <c:lblOffset val="100"/>
        <c:noMultiLvlLbl val="0"/>
      </c:catAx>
      <c:valAx>
        <c:axId val="3606480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endParaRPr lang="zh-CN"/>
          </a:p>
        </c:txPr>
        <c:crossAx val="360646528"/>
        <c:crosses val="autoZero"/>
        <c:crossBetween val="between"/>
      </c:valAx>
      <c:spPr>
        <a:noFill/>
        <a:ln>
          <a:noFill/>
        </a:ln>
        <a:effectLst/>
      </c:spPr>
    </c:plotArea>
    <c:legend>
      <c:legendPos val="b"/>
      <c:legendEntry>
        <c:idx val="2"/>
        <c:delete val="1"/>
      </c:legendEntry>
      <c:layout>
        <c:manualLayout>
          <c:xMode val="edge"/>
          <c:yMode val="edge"/>
          <c:x val="0.38641982136706099"/>
          <c:y val="0.89930571399423098"/>
          <c:w val="0.48950626088559601"/>
          <c:h val="5.5786984224145103E-2"/>
        </c:manualLayout>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r>
              <a:rPr lang="zh-CN" altLang="en-US"/>
              <a:t>一般公共预算财政拨款支出决算变动情况</a:t>
            </a:r>
            <a:endParaRPr lang="zh-CN" altLang="en-US" sz="1400" b="0" i="0" u="none" strike="noStrike" baseline="0">
              <a:solidFill>
                <a:srgbClr val="333333">
                  <a:alpha val="100000"/>
                </a:srgbClr>
              </a:solidFill>
              <a:latin typeface="宋体" panose="02010600030101010101" charset="-122"/>
              <a:ea typeface="宋体" panose="02010600030101010101" charset="-122"/>
              <a:cs typeface="宋体" panose="02010600030101010101" charset="-122"/>
            </a:endParaRPr>
          </a:p>
        </c:rich>
      </c:tx>
      <c:overlay val="0"/>
    </c:title>
    <c:autoTitleDeleted val="0"/>
    <c:plotArea>
      <c:layout/>
      <c:barChart>
        <c:barDir val="col"/>
        <c:grouping val="clustered"/>
        <c:varyColors val="0"/>
        <c:ser>
          <c:idx val="0"/>
          <c:order val="0"/>
          <c:tx>
            <c:strRef>
              <c:f>'[图1.xls]5'!$B$3</c:f>
              <c:strCache>
                <c:ptCount val="1"/>
              </c:strCache>
            </c:strRef>
          </c:tx>
          <c:spPr>
            <a:solidFill>
              <a:srgbClr val="5B9BD5">
                <a:alpha val="100000"/>
              </a:srgbClr>
            </a:solidFill>
            <a:ln w="3175">
              <a:noFill/>
            </a:ln>
          </c:spPr>
          <c:invertIfNegative val="0"/>
          <c:cat>
            <c:strRef>
              <c:f>'[图1.xls]5'!$C$2:$F$2</c:f>
              <c:strCache>
                <c:ptCount val="4"/>
                <c:pt idx="0">
                  <c:v>2024年</c:v>
                </c:pt>
                <c:pt idx="1">
                  <c:v>2023年</c:v>
                </c:pt>
              </c:strCache>
            </c:strRef>
          </c:cat>
          <c:val>
            <c:numRef>
              <c:f>'[图1.xls]5'!$C$3:$F$3</c:f>
              <c:numCache>
                <c:formatCode>General</c:formatCode>
                <c:ptCount val="4"/>
              </c:numCache>
            </c:numRef>
          </c:val>
        </c:ser>
        <c:ser>
          <c:idx val="1"/>
          <c:order val="1"/>
          <c:tx>
            <c:strRef>
              <c:f>'[图1.xls]5'!$B$4</c:f>
              <c:strCache>
                <c:ptCount val="1"/>
                <c:pt idx="0">
                  <c:v>一般公共预算财政拨款支出决算数</c:v>
                </c:pt>
              </c:strCache>
            </c:strRef>
          </c:tx>
          <c:spPr>
            <a:solidFill>
              <a:srgbClr val="ED7D31">
                <a:alpha val="100000"/>
              </a:srgbClr>
            </a:solidFill>
            <a:ln w="3175">
              <a:noFill/>
            </a:ln>
          </c:spPr>
          <c:invertIfNegative val="0"/>
          <c:cat>
            <c:strRef>
              <c:f>'[图1.xls]5'!$C$2:$F$2</c:f>
              <c:strCache>
                <c:ptCount val="4"/>
                <c:pt idx="0">
                  <c:v>2024年</c:v>
                </c:pt>
                <c:pt idx="1">
                  <c:v>2023年</c:v>
                </c:pt>
              </c:strCache>
            </c:strRef>
          </c:cat>
          <c:val>
            <c:numRef>
              <c:f>'[图1.xls]5'!$C$4:$F$4</c:f>
              <c:numCache>
                <c:formatCode>General</c:formatCode>
                <c:ptCount val="4"/>
                <c:pt idx="0">
                  <c:v>1088.6500000000001</c:v>
                </c:pt>
                <c:pt idx="1">
                  <c:v>1033.49</c:v>
                </c:pt>
              </c:numCache>
            </c:numRef>
          </c:val>
        </c:ser>
        <c:ser>
          <c:idx val="2"/>
          <c:order val="2"/>
          <c:tx>
            <c:strRef>
              <c:f>'[图1.xls]5'!$B$5</c:f>
              <c:strCache>
                <c:ptCount val="1"/>
              </c:strCache>
            </c:strRef>
          </c:tx>
          <c:spPr>
            <a:solidFill>
              <a:srgbClr val="A5A5A5">
                <a:alpha val="100000"/>
              </a:srgbClr>
            </a:solidFill>
            <a:ln w="3175">
              <a:noFill/>
            </a:ln>
          </c:spPr>
          <c:invertIfNegative val="0"/>
          <c:cat>
            <c:strRef>
              <c:f>'[图1.xls]5'!$C$2:$F$2</c:f>
              <c:strCache>
                <c:ptCount val="4"/>
                <c:pt idx="0">
                  <c:v>2024年</c:v>
                </c:pt>
                <c:pt idx="1">
                  <c:v>2023年</c:v>
                </c:pt>
              </c:strCache>
            </c:strRef>
          </c:cat>
          <c:val>
            <c:numRef>
              <c:f>'[图1.xls]5'!$C$5:$F$5</c:f>
              <c:numCache>
                <c:formatCode>General</c:formatCode>
                <c:ptCount val="4"/>
              </c:numCache>
            </c:numRef>
          </c:val>
        </c:ser>
        <c:dLbls>
          <c:showLegendKey val="0"/>
          <c:showVal val="0"/>
          <c:showCatName val="0"/>
          <c:showSerName val="0"/>
          <c:showPercent val="0"/>
          <c:showBubbleSize val="0"/>
        </c:dLbls>
        <c:gapWidth val="219"/>
        <c:overlap val="-27"/>
        <c:axId val="360703488"/>
        <c:axId val="360705024"/>
      </c:barChart>
      <c:catAx>
        <c:axId val="36070348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endParaRPr lang="zh-CN"/>
          </a:p>
        </c:txPr>
        <c:crossAx val="360705024"/>
        <c:crosses val="autoZero"/>
        <c:auto val="1"/>
        <c:lblAlgn val="ctr"/>
        <c:lblOffset val="100"/>
        <c:noMultiLvlLbl val="0"/>
      </c:catAx>
      <c:valAx>
        <c:axId val="3607050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endParaRPr lang="zh-CN"/>
          </a:p>
        </c:txPr>
        <c:crossAx val="360703488"/>
        <c:crosses val="autoZero"/>
        <c:crossBetween val="between"/>
      </c:valAx>
      <c:spPr>
        <a:noFill/>
        <a:ln>
          <a:noFill/>
        </a:ln>
        <a:effectLst/>
      </c:spPr>
    </c:plotArea>
    <c:legend>
      <c:legendPos val="b"/>
      <c:legendEntry>
        <c:idx val="0"/>
        <c:delete val="1"/>
      </c:legendEntry>
      <c:legendEntry>
        <c:idx val="2"/>
        <c:delete val="1"/>
      </c:legendEntry>
      <c:layout>
        <c:manualLayout>
          <c:xMode val="edge"/>
          <c:yMode val="edge"/>
          <c:x val="0.38641982136706099"/>
          <c:y val="0.89930571399423098"/>
          <c:w val="0.48950626088559601"/>
          <c:h val="5.5786984224145103E-2"/>
        </c:manualLayout>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'[图1.xls]6'!$A$46:$A$49</c:f>
              <c:strCache>
                <c:ptCount val="4"/>
                <c:pt idx="0">
                  <c:v>教育支出</c:v>
                </c:pt>
                <c:pt idx="1">
                  <c:v>社会保障和就业支出</c:v>
                </c:pt>
                <c:pt idx="2">
                  <c:v>卫生健康支出</c:v>
                </c:pt>
                <c:pt idx="3">
                  <c:v>住房保障支出</c:v>
                </c:pt>
              </c:strCache>
            </c:strRef>
          </c:cat>
          <c:val>
            <c:numRef>
              <c:f>'[图1.xls]6'!$B$46:$B$49</c:f>
              <c:numCache>
                <c:formatCode>#,##0.00</c:formatCode>
                <c:ptCount val="4"/>
                <c:pt idx="0">
                  <c:v>818.22</c:v>
                </c:pt>
                <c:pt idx="1">
                  <c:v>139.36000000000001</c:v>
                </c:pt>
                <c:pt idx="2">
                  <c:v>54.6</c:v>
                </c:pt>
                <c:pt idx="3">
                  <c:v>76.48</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zero"/>
    <c:showDLblsOverMax val="0"/>
  </c:chart>
  <c:txPr>
    <a:bodyPr wrap="square"/>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850</Words>
  <Characters>4850</Characters>
  <Application>Microsoft Office Word</Application>
  <DocSecurity>0</DocSecurity>
  <Lines>40</Lines>
  <Paragraphs>11</Paragraphs>
  <ScaleCrop>false</ScaleCrop>
  <Company>四川省财政厅</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175</cp:revision>
  <cp:lastPrinted>2025-08-06T17:34:00Z</cp:lastPrinted>
  <dcterms:created xsi:type="dcterms:W3CDTF">2020-08-09T09:49:00Z</dcterms:created>
  <dcterms:modified xsi:type="dcterms:W3CDTF">2025-09-08T07:23:00Z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04787F2533EB45DC91BCDE4AB213247F</vt:lpwstr>
  </property>
</Properties>
</file>