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101"/>
        <w:ind w:left="143"/>
        <w:rPr>
          <w:rFonts w:ascii="黑体" w:eastAsia="黑体" w:hAnsi="黑体"/>
          <w:sz w:val="31"/>
          <w:szCs w:val="31"/>
        </w:rPr>
      </w:pPr>
      <w:r>
        <w:rPr>
          <w:rFonts w:ascii="黑体" w:eastAsia="黑体" w:hAnsi="黑体" w:hint="eastAsia"/>
          <w:spacing w:val="-6"/>
          <w:sz w:val="31"/>
          <w:szCs w:val="31"/>
        </w:rPr>
        <w:t>附件</w:t>
      </w:r>
    </w:p>
    <w:p>
      <w:pPr>
        <w:spacing w:before="264"/>
        <w:jc w:val="center"/>
        <w:rPr>
          <w:rFonts w:ascii="微软雅黑" w:eastAsia="微软雅黑" w:hAnsi="微软雅黑"/>
          <w:sz w:val="43"/>
          <w:szCs w:val="43"/>
        </w:rPr>
      </w:pPr>
      <w:bookmarkStart w:id="0" w:name="_GoBack"/>
      <w:r>
        <w:rPr>
          <w:rFonts w:ascii="微软雅黑" w:eastAsia="微软雅黑" w:hAnsi="微软雅黑"/>
          <w:spacing w:val="8"/>
          <w:sz w:val="43"/>
          <w:szCs w:val="43"/>
        </w:rPr>
        <w:t>攀枝花市教育和体育局</w:t>
      </w:r>
      <w:r>
        <w:rPr>
          <w:rFonts w:ascii="微软雅黑" w:eastAsia="微软雅黑" w:hAnsi="微软雅黑" w:hint="eastAsia"/>
          <w:spacing w:val="8"/>
          <w:sz w:val="43"/>
          <w:szCs w:val="43"/>
        </w:rPr>
        <w:t>行政执法事项目录清单</w:t>
      </w:r>
    </w:p>
    <w:p>
      <w:pPr>
        <w:spacing w:line="115" w:lineRule="exact"/>
        <w:rPr>
          <w:rFonts w:ascii="黑体" w:eastAsia="黑体" w:hAnsi="黑体"/>
          <w:sz w:val="28"/>
          <w:szCs w:val="28"/>
        </w:rPr>
      </w:pPr>
      <w:bookmarkEnd w:id="0"/>
      <w:r>
        <w:rPr>
          <w:rFonts w:ascii="黑体" w:eastAsia="黑体" w:hAnsi="黑体"/>
          <w:sz w:val="28"/>
          <w:szCs w:val="28"/>
        </w:rPr>
        <w:t xml:space="preserve"> </w:t>
      </w:r>
    </w:p>
    <w:tbl>
      <w:tblPr>
        <w:jc w:val="left"/>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09"/>
        <w:gridCol w:w="1985"/>
        <w:gridCol w:w="1843"/>
        <w:gridCol w:w="3086"/>
        <w:gridCol w:w="2006"/>
        <w:gridCol w:w="2006"/>
        <w:gridCol w:w="2006"/>
      </w:tblGrid>
      <w:tr>
        <w:tc>
          <w:tcPr>
            <w:tcW w:w="1109" w:type="dxa"/>
          </w:tcPr>
          <w:p>
            <w:pPr>
              <w:pStyle w:val="15"/>
              <w:spacing w:before="132" w:line="576" w:lineRule="exact"/>
              <w:rPr>
                <w:rFonts w:ascii="黑体" w:eastAsia="黑体" w:hAnsi="黑体"/>
                <w:spacing w:val="12"/>
                <w:position w:val="19"/>
                <w:sz w:val="28"/>
                <w:szCs w:val="28"/>
              </w:rPr>
            </w:pPr>
            <w:r>
              <w:rPr>
                <w:rFonts w:ascii="黑体" w:eastAsia="黑体" w:hAnsi="黑体" w:hint="eastAsia"/>
                <w:spacing w:val="12"/>
                <w:position w:val="19"/>
                <w:sz w:val="28"/>
                <w:szCs w:val="28"/>
              </w:rPr>
              <w:t>序号</w:t>
            </w:r>
          </w:p>
        </w:tc>
        <w:tc>
          <w:tcPr>
            <w:tcW w:w="1985" w:type="dxa"/>
          </w:tcPr>
          <w:p>
            <w:pPr>
              <w:pStyle w:val="15"/>
              <w:spacing w:before="132" w:line="576" w:lineRule="exact"/>
              <w:rPr>
                <w:rFonts w:ascii="黑体" w:eastAsia="黑体" w:hAnsi="黑体"/>
                <w:spacing w:val="12"/>
                <w:position w:val="19"/>
                <w:sz w:val="28"/>
                <w:szCs w:val="28"/>
              </w:rPr>
            </w:pPr>
            <w:r>
              <w:rPr>
                <w:rFonts w:ascii="黑体" w:eastAsia="黑体" w:hAnsi="黑体" w:hint="eastAsia"/>
                <w:spacing w:val="12"/>
                <w:position w:val="19"/>
                <w:sz w:val="28"/>
                <w:szCs w:val="28"/>
              </w:rPr>
              <w:t>事项名称</w:t>
            </w:r>
          </w:p>
        </w:tc>
        <w:tc>
          <w:tcPr>
            <w:tcW w:w="1843" w:type="dxa"/>
          </w:tcPr>
          <w:p>
            <w:pPr>
              <w:pStyle w:val="15"/>
              <w:spacing w:before="132" w:line="576" w:lineRule="exact"/>
              <w:rPr>
                <w:rFonts w:ascii="黑体" w:eastAsia="黑体" w:hAnsi="黑体"/>
                <w:spacing w:val="12"/>
                <w:position w:val="19"/>
                <w:sz w:val="28"/>
                <w:szCs w:val="28"/>
              </w:rPr>
            </w:pPr>
            <w:r>
              <w:rPr>
                <w:rFonts w:ascii="黑体" w:eastAsia="黑体" w:hAnsi="黑体" w:hint="eastAsia"/>
                <w:spacing w:val="12"/>
                <w:position w:val="19"/>
                <w:sz w:val="28"/>
                <w:szCs w:val="28"/>
              </w:rPr>
              <w:t>事项类型</w:t>
            </w:r>
          </w:p>
        </w:tc>
        <w:tc>
          <w:tcPr>
            <w:tcW w:w="3086" w:type="dxa"/>
          </w:tcPr>
          <w:p>
            <w:pPr>
              <w:pStyle w:val="15"/>
              <w:spacing w:before="132" w:line="576" w:lineRule="exact"/>
              <w:rPr>
                <w:rFonts w:ascii="黑体" w:eastAsia="黑体" w:hAnsi="黑体"/>
                <w:spacing w:val="12"/>
                <w:position w:val="19"/>
                <w:sz w:val="28"/>
                <w:szCs w:val="28"/>
              </w:rPr>
            </w:pPr>
            <w:r>
              <w:rPr>
                <w:rFonts w:ascii="黑体" w:eastAsia="黑体" w:hAnsi="黑体" w:hint="eastAsia"/>
                <w:spacing w:val="12"/>
                <w:position w:val="19"/>
                <w:sz w:val="28"/>
                <w:szCs w:val="28"/>
              </w:rPr>
              <w:t>执法依据</w:t>
            </w:r>
          </w:p>
        </w:tc>
        <w:tc>
          <w:tcPr>
            <w:tcW w:w="2006" w:type="dxa"/>
          </w:tcPr>
          <w:p>
            <w:pPr>
              <w:pStyle w:val="15"/>
              <w:spacing w:before="132" w:line="576" w:lineRule="exact"/>
              <w:rPr>
                <w:rFonts w:ascii="黑体" w:eastAsia="黑体" w:hAnsi="黑体"/>
                <w:spacing w:val="12"/>
                <w:position w:val="19"/>
                <w:sz w:val="28"/>
                <w:szCs w:val="28"/>
              </w:rPr>
            </w:pPr>
            <w:r>
              <w:rPr>
                <w:rFonts w:ascii="黑体" w:eastAsia="黑体" w:hAnsi="黑体" w:hint="eastAsia"/>
                <w:spacing w:val="12"/>
                <w:position w:val="19"/>
                <w:sz w:val="28"/>
                <w:szCs w:val="28"/>
              </w:rPr>
              <w:t>责任主体</w:t>
            </w:r>
          </w:p>
        </w:tc>
        <w:tc>
          <w:tcPr>
            <w:tcW w:w="2006" w:type="dxa"/>
          </w:tcPr>
          <w:p>
            <w:pPr>
              <w:pStyle w:val="15"/>
              <w:spacing w:before="132" w:line="576" w:lineRule="exact"/>
              <w:rPr>
                <w:rFonts w:ascii="黑体" w:eastAsia="黑体" w:hAnsi="黑体"/>
                <w:spacing w:val="12"/>
                <w:position w:val="19"/>
                <w:sz w:val="28"/>
                <w:szCs w:val="28"/>
              </w:rPr>
            </w:pPr>
            <w:r>
              <w:rPr>
                <w:rFonts w:ascii="黑体" w:eastAsia="黑体" w:hAnsi="黑体" w:hint="eastAsia"/>
                <w:spacing w:val="12"/>
                <w:position w:val="19"/>
                <w:sz w:val="28"/>
                <w:szCs w:val="28"/>
              </w:rPr>
              <w:t>实施主体</w:t>
            </w:r>
          </w:p>
        </w:tc>
        <w:tc>
          <w:tcPr>
            <w:tcW w:w="2006" w:type="dxa"/>
          </w:tcPr>
          <w:p>
            <w:pPr>
              <w:pStyle w:val="15"/>
              <w:spacing w:before="132" w:line="576" w:lineRule="exact"/>
              <w:rPr>
                <w:rFonts w:ascii="黑体" w:eastAsia="黑体" w:hAnsi="黑体"/>
                <w:spacing w:val="12"/>
                <w:position w:val="19"/>
                <w:sz w:val="28"/>
                <w:szCs w:val="28"/>
              </w:rPr>
            </w:pPr>
            <w:r>
              <w:rPr>
                <w:rFonts w:ascii="黑体" w:eastAsia="黑体" w:hAnsi="黑体" w:hint="eastAsia"/>
                <w:spacing w:val="12"/>
                <w:position w:val="19"/>
                <w:sz w:val="28"/>
                <w:szCs w:val="28"/>
              </w:rPr>
              <w:t>备注</w:t>
            </w:r>
          </w:p>
        </w:tc>
      </w:tr>
      <w:tr>
        <w:tc>
          <w:tcPr>
            <w:tcW w:w="1109" w:type="dxa"/>
          </w:tcPr>
          <w:p>
            <w:pPr>
              <w:pStyle w:val="15"/>
              <w:spacing w:before="132" w:line="576" w:lineRule="exact"/>
              <w:rPr>
                <w:spacing w:val="12"/>
                <w:position w:val="19"/>
              </w:rPr>
            </w:pPr>
            <w:r>
              <w:rPr>
                <w:rFonts w:hint="eastAsia"/>
                <w:spacing w:val="12"/>
                <w:position w:val="19"/>
              </w:rPr>
              <w:t>1</w:t>
            </w:r>
          </w:p>
        </w:tc>
        <w:tc>
          <w:tcPr>
            <w:tcW w:w="1985" w:type="dxa"/>
          </w:tcPr>
          <w:p>
            <w:pPr>
              <w:pStyle w:val="15"/>
              <w:spacing w:before="132" w:line="576" w:lineRule="exact"/>
              <w:jc w:val="both"/>
              <w:rPr>
                <w:spacing w:val="12"/>
                <w:position w:val="19"/>
              </w:rPr>
            </w:pPr>
            <w:r>
              <w:rPr>
                <w:rFonts w:hint="eastAsia"/>
                <w:spacing w:val="12"/>
                <w:position w:val="19"/>
              </w:rPr>
              <w:t>对违反法律、法规和国家有关规定举办学校或其他教育机构的行政处罚</w:t>
              <w:tab/>
            </w:r>
          </w:p>
        </w:tc>
        <w:tc>
          <w:tcPr>
            <w:tcW w:w="1843" w:type="dxa"/>
          </w:tcPr>
          <w:p>
            <w:pPr>
              <w:pStyle w:val="15"/>
              <w:spacing w:before="132" w:line="576" w:lineRule="exact"/>
              <w:jc w:val="both"/>
              <w:rPr>
                <w:spacing w:val="12"/>
                <w:position w:val="19"/>
              </w:rPr>
            </w:pPr>
            <w:r>
              <w:rPr>
                <w:rFonts w:hint="eastAsia"/>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《中华人民共和国教育法》《中华人民共和国民办教育促进法》《中华人民共和国民办教育促进法实施条例》《教育行政处罚暂行实施办法》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2</w:t>
            </w:r>
          </w:p>
        </w:tc>
        <w:tc>
          <w:tcPr>
            <w:tcW w:w="1985" w:type="dxa"/>
          </w:tcPr>
          <w:p>
            <w:pPr>
              <w:pStyle w:val="15"/>
              <w:spacing w:before="132" w:line="576" w:lineRule="exact"/>
              <w:rPr>
                <w:spacing w:val="12"/>
                <w:position w:val="19"/>
              </w:rPr>
            </w:pPr>
            <w:r>
              <w:rPr>
                <w:rFonts w:hint="eastAsia"/>
                <w:spacing w:val="12"/>
                <w:position w:val="19"/>
              </w:rPr>
              <w:t>对学校和其他教育机构违法颁发学位、学历或者其他学业证书行为的行政处罚</w:t>
            </w:r>
          </w:p>
        </w:tc>
        <w:tc>
          <w:tcPr>
            <w:tcW w:w="1843" w:type="dxa"/>
          </w:tcPr>
          <w:p>
            <w:pPr>
              <w:pStyle w:val="15"/>
              <w:spacing w:before="132" w:line="576" w:lineRule="exact"/>
              <w:rPr>
                <w:spacing w:val="12"/>
                <w:position w:val="19"/>
              </w:rPr>
            </w:pPr>
            <w:r>
              <w:rPr>
                <w:rFonts w:hint="eastAsia"/>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《中华人民共和国教育法》《中华人民共和国民办教育促进法》《中华人民共和国民办教育促进法实施条例》《教育行政处罚暂行实施办法》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3</w:t>
            </w:r>
          </w:p>
        </w:tc>
        <w:tc>
          <w:tcPr>
            <w:tcW w:w="1985" w:type="dxa"/>
          </w:tcPr>
          <w:p>
            <w:pPr>
              <w:pStyle w:val="15"/>
              <w:spacing w:before="132" w:line="576" w:lineRule="exact"/>
              <w:rPr>
                <w:spacing w:val="12"/>
                <w:position w:val="19"/>
              </w:rPr>
            </w:pPr>
            <w:r>
              <w:rPr>
                <w:rFonts w:hint="eastAsia"/>
                <w:spacing w:val="12"/>
                <w:position w:val="19"/>
              </w:rPr>
              <w:t>对受到剥夺政治权利或者故意犯罪受到有期徒刑以上刑事处罚的教师的行政处罚</w:t>
            </w:r>
          </w:p>
        </w:tc>
        <w:tc>
          <w:tcPr>
            <w:tcW w:w="1843" w:type="dxa"/>
          </w:tcPr>
          <w:p>
            <w:pPr>
              <w:pStyle w:val="15"/>
              <w:spacing w:before="132" w:line="576" w:lineRule="exact"/>
              <w:rPr>
                <w:spacing w:val="12"/>
                <w:position w:val="19"/>
              </w:rPr>
            </w:pPr>
            <w:r>
              <w:rPr>
                <w:rFonts w:hint="eastAsia"/>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《中华人民共和国教师法》《教育行政处罚暂行实施办法》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4</w:t>
            </w:r>
          </w:p>
        </w:tc>
        <w:tc>
          <w:tcPr>
            <w:tcW w:w="1985" w:type="dxa"/>
          </w:tcPr>
          <w:p>
            <w:pPr>
              <w:pStyle w:val="15"/>
              <w:spacing w:before="132" w:line="576" w:lineRule="exact"/>
              <w:rPr>
                <w:spacing w:val="12"/>
                <w:position w:val="19"/>
              </w:rPr>
            </w:pPr>
            <w:r>
              <w:rPr>
                <w:rFonts w:hint="eastAsia"/>
                <w:spacing w:val="12"/>
                <w:position w:val="19"/>
              </w:rPr>
              <w:t>对以欺骗方式取得资格或品行不良侮辱学生影响恶劣的教师的行政处罚</w:t>
            </w:r>
          </w:p>
        </w:tc>
        <w:tc>
          <w:tcPr>
            <w:tcW w:w="1843" w:type="dxa"/>
          </w:tcPr>
          <w:p>
            <w:pPr>
              <w:pStyle w:val="15"/>
              <w:spacing w:before="132" w:line="576" w:lineRule="exact"/>
              <w:rPr>
                <w:spacing w:val="12"/>
                <w:position w:val="19"/>
              </w:rPr>
            </w:pPr>
            <w:r>
              <w:rPr>
                <w:rFonts w:hint="eastAsia"/>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《中华人民共和国教师法》《教师资格条例》《教育行政处罚暂行实施办法》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5</w:t>
            </w:r>
          </w:p>
        </w:tc>
        <w:tc>
          <w:tcPr>
            <w:tcW w:w="1985" w:type="dxa"/>
          </w:tcPr>
          <w:p>
            <w:pPr>
              <w:pStyle w:val="15"/>
              <w:spacing w:before="132" w:line="576" w:lineRule="exact"/>
              <w:rPr>
                <w:spacing w:val="12"/>
                <w:position w:val="19"/>
              </w:rPr>
            </w:pPr>
            <w:r>
              <w:rPr>
                <w:rFonts w:hint="eastAsia"/>
                <w:spacing w:val="12"/>
                <w:position w:val="19"/>
              </w:rPr>
              <w:t>对参加教师资格考试有作弊行为或使用假教师资格证书的行政处罚</w:t>
            </w:r>
          </w:p>
        </w:tc>
        <w:tc>
          <w:tcPr>
            <w:tcW w:w="1843" w:type="dxa"/>
          </w:tcPr>
          <w:p>
            <w:pPr>
              <w:pStyle w:val="15"/>
              <w:spacing w:before="132" w:line="576" w:lineRule="exact"/>
              <w:rPr>
                <w:spacing w:val="12"/>
                <w:position w:val="19"/>
              </w:rPr>
            </w:pPr>
            <w:r>
              <w:rPr>
                <w:rFonts w:hint="eastAsia"/>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《中华人民共和国教师法》《教师资格条例》《教育行政处罚暂行实施办法》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6</w:t>
            </w:r>
          </w:p>
        </w:tc>
        <w:tc>
          <w:tcPr>
            <w:tcW w:w="1985" w:type="dxa"/>
          </w:tcPr>
          <w:p>
            <w:pPr>
              <w:pStyle w:val="15"/>
              <w:spacing w:before="132" w:line="576" w:lineRule="exact"/>
              <w:rPr>
                <w:spacing w:val="12"/>
                <w:position w:val="19"/>
              </w:rPr>
            </w:pPr>
            <w:r>
              <w:rPr>
                <w:rFonts w:hint="eastAsia"/>
                <w:spacing w:val="12"/>
                <w:position w:val="19"/>
              </w:rPr>
              <w:t>对民办学校违法办学行为的行政处罚</w:t>
            </w:r>
          </w:p>
        </w:tc>
        <w:tc>
          <w:tcPr>
            <w:tcW w:w="1843" w:type="dxa"/>
          </w:tcPr>
          <w:p>
            <w:pPr>
              <w:pStyle w:val="15"/>
              <w:spacing w:before="132" w:line="576" w:lineRule="exact"/>
              <w:rPr>
                <w:spacing w:val="12"/>
                <w:position w:val="19"/>
              </w:rPr>
            </w:pPr>
          </w:p>
        </w:tc>
        <w:tc>
          <w:tcPr>
            <w:tcW w:w="3086" w:type="dxa"/>
          </w:tcPr>
          <w:p>
            <w:pPr>
              <w:pStyle w:val="15"/>
              <w:spacing w:before="132" w:line="576" w:lineRule="exact"/>
              <w:rPr>
                <w:spacing w:val="12"/>
                <w:position w:val="19"/>
              </w:rPr>
            </w:pP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7</w:t>
            </w:r>
          </w:p>
        </w:tc>
        <w:tc>
          <w:tcPr>
            <w:tcW w:w="1985" w:type="dxa"/>
          </w:tcPr>
          <w:p>
            <w:pPr>
              <w:pStyle w:val="15"/>
              <w:spacing w:before="132" w:line="576" w:lineRule="exact"/>
              <w:rPr>
                <w:spacing w:val="12"/>
                <w:position w:val="19"/>
              </w:rPr>
            </w:pPr>
            <w:r>
              <w:rPr>
                <w:rFonts w:hint="eastAsia"/>
                <w:spacing w:val="12"/>
                <w:position w:val="19"/>
              </w:rPr>
              <w:t>对管理混乱严重影响教育教学的民办学校和民办学校决策机构负责人、校长及直接责任人的行政处罚</w:t>
            </w:r>
          </w:p>
        </w:tc>
        <w:tc>
          <w:tcPr>
            <w:tcW w:w="1843" w:type="dxa"/>
          </w:tcPr>
          <w:p>
            <w:pPr>
              <w:pStyle w:val="15"/>
              <w:spacing w:before="132" w:line="576" w:lineRule="exact"/>
              <w:rPr>
                <w:spacing w:val="12"/>
                <w:position w:val="19"/>
              </w:rPr>
            </w:pPr>
            <w:r>
              <w:rPr>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《中华人民共和国民办教育促进法》《中华人民共和国民办教育促进法实施条例》《教育行政处罚暂行实施办法》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8</w:t>
            </w:r>
          </w:p>
        </w:tc>
        <w:tc>
          <w:tcPr>
            <w:tcW w:w="1985" w:type="dxa"/>
          </w:tcPr>
          <w:p>
            <w:pPr>
              <w:pStyle w:val="15"/>
              <w:spacing w:before="132" w:line="576" w:lineRule="exact"/>
              <w:rPr>
                <w:spacing w:val="12"/>
                <w:position w:val="19"/>
              </w:rPr>
            </w:pPr>
            <w:r>
              <w:rPr>
                <w:rFonts w:hint="eastAsia"/>
                <w:spacing w:val="12"/>
                <w:position w:val="19"/>
              </w:rPr>
              <w:t>对民办学校举办者及实际控制人、决策机构或者监督机构组成人员危害学校稳定和安全、侵犯学校法人权利或者损害教职工、受教育者权益的行为的行政处罚</w:t>
            </w:r>
          </w:p>
        </w:tc>
        <w:tc>
          <w:tcPr>
            <w:tcW w:w="1843" w:type="dxa"/>
          </w:tcPr>
          <w:p>
            <w:pPr>
              <w:pStyle w:val="15"/>
              <w:spacing w:before="132" w:line="576" w:lineRule="exact"/>
              <w:rPr>
                <w:spacing w:val="12"/>
                <w:position w:val="19"/>
              </w:rPr>
            </w:pPr>
            <w:r>
              <w:rPr>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《中华人民共和国民办教育促进法》《中华人民共和国民办教育促进法实施条例》《教育行政处罚暂行实施办法》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9</w:t>
            </w:r>
          </w:p>
        </w:tc>
        <w:tc>
          <w:tcPr>
            <w:tcW w:w="1985" w:type="dxa"/>
          </w:tcPr>
          <w:p>
            <w:pPr>
              <w:pStyle w:val="15"/>
              <w:spacing w:before="132" w:line="576" w:lineRule="exact"/>
              <w:rPr>
                <w:spacing w:val="12"/>
                <w:position w:val="19"/>
              </w:rPr>
            </w:pPr>
            <w:r>
              <w:rPr>
                <w:rFonts w:hint="eastAsia"/>
                <w:spacing w:val="12"/>
                <w:position w:val="19"/>
              </w:rPr>
              <w:t>对同时举办或者实际控制多所民办学校的举办者或者实际控制人对所举办或者实际控制的民办学校疏于管理，造成恶劣影响的行政处罚</w:t>
            </w:r>
          </w:p>
        </w:tc>
        <w:tc>
          <w:tcPr>
            <w:tcW w:w="1843" w:type="dxa"/>
          </w:tcPr>
          <w:p>
            <w:pPr>
              <w:pStyle w:val="15"/>
              <w:spacing w:before="132" w:line="576" w:lineRule="exact"/>
              <w:rPr>
                <w:spacing w:val="12"/>
                <w:position w:val="19"/>
              </w:rPr>
            </w:pPr>
            <w:r>
              <w:rPr>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《中华人民共和国民办教育促进法》《中华人民共和国民办教育促进法实施条例》《教育行政处罚暂行实施办法》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10</w:t>
            </w:r>
          </w:p>
        </w:tc>
        <w:tc>
          <w:tcPr>
            <w:tcW w:w="1985" w:type="dxa"/>
          </w:tcPr>
          <w:p>
            <w:pPr>
              <w:pStyle w:val="15"/>
              <w:spacing w:before="132" w:line="576" w:lineRule="exact"/>
              <w:rPr>
                <w:spacing w:val="12"/>
                <w:position w:val="19"/>
              </w:rPr>
            </w:pPr>
            <w:r>
              <w:rPr>
                <w:rFonts w:hint="eastAsia"/>
                <w:spacing w:val="12"/>
                <w:position w:val="19"/>
              </w:rPr>
              <w:t>对社会组织和个人违反规定举办、参与举办民办学校或者在民办学校筹设期内招生的行政处罚</w:t>
            </w:r>
          </w:p>
        </w:tc>
        <w:tc>
          <w:tcPr>
            <w:tcW w:w="1843" w:type="dxa"/>
          </w:tcPr>
          <w:p>
            <w:pPr>
              <w:pStyle w:val="15"/>
              <w:spacing w:before="132" w:line="576" w:lineRule="exact"/>
              <w:rPr>
                <w:spacing w:val="12"/>
                <w:position w:val="19"/>
              </w:rPr>
            </w:pPr>
            <w:r>
              <w:rPr>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《中华人民共和国民办教育促进法》《中华人民共和国民办教育促进法实施条例》《教育行政处罚暂行实施办法》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11</w:t>
            </w:r>
          </w:p>
        </w:tc>
        <w:tc>
          <w:tcPr>
            <w:tcW w:w="1985" w:type="dxa"/>
          </w:tcPr>
          <w:p>
            <w:pPr>
              <w:pStyle w:val="15"/>
              <w:spacing w:before="132" w:line="576" w:lineRule="exact"/>
              <w:rPr>
                <w:spacing w:val="12"/>
                <w:position w:val="19"/>
              </w:rPr>
            </w:pPr>
            <w:r>
              <w:rPr>
                <w:rFonts w:hint="eastAsia"/>
                <w:spacing w:val="12"/>
                <w:position w:val="19"/>
              </w:rPr>
              <w:t>对国家机关工作人员和教科书审查人员参与或者变相参与教科书编写的行政处罚</w:t>
            </w:r>
          </w:p>
        </w:tc>
        <w:tc>
          <w:tcPr>
            <w:tcW w:w="1843" w:type="dxa"/>
          </w:tcPr>
          <w:p>
            <w:pPr>
              <w:pStyle w:val="15"/>
              <w:spacing w:before="132" w:line="576" w:lineRule="exact"/>
              <w:rPr>
                <w:spacing w:val="12"/>
                <w:position w:val="19"/>
              </w:rPr>
            </w:pPr>
            <w:r>
              <w:rPr>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《中小学教材编写审定管理暂行办法》《教育行政处罚暂行实施办法》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12</w:t>
            </w:r>
          </w:p>
        </w:tc>
        <w:tc>
          <w:tcPr>
            <w:tcW w:w="1985" w:type="dxa"/>
          </w:tcPr>
          <w:p>
            <w:pPr>
              <w:pStyle w:val="15"/>
              <w:spacing w:before="132" w:line="576" w:lineRule="exact"/>
              <w:rPr>
                <w:spacing w:val="12"/>
                <w:position w:val="19"/>
              </w:rPr>
            </w:pPr>
            <w:r>
              <w:rPr>
                <w:rFonts w:hint="eastAsia"/>
                <w:spacing w:val="12"/>
                <w:position w:val="19"/>
              </w:rPr>
              <w:t>对中等职业技术学校经检查评估不符合要求的行政处罚</w:t>
            </w:r>
          </w:p>
        </w:tc>
        <w:tc>
          <w:tcPr>
            <w:tcW w:w="1843" w:type="dxa"/>
          </w:tcPr>
          <w:p>
            <w:pPr>
              <w:pStyle w:val="15"/>
              <w:spacing w:before="132" w:line="576" w:lineRule="exact"/>
              <w:rPr>
                <w:spacing w:val="12"/>
                <w:position w:val="19"/>
              </w:rPr>
            </w:pPr>
            <w:r>
              <w:rPr>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《四川省中等职业技术教育暂行条例》《教育行政处罚暂行实施办法》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13</w:t>
            </w:r>
          </w:p>
        </w:tc>
        <w:tc>
          <w:tcPr>
            <w:tcW w:w="1985" w:type="dxa"/>
          </w:tcPr>
          <w:p>
            <w:pPr>
              <w:pStyle w:val="15"/>
              <w:spacing w:before="132" w:line="576" w:lineRule="exact"/>
              <w:rPr>
                <w:spacing w:val="12"/>
                <w:position w:val="19"/>
              </w:rPr>
            </w:pPr>
            <w:r>
              <w:rPr>
                <w:rFonts w:hint="eastAsia"/>
                <w:spacing w:val="12"/>
                <w:position w:val="19"/>
              </w:rPr>
              <w:t>对学校及其他教育机构在禁止吸烟场所未按规定设置禁烟标识或违反规定设置吸烟器具的、个人在禁止吸烟的公共场所抽烟等行为的行政处罚</w:t>
            </w:r>
          </w:p>
        </w:tc>
        <w:tc>
          <w:tcPr>
            <w:tcW w:w="1843" w:type="dxa"/>
          </w:tcPr>
          <w:p>
            <w:pPr>
              <w:pStyle w:val="15"/>
              <w:spacing w:before="132" w:line="576" w:lineRule="exact"/>
              <w:rPr>
                <w:spacing w:val="12"/>
                <w:position w:val="19"/>
              </w:rPr>
            </w:pPr>
            <w:r>
              <w:rPr>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《四川省公共场所卫生管理办法》《教育行政处罚暂行实施办法》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14</w:t>
            </w:r>
          </w:p>
        </w:tc>
        <w:tc>
          <w:tcPr>
            <w:tcW w:w="1985" w:type="dxa"/>
          </w:tcPr>
          <w:p>
            <w:pPr>
              <w:pStyle w:val="15"/>
              <w:spacing w:before="132" w:line="576" w:lineRule="exact"/>
              <w:rPr>
                <w:spacing w:val="12"/>
                <w:position w:val="19"/>
              </w:rPr>
            </w:pPr>
            <w:r>
              <w:rPr>
                <w:rFonts w:hint="eastAsia"/>
                <w:spacing w:val="12"/>
                <w:position w:val="19"/>
              </w:rPr>
              <w:t>对学校违反国家有关规定招收学生的行政处罚</w:t>
            </w:r>
          </w:p>
        </w:tc>
        <w:tc>
          <w:tcPr>
            <w:tcW w:w="1843" w:type="dxa"/>
          </w:tcPr>
          <w:p>
            <w:pPr>
              <w:pStyle w:val="15"/>
              <w:spacing w:before="132" w:line="576" w:lineRule="exact"/>
              <w:rPr>
                <w:spacing w:val="12"/>
                <w:position w:val="19"/>
              </w:rPr>
            </w:pPr>
            <w:r>
              <w:rPr>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《中华人民共和国教育法》《中华人民共和国民办教育促进法》《中华人民共和国民办教育促进法实施条例》《教育行政处罚暂行实施办法》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15</w:t>
            </w:r>
          </w:p>
        </w:tc>
        <w:tc>
          <w:tcPr>
            <w:tcW w:w="1985" w:type="dxa"/>
          </w:tcPr>
          <w:p>
            <w:pPr>
              <w:pStyle w:val="15"/>
              <w:spacing w:before="132" w:line="576" w:lineRule="exact"/>
              <w:rPr>
                <w:spacing w:val="12"/>
                <w:position w:val="19"/>
              </w:rPr>
            </w:pPr>
            <w:r>
              <w:rPr>
                <w:rFonts w:hint="eastAsia"/>
                <w:spacing w:val="12"/>
                <w:position w:val="19"/>
              </w:rPr>
              <w:t>对公共体育设施管理单位违规的行政处罚</w:t>
            </w:r>
          </w:p>
        </w:tc>
        <w:tc>
          <w:tcPr>
            <w:tcW w:w="1843" w:type="dxa"/>
          </w:tcPr>
          <w:p>
            <w:pPr>
              <w:pStyle w:val="15"/>
              <w:spacing w:before="132" w:line="576" w:lineRule="exact"/>
              <w:rPr>
                <w:spacing w:val="12"/>
                <w:position w:val="19"/>
              </w:rPr>
            </w:pPr>
            <w:r>
              <w:rPr>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《中华人民共和国体育法》《公共文化体育设施条例》</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16</w:t>
            </w:r>
          </w:p>
        </w:tc>
        <w:tc>
          <w:tcPr>
            <w:tcW w:w="1985" w:type="dxa"/>
          </w:tcPr>
          <w:p>
            <w:pPr>
              <w:pStyle w:val="15"/>
              <w:spacing w:before="132" w:line="576" w:lineRule="exact"/>
              <w:rPr>
                <w:spacing w:val="12"/>
                <w:position w:val="19"/>
              </w:rPr>
            </w:pPr>
            <w:r>
              <w:rPr>
                <w:rFonts w:hint="eastAsia"/>
                <w:spacing w:val="12"/>
                <w:position w:val="19"/>
              </w:rPr>
              <w:t>对体育场所违反禁烟规定的行政处罚</w:t>
            </w:r>
          </w:p>
        </w:tc>
        <w:tc>
          <w:tcPr>
            <w:tcW w:w="1843" w:type="dxa"/>
          </w:tcPr>
          <w:p>
            <w:pPr>
              <w:pStyle w:val="15"/>
              <w:spacing w:before="132" w:line="576" w:lineRule="exact"/>
              <w:rPr>
                <w:spacing w:val="12"/>
                <w:position w:val="19"/>
              </w:rPr>
            </w:pPr>
            <w:r>
              <w:rPr>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《中华人民共和国体育法》《四川省公共场所卫生管理办法》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17</w:t>
            </w:r>
          </w:p>
        </w:tc>
        <w:tc>
          <w:tcPr>
            <w:tcW w:w="1985" w:type="dxa"/>
          </w:tcPr>
          <w:p>
            <w:pPr>
              <w:pStyle w:val="15"/>
              <w:spacing w:before="132" w:line="576" w:lineRule="exact"/>
              <w:rPr>
                <w:spacing w:val="12"/>
                <w:position w:val="19"/>
              </w:rPr>
            </w:pPr>
            <w:r>
              <w:rPr>
                <w:rFonts w:hint="eastAsia"/>
                <w:spacing w:val="12"/>
                <w:position w:val="19"/>
              </w:rPr>
              <w:t>对登山团体、法人或其他组织违规攀登山峰活动的行政处罚</w:t>
            </w:r>
          </w:p>
        </w:tc>
        <w:tc>
          <w:tcPr>
            <w:tcW w:w="1843" w:type="dxa"/>
          </w:tcPr>
          <w:p>
            <w:pPr>
              <w:pStyle w:val="15"/>
              <w:spacing w:before="132" w:line="576" w:lineRule="exact"/>
              <w:rPr>
                <w:spacing w:val="12"/>
                <w:position w:val="19"/>
              </w:rPr>
            </w:pPr>
            <w:r>
              <w:rPr>
                <w:rFonts w:hint="eastAsia"/>
                <w:spacing w:val="12"/>
                <w:position w:val="19"/>
              </w:rPr>
              <w:t>行政处罚</w:t>
            </w:r>
          </w:p>
        </w:tc>
        <w:tc>
          <w:tcPr>
            <w:tcW w:w="3086" w:type="dxa"/>
          </w:tcPr>
          <w:p>
            <w:pPr>
              <w:pStyle w:val="15"/>
              <w:spacing w:before="132" w:line="576" w:lineRule="exact"/>
              <w:rPr>
                <w:spacing w:val="12"/>
                <w:position w:val="19"/>
              </w:rPr>
            </w:pPr>
            <w:r>
              <w:rPr>
                <w:rFonts w:hint="eastAsia"/>
                <w:spacing w:val="12"/>
                <w:position w:val="19"/>
              </w:rPr>
              <w:t>《中华人民共和国体育法》《四川省登山管理办法》</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r>
        <w:tc>
          <w:tcPr>
            <w:tcW w:w="1109" w:type="dxa"/>
          </w:tcPr>
          <w:p>
            <w:pPr>
              <w:pStyle w:val="15"/>
              <w:spacing w:before="132" w:line="576" w:lineRule="exact"/>
              <w:rPr>
                <w:spacing w:val="12"/>
                <w:position w:val="19"/>
              </w:rPr>
            </w:pPr>
            <w:r>
              <w:rPr>
                <w:rFonts w:hint="eastAsia"/>
                <w:spacing w:val="12"/>
                <w:position w:val="19"/>
              </w:rPr>
              <w:t>18</w:t>
            </w:r>
          </w:p>
        </w:tc>
        <w:tc>
          <w:tcPr>
            <w:tcW w:w="1985" w:type="dxa"/>
          </w:tcPr>
          <w:p>
            <w:pPr>
              <w:pStyle w:val="15"/>
              <w:spacing w:before="132" w:line="576" w:lineRule="exact"/>
              <w:rPr>
                <w:spacing w:val="12"/>
                <w:position w:val="19"/>
              </w:rPr>
            </w:pPr>
            <w:r>
              <w:rPr>
                <w:rFonts w:hint="eastAsia"/>
                <w:spacing w:val="12"/>
                <w:position w:val="19"/>
              </w:rPr>
              <w:t>对本行政区域内的学校和其他教育机构教育教学工作的督导、检查</w:t>
            </w:r>
          </w:p>
        </w:tc>
        <w:tc>
          <w:tcPr>
            <w:tcW w:w="1843" w:type="dxa"/>
          </w:tcPr>
          <w:p>
            <w:pPr>
              <w:pStyle w:val="15"/>
              <w:spacing w:before="132" w:line="576" w:lineRule="exact"/>
              <w:rPr>
                <w:spacing w:val="12"/>
                <w:position w:val="19"/>
              </w:rPr>
            </w:pPr>
            <w:r>
              <w:rPr>
                <w:spacing w:val="12"/>
                <w:position w:val="19"/>
              </w:rPr>
              <w:t>行政检查</w:t>
            </w:r>
          </w:p>
        </w:tc>
        <w:tc>
          <w:tcPr>
            <w:tcW w:w="3086" w:type="dxa"/>
          </w:tcPr>
          <w:p>
            <w:pPr>
              <w:pStyle w:val="15"/>
              <w:spacing w:before="132" w:line="576" w:lineRule="exact"/>
              <w:rPr>
                <w:spacing w:val="12"/>
                <w:position w:val="19"/>
              </w:rPr>
            </w:pPr>
            <w:r>
              <w:rPr>
                <w:rFonts w:hint="eastAsia"/>
                <w:spacing w:val="12"/>
                <w:position w:val="19"/>
              </w:rPr>
              <w:t>《中华人民共和国教育法》《教育督导条例》</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r>
              <w:rPr>
                <w:rFonts w:hint="eastAsia"/>
                <w:spacing w:val="12"/>
                <w:position w:val="19"/>
              </w:rPr>
              <w:t>攀枝花市教育和体育局</w:t>
            </w:r>
          </w:p>
        </w:tc>
        <w:tc>
          <w:tcPr>
            <w:tcW w:w="2006" w:type="dxa"/>
          </w:tcPr>
          <w:p>
            <w:pPr>
              <w:pStyle w:val="15"/>
              <w:spacing w:before="132" w:line="576" w:lineRule="exact"/>
              <w:rPr>
                <w:spacing w:val="12"/>
                <w:position w:val="19"/>
              </w:rPr>
            </w:pPr>
          </w:p>
        </w:tc>
      </w:tr>
    </w:tbl>
    <w:p>
      <w:pPr>
        <w:pStyle w:val="15"/>
        <w:spacing w:before="132" w:line="576" w:lineRule="exact"/>
        <w:ind w:left="133"/>
        <w:rPr>
          <w:spacing w:val="12"/>
          <w:position w:val="19"/>
        </w:rPr>
      </w:pPr>
    </w:p>
    <w:p>
      <w:pPr>
        <w:pStyle w:val="15"/>
        <w:spacing w:before="132" w:line="576" w:lineRule="exact"/>
        <w:ind w:left="133"/>
        <w:rPr>
          <w:rFonts w:ascii="宋体" w:eastAsia="宋体"/>
          <w:spacing w:val="12"/>
          <w:position w:val="19"/>
        </w:rPr>
      </w:pPr>
      <w:r>
        <w:rPr>
          <w:rFonts w:hint="eastAsia"/>
          <w:spacing w:val="12"/>
          <w:position w:val="19"/>
        </w:rPr>
        <w:t>注：</w:t>
      </w:r>
      <w:r>
        <w:rPr>
          <w:rFonts w:ascii="宋体" w:eastAsia="宋体" w:hint="eastAsia"/>
          <w:spacing w:val="12"/>
          <w:position w:val="19"/>
        </w:rPr>
        <w:t>1.事项名称填写格式为“对 XXX 的行政处罚（强制……）”;</w:t>
      </w:r>
    </w:p>
    <w:p>
      <w:pPr>
        <w:pStyle w:val="15"/>
        <w:spacing w:before="132" w:line="576" w:lineRule="exact"/>
        <w:ind w:leftChars="63" w:left="132" w:firstLineChars="200" w:firstLine="668"/>
        <w:rPr>
          <w:rFonts w:ascii="宋体" w:eastAsia="宋体"/>
          <w:spacing w:val="12"/>
          <w:position w:val="19"/>
        </w:rPr>
      </w:pPr>
      <w:r>
        <w:rPr>
          <w:rFonts w:ascii="宋体" w:eastAsia="宋体" w:hint="eastAsia"/>
          <w:spacing w:val="12"/>
          <w:position w:val="19"/>
        </w:rPr>
        <w:t>2.事项类型：行政处罚、行政强制、行政检查</w:t>
      </w:r>
    </w:p>
    <w:p>
      <w:pPr>
        <w:pStyle w:val="15"/>
        <w:spacing w:before="132" w:line="576" w:lineRule="exact"/>
        <w:ind w:leftChars="63" w:left="132" w:firstLineChars="200" w:firstLine="668"/>
        <w:rPr>
          <w:rFonts w:ascii="宋体" w:eastAsia="宋体"/>
        </w:rPr>
      </w:pPr>
      <w:r>
        <w:rPr>
          <w:rFonts w:ascii="宋体" w:eastAsia="宋体" w:hint="eastAsia"/>
          <w:spacing w:val="12"/>
          <w:position w:val="19"/>
        </w:rPr>
        <w:t>3.责任主体和实施主体均要填写单位规范全称，如“攀枝花市司法局”。</w:t>
      </w:r>
    </w:p>
    <w:p/>
    <w:sectPr>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Lucida Sans">
    <w:altName w:val="Arial"/>
    <w:panose1 w:val="020B0602030504020204"/>
    <w:charset w:val="00"/>
    <w:family w:val="auto"/>
    <w:pitch w:val="variable"/>
    <w:sig w:usb0="00000003" w:usb1="00000000" w:usb2="00000000" w:usb3="00000000" w:csb0="20000001" w:csb1="00000000"/>
  </w:font>
  <w:font w:name="Arial">
    <w:panose1 w:val="020B0604020202020204"/>
    <w:charset w:val="00"/>
    <w:family w:val="swiss"/>
    <w:pitch w:val="variable"/>
    <w:sig w:usb0="E0002EFF" w:usb1="C000785B" w:usb2="00000009" w:usb3="00000000" w:csb0="000001FF" w:csb1="00000000"/>
  </w:font>
  <w:font w:name="仿宋">
    <w:altName w:val="仿宋_GB2312"/>
    <w:panose1 w:val="02010609060101010101"/>
    <w:charset w:val="86"/>
    <w:family w:val="modern"/>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OTJiNWU4MzRkMWFkNGZiMTNkNjBhYTRhYTQ0MDdlY2IifQ=="/>
    <w:docVar w:name="KSO_WPS_MARK_KEY" w:val="4d374182-030d-4b1c-a4f4-6edcb338ecaa"/>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kinsoku w:val="0"/>
      <w:autoSpaceDE w:val="0"/>
      <w:autoSpaceDN w:val="0"/>
      <w:adjustRightInd w:val="0"/>
      <w:snapToGrid w:val="0"/>
      <w:textAlignment w:val="baseline"/>
    </w:pPr>
    <w:rPr>
      <w:rFonts w:ascii="Arial" w:eastAsia="宋体" w:cs="Arial" w:hAnsi="Arial"/>
      <w:color w:val="000000"/>
      <w:sz w:val="21"/>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w:basedOn w:val="0"/>
    <w:rPr>
      <w:rFonts w:ascii="仿宋" w:eastAsia="仿宋" w:cs="宋体" w:hAnsi="仿宋"/>
      <w:sz w:val="31"/>
      <w:szCs w:val="31"/>
    </w:rPr>
  </w:style>
  <w:style w:type="paragraph" w:customStyle="1" w:styleId="16">
    <w:name w:val="Table Text"/>
    <w:basedOn w:val="0"/>
  </w:style>
  <w:style w:type="paragraph" w:styleId="17">
    <w:name w:val="header"/>
    <w:basedOn w:val="0"/>
    <w:pPr>
      <w:pBdr>
        <w:bottom w:val="single" w:sz="6" w:space="1" w:color="auto"/>
      </w:pBdr>
      <w:tabs>
        <w:tab w:val="center" w:pos="4153"/>
        <w:tab w:val="right" w:pos="8306"/>
      </w:tabs>
      <w:jc w:val="center"/>
    </w:pPr>
    <w:rPr>
      <w:sz w:val="18"/>
      <w:szCs w:val="18"/>
    </w:rPr>
  </w:style>
  <w:style w:type="paragraph" w:styleId="18">
    <w:name w:val="footer"/>
    <w:basedOn w:val="0"/>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0D3F760-9B79-467A-B617-7F7FE1B4B2D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39</TotalTime>
  <Application>Yozo_Office27021597764231179</Application>
  <Pages>11</Pages>
  <Words>0</Words>
  <Characters>1525</Characters>
  <Lines>0</Lines>
  <Paragraphs>9</Paragraphs>
  <CharactersWithSpaces>2034</CharactersWithSpaces>
  <Company>LIC</Company>
</Properties>
</file>

<file path=docProps/core.xml><?xml version="1.0" encoding="utf-8"?>
<cp:coreProperties xmlns:cp="http://schemas.openxmlformats.org/package/2006/metadata/core-properties" xmlns:dc="http://purl.org/dc/elements/1.1/" xmlns:dcterms="http://purl.org/dc/terms/" xmlns:xsi="http://www.w3.org/2001/XMLSchema-instance">
  <dc:creator>骆睿</dc:creator>
  <cp:lastModifiedBy>user</cp:lastModifiedBy>
  <cp:revision>5</cp:revision>
  <dcterms:created xsi:type="dcterms:W3CDTF">2024-10-30T01:22:00Z</dcterms:created>
  <dcterms:modified xsi:type="dcterms:W3CDTF">2024-10-30T02:57:21Z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604CFB3C11044DC4B42B856DF170C007_12</vt:lpwstr>
  </property>
</Properties>
</file>