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99FC" w14:textId="77777777" w:rsidR="00F81D0E" w:rsidRPr="00690F8B" w:rsidRDefault="00000000" w:rsidP="00690F8B">
      <w:pPr>
        <w:ind w:firstLineChars="1000" w:firstLine="2100"/>
        <w:rPr>
          <w:rFonts w:ascii="仿宋_GB2312" w:eastAsia="仿宋_GB2312" w:hint="eastAsia"/>
          <w:szCs w:val="21"/>
        </w:rPr>
      </w:pPr>
      <w:r w:rsidRPr="00690F8B">
        <w:rPr>
          <w:rFonts w:ascii="仿宋_GB2312" w:eastAsia="仿宋_GB2312" w:hint="eastAsia"/>
          <w:szCs w:val="21"/>
        </w:rPr>
        <w:t>企业人力资源管理师（职业技能等级认定）</w:t>
      </w:r>
    </w:p>
    <w:p w14:paraId="1D6150C3"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szCs w:val="21"/>
        </w:rPr>
        <w:t>一、职业定义</w:t>
      </w:r>
    </w:p>
    <w:p w14:paraId="15D8C51D" w14:textId="0DAFE605"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szCs w:val="21"/>
        </w:rPr>
        <w:t>从事企业人力资源规划、 招聘与配置、 培训与开发、 绩效管理、 薪酬管理、 劳动关系管理等工作的管理人员。</w:t>
      </w:r>
    </w:p>
    <w:p w14:paraId="5B7CA2FE"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color w:val="333333"/>
          <w:szCs w:val="21"/>
        </w:rPr>
        <w:t>二、本中心可认定等级</w:t>
      </w:r>
    </w:p>
    <w:p w14:paraId="2A4CCCC2" w14:textId="1BA74F1E"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szCs w:val="21"/>
        </w:rPr>
        <w:t>四级/</w:t>
      </w:r>
      <w:r w:rsidRPr="00690F8B">
        <w:rPr>
          <w:rFonts w:ascii="仿宋_GB2312" w:eastAsia="仿宋_GB2312" w:hAnsi="宋体" w:cs="宋体" w:hint="eastAsia"/>
          <w:color w:val="333333"/>
          <w:szCs w:val="21"/>
        </w:rPr>
        <w:t> </w:t>
      </w:r>
      <w:r w:rsidRPr="00690F8B">
        <w:rPr>
          <w:rFonts w:ascii="仿宋_GB2312" w:eastAsia="仿宋_GB2312" w:hAnsi="宋体" w:cs="宋体" w:hint="eastAsia"/>
          <w:color w:val="333333"/>
          <w:szCs w:val="21"/>
        </w:rPr>
        <w:t>中级工、 三级/</w:t>
      </w:r>
      <w:r w:rsidRPr="00690F8B">
        <w:rPr>
          <w:rFonts w:ascii="仿宋_GB2312" w:eastAsia="仿宋_GB2312" w:hAnsi="宋体" w:cs="宋体" w:hint="eastAsia"/>
          <w:color w:val="333333"/>
          <w:szCs w:val="21"/>
        </w:rPr>
        <w:t> </w:t>
      </w:r>
      <w:r w:rsidRPr="00690F8B">
        <w:rPr>
          <w:rFonts w:ascii="仿宋_GB2312" w:eastAsia="仿宋_GB2312" w:hAnsi="宋体" w:cs="宋体" w:hint="eastAsia"/>
          <w:color w:val="333333"/>
          <w:szCs w:val="21"/>
        </w:rPr>
        <w:t>高级工。</w:t>
      </w:r>
    </w:p>
    <w:p w14:paraId="77ED685B"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color w:val="333333"/>
          <w:szCs w:val="21"/>
        </w:rPr>
        <w:t>三、申报条件</w:t>
      </w:r>
    </w:p>
    <w:p w14:paraId="70B25D58"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color w:val="333333"/>
          <w:kern w:val="0"/>
          <w:szCs w:val="21"/>
          <w:lang w:bidi="ar"/>
        </w:rPr>
        <w:t>一、具备以下条件之一者，可申报四级/中级工</w:t>
      </w:r>
    </w:p>
    <w:p w14:paraId="24FABD15"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（一）累计从事本职业或相关职业工作满5年</w:t>
      </w:r>
    </w:p>
    <w:p w14:paraId="351F17CF"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（二）取得本职业或相关职业五级/初级工职业资格（职业技能等级）证书后，累计从事本职业或相关职业工作满3年。</w:t>
      </w:r>
    </w:p>
    <w:p w14:paraId="55CCBAF9"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（三）取得本专业或相关专业的技工院校或中等及以上职业院校、专科及以上普通高等学校毕业证书（含在读应届毕业生）。</w:t>
      </w:r>
      <w:r w:rsidRPr="00690F8B">
        <w:rPr>
          <w:rFonts w:ascii="仿宋_GB2312" w:eastAsia="仿宋_GB2312" w:hAnsi="宋体" w:cs="宋体" w:hint="eastAsia"/>
          <w:color w:val="333333"/>
          <w:kern w:val="0"/>
          <w:szCs w:val="21"/>
          <w:lang w:bidi="ar"/>
        </w:rPr>
        <w:t> </w:t>
      </w:r>
    </w:p>
    <w:p w14:paraId="5DF439E0"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color w:val="333333"/>
          <w:kern w:val="0"/>
          <w:szCs w:val="21"/>
          <w:lang w:bidi="ar"/>
        </w:rPr>
        <w:t>二、具备以下条件之一者，可申报三级/高级工</w:t>
      </w:r>
    </w:p>
    <w:p w14:paraId="0B24E48E"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（一）累计从事本职业或相关职业工作满10年</w:t>
      </w:r>
    </w:p>
    <w:p w14:paraId="00954906"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（二）取得本职业或相关职业四级/中级工职业资格（职业技能等级）证书后，累计从事本职业或相关职业工作满4年。</w:t>
      </w:r>
    </w:p>
    <w:p w14:paraId="533D6DC9"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（三）取得符合专业对应关系的初级职称（专业技术人员职业资格）后，累计从事本职业或相关职业工作满1年。</w:t>
      </w:r>
    </w:p>
    <w:p w14:paraId="2EE2740A"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（四）取得本专业或相关专业的技工院校高级工班及以上毕业证书（含在读应届毕业生）</w:t>
      </w:r>
    </w:p>
    <w:p w14:paraId="78370734"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（五）取得本职业或相关职业四级/中级工职业资格（职业技能等级）证书，并取得高等职业学校、专科及以上普通高等学校本专业或相关专业毕业证书（含在读应届毕业生）</w:t>
      </w:r>
    </w:p>
    <w:p w14:paraId="2AA4DADD"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（六）取得经评估论证的高等职业学校、专科及以上普通高等学校本专业或相关专业的毕业证书（含在读应届毕业生）。</w:t>
      </w:r>
      <w:r w:rsidRPr="00690F8B">
        <w:rPr>
          <w:rFonts w:ascii="仿宋_GB2312" w:eastAsia="仿宋_GB2312" w:hAnsi="宋体" w:cs="宋体" w:hint="eastAsia"/>
          <w:color w:val="333333"/>
          <w:kern w:val="0"/>
          <w:szCs w:val="21"/>
          <w:lang w:bidi="ar"/>
        </w:rPr>
        <w:t> </w:t>
      </w:r>
    </w:p>
    <w:p w14:paraId="6472CB74"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kern w:val="0"/>
          <w:szCs w:val="21"/>
          <w:lang w:bidi="ar"/>
        </w:rPr>
        <w:t>①相关职业是指企业管理、行政管理、管理咨询、管理研究等职业。</w:t>
      </w:r>
    </w:p>
    <w:p w14:paraId="6D070F9D"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kern w:val="0"/>
          <w:szCs w:val="21"/>
          <w:lang w:bidi="ar"/>
        </w:rPr>
        <w:t>②相关专业是指工商企业管理、行政管理、管理科学、劳动与社会保障、劳动经济、劳动关系等。</w:t>
      </w:r>
    </w:p>
    <w:p w14:paraId="519B1BF1"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kern w:val="0"/>
          <w:szCs w:val="21"/>
          <w:lang w:bidi="ar"/>
        </w:rPr>
        <w:t>③相关职业资格证书（技能等级证书）是指劳动关系协调员等与企业人力资源管理职业功能具有关联性的职业资格证书。</w:t>
      </w:r>
    </w:p>
    <w:p w14:paraId="0FD21041" w14:textId="77777777"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b/>
          <w:bCs/>
          <w:kern w:val="0"/>
          <w:szCs w:val="21"/>
          <w:lang w:bidi="ar"/>
        </w:rPr>
        <w:t>四、认定方式</w:t>
      </w:r>
    </w:p>
    <w:p w14:paraId="74D07B86" w14:textId="466EA0E8" w:rsidR="00F81D0E" w:rsidRPr="00690F8B" w:rsidRDefault="00000000" w:rsidP="00690F8B">
      <w:pPr>
        <w:rPr>
          <w:rFonts w:ascii="仿宋_GB2312" w:eastAsia="仿宋_GB2312" w:hint="eastAsia"/>
          <w:szCs w:val="21"/>
        </w:rPr>
      </w:pPr>
      <w:r w:rsidRPr="00690F8B">
        <w:rPr>
          <w:rFonts w:ascii="仿宋_GB2312" w:eastAsia="仿宋_GB2312" w:hAnsi="宋体" w:cs="宋体" w:hint="eastAsia"/>
          <w:color w:val="333333"/>
          <w:kern w:val="0"/>
          <w:szCs w:val="21"/>
          <w:lang w:bidi="ar"/>
        </w:rPr>
        <w:t>分为理论知识考试和技能考核，均采用机考方式。所有考试科目均实行百分制，成绩皆达６０分(含)以上者为合格。</w:t>
      </w:r>
    </w:p>
    <w:p w14:paraId="4CF9175B" w14:textId="77777777" w:rsidR="00F81D0E" w:rsidRPr="00690F8B" w:rsidRDefault="00F81D0E" w:rsidP="00690F8B">
      <w:pPr>
        <w:rPr>
          <w:rFonts w:ascii="仿宋_GB2312" w:eastAsia="仿宋_GB2312" w:hint="eastAsia"/>
          <w:szCs w:val="21"/>
        </w:rPr>
      </w:pPr>
    </w:p>
    <w:sectPr w:rsidR="00F81D0E" w:rsidRPr="0069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B420" w14:textId="77777777" w:rsidR="00F421B2" w:rsidRDefault="00F421B2" w:rsidP="00B36C6F">
      <w:r>
        <w:separator/>
      </w:r>
    </w:p>
  </w:endnote>
  <w:endnote w:type="continuationSeparator" w:id="0">
    <w:p w14:paraId="0C54630E" w14:textId="77777777" w:rsidR="00F421B2" w:rsidRDefault="00F421B2" w:rsidP="00B3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F0D0" w14:textId="77777777" w:rsidR="00F421B2" w:rsidRDefault="00F421B2" w:rsidP="00B36C6F">
      <w:r>
        <w:separator/>
      </w:r>
    </w:p>
  </w:footnote>
  <w:footnote w:type="continuationSeparator" w:id="0">
    <w:p w14:paraId="3E184A2A" w14:textId="77777777" w:rsidR="00F421B2" w:rsidRDefault="00F421B2" w:rsidP="00B3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8BC5C58"/>
    <w:rsid w:val="003F0BDA"/>
    <w:rsid w:val="00690F8B"/>
    <w:rsid w:val="006D19F0"/>
    <w:rsid w:val="00B36C6F"/>
    <w:rsid w:val="00C11CC8"/>
    <w:rsid w:val="00F421B2"/>
    <w:rsid w:val="00F81D0E"/>
    <w:rsid w:val="00FF2C6B"/>
    <w:rsid w:val="38BC5C58"/>
    <w:rsid w:val="4F54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666F1"/>
  <w15:docId w15:val="{1725BB20-9D3F-47F5-9B80-FFBC408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B36C6F"/>
    <w:pPr>
      <w:tabs>
        <w:tab w:val="center" w:pos="4153"/>
        <w:tab w:val="right" w:pos="8306"/>
      </w:tabs>
      <w:snapToGrid w:val="0"/>
      <w:jc w:val="center"/>
    </w:pPr>
    <w:rPr>
      <w:sz w:val="18"/>
      <w:szCs w:val="18"/>
    </w:rPr>
  </w:style>
  <w:style w:type="character" w:customStyle="1" w:styleId="a6">
    <w:name w:val="页眉 字符"/>
    <w:basedOn w:val="a0"/>
    <w:link w:val="a5"/>
    <w:rsid w:val="00B36C6F"/>
    <w:rPr>
      <w:rFonts w:asciiTheme="minorHAnsi" w:eastAsiaTheme="minorEastAsia" w:hAnsiTheme="minorHAnsi" w:cstheme="minorBidi"/>
      <w:kern w:val="2"/>
      <w:sz w:val="18"/>
      <w:szCs w:val="18"/>
    </w:rPr>
  </w:style>
  <w:style w:type="paragraph" w:styleId="a7">
    <w:name w:val="footer"/>
    <w:basedOn w:val="a"/>
    <w:link w:val="a8"/>
    <w:rsid w:val="00B36C6F"/>
    <w:pPr>
      <w:tabs>
        <w:tab w:val="center" w:pos="4153"/>
        <w:tab w:val="right" w:pos="8306"/>
      </w:tabs>
      <w:snapToGrid w:val="0"/>
      <w:jc w:val="left"/>
    </w:pPr>
    <w:rPr>
      <w:sz w:val="18"/>
      <w:szCs w:val="18"/>
    </w:rPr>
  </w:style>
  <w:style w:type="character" w:customStyle="1" w:styleId="a8">
    <w:name w:val="页脚 字符"/>
    <w:basedOn w:val="a0"/>
    <w:link w:val="a7"/>
    <w:rsid w:val="00B36C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克勤 卢</cp:lastModifiedBy>
  <cp:revision>4</cp:revision>
  <dcterms:created xsi:type="dcterms:W3CDTF">2025-03-18T02:36:00Z</dcterms:created>
  <dcterms:modified xsi:type="dcterms:W3CDTF">2025-03-19T07:50:00Z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2875F4FC391F45A6A8CF623D71A55A17_11</vt:lpwstr>
  </property>
  <property fmtid="{D5CDD505-2E9C-101B-9397-08002B2CF9AE}" pid="4" name="KSOTemplateDocerSaveRecord">
    <vt:lpwstr>eyJoZGlkIjoiOWY2YjgxMTQ4NTI4OTk5OWNmZmY5NjBlNDE3NWJhNzkiLCJ1c2VySWQiOiIzNDI2MjI5NjYifQ==</vt:lpwstr>
  </property>
</Properties>
</file>