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left" w:pos="7453"/>
          <w:tab w:val="left" w:pos="7454"/>
          <w:tab w:val="left" w:pos="7482"/>
        </w:tabs>
        <w:spacing w:line="580" w:lineRule="exact"/>
        <w:ind w:firstLine="640"/>
        <w:jc w:val="center"/>
        <w:rPr>
          <w:rFonts w:ascii="黑体" w:eastAsia="黑体" w:hint="eastAsia"/>
          <w:color w:val="000000"/>
          <w:sz w:val="32"/>
          <w:szCs w:val="32"/>
        </w:rPr>
      </w:pPr>
      <w:bookmarkStart w:id="0" w:name="_GoBack"/>
      <w:bookmarkEnd w:id="0"/>
      <w:r>
        <w:rPr>
          <w:rFonts w:ascii="黑体" w:eastAsia="黑体" w:hint="eastAsia"/>
          <w:color w:val="000000"/>
          <w:sz w:val="32"/>
          <w:szCs w:val="32"/>
        </w:rPr>
        <w:t>附件  2022—2024年四川省职业教育人才培养和教育教学改革项目验收结果汇总表</w:t>
      </w:r>
    </w:p>
    <w:tbl>
      <w:tblPr>
        <w:jc w:val="left"/>
        <w:tblInd w:w="-644" w:type="dxa"/>
        <w:tblW w:w="1545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76"/>
        <w:gridCol w:w="6112"/>
        <w:gridCol w:w="1065"/>
        <w:gridCol w:w="3157"/>
        <w:gridCol w:w="2423"/>
        <w:gridCol w:w="1223"/>
      </w:tblGrid>
      <w:tr>
        <w:trPr>
          <w:trHeight w:val="72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rPr>
                <w:rFonts w:ascii="黑体" w:eastAsia="黑体" w:cs="黑体" w:hAnsi="黑体" w:hint="eastAsia"/>
                <w:sz w:val="24"/>
                <w:szCs w:val="24"/>
              </w:rPr>
            </w:pPr>
            <w:r>
              <w:rPr>
                <w:rFonts w:ascii="黑体" w:eastAsia="黑体" w:cs="黑体" w:hAnsi="黑体" w:hint="eastAsia"/>
                <w:sz w:val="24"/>
                <w:szCs w:val="24"/>
              </w:rPr>
              <w:t>项目编号</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hint="eastAsia"/>
                <w:color w:val="auto"/>
                <w:sz w:val="24"/>
                <w:lang w:bidi="ar-SA"/>
              </w:rPr>
              <w:t>项目名称</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黑体" w:eastAsia="黑体" w:cs="Lucida Sans" w:hint="eastAsia"/>
                <w:color w:val="auto"/>
                <w:sz w:val="24"/>
                <w:lang w:bidi="ar-SA"/>
              </w:rPr>
              <w:t>负责人</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hint="eastAsia"/>
                <w:color w:val="auto"/>
                <w:sz w:val="24"/>
                <w:lang w:bidi="ar-SA"/>
              </w:rPr>
              <w:t>项目组成员</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Chars="100" w:firstLine="240"/>
              <w:jc w:val="both"/>
            </w:pPr>
            <w:r>
              <w:rPr>
                <w:rFonts w:ascii="黑体" w:eastAsia="黑体" w:cs="Lucida Sans" w:hint="eastAsia"/>
                <w:color w:val="auto"/>
                <w:sz w:val="24"/>
                <w:lang w:bidi="ar-SA"/>
              </w:rPr>
              <w:t>负责人所在单位</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黑体" w:eastAsia="黑体" w:cs="Lucida Sans" w:hint="eastAsia"/>
                <w:color w:val="auto"/>
                <w:sz w:val="24"/>
                <w:lang w:bidi="ar-SA"/>
              </w:rPr>
              <w:t>验收结果</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-108</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color w:val="000000"/>
                <w:sz w:val="24"/>
                <w:szCs w:val="24"/>
              </w:rPr>
              <w:t>构建深度融合的三全育人机制的实践研究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明安丽</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李刚、傅梅、张远、罗达国、文涛、付瑶、周恩霞、任靖宇、白焱秋</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-10</w:t>
            </w:r>
            <w:r>
              <w:rPr>
                <w:rStyle w:val="134"/>
                <w:rFonts w:ascii="仿宋_GB2312" w:eastAsia="仿宋_GB2312" w:cs="仿宋_GB2312"/>
                <w:sz w:val="21"/>
                <w:szCs w:val="21"/>
                <w:lang w:val="en-US" w:eastAsia="zh-CN"/>
              </w:rPr>
              <w:t>9</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赛教融合推进焊接加工实践技能教学改革的研究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周树春</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卢跃云、王金库、赵婷、宋光俊、赵炜、赵蓓蓓、李奕静、熊旭、刘景凤</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攀枝花技师学院</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10</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土木类专业群服务乡村振兴发展战略研究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何银强</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张等峰、骆家祥、 史磊、桂俊恩、施兴娴、谢丹、 陈云川、刘中华、邓骁</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攀枝花市建筑工程学校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11</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color w:val="000000"/>
                <w:sz w:val="24"/>
                <w:szCs w:val="24"/>
              </w:rPr>
              <w:t>基于现代学徒制背景中高企一体化计算机类专业人才培养探索与实践</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钱芬</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傅梅、王利君、彭腊梅、何颖尧、徐燕、卢德群、李权、陈麒先、张毅华</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12</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指向核心素养提升的中职数学“全景式”课堂教学实践研究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张文彬</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傅梅、王鹏、徐静、荣洪苇、黄雨婷、李兰、张友祝、何建康、刘聪</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13</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基于“三心”德育下引入南狮传统运动的课程实践研究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王钊</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刘超军、王悦力、田维军、周凡梅、张林、毛祥云、胡跃彬、张杰、陆永林</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14</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校园欺凌现状调查及对策研究——以攀枝花市某中职学 校为例</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颜小燕</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何银强、赵志远、龚贵祥、杨佳丽、王春强、郭顺利、唐旭、马贞兰</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攀枝花市建筑工程学校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15</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基于核心素养培养的中职思想政治课教学改革研究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龚贵祥</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颜小燕、郭顺利、赵志远、马贞兰、刘万康、王春强、杨佳丽、夏雅宁</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攀枝花市建筑工程学校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16</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基于核心素养培养的中职语文作业设计研究与实践</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饶禾春</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刘月、毛丹、熊燕、周均、施兴敏、陈燕、杨阳</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17</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党的二十大精神融入中职政史地课程教学的策略研究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color w:val="000000"/>
                <w:sz w:val="24"/>
                <w:szCs w:val="24"/>
              </w:rPr>
            </w:pPr>
            <w:r>
              <w:rPr>
                <w:rFonts w:ascii="仿宋_GB2312" w:eastAsia="仿宋_GB2312" w:hint="eastAsia"/>
                <w:sz w:val="24"/>
                <w:szCs w:val="24"/>
              </w:rPr>
              <w:t>曾小松</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周天凯、何丹、康欣、杨阳、兰长莲、彭小菊、李锐、刘峻木</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攀枝花市经贸旅游学校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18</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核心素养视角下的中职数学大单元教学设计与实施研究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姚红</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王春强、杜婧、伍太香、郭怡琳、唐境、冯军、高国峰、祝永杰、唐丽</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攀枝花市建筑工程学校</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19</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技工院校电气自动化专业“工学一体”人才培养模式研究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王洪连</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任三虎、杨方益、张玉敏、赵龙光、白冰、方锐、赵红权</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攀枝花技师学院</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暂缓通过申请延期</w:t>
            </w:r>
          </w:p>
        </w:tc>
      </w:tr>
      <w:tr>
        <w:trPr>
          <w:trHeight w:val="450"/>
        </w:trPr>
        <w:tc>
          <w:tcPr>
            <w:tcW w:w="1476"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both"/>
            </w:pPr>
            <w:r>
              <w:rPr>
                <w:rStyle w:val="133"/>
                <w:rFonts w:ascii="仿宋_GB2312" w:eastAsia="仿宋_GB2312" w:cs="仿宋_GB2312" w:hint="eastAsia"/>
                <w:sz w:val="21"/>
                <w:szCs w:val="21"/>
                <w:lang w:val="en-US" w:eastAsia="zh-CN"/>
              </w:rPr>
              <w:t>ZZJG2022</w:t>
            </w:r>
            <w:r>
              <w:rPr>
                <w:rStyle w:val="134"/>
                <w:rFonts w:ascii="仿宋_GB2312" w:eastAsia="仿宋_GB2312" w:cs="仿宋_GB2312" w:hint="eastAsia"/>
                <w:sz w:val="21"/>
                <w:szCs w:val="21"/>
                <w:lang w:val="en-US" w:eastAsia="zh-CN"/>
              </w:rPr>
              <w:t>-1</w:t>
            </w:r>
            <w:r>
              <w:rPr>
                <w:rStyle w:val="134"/>
                <w:rFonts w:ascii="仿宋_GB2312" w:eastAsia="仿宋_GB2312" w:cs="仿宋_GB2312"/>
                <w:sz w:val="21"/>
                <w:szCs w:val="21"/>
                <w:lang w:val="en-US" w:eastAsia="zh-CN"/>
              </w:rPr>
              <w:t>20</w:t>
            </w:r>
          </w:p>
        </w:tc>
        <w:tc>
          <w:tcPr>
            <w:tcW w:w="6112"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聚焦高技能人才培养 服务地方经济发展——技工院校基 于“校企融合”的技能工匠培养实践研究</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tabs>
                <w:tab w:val="left" w:pos="7453"/>
                <w:tab w:val="left" w:pos="7454"/>
                <w:tab w:val="left" w:pos="7482"/>
              </w:tabs>
              <w:spacing w:line="580" w:lineRule="exact"/>
              <w:ind w:firstLine="0"/>
              <w:jc w:val="center"/>
              <w:rPr>
                <w:rFonts w:ascii="仿宋_GB2312" w:eastAsia="仿宋_GB2312" w:hint="eastAsia"/>
                <w:sz w:val="24"/>
                <w:szCs w:val="24"/>
              </w:rPr>
            </w:pPr>
            <w:r>
              <w:rPr>
                <w:rFonts w:ascii="仿宋_GB2312" w:eastAsia="仿宋_GB2312" w:hint="eastAsia"/>
                <w:sz w:val="24"/>
                <w:szCs w:val="24"/>
              </w:rPr>
              <w:t>陆健</w:t>
            </w:r>
          </w:p>
        </w:tc>
        <w:tc>
          <w:tcPr>
            <w:tcW w:w="3157"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pPr>
            <w:r>
              <w:rPr>
                <w:rFonts w:ascii="仿宋_GB2312" w:eastAsia="仿宋_GB2312" w:hint="eastAsia"/>
                <w:color w:val="000000"/>
                <w:sz w:val="24"/>
                <w:szCs w:val="24"/>
              </w:rPr>
              <w:t>何晓斌、高岭、陈绍君、赵婷、卢跃云、张小杰、孔钒</w:t>
            </w:r>
          </w:p>
        </w:tc>
        <w:tc>
          <w:tcPr>
            <w:tcW w:w="24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攀枝花技师学院</w:t>
            </w:r>
          </w:p>
        </w:tc>
        <w:tc>
          <w:tcPr>
            <w:tcW w:w="1223" w:type="dxa"/>
            <w:tcBorders>
              <w:top w:val="single" w:sz="6" w:space="0" w:color="auto"/>
              <w:left w:val="single" w:sz="6" w:space="0" w:color="auto"/>
              <w:bottom w:val="single" w:sz="6" w:space="0" w:color="auto"/>
              <w:right w:val="single" w:sz="6" w:space="0" w:color="auto"/>
              <w:tl2br w:val="nil"/>
              <w:tr2bl w:val="nil"/>
            </w:tcBorders>
            <w:noWrap/>
            <w:vAlign w:val="center"/>
          </w:tcPr>
          <w:p>
            <w:pPr>
              <w:ind w:left="0" w:firstLine="0"/>
              <w:jc w:val="center"/>
            </w:pPr>
            <w:r>
              <w:rPr>
                <w:rFonts w:ascii="仿宋_GB2312" w:eastAsia="仿宋_GB2312" w:hint="eastAsia"/>
                <w:color w:val="000000"/>
                <w:sz w:val="24"/>
                <w:szCs w:val="24"/>
              </w:rPr>
              <w:t>通过</w:t>
            </w:r>
          </w:p>
        </w:tc>
      </w:tr>
    </w:tbl>
    <w:p>
      <w:pPr>
        <w:tabs>
          <w:tab w:val="left" w:pos="7453"/>
          <w:tab w:val="left" w:pos="7454"/>
          <w:tab w:val="left" w:pos="7482"/>
        </w:tabs>
        <w:spacing w:line="580" w:lineRule="exact"/>
        <w:ind w:firstLine="640"/>
        <w:rPr>
          <w:rFonts w:ascii="黑体" w:eastAsia="黑体" w:hint="eastAsia"/>
          <w:color w:val="000000"/>
          <w:sz w:val="32"/>
          <w:szCs w:val="32"/>
        </w:rPr>
      </w:pPr>
    </w:p>
    <w:p/>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黑体"/>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Calibri" w:hAnsi="Times New Roman"/>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9">
    <w:name w:val="index 9"/>
    <w:basedOn w:val="0"/>
    <w:autoRedefine/>
    <w:next w:val="0"/>
    <w:pPr>
      <w:ind w:left="3360"/>
    </w:pPr>
  </w:style>
  <w:style w:type="paragraph" w:styleId="20">
    <w:name w:val="toc 1"/>
    <w:basedOn w:val="0"/>
    <w:autoRedefine/>
    <w:next w:val="0"/>
  </w:style>
  <w:style w:type="character" w:customStyle="1" w:styleId="133">
    <w:name w:val="font51"/>
    <w:basedOn w:val="0"/>
    <w:rPr>
      <w:rFonts w:ascii="Calibri" w:eastAsia="宋体" w:cs="Calibri" w:hAnsi="Calibri"/>
      <w:color w:val="000000"/>
      <w:kern w:val="2"/>
      <w:sz w:val="16"/>
      <w:szCs w:val="16"/>
      <w:u w:val="none"/>
      <w:lang w:val="en-US" w:eastAsia="zh-CN" w:bidi="ar-SA"/>
    </w:rPr>
  </w:style>
  <w:style w:type="character" w:customStyle="1" w:styleId="134">
    <w:name w:val="font61"/>
    <w:basedOn w:val="0"/>
    <w:rPr>
      <w:rFonts w:ascii="Times New Roman" w:eastAsia="宋体" w:cs="Times New Roman" w:hAnsi="Times New Roman"/>
      <w:color w:val="000000"/>
      <w:kern w:val="2"/>
      <w:sz w:val="16"/>
      <w:szCs w:val="16"/>
      <w:u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0D20542-9293-43EC-B3CB-963BDC3AD84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914</Characters>
  <Lines>0</Lines>
  <Paragraphs>5</Paragraphs>
  <CharactersWithSpaces>1219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user</cp:lastModifiedBy>
  <cp:revision>1</cp:revision>
  <dcterms:created xsi:type="dcterms:W3CDTF">2021-05-08T07:28:00Z</dcterms:created>
  <dcterms:modified xsi:type="dcterms:W3CDTF">2025-01-13T11:14:13Z</dcterms:modified>
</cp:coreProperties>
</file>