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EC1A8">
      <w:pPr>
        <w:spacing w:line="600" w:lineRule="exact"/>
        <w:ind w:firstLine="1440"/>
        <w:jc w:val="center"/>
        <w:outlineLvl w:val="0"/>
        <w:rPr>
          <w:rFonts w:ascii="方正小标宋简体" w:hAnsi="宋体" w:eastAsia="方正小标宋简体"/>
          <w:sz w:val="72"/>
          <w:szCs w:val="72"/>
        </w:rPr>
      </w:pPr>
      <w:bookmarkStart w:id="0" w:name="_Toc15306267"/>
    </w:p>
    <w:p w14:paraId="2EBC6884">
      <w:pPr>
        <w:spacing w:line="600" w:lineRule="exact"/>
        <w:ind w:firstLine="1440"/>
        <w:jc w:val="center"/>
        <w:outlineLvl w:val="0"/>
        <w:rPr>
          <w:rFonts w:ascii="方正小标宋简体" w:hAnsi="宋体" w:eastAsia="方正小标宋简体"/>
          <w:sz w:val="72"/>
          <w:szCs w:val="72"/>
        </w:rPr>
      </w:pPr>
    </w:p>
    <w:p w14:paraId="3BBF9388">
      <w:pPr>
        <w:spacing w:line="600" w:lineRule="exact"/>
        <w:ind w:firstLine="1440"/>
        <w:jc w:val="center"/>
        <w:outlineLvl w:val="0"/>
        <w:rPr>
          <w:rFonts w:ascii="方正小标宋简体" w:hAnsi="宋体" w:eastAsia="方正小标宋简体"/>
          <w:sz w:val="72"/>
          <w:szCs w:val="72"/>
        </w:rPr>
      </w:pPr>
    </w:p>
    <w:p w14:paraId="59E35826">
      <w:pPr>
        <w:spacing w:line="600" w:lineRule="exact"/>
        <w:ind w:firstLine="1440"/>
        <w:jc w:val="center"/>
        <w:outlineLvl w:val="0"/>
        <w:rPr>
          <w:rFonts w:ascii="方正小标宋简体" w:hAnsi="宋体" w:eastAsia="方正小标宋简体"/>
          <w:sz w:val="72"/>
          <w:szCs w:val="72"/>
        </w:rPr>
      </w:pPr>
    </w:p>
    <w:p w14:paraId="65F7A4D2">
      <w:pPr>
        <w:adjustRightInd w:val="0"/>
        <w:snapToGrid w:val="0"/>
        <w:spacing w:line="360" w:lineRule="auto"/>
        <w:ind w:firstLine="1440"/>
        <w:jc w:val="both"/>
        <w:outlineLvl w:val="0"/>
        <w:rPr>
          <w:rFonts w:hint="eastAsia" w:ascii="方正小标宋简体" w:hAnsi="方正小标宋简体" w:eastAsia="方正小标宋简体" w:cs="方正小标宋简体"/>
          <w:sz w:val="72"/>
          <w:szCs w:val="72"/>
        </w:rPr>
      </w:pPr>
      <w:bookmarkStart w:id="1" w:name="_Toc15396475"/>
      <w:bookmarkStart w:id="2" w:name="_Toc15377193"/>
      <w:bookmarkStart w:id="3" w:name="_Toc15377425"/>
      <w:bookmarkStart w:id="4" w:name="_Toc112941949"/>
      <w:bookmarkStart w:id="5" w:name="_Toc112942267"/>
      <w:bookmarkStart w:id="6" w:name="_Toc15378441"/>
      <w:bookmarkStart w:id="7" w:name="_Toc15396597"/>
      <w:bookmarkStart w:id="8" w:name="_Toc22725"/>
      <w:bookmarkStart w:id="9" w:name="_Toc30115"/>
      <w:bookmarkStart w:id="10" w:name="_Toc3420"/>
      <w:bookmarkStart w:id="11" w:name="_Toc2351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End w:id="7"/>
      <w:bookmarkStart w:id="12" w:name="_Toc15377194"/>
      <w:bookmarkStart w:id="13" w:name="_Toc15396598"/>
      <w:bookmarkStart w:id="14" w:name="_Toc15378442"/>
      <w:bookmarkStart w:id="15" w:name="_Toc15377426"/>
      <w:bookmarkStart w:id="16" w:name="_Toc112942268"/>
      <w:bookmarkStart w:id="17" w:name="_Toc112941950"/>
      <w:bookmarkStart w:id="18" w:name="_Toc15396476"/>
      <w:r>
        <w:rPr>
          <w:rFonts w:hint="eastAsia" w:ascii="方正小标宋简体" w:hAnsi="方正小标宋简体" w:eastAsia="方正小标宋简体" w:cs="方正小标宋简体"/>
          <w:sz w:val="72"/>
          <w:szCs w:val="72"/>
        </w:rPr>
        <w:t>四川省</w:t>
      </w:r>
      <w:bookmarkEnd w:id="0"/>
      <w:bookmarkEnd w:id="8"/>
      <w:bookmarkEnd w:id="9"/>
      <w:bookmarkEnd w:id="10"/>
      <w:bookmarkEnd w:id="11"/>
      <w:bookmarkStart w:id="19" w:name="_Toc15306268"/>
    </w:p>
    <w:p w14:paraId="7947D121">
      <w:pPr>
        <w:adjustRightInd w:val="0"/>
        <w:snapToGrid w:val="0"/>
        <w:spacing w:line="360" w:lineRule="auto"/>
        <w:ind w:left="0" w:leftChars="0" w:firstLine="0" w:firstLineChars="0"/>
        <w:jc w:val="both"/>
        <w:outlineLvl w:val="0"/>
        <w:rPr>
          <w:rFonts w:hint="eastAsia" w:ascii="方正小标宋简体" w:hAnsi="方正小标宋简体" w:eastAsia="方正小标宋简体" w:cs="方正小标宋简体"/>
          <w:sz w:val="72"/>
          <w:szCs w:val="72"/>
          <w:lang w:eastAsia="zh-CN"/>
        </w:rPr>
      </w:pPr>
      <w:bookmarkStart w:id="20" w:name="_Toc3376"/>
      <w:bookmarkStart w:id="21" w:name="_Toc14540"/>
      <w:bookmarkStart w:id="22" w:name="_Toc24578"/>
      <w:bookmarkStart w:id="23" w:name="_Toc19081"/>
      <w:bookmarkStart w:id="24" w:name="_Toc11964"/>
      <w:r>
        <w:rPr>
          <w:rFonts w:hint="eastAsia" w:ascii="方正小标宋简体" w:hAnsi="方正小标宋简体" w:eastAsia="方正小标宋简体" w:cs="方正小标宋简体"/>
          <w:sz w:val="72"/>
          <w:szCs w:val="72"/>
        </w:rPr>
        <w:t>攀枝花市教育科学研究</w:t>
      </w:r>
      <w:bookmarkEnd w:id="20"/>
      <w:bookmarkEnd w:id="21"/>
      <w:r>
        <w:rPr>
          <w:rFonts w:hint="eastAsia" w:ascii="方正小标宋简体" w:hAnsi="方正小标宋简体" w:eastAsia="方正小标宋简体" w:cs="方正小标宋简体"/>
          <w:sz w:val="72"/>
          <w:szCs w:val="72"/>
          <w:lang w:eastAsia="zh-CN"/>
        </w:rPr>
        <w:t>所</w:t>
      </w:r>
      <w:bookmarkEnd w:id="22"/>
      <w:bookmarkEnd w:id="23"/>
      <w:bookmarkEnd w:id="24"/>
    </w:p>
    <w:p w14:paraId="642AC4EA">
      <w:pPr>
        <w:adjustRightInd w:val="0"/>
        <w:snapToGrid w:val="0"/>
        <w:spacing w:line="360" w:lineRule="auto"/>
        <w:ind w:left="0" w:leftChars="0" w:firstLine="2880" w:firstLineChars="400"/>
        <w:jc w:val="both"/>
        <w:outlineLvl w:val="0"/>
        <w:rPr>
          <w:rFonts w:ascii="方正小标宋简体" w:hAnsi="方正小标宋简体" w:eastAsia="方正小标宋简体" w:cs="方正小标宋简体"/>
          <w:sz w:val="72"/>
          <w:szCs w:val="72"/>
        </w:rPr>
      </w:pPr>
      <w:bookmarkStart w:id="25" w:name="_Toc25962"/>
      <w:bookmarkStart w:id="26" w:name="_Toc32055"/>
      <w:bookmarkStart w:id="27" w:name="_Toc9358"/>
      <w:bookmarkStart w:id="28" w:name="_Toc9097"/>
      <w:bookmarkStart w:id="29" w:name="_Toc4322"/>
      <w:r>
        <w:rPr>
          <w:rFonts w:hint="eastAsia" w:ascii="方正小标宋简体" w:hAnsi="方正小标宋简体" w:eastAsia="方正小标宋简体" w:cs="方正小标宋简体"/>
          <w:sz w:val="72"/>
          <w:szCs w:val="72"/>
        </w:rPr>
        <w:t>单位决算</w:t>
      </w:r>
      <w:bookmarkEnd w:id="12"/>
      <w:bookmarkEnd w:id="13"/>
      <w:bookmarkEnd w:id="14"/>
      <w:bookmarkEnd w:id="15"/>
      <w:bookmarkEnd w:id="16"/>
      <w:bookmarkEnd w:id="17"/>
      <w:bookmarkEnd w:id="18"/>
      <w:bookmarkEnd w:id="19"/>
      <w:bookmarkEnd w:id="25"/>
      <w:bookmarkEnd w:id="26"/>
      <w:bookmarkEnd w:id="27"/>
      <w:bookmarkEnd w:id="28"/>
      <w:bookmarkEnd w:id="29"/>
    </w:p>
    <w:p w14:paraId="715A245E">
      <w:pPr>
        <w:widowControl/>
        <w:ind w:firstLine="720"/>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88C7BA1">
      <w:pPr>
        <w:widowControl/>
        <w:ind w:firstLine="560"/>
        <w:jc w:val="center"/>
        <w:rPr>
          <w:rFonts w:ascii="黑体" w:hAnsi="黑体" w:eastAsia="黑体" w:cstheme="minorBidi"/>
          <w:sz w:val="28"/>
          <w:szCs w:val="28"/>
        </w:rPr>
      </w:pPr>
    </w:p>
    <w:p w14:paraId="1F0A887B">
      <w:pPr>
        <w:pStyle w:val="10"/>
        <w:ind w:firstLine="560"/>
      </w:pPr>
      <w:r>
        <w:rPr>
          <w:rFonts w:hint="eastAsia"/>
        </w:rPr>
        <w:t>公开时间：2022年9月</w:t>
      </w:r>
      <w:r>
        <w:rPr>
          <w:rFonts w:hint="eastAsia"/>
          <w:lang w:val="en-US" w:eastAsia="zh-CN"/>
        </w:rPr>
        <w:t>13</w:t>
      </w:r>
      <w:r>
        <w:rPr>
          <w:rFonts w:hint="eastAsia"/>
        </w:rPr>
        <w:t>日</w:t>
      </w:r>
    </w:p>
    <w:p w14:paraId="5755C417">
      <w:pPr>
        <w:ind w:firstLine="640"/>
      </w:pPr>
    </w:p>
    <w:p w14:paraId="5DF73FF7">
      <w:pPr>
        <w:pStyle w:val="10"/>
        <w:tabs>
          <w:tab w:val="right" w:leader="dot" w:pos="8306"/>
          <w:tab w:val="clear" w:pos="8296"/>
        </w:tabs>
      </w:pPr>
      <w:bookmarkStart w:id="30" w:name="_Toc16599"/>
      <w:r>
        <w:rPr>
          <w:rFonts w:hint="eastAsia"/>
        </w:rPr>
        <w:fldChar w:fldCharType="begin"/>
      </w:r>
      <w:r>
        <w:rPr>
          <w:rFonts w:hint="eastAsia"/>
        </w:rPr>
        <w:instrText xml:space="preserve">TOC \o "1-3" \h \u </w:instrText>
      </w:r>
      <w:r>
        <w:rPr>
          <w:rFonts w:hint="eastAsia"/>
        </w:rPr>
        <w:fldChar w:fldCharType="separate"/>
      </w:r>
    </w:p>
    <w:p w14:paraId="456F154E">
      <w:pPr>
        <w:pStyle w:val="10"/>
        <w:tabs>
          <w:tab w:val="right" w:leader="dot" w:pos="8306"/>
          <w:tab w:val="clear" w:pos="8296"/>
        </w:tabs>
      </w:pPr>
      <w:r>
        <w:rPr>
          <w:rFonts w:hint="eastAsia"/>
        </w:rPr>
        <w:fldChar w:fldCharType="begin"/>
      </w:r>
      <w:r>
        <w:rPr>
          <w:rFonts w:hint="eastAsia"/>
        </w:rPr>
        <w:instrText xml:space="preserve"> HYPERLINK \l _Toc4322 </w:instrText>
      </w:r>
      <w:r>
        <w:rPr>
          <w:rFonts w:hint="eastAsia"/>
        </w:rPr>
        <w:fldChar w:fldCharType="separate"/>
      </w:r>
      <w:r>
        <w:rPr>
          <w:rFonts w:hint="eastAsia"/>
        </w:rPr>
        <w:fldChar w:fldCharType="end"/>
      </w:r>
    </w:p>
    <w:p w14:paraId="613D4171">
      <w:pPr>
        <w:pStyle w:val="10"/>
        <w:tabs>
          <w:tab w:val="right" w:leader="dot" w:pos="8306"/>
          <w:tab w:val="clear" w:pos="8296"/>
        </w:tabs>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_Toc5402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单位概况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_Toc5402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55DE5B">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_Toc17435 </w:instrText>
      </w:r>
      <w:r>
        <w:rPr>
          <w:rFonts w:hint="eastAsia" w:ascii="宋体" w:hAnsi="宋体" w:eastAsia="宋体" w:cs="宋体"/>
          <w:sz w:val="28"/>
          <w:szCs w:val="28"/>
        </w:rPr>
        <w:fldChar w:fldCharType="separate"/>
      </w:r>
      <w:r>
        <w:rPr>
          <w:rFonts w:hint="eastAsia" w:ascii="宋体" w:hAnsi="宋体" w:eastAsia="宋体" w:cs="宋体"/>
          <w:sz w:val="28"/>
          <w:szCs w:val="28"/>
        </w:rPr>
        <w:t>一、职能简介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_Toc17435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85F43D8">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_Toc32711 </w:instrText>
      </w:r>
      <w:r>
        <w:rPr>
          <w:rFonts w:hint="eastAsia" w:ascii="宋体" w:hAnsi="宋体" w:eastAsia="宋体" w:cs="宋体"/>
          <w:sz w:val="28"/>
          <w:szCs w:val="28"/>
        </w:rPr>
        <w:fldChar w:fldCharType="separate"/>
      </w:r>
      <w:r>
        <w:rPr>
          <w:rFonts w:hint="eastAsia" w:ascii="宋体" w:hAnsi="宋体" w:eastAsia="宋体" w:cs="宋体"/>
          <w:sz w:val="28"/>
          <w:szCs w:val="28"/>
        </w:rPr>
        <w:t>二、2021年重点工作完成情况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_Toc32711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2257160">
      <w:pPr>
        <w:ind w:left="0" w:leftChars="0" w:firstLine="280" w:firstLineChars="100"/>
        <w:rPr>
          <w:rFonts w:hint="eastAsia" w:eastAsia="宋体"/>
          <w:lang w:val="en-US" w:eastAsia="zh-CN"/>
        </w:rPr>
      </w:pPr>
      <w:r>
        <w:rPr>
          <w:rFonts w:hint="eastAsia" w:ascii="宋体" w:hAnsi="宋体" w:eastAsia="宋体" w:cs="宋体"/>
          <w:sz w:val="28"/>
          <w:szCs w:val="28"/>
          <w:lang w:eastAsia="zh-CN"/>
        </w:rPr>
        <w:t>三、机构设置情况</w:t>
      </w:r>
      <w:r>
        <w:rPr>
          <w:rFonts w:hint="eastAsia" w:ascii="宋体" w:hAnsi="宋体" w:eastAsia="宋体" w:cs="宋体"/>
          <w:sz w:val="28"/>
          <w:szCs w:val="28"/>
          <w:lang w:val="en-US" w:eastAsia="zh-CN"/>
        </w:rPr>
        <w:t xml:space="preserve"> ........................................6</w:t>
      </w:r>
    </w:p>
    <w:p w14:paraId="50BB01D1">
      <w:pPr>
        <w:pStyle w:val="10"/>
        <w:tabs>
          <w:tab w:val="right" w:leader="dot" w:pos="8306"/>
          <w:tab w:val="clear" w:pos="8296"/>
        </w:tabs>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_Toc16297 </w:instrText>
      </w:r>
      <w:r>
        <w:rPr>
          <w:rFonts w:hint="eastAsia" w:ascii="宋体" w:hAnsi="宋体" w:eastAsia="宋体" w:cs="宋体"/>
          <w:sz w:val="28"/>
          <w:szCs w:val="28"/>
        </w:rPr>
        <w:fldChar w:fldCharType="separate"/>
      </w:r>
      <w:r>
        <w:rPr>
          <w:rFonts w:hint="eastAsia" w:ascii="宋体" w:hAnsi="宋体" w:eastAsia="宋体" w:cs="宋体"/>
          <w:sz w:val="28"/>
          <w:szCs w:val="28"/>
        </w:rPr>
        <w:t>第二部分 2021年度单位决算情况说明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_Toc16297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1EDCB12">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 </w:instrText>
      </w:r>
      <w:r>
        <w:rPr>
          <w:rFonts w:hint="eastAsia" w:ascii="宋体" w:hAnsi="宋体" w:eastAsia="宋体" w:cs="宋体"/>
          <w:sz w:val="28"/>
          <w:szCs w:val="28"/>
        </w:rPr>
        <w:fldChar w:fldCharType="separate"/>
      </w:r>
      <w:r>
        <w:rPr>
          <w:rFonts w:hint="eastAsia" w:ascii="宋体" w:hAnsi="宋体" w:eastAsia="宋体" w:cs="宋体"/>
          <w:sz w:val="28"/>
          <w:szCs w:val="28"/>
        </w:rPr>
        <w:t>一、收入支出决算总体情况说明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DDBC0E">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_Toc28890 </w:instrText>
      </w:r>
      <w:r>
        <w:rPr>
          <w:rFonts w:hint="eastAsia" w:ascii="宋体" w:hAnsi="宋体" w:eastAsia="宋体" w:cs="宋体"/>
          <w:sz w:val="28"/>
          <w:szCs w:val="28"/>
        </w:rPr>
        <w:fldChar w:fldCharType="separate"/>
      </w:r>
      <w:r>
        <w:rPr>
          <w:rFonts w:hint="eastAsia" w:ascii="宋体" w:hAnsi="宋体" w:eastAsia="宋体" w:cs="宋体"/>
          <w:sz w:val="28"/>
          <w:szCs w:val="28"/>
        </w:rPr>
        <w:t>二、收入决算情况说明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_Toc28890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7E23C96">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_Toc10704 </w:instrText>
      </w:r>
      <w:r>
        <w:rPr>
          <w:rFonts w:hint="eastAsia" w:ascii="宋体" w:hAnsi="宋体" w:eastAsia="宋体" w:cs="宋体"/>
          <w:sz w:val="28"/>
          <w:szCs w:val="28"/>
        </w:rPr>
        <w:fldChar w:fldCharType="separate"/>
      </w:r>
      <w:r>
        <w:rPr>
          <w:rFonts w:hint="eastAsia" w:ascii="宋体" w:hAnsi="宋体" w:eastAsia="宋体" w:cs="宋体"/>
          <w:sz w:val="28"/>
          <w:szCs w:val="28"/>
        </w:rPr>
        <w:t>三、支出决算情况说明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_Toc10704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48A6024">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_Toc14591 </w:instrText>
      </w:r>
      <w:r>
        <w:rPr>
          <w:rFonts w:hint="eastAsia" w:ascii="宋体" w:hAnsi="宋体" w:eastAsia="宋体" w:cs="宋体"/>
          <w:sz w:val="28"/>
          <w:szCs w:val="28"/>
        </w:rPr>
        <w:fldChar w:fldCharType="separate"/>
      </w:r>
      <w:r>
        <w:rPr>
          <w:rFonts w:hint="eastAsia" w:ascii="宋体" w:hAnsi="宋体" w:eastAsia="宋体" w:cs="宋体"/>
          <w:sz w:val="28"/>
          <w:szCs w:val="28"/>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_Toc14591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FD4455A">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_Toc5489 </w:instrText>
      </w:r>
      <w:r>
        <w:rPr>
          <w:rFonts w:hint="eastAsia" w:ascii="宋体" w:hAnsi="宋体" w:eastAsia="宋体" w:cs="宋体"/>
          <w:sz w:val="28"/>
          <w:szCs w:val="28"/>
        </w:rPr>
        <w:fldChar w:fldCharType="separate"/>
      </w:r>
      <w:r>
        <w:rPr>
          <w:rFonts w:hint="eastAsia" w:ascii="宋体" w:hAnsi="宋体" w:eastAsia="宋体" w:cs="宋体"/>
          <w:sz w:val="28"/>
          <w:szCs w:val="28"/>
        </w:rPr>
        <w:t>五、一般公共预算财政拨款支出决算情况说明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_Toc5489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69DB5D8">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_Toc4451 </w:instrText>
      </w:r>
      <w:r>
        <w:rPr>
          <w:rFonts w:hint="eastAsia" w:ascii="宋体" w:hAnsi="宋体" w:eastAsia="宋体" w:cs="宋体"/>
          <w:sz w:val="28"/>
          <w:szCs w:val="28"/>
        </w:rPr>
        <w:fldChar w:fldCharType="separate"/>
      </w:r>
      <w:r>
        <w:rPr>
          <w:rFonts w:hint="eastAsia" w:ascii="宋体" w:hAnsi="宋体" w:eastAsia="宋体" w:cs="宋体"/>
          <w:sz w:val="28"/>
          <w:szCs w:val="28"/>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_Toc4451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7304E9B">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_Toc7033 </w:instrText>
      </w:r>
      <w:r>
        <w:rPr>
          <w:rFonts w:hint="eastAsia" w:ascii="宋体" w:hAnsi="宋体" w:eastAsia="宋体" w:cs="宋体"/>
          <w:sz w:val="28"/>
          <w:szCs w:val="28"/>
        </w:rPr>
        <w:fldChar w:fldCharType="separate"/>
      </w:r>
      <w:r>
        <w:rPr>
          <w:rFonts w:hint="eastAsia" w:ascii="宋体" w:hAnsi="宋体" w:eastAsia="宋体" w:cs="宋体"/>
          <w:sz w:val="28"/>
          <w:szCs w:val="28"/>
        </w:rPr>
        <w:t>七、“三公”经费财政拨款支出决算情况说明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_Toc7033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F368613">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_Toc14541 </w:instrText>
      </w:r>
      <w:r>
        <w:rPr>
          <w:rFonts w:hint="eastAsia" w:ascii="宋体" w:hAnsi="宋体" w:eastAsia="宋体" w:cs="宋体"/>
          <w:sz w:val="28"/>
          <w:szCs w:val="28"/>
        </w:rPr>
        <w:fldChar w:fldCharType="separate"/>
      </w:r>
      <w:r>
        <w:rPr>
          <w:rFonts w:hint="eastAsia" w:ascii="宋体" w:hAnsi="宋体" w:eastAsia="宋体" w:cs="宋体"/>
          <w:sz w:val="28"/>
          <w:szCs w:val="28"/>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_Toc14541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6E09028">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_Toc27644 </w:instrText>
      </w:r>
      <w:r>
        <w:rPr>
          <w:rFonts w:hint="eastAsia" w:ascii="宋体" w:hAnsi="宋体" w:eastAsia="宋体" w:cs="宋体"/>
          <w:sz w:val="28"/>
          <w:szCs w:val="28"/>
        </w:rPr>
        <w:fldChar w:fldCharType="separate"/>
      </w:r>
      <w:r>
        <w:rPr>
          <w:rFonts w:hint="eastAsia" w:ascii="宋体" w:hAnsi="宋体" w:eastAsia="宋体" w:cs="宋体"/>
          <w:sz w:val="28"/>
          <w:szCs w:val="28"/>
        </w:rPr>
        <w:t>九、国有资本经营预算支出决算情况说明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_Toc27644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A0EDFB9">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_Toc14108 </w:instrText>
      </w:r>
      <w:r>
        <w:rPr>
          <w:rFonts w:hint="eastAsia" w:ascii="宋体" w:hAnsi="宋体" w:eastAsia="宋体" w:cs="宋体"/>
          <w:sz w:val="28"/>
          <w:szCs w:val="28"/>
        </w:rPr>
        <w:fldChar w:fldCharType="separate"/>
      </w:r>
      <w:r>
        <w:rPr>
          <w:rFonts w:hint="eastAsia" w:ascii="宋体" w:hAnsi="宋体" w:eastAsia="宋体" w:cs="宋体"/>
          <w:sz w:val="28"/>
          <w:szCs w:val="28"/>
        </w:rPr>
        <w:t>十、其他重要事项的情况说明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_Toc14108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2C68A45">
      <w:pPr>
        <w:pStyle w:val="10"/>
        <w:tabs>
          <w:tab w:val="right" w:leader="dot" w:pos="8306"/>
          <w:tab w:val="clear" w:pos="8296"/>
        </w:tabs>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_Toc21797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名词解释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_Toc21797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92078AC">
      <w:pPr>
        <w:pStyle w:val="10"/>
        <w:tabs>
          <w:tab w:val="right" w:leader="dot" w:pos="8306"/>
          <w:tab w:val="clear" w:pos="8296"/>
        </w:tabs>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lang w:eastAsia="zh-CN"/>
        </w:rPr>
        <w:t>第四部分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_Toc13437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_Toc13437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264CC58">
      <w:pPr>
        <w:pStyle w:val="10"/>
        <w:tabs>
          <w:tab w:val="right" w:leader="dot" w:pos="8306"/>
          <w:tab w:val="clear" w:pos="8296"/>
        </w:tabs>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_Toc18102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_Toc18102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DC466F">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_Toc19993 </w:instrText>
      </w:r>
      <w:r>
        <w:rPr>
          <w:rFonts w:hint="eastAsia" w:ascii="宋体" w:hAnsi="宋体" w:eastAsia="宋体" w:cs="宋体"/>
          <w:sz w:val="28"/>
          <w:szCs w:val="28"/>
        </w:rPr>
        <w:fldChar w:fldCharType="separate"/>
      </w:r>
      <w:r>
        <w:rPr>
          <w:rFonts w:hint="eastAsia" w:ascii="宋体" w:hAnsi="宋体" w:eastAsia="宋体" w:cs="宋体"/>
          <w:sz w:val="28"/>
          <w:szCs w:val="28"/>
        </w:rPr>
        <w:t>一、收入支出决算总表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_Toc19993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7BA00F0">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_Toc24473 </w:instrText>
      </w:r>
      <w:r>
        <w:rPr>
          <w:rFonts w:hint="eastAsia" w:ascii="宋体" w:hAnsi="宋体" w:eastAsia="宋体" w:cs="宋体"/>
          <w:sz w:val="28"/>
          <w:szCs w:val="28"/>
        </w:rPr>
        <w:fldChar w:fldCharType="separate"/>
      </w:r>
      <w:r>
        <w:rPr>
          <w:rFonts w:hint="eastAsia" w:ascii="宋体" w:hAnsi="宋体" w:eastAsia="宋体" w:cs="宋体"/>
          <w:sz w:val="28"/>
          <w:szCs w:val="28"/>
        </w:rPr>
        <w:t>二、收入决算表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_Toc24473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9DEFFD">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_Toc6162 </w:instrText>
      </w:r>
      <w:r>
        <w:rPr>
          <w:rFonts w:hint="eastAsia" w:ascii="宋体" w:hAnsi="宋体" w:eastAsia="宋体" w:cs="宋体"/>
          <w:sz w:val="28"/>
          <w:szCs w:val="28"/>
        </w:rPr>
        <w:fldChar w:fldCharType="separate"/>
      </w:r>
      <w:r>
        <w:rPr>
          <w:rFonts w:hint="eastAsia" w:ascii="宋体" w:hAnsi="宋体" w:eastAsia="宋体" w:cs="宋体"/>
          <w:sz w:val="28"/>
          <w:szCs w:val="28"/>
        </w:rPr>
        <w:t>三、支出决算表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_Toc6162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2A24582">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_Toc15344 </w:instrText>
      </w:r>
      <w:r>
        <w:rPr>
          <w:rFonts w:hint="eastAsia" w:ascii="宋体" w:hAnsi="宋体" w:eastAsia="宋体" w:cs="宋体"/>
          <w:sz w:val="28"/>
          <w:szCs w:val="28"/>
        </w:rPr>
        <w:fldChar w:fldCharType="separate"/>
      </w:r>
      <w:r>
        <w:rPr>
          <w:rFonts w:hint="eastAsia" w:ascii="宋体" w:hAnsi="宋体" w:eastAsia="宋体" w:cs="宋体"/>
          <w:sz w:val="28"/>
          <w:szCs w:val="28"/>
        </w:rPr>
        <w:t>四、财政拨款收入支出决算总表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_Toc15344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A2469CB">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_Toc27622 </w:instrText>
      </w:r>
      <w:r>
        <w:rPr>
          <w:rFonts w:hint="eastAsia" w:ascii="宋体" w:hAnsi="宋体" w:eastAsia="宋体" w:cs="宋体"/>
          <w:sz w:val="28"/>
          <w:szCs w:val="28"/>
        </w:rPr>
        <w:fldChar w:fldCharType="separate"/>
      </w:r>
      <w:r>
        <w:rPr>
          <w:rFonts w:hint="eastAsia" w:ascii="宋体" w:hAnsi="宋体" w:eastAsia="宋体" w:cs="宋体"/>
          <w:sz w:val="28"/>
          <w:szCs w:val="28"/>
        </w:rPr>
        <w:t>五、财政拨款支出决算明细表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_Toc27622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A442C42">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_Toc16127 </w:instrText>
      </w:r>
      <w:r>
        <w:rPr>
          <w:rFonts w:hint="eastAsia" w:ascii="宋体" w:hAnsi="宋体" w:eastAsia="宋体" w:cs="宋体"/>
          <w:sz w:val="28"/>
          <w:szCs w:val="28"/>
        </w:rPr>
        <w:fldChar w:fldCharType="separate"/>
      </w:r>
      <w:r>
        <w:rPr>
          <w:rFonts w:hint="eastAsia" w:ascii="宋体" w:hAnsi="宋体" w:eastAsia="宋体" w:cs="宋体"/>
          <w:sz w:val="28"/>
          <w:szCs w:val="28"/>
        </w:rPr>
        <w:t>六、一般公共预算财政拨款支出决算表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_Toc16127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B0248E9">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_Toc15284 </w:instrText>
      </w:r>
      <w:r>
        <w:rPr>
          <w:rFonts w:hint="eastAsia" w:ascii="宋体" w:hAnsi="宋体" w:eastAsia="宋体" w:cs="宋体"/>
          <w:sz w:val="28"/>
          <w:szCs w:val="28"/>
        </w:rPr>
        <w:fldChar w:fldCharType="separate"/>
      </w:r>
      <w:r>
        <w:rPr>
          <w:rFonts w:hint="eastAsia" w:ascii="宋体" w:hAnsi="宋体" w:eastAsia="宋体" w:cs="宋体"/>
          <w:sz w:val="28"/>
          <w:szCs w:val="28"/>
        </w:rPr>
        <w:t>七、一般公共预算财政拨款支出决算明细表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_Toc15284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EA837A9">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_Toc18119 </w:instrText>
      </w:r>
      <w:r>
        <w:rPr>
          <w:rFonts w:hint="eastAsia" w:ascii="宋体" w:hAnsi="宋体" w:eastAsia="宋体" w:cs="宋体"/>
          <w:sz w:val="28"/>
          <w:szCs w:val="28"/>
        </w:rPr>
        <w:fldChar w:fldCharType="separate"/>
      </w:r>
      <w:r>
        <w:rPr>
          <w:rFonts w:hint="eastAsia" w:ascii="宋体" w:hAnsi="宋体" w:eastAsia="宋体" w:cs="宋体"/>
          <w:sz w:val="28"/>
          <w:szCs w:val="28"/>
        </w:rPr>
        <w:t>八、一般公共预算财政拨款基本支出决算表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_Toc18119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355D74">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_Toc14440 </w:instrText>
      </w:r>
      <w:r>
        <w:rPr>
          <w:rFonts w:hint="eastAsia" w:ascii="宋体" w:hAnsi="宋体" w:eastAsia="宋体" w:cs="宋体"/>
          <w:sz w:val="28"/>
          <w:szCs w:val="28"/>
        </w:rPr>
        <w:fldChar w:fldCharType="separate"/>
      </w:r>
      <w:r>
        <w:rPr>
          <w:rFonts w:hint="eastAsia" w:ascii="宋体" w:hAnsi="宋体" w:eastAsia="宋体" w:cs="宋体"/>
          <w:sz w:val="28"/>
          <w:szCs w:val="28"/>
        </w:rPr>
        <w:t>九、一般公共预算财政拨款项目支出决算表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_Toc14440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EC98197">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_Toc10158 </w:instrText>
      </w:r>
      <w:r>
        <w:rPr>
          <w:rFonts w:hint="eastAsia" w:ascii="宋体" w:hAnsi="宋体" w:eastAsia="宋体" w:cs="宋体"/>
          <w:sz w:val="28"/>
          <w:szCs w:val="28"/>
        </w:rPr>
        <w:fldChar w:fldCharType="separate"/>
      </w:r>
      <w:r>
        <w:rPr>
          <w:rFonts w:hint="eastAsia" w:ascii="宋体" w:hAnsi="宋体" w:eastAsia="宋体" w:cs="宋体"/>
          <w:sz w:val="28"/>
          <w:szCs w:val="28"/>
        </w:rPr>
        <w:t>十、一般公共预算财政拨款“三公”经费支出决算表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_Toc10158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BA8200">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_Toc22350 </w:instrText>
      </w:r>
      <w:r>
        <w:rPr>
          <w:rFonts w:hint="eastAsia" w:ascii="宋体" w:hAnsi="宋体" w:eastAsia="宋体" w:cs="宋体"/>
          <w:sz w:val="28"/>
          <w:szCs w:val="28"/>
        </w:rPr>
        <w:fldChar w:fldCharType="separate"/>
      </w:r>
      <w:r>
        <w:rPr>
          <w:rFonts w:hint="eastAsia" w:ascii="宋体" w:hAnsi="宋体" w:eastAsia="宋体" w:cs="宋体"/>
          <w:sz w:val="28"/>
          <w:szCs w:val="28"/>
        </w:rPr>
        <w:t>十一、政府性基金预算财政拨款收入支出决算表（此表无数据）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_Toc22350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9B2410">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_Toc12870 </w:instrText>
      </w:r>
      <w:r>
        <w:rPr>
          <w:rFonts w:hint="eastAsia" w:ascii="宋体" w:hAnsi="宋体" w:eastAsia="宋体" w:cs="宋体"/>
          <w:sz w:val="28"/>
          <w:szCs w:val="28"/>
        </w:rPr>
        <w:fldChar w:fldCharType="separate"/>
      </w:r>
      <w:r>
        <w:rPr>
          <w:rFonts w:hint="eastAsia" w:ascii="宋体" w:hAnsi="宋体" w:eastAsia="宋体" w:cs="宋体"/>
          <w:sz w:val="28"/>
          <w:szCs w:val="28"/>
        </w:rPr>
        <w:t>十二、政府性基金预算财政拨款“三公”经费支出决算表（此表无数据）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_Toc12870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02C1C3F">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_Toc32072 </w:instrText>
      </w:r>
      <w:r>
        <w:rPr>
          <w:rFonts w:hint="eastAsia" w:ascii="宋体" w:hAnsi="宋体" w:eastAsia="宋体" w:cs="宋体"/>
          <w:sz w:val="28"/>
          <w:szCs w:val="28"/>
        </w:rPr>
        <w:fldChar w:fldCharType="separate"/>
      </w:r>
      <w:r>
        <w:rPr>
          <w:rFonts w:hint="eastAsia" w:ascii="宋体" w:hAnsi="宋体" w:eastAsia="宋体" w:cs="宋体"/>
          <w:sz w:val="28"/>
          <w:szCs w:val="28"/>
        </w:rPr>
        <w:t>十三、国有资本经营预算财政拨款收入支出决算表（此表无数据）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_Toc32072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A1E7AAE">
      <w:pPr>
        <w:pStyle w:val="11"/>
        <w:tabs>
          <w:tab w:val="right" w:leader="dot" w:pos="8306"/>
          <w:tab w:val="clear" w:pos="8296"/>
        </w:tabs>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_Toc31798 </w:instrText>
      </w:r>
      <w:r>
        <w:rPr>
          <w:rFonts w:hint="eastAsia" w:ascii="宋体" w:hAnsi="宋体" w:eastAsia="宋体" w:cs="宋体"/>
          <w:sz w:val="28"/>
          <w:szCs w:val="28"/>
        </w:rPr>
        <w:fldChar w:fldCharType="separate"/>
      </w:r>
      <w:r>
        <w:rPr>
          <w:rFonts w:hint="eastAsia" w:ascii="宋体" w:hAnsi="宋体" w:eastAsia="宋体" w:cs="宋体"/>
          <w:sz w:val="28"/>
          <w:szCs w:val="28"/>
        </w:rPr>
        <w:t>十四、国有资本经营预算财政拨款支出决算表（此表无数据）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_Toc31798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6C89110">
      <w:pPr>
        <w:pStyle w:val="3"/>
        <w:bidi w:val="0"/>
        <w:rPr>
          <w:rFonts w:hint="eastAsia"/>
        </w:rPr>
        <w:sectPr>
          <w:footerReference r:id="rId7" w:type="first"/>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pPr>
      <w:r>
        <w:rPr>
          <w:rFonts w:hint="eastAsia"/>
        </w:rPr>
        <w:fldChar w:fldCharType="end"/>
      </w:r>
    </w:p>
    <w:p w14:paraId="6D530288">
      <w:pPr>
        <w:pStyle w:val="3"/>
        <w:bidi w:val="0"/>
      </w:pPr>
      <w:bookmarkStart w:id="31" w:name="_Toc19823"/>
      <w:bookmarkStart w:id="32" w:name="_Toc5402"/>
      <w:r>
        <w:rPr>
          <w:rFonts w:hint="eastAsia"/>
        </w:rPr>
        <w:t>第一部分 单位概况</w:t>
      </w:r>
      <w:bookmarkEnd w:id="30"/>
      <w:bookmarkEnd w:id="31"/>
      <w:bookmarkEnd w:id="32"/>
    </w:p>
    <w:p w14:paraId="454A4EC5">
      <w:pPr>
        <w:widowControl/>
        <w:ind w:firstLine="0" w:firstLineChars="0"/>
        <w:rPr>
          <w:rFonts w:ascii="黑体" w:eastAsia="黑体"/>
          <w:szCs w:val="32"/>
        </w:rPr>
      </w:pPr>
    </w:p>
    <w:p w14:paraId="2F8C4F4B">
      <w:pPr>
        <w:pStyle w:val="4"/>
        <w:bidi w:val="0"/>
      </w:pPr>
      <w:bookmarkStart w:id="33" w:name="_Toc29231"/>
      <w:bookmarkStart w:id="34" w:name="_Toc17435"/>
      <w:bookmarkStart w:id="35" w:name="_Toc8651"/>
      <w:bookmarkStart w:id="36" w:name="_Toc15396600"/>
      <w:bookmarkStart w:id="37" w:name="_Toc15377197"/>
      <w:r>
        <w:rPr>
          <w:rFonts w:hint="eastAsia"/>
        </w:rPr>
        <w:t>一、职能简介</w:t>
      </w:r>
      <w:bookmarkEnd w:id="33"/>
      <w:bookmarkEnd w:id="34"/>
      <w:bookmarkEnd w:id="35"/>
    </w:p>
    <w:p w14:paraId="643E191A">
      <w:pPr>
        <w:bidi w:val="0"/>
      </w:pPr>
      <w:r>
        <w:rPr>
          <w:rFonts w:hint="eastAsia"/>
        </w:rPr>
        <w:t>攀枝花市教育科学研究所的基本职能是：坚持为全市教育科研和中小学教学工作服务的宗旨，承担教育科学研究与管理、教育培训、教育教学研究与指导、中小学教育教学质量的监测与评估、为教育行政部门提供教育决策与咨询等多项职能。</w:t>
      </w:r>
    </w:p>
    <w:p w14:paraId="15DE9F21">
      <w:pPr>
        <w:pStyle w:val="4"/>
        <w:bidi w:val="0"/>
      </w:pPr>
      <w:bookmarkStart w:id="38" w:name="_Toc23797"/>
      <w:bookmarkStart w:id="39" w:name="_Toc32711"/>
      <w:bookmarkStart w:id="40" w:name="_Toc8194"/>
      <w:r>
        <w:rPr>
          <w:rFonts w:hint="eastAsia"/>
        </w:rPr>
        <w:t>二、2021年重点工作</w:t>
      </w:r>
      <w:bookmarkEnd w:id="36"/>
      <w:bookmarkEnd w:id="37"/>
      <w:r>
        <w:rPr>
          <w:rFonts w:hint="eastAsia"/>
        </w:rPr>
        <w:t>完成情况</w:t>
      </w:r>
      <w:bookmarkEnd w:id="38"/>
      <w:bookmarkEnd w:id="39"/>
      <w:bookmarkEnd w:id="40"/>
    </w:p>
    <w:p w14:paraId="096BFDCD">
      <w:pPr>
        <w:ind w:left="0" w:leftChars="0" w:firstLine="640" w:firstLineChars="200"/>
      </w:pPr>
      <w:r>
        <w:rPr>
          <w:rFonts w:hint="eastAsia"/>
        </w:rPr>
        <w:t>2021年，在市教育和体育局的正确领导下，市教育科学研究所坚持以习近平新时代中国特色社会主义思想为指导，认真贯彻党的十九大、十九届五中六中全会、省委十一届九次十次全会、市委十届十三次全会和市十一次党代会精神，按照市委构建“三个圈层”布局，实施“精明增长”理念要求，结合党史学习教育，认真履行“研究、监测、培训、指导、服务”职能，真抓实干，积极推动打造区域优质教育中心，圆满完成年度目标任务。</w:t>
      </w:r>
    </w:p>
    <w:p w14:paraId="51224075">
      <w:pPr>
        <w:ind w:firstLine="640"/>
      </w:pPr>
      <w:r>
        <w:rPr>
          <w:rFonts w:hint="eastAsia"/>
          <w:lang w:eastAsia="zh-CN"/>
        </w:rPr>
        <w:t>（</w:t>
      </w:r>
      <w:r>
        <w:rPr>
          <w:rFonts w:hint="eastAsia"/>
        </w:rPr>
        <w:t>一</w:t>
      </w:r>
      <w:r>
        <w:rPr>
          <w:rFonts w:hint="eastAsia"/>
          <w:lang w:eastAsia="zh-CN"/>
        </w:rPr>
        <w:t>）</w:t>
      </w:r>
      <w:r>
        <w:rPr>
          <w:rFonts w:hint="eastAsia"/>
        </w:rPr>
        <w:t>推进从严管党治党</w:t>
      </w:r>
    </w:p>
    <w:p w14:paraId="05FA0BF0">
      <w:pPr>
        <w:ind w:firstLine="640"/>
      </w:pPr>
      <w:r>
        <w:rPr>
          <w:rFonts w:hint="eastAsia"/>
          <w:lang w:val="en-US" w:eastAsia="zh-CN"/>
        </w:rPr>
        <w:t>1.</w:t>
      </w:r>
      <w:r>
        <w:rPr>
          <w:rFonts w:hint="eastAsia"/>
        </w:rPr>
        <w:t>全面加强思想政治建设。坚持以习近平新时代中国特色社会主义思想为指导，持续深化党员学习教育管理，严格执行“三会一课”“组织生活会”“党员学习日活动”和“主题党日活动”等制度。结合常态化推进“两学一做”学习教育和“</w:t>
      </w:r>
      <w:bookmarkStart w:id="194" w:name="_GoBack"/>
      <w:bookmarkEnd w:id="194"/>
      <w:r>
        <w:rPr>
          <w:rFonts w:hint="eastAsia"/>
        </w:rPr>
        <w:t>党史学习教育”等工作，认真开展集中学习，并督促党员利用“学习强国”APP进行个人自学，全面加强了干部职工思想政治教育，完成了集中学习、专题学习研讨和党课教育活动年度计划。</w:t>
      </w:r>
    </w:p>
    <w:p w14:paraId="35D3F147">
      <w:pPr>
        <w:ind w:firstLine="640"/>
      </w:pPr>
      <w:r>
        <w:rPr>
          <w:rFonts w:hint="eastAsia"/>
          <w:lang w:val="en-US" w:eastAsia="zh-CN"/>
        </w:rPr>
        <w:t>2.</w:t>
      </w:r>
      <w:r>
        <w:rPr>
          <w:rFonts w:hint="eastAsia"/>
        </w:rPr>
        <w:t>全面落实从严治党责任。认真研究2021年党总支工作，把意识形态、安全生产、环境保护、综治稳定等纳入重要研究内容，完成了党总支2021年各项工作任务。</w:t>
      </w:r>
    </w:p>
    <w:p w14:paraId="1AA30D46">
      <w:pPr>
        <w:ind w:firstLine="640"/>
      </w:pPr>
      <w:r>
        <w:rPr>
          <w:rFonts w:hint="eastAsia"/>
          <w:lang w:val="en-US" w:eastAsia="zh-CN"/>
        </w:rPr>
        <w:t>3.</w:t>
      </w:r>
      <w:r>
        <w:rPr>
          <w:rFonts w:hint="eastAsia"/>
        </w:rPr>
        <w:t>全面推进党风廉政建设。制定了《攀枝花市教育科学研究所2021年党风廉政建设工作要点》，认真抓好干部职工政治理论、各级会议及领导讲话精神、党纪法规、先进典型和警示教育等方面的学习教育，开展警示教育，认真开展专项整治行动，健全完善干部廉洁档案，规范决策行为和决策程序，使权力在制度的笼子中运行。</w:t>
      </w:r>
    </w:p>
    <w:p w14:paraId="3C7C568E">
      <w:pPr>
        <w:ind w:firstLine="640"/>
      </w:pPr>
      <w:r>
        <w:rPr>
          <w:rFonts w:hint="eastAsia"/>
          <w:lang w:val="en-US" w:eastAsia="zh-CN"/>
        </w:rPr>
        <w:t>4.</w:t>
      </w:r>
      <w:r>
        <w:rPr>
          <w:rFonts w:hint="eastAsia"/>
        </w:rPr>
        <w:t>推动依法行政。加强学法，提升学法守法思想理念。依法行政，增强为民服务意识。信息公开，权利在阳光下运行。</w:t>
      </w:r>
    </w:p>
    <w:p w14:paraId="63C73405">
      <w:pPr>
        <w:ind w:firstLine="640"/>
      </w:pPr>
      <w:r>
        <w:rPr>
          <w:rFonts w:hint="eastAsia"/>
          <w:lang w:eastAsia="zh-CN"/>
        </w:rPr>
        <w:t>（</w:t>
      </w:r>
      <w:r>
        <w:rPr>
          <w:rFonts w:hint="eastAsia"/>
        </w:rPr>
        <w:t>二</w:t>
      </w:r>
      <w:r>
        <w:rPr>
          <w:rFonts w:hint="eastAsia"/>
          <w:lang w:eastAsia="zh-CN"/>
        </w:rPr>
        <w:t>）</w:t>
      </w:r>
      <w:r>
        <w:rPr>
          <w:rFonts w:hint="eastAsia"/>
        </w:rPr>
        <w:t>常态化开展疫情防控</w:t>
      </w:r>
    </w:p>
    <w:p w14:paraId="4EA27148">
      <w:pPr>
        <w:ind w:firstLine="640"/>
      </w:pPr>
      <w:r>
        <w:rPr>
          <w:rFonts w:hint="eastAsia"/>
        </w:rPr>
        <w:t>在常态化疫情防控工作中，教科所认真贯彻落实中央、省委、市委关于新冠肺炎疫情防控的各项决策部署，把保障人民群众生命健康安全放在首位，把疫情防控作为压倒一切的头等大事，积极行动、迅速响应，以实际行动扛起“为人民群众筑起疫情防控安全线”的使命担当。做好宣传教育引导、疫苗接种、职工个人防护和后勤保障工作等。</w:t>
      </w:r>
    </w:p>
    <w:p w14:paraId="245D780E">
      <w:pPr>
        <w:ind w:firstLine="640"/>
      </w:pPr>
      <w:r>
        <w:rPr>
          <w:rFonts w:hint="eastAsia"/>
          <w:lang w:eastAsia="zh-CN"/>
        </w:rPr>
        <w:t>（三）</w:t>
      </w:r>
      <w:r>
        <w:rPr>
          <w:rFonts w:hint="eastAsia"/>
        </w:rPr>
        <w:t>发挥好监测评价的正确导向功能</w:t>
      </w:r>
    </w:p>
    <w:p w14:paraId="746FF07F">
      <w:pPr>
        <w:ind w:firstLine="640"/>
      </w:pPr>
      <w:r>
        <w:rPr>
          <w:rFonts w:hint="eastAsia"/>
          <w:lang w:val="en-US" w:eastAsia="zh-CN"/>
        </w:rPr>
        <w:t>1.</w:t>
      </w:r>
      <w:r>
        <w:rPr>
          <w:rFonts w:hint="eastAsia"/>
        </w:rPr>
        <w:t>完成教学质量监测任务。2021年，完成小学、初中、高中及职教阶段全市教学质量监测17次，参考学科累计116个，涉及考生138769名，阅卷教师2800余人。抽取2个学段，3个学科，3120名考生参加全市艺体抽检工作。</w:t>
      </w:r>
    </w:p>
    <w:p w14:paraId="60B39C82">
      <w:pPr>
        <w:ind w:firstLine="640"/>
      </w:pPr>
      <w:r>
        <w:rPr>
          <w:rFonts w:hint="eastAsia"/>
          <w:lang w:val="en-US" w:eastAsia="zh-CN"/>
        </w:rPr>
        <w:t>2.</w:t>
      </w:r>
      <w:r>
        <w:rPr>
          <w:rFonts w:hint="eastAsia"/>
        </w:rPr>
        <w:t>深化教学质量评价制度改革。修订完善《攀枝花市义务教育教学质量监测综合评价办法（2021版）》《攀枝花市高中教学质量综合评价办法（2021版）》，研制了《攀枝花市2020—2021学年度普通高中教学质量报告》《攀枝花市2020—2021学年度义务教育教学质量报告》，为各级领导决策提供参考。</w:t>
      </w:r>
    </w:p>
    <w:p w14:paraId="7004DB5F">
      <w:pPr>
        <w:ind w:firstLine="640"/>
      </w:pPr>
      <w:r>
        <w:rPr>
          <w:rFonts w:hint="eastAsia"/>
          <w:lang w:val="en-US" w:eastAsia="zh-CN"/>
        </w:rPr>
        <w:t>3.</w:t>
      </w:r>
      <w:r>
        <w:rPr>
          <w:rFonts w:hint="eastAsia"/>
        </w:rPr>
        <w:t>推进新中考改革平稳实施。按照新中考改革方案，开展了政策解读专题讲座3场，制作了改革重大变化宣传视频，完成了新中考学科试题命制、阅卷、分数统计等重要工作，为全市中考顺利开展作出了努力和重要贡献。</w:t>
      </w:r>
    </w:p>
    <w:p w14:paraId="3DBC5D42">
      <w:pPr>
        <w:ind w:firstLine="640"/>
      </w:pPr>
      <w:r>
        <w:rPr>
          <w:rFonts w:hint="eastAsia"/>
          <w:lang w:eastAsia="zh-CN"/>
        </w:rPr>
        <w:t>（</w:t>
      </w:r>
      <w:r>
        <w:rPr>
          <w:rFonts w:hint="eastAsia"/>
        </w:rPr>
        <w:t>四</w:t>
      </w:r>
      <w:r>
        <w:rPr>
          <w:rFonts w:hint="eastAsia"/>
          <w:lang w:eastAsia="zh-CN"/>
        </w:rPr>
        <w:t>）</w:t>
      </w:r>
      <w:r>
        <w:rPr>
          <w:rFonts w:hint="eastAsia"/>
        </w:rPr>
        <w:t>提升研究指导服务水平。</w:t>
      </w:r>
    </w:p>
    <w:p w14:paraId="55E0EB1A">
      <w:pPr>
        <w:ind w:firstLine="640"/>
      </w:pPr>
      <w:r>
        <w:rPr>
          <w:rFonts w:hint="eastAsia"/>
          <w:lang w:val="en-US" w:eastAsia="zh-CN"/>
        </w:rPr>
        <w:t>1.</w:t>
      </w:r>
      <w:r>
        <w:rPr>
          <w:rFonts w:hint="eastAsia"/>
        </w:rPr>
        <w:t>基本建立起教科研、监测、培训三位一体的教研联动机制。围绕学科教学质量监测分析、教材解读和教法学法等学科重点问题，开展线上线下教研活动100余次，涉及学段4个，学科23个，累计参会教师15000余人。</w:t>
      </w:r>
    </w:p>
    <w:p w14:paraId="6268834A">
      <w:pPr>
        <w:ind w:firstLine="640"/>
      </w:pPr>
      <w:r>
        <w:rPr>
          <w:rFonts w:hint="eastAsia"/>
          <w:lang w:val="en-US" w:eastAsia="zh-CN"/>
        </w:rPr>
        <w:t>2.</w:t>
      </w:r>
      <w:r>
        <w:rPr>
          <w:rFonts w:hint="eastAsia"/>
        </w:rPr>
        <w:t>加强教学常规工作视导。2021年是全市中小学教学常规年，一年来，教研员深入22所学校，累计听课1000余节，观摩校本教研活动35次，发现问题300余个，提出指导意见400余条。开展专家示范基地活动4次，送教专家人数48人，参与活动教师人数730余人。举办了全市中小学作业设计创新大赛，积极落实提质增效。</w:t>
      </w:r>
    </w:p>
    <w:p w14:paraId="619EE153">
      <w:pPr>
        <w:ind w:firstLine="640"/>
      </w:pPr>
      <w:r>
        <w:rPr>
          <w:rFonts w:hint="eastAsia"/>
          <w:lang w:val="en-US" w:eastAsia="zh-CN"/>
        </w:rPr>
        <w:t>3.</w:t>
      </w:r>
      <w:r>
        <w:rPr>
          <w:rFonts w:hint="eastAsia"/>
        </w:rPr>
        <w:t>教研工作卓有成效。组织各学科教师参加四川省论文评审活动，荣获省级一等奖论文11篇，二等奖35篇，三等奖65篇，市级一等奖48篇；完成2021年四川省“课堂教学大比武”暨“基础教育精品课”遴选活动，荣获省级一等奖5人，省级二等奖8人及省级三等奖11人；学科优质课竞赛活动持续推进，荣获省级一等奖3人，二等奖22人，三等奖15人，市级一等奖19人，教研工作成效显著，成果突出。2021年10月，组织开展了攀枝花市首届日语专业教师赛课活动，开展日语调研2次，完成《攀枝花市2021年日语调研报告》2篇。</w:t>
      </w:r>
    </w:p>
    <w:p w14:paraId="05FEC226">
      <w:pPr>
        <w:ind w:firstLine="640"/>
      </w:pPr>
      <w:r>
        <w:rPr>
          <w:rFonts w:hint="eastAsia"/>
          <w:lang w:eastAsia="zh-CN"/>
        </w:rPr>
        <w:t>（</w:t>
      </w:r>
      <w:r>
        <w:rPr>
          <w:rFonts w:hint="eastAsia"/>
        </w:rPr>
        <w:t>五</w:t>
      </w:r>
      <w:r>
        <w:rPr>
          <w:rFonts w:hint="eastAsia"/>
          <w:lang w:eastAsia="zh-CN"/>
        </w:rPr>
        <w:t>）</w:t>
      </w:r>
      <w:r>
        <w:rPr>
          <w:rFonts w:hint="eastAsia"/>
        </w:rPr>
        <w:t>教育科研再创佳绩。严把课题选题质量关，扎实开展阶段性检测与成果提炼，深入指导省市课题立项工作，切实提高研究过程质量，召开基础教育优秀教学成果培育工作会，培育基础教育国家级、省级优秀教学成果，加快推进我市基础教育教学成果取得新突破。2021年，省级课题立项25项，市级课题21项，四川省教育科研课题2021年度阶段成果申报项目荣获省级一等奖1项，二等奖3项，三等奖8项；攀枝花市哲学社会科学规划项目立项1项；开展青少年心理健康教育活动40场，基地校活动25次。在2021年四川省教学成果评选中，我市获一等奖2项，二等奖6项。完成《攀枝花教育》出刊4期，发表文章47篇。</w:t>
      </w:r>
    </w:p>
    <w:p w14:paraId="06D11B37">
      <w:pPr>
        <w:ind w:firstLine="640"/>
      </w:pPr>
      <w:r>
        <w:rPr>
          <w:rFonts w:hint="eastAsia"/>
          <w:lang w:eastAsia="zh-CN"/>
        </w:rPr>
        <w:t>（</w:t>
      </w:r>
      <w:r>
        <w:rPr>
          <w:rFonts w:hint="eastAsia"/>
        </w:rPr>
        <w:t>六</w:t>
      </w:r>
      <w:r>
        <w:rPr>
          <w:rFonts w:hint="eastAsia"/>
          <w:lang w:eastAsia="zh-CN"/>
        </w:rPr>
        <w:t>）</w:t>
      </w:r>
      <w:r>
        <w:rPr>
          <w:rFonts w:hint="eastAsia"/>
        </w:rPr>
        <w:t>教师培训成效明显。持续开展入职教师三轮岗前集中培训，参培教师1700余人。大力拓展教研渠道，以“研培行一体”机制为抓手，以“示范课+对话+微报告”为方式，开展“攀枝花名师大讲堂”直播研培活动，推进学校教研与培训深度融合，涉及学科25个，线上线下累计观看人数6.2万人。完成了“国培计划（2020）”中西部和幼师项目，组织小学、初中语文骨干教师观访深圳宝安区语文教学设计实践，学习借鉴先进地区教学实践经验，承接了凉山州初中英语、初中物理骨干教师提升培训之名校访学活动。</w:t>
      </w:r>
    </w:p>
    <w:p w14:paraId="6ECD8819">
      <w:pPr>
        <w:ind w:firstLine="640"/>
      </w:pPr>
      <w:r>
        <w:rPr>
          <w:rFonts w:hint="eastAsia"/>
          <w:lang w:eastAsia="zh-CN"/>
        </w:rPr>
        <w:t>（</w:t>
      </w:r>
      <w:r>
        <w:rPr>
          <w:rFonts w:hint="eastAsia"/>
        </w:rPr>
        <w:t>七</w:t>
      </w:r>
      <w:r>
        <w:rPr>
          <w:rFonts w:hint="eastAsia"/>
          <w:lang w:eastAsia="zh-CN"/>
        </w:rPr>
        <w:t>）</w:t>
      </w:r>
      <w:r>
        <w:rPr>
          <w:rFonts w:hint="eastAsia"/>
        </w:rPr>
        <w:t>深化对外交流合作。2021年，与常州市教科院续签了教育交流合作协议，顺利完成了木里教育攀枝花教研援助工作任务，成功协办了四川省2021年高中物理优质课展评活动，推进新教育攀枝花实验区工作，全面总结新教育攀枝花试验区工作经验，在打造区域教育优质中心，教育构建“三个圈层”作出了努力。</w:t>
      </w:r>
    </w:p>
    <w:p w14:paraId="19FFEF0D">
      <w:pPr>
        <w:ind w:firstLine="640"/>
        <w:rPr>
          <w:rFonts w:hint="eastAsia"/>
        </w:rPr>
      </w:pPr>
      <w:r>
        <w:rPr>
          <w:rFonts w:hint="eastAsia"/>
          <w:lang w:eastAsia="zh-CN"/>
        </w:rPr>
        <w:t>（</w:t>
      </w:r>
      <w:r>
        <w:rPr>
          <w:rFonts w:hint="eastAsia"/>
        </w:rPr>
        <w:t>八</w:t>
      </w:r>
      <w:r>
        <w:rPr>
          <w:rFonts w:hint="eastAsia"/>
          <w:lang w:eastAsia="zh-CN"/>
        </w:rPr>
        <w:t>）</w:t>
      </w:r>
      <w:r>
        <w:rPr>
          <w:rFonts w:hint="eastAsia"/>
        </w:rPr>
        <w:t>提升教科研信息化服务水平。一年来，充分利用省级信息化平台开展了课题、论文、优质课展评活动，积极组织和开展网络教研、科研活动，借助网络平台开展直播活动，扩大我市教育的知名度和影响力。2021年，我市幼教、小学、初中、高中、职教阶段28个学科，1.2万余人教师参与了四川省举办的网络教研活动；利用互联网阅卷平台，为高三师生提供全方位的教学质量监测数据分析，最大限度地为学生、家长和教师提供数据服务；学科教研员在教研工作中进一步增强了数据意识和实证化意识，提高了工作效率。</w:t>
      </w:r>
    </w:p>
    <w:p w14:paraId="09EFBA3C">
      <w:pPr>
        <w:pStyle w:val="2"/>
        <w:rPr>
          <w:rFonts w:hint="eastAsia" w:ascii="黑体" w:hAnsi="黑体" w:eastAsia="黑体" w:cstheme="majorBidi"/>
          <w:kern w:val="2"/>
          <w:sz w:val="32"/>
          <w:szCs w:val="32"/>
          <w:lang w:val="en-US" w:eastAsia="zh-CN" w:bidi="ar-SA"/>
        </w:rPr>
      </w:pPr>
      <w:r>
        <w:rPr>
          <w:rFonts w:hint="eastAsia" w:ascii="黑体" w:hAnsi="黑体" w:eastAsia="黑体" w:cstheme="majorBidi"/>
          <w:kern w:val="2"/>
          <w:sz w:val="32"/>
          <w:szCs w:val="32"/>
          <w:lang w:val="en-US" w:eastAsia="zh-CN" w:bidi="ar-SA"/>
        </w:rPr>
        <w:t>三、机构设置情况</w:t>
      </w:r>
    </w:p>
    <w:p w14:paraId="4E6E7B48">
      <w:pPr>
        <w:pStyle w:val="2"/>
        <w:rPr>
          <w:rFonts w:hint="eastAsia"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攀枝花市教育科学研究所属于攀枝花市教育和体育局部门下属的二级预算单位，下设独立编制机构0个，其中行政机构0个，参照公务员法管理的事业机构0个，其他事业机构0个。</w:t>
      </w:r>
    </w:p>
    <w:p w14:paraId="1F792FE2">
      <w:pPr>
        <w:pStyle w:val="2"/>
        <w:rPr>
          <w:rFonts w:hint="eastAsia"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纳入2021年度单位决算编制范围的独立编制机构包括：</w:t>
      </w:r>
    </w:p>
    <w:p w14:paraId="008272D8">
      <w:pPr>
        <w:pStyle w:val="2"/>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无。</w:t>
      </w:r>
    </w:p>
    <w:p w14:paraId="407FB990">
      <w:pPr>
        <w:pStyle w:val="3"/>
      </w:pPr>
      <w:bookmarkStart w:id="41" w:name="_Toc15377204"/>
      <w:bookmarkStart w:id="42" w:name="_Toc11271"/>
      <w:bookmarkStart w:id="43" w:name="_Toc7957"/>
      <w:bookmarkStart w:id="44" w:name="_Toc16297"/>
      <w:bookmarkStart w:id="45" w:name="_Toc15396602"/>
      <w:r>
        <w:rPr>
          <w:rFonts w:hint="eastAsia"/>
        </w:rPr>
        <w:t>第二部分 2021年度单位决算情况说明</w:t>
      </w:r>
      <w:bookmarkEnd w:id="41"/>
      <w:bookmarkEnd w:id="42"/>
      <w:bookmarkEnd w:id="43"/>
      <w:bookmarkEnd w:id="44"/>
      <w:bookmarkEnd w:id="45"/>
    </w:p>
    <w:p w14:paraId="04F66D15">
      <w:pPr>
        <w:ind w:firstLine="640"/>
      </w:pPr>
    </w:p>
    <w:p w14:paraId="5959C72B">
      <w:pPr>
        <w:pStyle w:val="4"/>
        <w:rPr>
          <w:b/>
        </w:rPr>
      </w:pPr>
      <w:bookmarkStart w:id="46" w:name="_Toc24034"/>
      <w:bookmarkStart w:id="47" w:name="_Toc133"/>
      <w:bookmarkStart w:id="48" w:name="_Toc15377205"/>
      <w:bookmarkStart w:id="49" w:name="_Toc337"/>
      <w:bookmarkStart w:id="50" w:name="_Toc15396603"/>
      <w:r>
        <w:rPr>
          <w:rFonts w:hint="eastAsia"/>
        </w:rPr>
        <w:t>一、收入支出决算总体情况说明</w:t>
      </w:r>
      <w:bookmarkEnd w:id="46"/>
      <w:bookmarkEnd w:id="47"/>
      <w:bookmarkEnd w:id="48"/>
      <w:bookmarkEnd w:id="49"/>
      <w:bookmarkEnd w:id="50"/>
    </w:p>
    <w:p w14:paraId="0FD21456">
      <w:pPr>
        <w:ind w:firstLine="640"/>
      </w:pPr>
      <w:r>
        <w:rPr>
          <w:rFonts w:hint="eastAsia"/>
        </w:rPr>
        <w:t>2021年度收、支总计1098.69万元。与2020年相比，收、支总计各减少94.81万元，下降7.94</w:t>
      </w:r>
      <w:r>
        <w:t>%</w:t>
      </w:r>
      <w:r>
        <w:rPr>
          <w:rFonts w:hint="eastAsia"/>
        </w:rPr>
        <w:t>。主要变动原因是收入方面：一般公共预算财政拨款收入减少67.68万元，其他收入减少21.25万元，年初结转和结余减少5.88万元；支出方面：基本支出增加59.89万元，项目支出减少0.07万元，年末结转与结余减少154.63万元。</w:t>
      </w:r>
    </w:p>
    <w:p w14:paraId="56DE3CB3">
      <w:pPr>
        <w:ind w:firstLine="640"/>
      </w:pPr>
      <w:r>
        <w:rPr>
          <w:rFonts w:hint="eastAsia"/>
        </w:rPr>
        <w:t>（图</w:t>
      </w:r>
      <w:r>
        <w:t>1</w:t>
      </w:r>
      <w:r>
        <w:rPr>
          <w:rFonts w:hint="eastAsia"/>
        </w:rPr>
        <w:t>：收、支决算总计变动情况图）（柱状图）</w:t>
      </w:r>
    </w:p>
    <w:p w14:paraId="7CD602F6">
      <w:pPr>
        <w:pStyle w:val="2"/>
        <w:spacing w:before="93"/>
        <w:ind w:firstLine="198" w:firstLineChars="66"/>
      </w:pPr>
      <w:r>
        <w:drawing>
          <wp:inline distT="0" distB="0" distL="0" distR="0">
            <wp:extent cx="4572000" cy="2743200"/>
            <wp:effectExtent l="19050" t="0" r="1905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6D3EFD">
      <w:pPr>
        <w:pStyle w:val="4"/>
        <w:rPr>
          <w:b/>
        </w:rPr>
      </w:pPr>
      <w:bookmarkStart w:id="51" w:name="_Toc12761"/>
      <w:bookmarkStart w:id="52" w:name="_Toc15396604"/>
      <w:bookmarkStart w:id="53" w:name="_Toc10203"/>
      <w:bookmarkStart w:id="54" w:name="_Toc28890"/>
      <w:bookmarkStart w:id="55" w:name="_Toc15377206"/>
      <w:r>
        <w:rPr>
          <w:rFonts w:hint="eastAsia"/>
        </w:rPr>
        <w:t>二、收入决算情况说明</w:t>
      </w:r>
      <w:bookmarkEnd w:id="51"/>
      <w:bookmarkEnd w:id="52"/>
      <w:bookmarkEnd w:id="53"/>
      <w:bookmarkEnd w:id="54"/>
      <w:bookmarkEnd w:id="55"/>
    </w:p>
    <w:p w14:paraId="76FA3DDB">
      <w:pPr>
        <w:ind w:firstLine="640"/>
      </w:pPr>
      <w:r>
        <w:t>20</w:t>
      </w:r>
      <w:r>
        <w:rPr>
          <w:rFonts w:hint="eastAsia"/>
        </w:rPr>
        <w:t>21年本年收入合计1033.11万元，其中：一般公共预算财政拨款收入1033.11万元，占100</w:t>
      </w:r>
      <w:r>
        <w:t>%</w:t>
      </w:r>
      <w:r>
        <w:rPr>
          <w:rFonts w:hint="eastAsia"/>
        </w:rPr>
        <w:t>；政府性基金预算财政拨款收入0万元，占0</w:t>
      </w:r>
      <w:r>
        <w:t>%</w:t>
      </w:r>
      <w:r>
        <w:rPr>
          <w:rFonts w:hint="eastAsia"/>
        </w:rPr>
        <w:t>；国有资本经营预算财政拨款收入0万元，占0</w:t>
      </w:r>
      <w:r>
        <w:t>%</w:t>
      </w:r>
      <w:r>
        <w:rPr>
          <w:rFonts w:hint="eastAsia"/>
        </w:rPr>
        <w:t>；上级补助收入0万元，占0</w:t>
      </w:r>
      <w:r>
        <w:t>%</w:t>
      </w:r>
      <w:r>
        <w:rPr>
          <w:rFonts w:hint="eastAsia"/>
        </w:rPr>
        <w:t>；事业收入0万元，占0</w:t>
      </w:r>
      <w:r>
        <w:t>%</w:t>
      </w:r>
      <w:r>
        <w:rPr>
          <w:rFonts w:hint="eastAsia"/>
        </w:rPr>
        <w:t>；经营收入0万元，占0</w:t>
      </w:r>
      <w:r>
        <w:t>%</w:t>
      </w:r>
      <w:r>
        <w:rPr>
          <w:rFonts w:hint="eastAsia"/>
        </w:rPr>
        <w:t>；附属单位上缴收入0万元，占0</w:t>
      </w:r>
      <w:r>
        <w:t>%</w:t>
      </w:r>
      <w:r>
        <w:rPr>
          <w:rFonts w:hint="eastAsia"/>
        </w:rPr>
        <w:t>；其他收入0万元，占0</w:t>
      </w:r>
      <w:r>
        <w:t>%</w:t>
      </w:r>
      <w:r>
        <w:rPr>
          <w:rFonts w:hint="eastAsia"/>
        </w:rPr>
        <w:t>。</w:t>
      </w:r>
    </w:p>
    <w:p w14:paraId="79AFA515">
      <w:pPr>
        <w:ind w:firstLine="640"/>
      </w:pPr>
      <w:r>
        <w:rPr>
          <w:rFonts w:hint="eastAsia"/>
        </w:rPr>
        <w:t>（图2：收入决算结构图）（饼状图）</w:t>
      </w:r>
    </w:p>
    <w:p w14:paraId="01F4EB29">
      <w:pPr>
        <w:spacing w:line="600" w:lineRule="exact"/>
        <w:ind w:firstLine="640"/>
        <w:rPr>
          <w:rFonts w:ascii="仿宋_GB2312" w:eastAsia="仿宋_GB2312"/>
          <w:szCs w:val="32"/>
        </w:rPr>
      </w:pPr>
      <w:r>
        <w:rPr>
          <w:rFonts w:hint="eastAsia" w:ascii="仿宋_GB2312" w:eastAsia="仿宋_GB2312"/>
          <w:szCs w:val="32"/>
        </w:rPr>
        <w:drawing>
          <wp:anchor distT="0" distB="0" distL="114300" distR="114300" simplePos="0" relativeHeight="251659264" behindDoc="0" locked="0" layoutInCell="1" allowOverlap="1">
            <wp:simplePos x="0" y="0"/>
            <wp:positionH relativeFrom="column">
              <wp:posOffset>238125</wp:posOffset>
            </wp:positionH>
            <wp:positionV relativeFrom="paragraph">
              <wp:posOffset>9525</wp:posOffset>
            </wp:positionV>
            <wp:extent cx="4600575" cy="2771775"/>
            <wp:effectExtent l="19050" t="0" r="9525"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2"/>
                    <a:srcRect/>
                    <a:stretch>
                      <a:fillRect/>
                    </a:stretch>
                  </pic:blipFill>
                  <pic:spPr>
                    <a:xfrm>
                      <a:off x="0" y="0"/>
                      <a:ext cx="4600575" cy="2771775"/>
                    </a:xfrm>
                    <a:prstGeom prst="rect">
                      <a:avLst/>
                    </a:prstGeom>
                    <a:noFill/>
                  </pic:spPr>
                </pic:pic>
              </a:graphicData>
            </a:graphic>
          </wp:anchor>
        </w:drawing>
      </w:r>
    </w:p>
    <w:p w14:paraId="2CEB6DAA">
      <w:pPr>
        <w:pStyle w:val="2"/>
        <w:spacing w:before="93"/>
        <w:ind w:firstLine="600"/>
      </w:pPr>
    </w:p>
    <w:p w14:paraId="40C669F1">
      <w:pPr>
        <w:pStyle w:val="2"/>
        <w:spacing w:before="93"/>
        <w:ind w:firstLine="600"/>
      </w:pPr>
    </w:p>
    <w:p w14:paraId="05DA4938">
      <w:pPr>
        <w:pStyle w:val="2"/>
        <w:spacing w:before="93"/>
        <w:ind w:firstLine="600"/>
      </w:pPr>
    </w:p>
    <w:p w14:paraId="5B776F79">
      <w:pPr>
        <w:pStyle w:val="2"/>
        <w:spacing w:before="93"/>
        <w:ind w:firstLine="600"/>
      </w:pPr>
    </w:p>
    <w:p w14:paraId="54234124">
      <w:pPr>
        <w:pStyle w:val="2"/>
        <w:spacing w:before="93"/>
        <w:ind w:firstLine="600"/>
      </w:pPr>
    </w:p>
    <w:p w14:paraId="317430F1">
      <w:pPr>
        <w:pStyle w:val="2"/>
        <w:spacing w:before="93"/>
        <w:ind w:firstLine="600"/>
      </w:pPr>
    </w:p>
    <w:p w14:paraId="64E4E02E">
      <w:pPr>
        <w:pStyle w:val="4"/>
      </w:pPr>
      <w:bookmarkStart w:id="56" w:name="_Toc15396605"/>
      <w:bookmarkStart w:id="57" w:name="_Toc15377207"/>
      <w:bookmarkStart w:id="58" w:name="_Toc30606"/>
      <w:bookmarkStart w:id="59" w:name="_Toc14134"/>
      <w:bookmarkStart w:id="60" w:name="_Toc10704"/>
      <w:r>
        <w:rPr>
          <w:rFonts w:hint="eastAsia"/>
        </w:rPr>
        <w:t>三、支出决算情况说明</w:t>
      </w:r>
      <w:bookmarkEnd w:id="56"/>
      <w:bookmarkEnd w:id="57"/>
      <w:bookmarkEnd w:id="58"/>
      <w:bookmarkEnd w:id="59"/>
      <w:bookmarkEnd w:id="60"/>
    </w:p>
    <w:p w14:paraId="11552CD5">
      <w:pPr>
        <w:ind w:firstLine="640"/>
      </w:pPr>
      <w:r>
        <w:t>20</w:t>
      </w:r>
      <w:r>
        <w:rPr>
          <w:rFonts w:hint="eastAsia"/>
        </w:rPr>
        <w:t>21年本年支出合计1098.69万元，其中：基本支出843.39万元，占76.76</w:t>
      </w:r>
      <w:r>
        <w:t>%</w:t>
      </w:r>
      <w:r>
        <w:rPr>
          <w:rFonts w:hint="eastAsia"/>
        </w:rPr>
        <w:t>；项目支出255.30万元，占23.24</w:t>
      </w:r>
      <w:r>
        <w:t>%</w:t>
      </w:r>
      <w:r>
        <w:rPr>
          <w:rFonts w:hint="eastAsia"/>
        </w:rPr>
        <w:t>；上缴上级支出0万元，占0</w:t>
      </w:r>
      <w:r>
        <w:t>%</w:t>
      </w:r>
      <w:r>
        <w:rPr>
          <w:rFonts w:hint="eastAsia"/>
        </w:rPr>
        <w:t>；经营支出0万元，占0</w:t>
      </w:r>
      <w:r>
        <w:t>%</w:t>
      </w:r>
      <w:r>
        <w:rPr>
          <w:rFonts w:hint="eastAsia"/>
        </w:rPr>
        <w:t>；对附属单位补助支出0万元，占0</w:t>
      </w:r>
      <w:r>
        <w:t>%</w:t>
      </w:r>
      <w:r>
        <w:rPr>
          <w:rFonts w:hint="eastAsia"/>
        </w:rPr>
        <w:t>。</w:t>
      </w:r>
    </w:p>
    <w:p w14:paraId="353A40C9">
      <w:pPr>
        <w:ind w:firstLine="640"/>
      </w:pPr>
      <w:r>
        <w:rPr>
          <w:rFonts w:hint="eastAsia"/>
        </w:rPr>
        <w:t>（图3：支出决算结构图）（饼状图）</w:t>
      </w:r>
    </w:p>
    <w:p w14:paraId="6DC30562">
      <w:pPr>
        <w:spacing w:line="600" w:lineRule="exact"/>
        <w:ind w:firstLine="640"/>
        <w:rPr>
          <w:rFonts w:ascii="仿宋_GB2312" w:eastAsia="仿宋_GB2312"/>
          <w:szCs w:val="32"/>
        </w:rPr>
      </w:pPr>
    </w:p>
    <w:p w14:paraId="51C2DBE0">
      <w:pPr>
        <w:pStyle w:val="2"/>
        <w:spacing w:before="93"/>
        <w:ind w:firstLine="600"/>
      </w:pPr>
    </w:p>
    <w:p w14:paraId="5FD22100">
      <w:pPr>
        <w:pStyle w:val="2"/>
        <w:spacing w:before="93"/>
        <w:ind w:firstLine="600"/>
      </w:pPr>
      <w:r>
        <w:drawing>
          <wp:anchor distT="0" distB="0" distL="114300" distR="114300" simplePos="0" relativeHeight="251660288" behindDoc="0" locked="0" layoutInCell="1" allowOverlap="1">
            <wp:simplePos x="0" y="0"/>
            <wp:positionH relativeFrom="column">
              <wp:posOffset>314325</wp:posOffset>
            </wp:positionH>
            <wp:positionV relativeFrom="paragraph">
              <wp:posOffset>-504825</wp:posOffset>
            </wp:positionV>
            <wp:extent cx="4590415" cy="2771775"/>
            <wp:effectExtent l="19050" t="0" r="635" b="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13"/>
                    <a:srcRect/>
                    <a:stretch>
                      <a:fillRect/>
                    </a:stretch>
                  </pic:blipFill>
                  <pic:spPr>
                    <a:xfrm>
                      <a:off x="0" y="0"/>
                      <a:ext cx="4590415" cy="2771775"/>
                    </a:xfrm>
                    <a:prstGeom prst="rect">
                      <a:avLst/>
                    </a:prstGeom>
                    <a:noFill/>
                  </pic:spPr>
                </pic:pic>
              </a:graphicData>
            </a:graphic>
          </wp:anchor>
        </w:drawing>
      </w:r>
    </w:p>
    <w:p w14:paraId="6CB02F97">
      <w:pPr>
        <w:pStyle w:val="2"/>
        <w:spacing w:before="93"/>
        <w:ind w:firstLine="600"/>
      </w:pPr>
    </w:p>
    <w:p w14:paraId="5B3BE739">
      <w:pPr>
        <w:pStyle w:val="2"/>
        <w:spacing w:before="93"/>
        <w:ind w:firstLine="0" w:firstLineChars="0"/>
      </w:pPr>
    </w:p>
    <w:p w14:paraId="4513EF9C">
      <w:pPr>
        <w:pStyle w:val="4"/>
        <w:rPr>
          <w:b/>
        </w:rPr>
      </w:pPr>
      <w:bookmarkStart w:id="61" w:name="_Toc15377208"/>
      <w:bookmarkStart w:id="62" w:name="_Toc15396606"/>
      <w:bookmarkStart w:id="63" w:name="_Toc18835"/>
      <w:bookmarkStart w:id="64" w:name="_Toc23979"/>
      <w:bookmarkStart w:id="65" w:name="_Toc14591"/>
      <w:r>
        <w:rPr>
          <w:rFonts w:hint="eastAsia"/>
        </w:rPr>
        <w:t>四、财政拨款收入支出决算总体情况说明</w:t>
      </w:r>
      <w:bookmarkEnd w:id="61"/>
      <w:bookmarkEnd w:id="62"/>
      <w:bookmarkEnd w:id="63"/>
      <w:bookmarkEnd w:id="64"/>
      <w:bookmarkEnd w:id="65"/>
    </w:p>
    <w:p w14:paraId="7EF7AF22">
      <w:pPr>
        <w:ind w:firstLine="640"/>
      </w:pPr>
      <w:r>
        <w:rPr>
          <w:rFonts w:ascii="仿宋" w:hAnsi="仿宋"/>
          <w:szCs w:val="32"/>
        </w:rPr>
        <w:t>20</w:t>
      </w:r>
      <w:r>
        <w:rPr>
          <w:rFonts w:hint="eastAsia" w:ascii="仿宋" w:hAnsi="仿宋"/>
          <w:szCs w:val="32"/>
        </w:rPr>
        <w:t>21年财政拨款收、支总计1098.69万元。与</w:t>
      </w:r>
      <w:r>
        <w:rPr>
          <w:rFonts w:ascii="仿宋" w:hAnsi="仿宋"/>
          <w:szCs w:val="32"/>
        </w:rPr>
        <w:t>20</w:t>
      </w:r>
      <w:r>
        <w:rPr>
          <w:rFonts w:hint="eastAsia" w:ascii="仿宋" w:hAnsi="仿宋"/>
          <w:szCs w:val="32"/>
        </w:rPr>
        <w:t>20年相比，财政拨款收、支总计各减少2.11万元，下降0.19</w:t>
      </w:r>
      <w:r>
        <w:rPr>
          <w:rFonts w:ascii="仿宋" w:hAnsi="仿宋"/>
          <w:szCs w:val="32"/>
        </w:rPr>
        <w:t>%</w:t>
      </w:r>
      <w:r>
        <w:rPr>
          <w:rFonts w:hint="eastAsia" w:ascii="仿宋" w:hAnsi="仿宋"/>
          <w:szCs w:val="32"/>
        </w:rPr>
        <w:t>。主要变动原因是</w:t>
      </w:r>
      <w:r>
        <w:rPr>
          <w:rFonts w:hint="eastAsia"/>
        </w:rPr>
        <w:t>收入方面一般公共预算财政拨款收入2021年较2020年减少67.68万元，年初财政拨款结转和结余里一般公共预算财政拨款增加65.57万元。支出方面教育支出2021年较2020年增加52.95万元，社会保障和就业支出增加26.52万元，住房保障支出减少0.56万元，年末财政拨款结转和结余减少81.02万元。</w:t>
      </w:r>
    </w:p>
    <w:p w14:paraId="016B9777">
      <w:pPr>
        <w:ind w:firstLine="640"/>
        <w:rPr>
          <w:rFonts w:ascii="仿宋" w:hAnsi="仿宋"/>
          <w:szCs w:val="32"/>
        </w:rPr>
      </w:pPr>
      <w:r>
        <w:rPr>
          <w:rFonts w:hint="eastAsia" w:ascii="仿宋" w:hAnsi="仿宋"/>
          <w:szCs w:val="32"/>
        </w:rPr>
        <w:t>（图4：财政拨款收、支决算总计变动情况）（柱状图）</w:t>
      </w:r>
    </w:p>
    <w:p w14:paraId="431AE60C">
      <w:pPr>
        <w:pStyle w:val="2"/>
        <w:spacing w:before="93"/>
        <w:ind w:firstLine="600"/>
      </w:pPr>
      <w:r>
        <w:rPr>
          <w:rFonts w:hint="eastAsia"/>
        </w:rPr>
        <w:drawing>
          <wp:anchor distT="0" distB="0" distL="114300" distR="114300" simplePos="0" relativeHeight="251661312" behindDoc="0" locked="0" layoutInCell="1" allowOverlap="1">
            <wp:simplePos x="0" y="0"/>
            <wp:positionH relativeFrom="column">
              <wp:posOffset>409575</wp:posOffset>
            </wp:positionH>
            <wp:positionV relativeFrom="paragraph">
              <wp:posOffset>53340</wp:posOffset>
            </wp:positionV>
            <wp:extent cx="4600575" cy="2771775"/>
            <wp:effectExtent l="19050" t="0" r="9525" b="0"/>
            <wp:wrapSquare wrapText="bothSides"/>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14"/>
                    <a:srcRect/>
                    <a:stretch>
                      <a:fillRect/>
                    </a:stretch>
                  </pic:blipFill>
                  <pic:spPr>
                    <a:xfrm>
                      <a:off x="0" y="0"/>
                      <a:ext cx="4600575" cy="2771775"/>
                    </a:xfrm>
                    <a:prstGeom prst="rect">
                      <a:avLst/>
                    </a:prstGeom>
                    <a:noFill/>
                  </pic:spPr>
                </pic:pic>
              </a:graphicData>
            </a:graphic>
          </wp:anchor>
        </w:drawing>
      </w:r>
    </w:p>
    <w:p w14:paraId="368D9A82">
      <w:pPr>
        <w:pStyle w:val="2"/>
        <w:spacing w:before="93"/>
        <w:ind w:firstLine="600"/>
      </w:pPr>
    </w:p>
    <w:p w14:paraId="7999635D">
      <w:pPr>
        <w:pStyle w:val="2"/>
        <w:spacing w:before="93"/>
        <w:ind w:firstLine="600"/>
      </w:pPr>
    </w:p>
    <w:p w14:paraId="3AAEB65D">
      <w:pPr>
        <w:pStyle w:val="2"/>
        <w:spacing w:before="93"/>
        <w:ind w:firstLine="600"/>
      </w:pPr>
    </w:p>
    <w:p w14:paraId="6C16E088">
      <w:pPr>
        <w:pStyle w:val="2"/>
        <w:spacing w:before="93"/>
        <w:ind w:firstLine="600"/>
      </w:pPr>
    </w:p>
    <w:p w14:paraId="7C347AC5">
      <w:pPr>
        <w:pStyle w:val="2"/>
        <w:spacing w:before="93"/>
        <w:ind w:firstLine="600"/>
      </w:pPr>
    </w:p>
    <w:p w14:paraId="09E10840">
      <w:pPr>
        <w:pStyle w:val="2"/>
        <w:spacing w:before="93"/>
        <w:ind w:firstLine="600"/>
      </w:pPr>
    </w:p>
    <w:p w14:paraId="7E25F5B0">
      <w:pPr>
        <w:pStyle w:val="4"/>
        <w:rPr>
          <w:b/>
        </w:rPr>
      </w:pPr>
      <w:bookmarkStart w:id="66" w:name="_Toc15396607"/>
      <w:bookmarkStart w:id="67" w:name="_Toc15377209"/>
      <w:bookmarkStart w:id="68" w:name="_Toc29255"/>
      <w:bookmarkStart w:id="69" w:name="_Toc5227"/>
      <w:bookmarkStart w:id="70" w:name="_Toc5489"/>
      <w:r>
        <w:rPr>
          <w:rFonts w:hint="eastAsia"/>
        </w:rPr>
        <w:t>五、</w:t>
      </w:r>
      <w:r>
        <w:rPr>
          <w:rFonts w:hint="eastAsia"/>
          <w:b/>
        </w:rPr>
        <w:t>一</w:t>
      </w:r>
      <w:r>
        <w:rPr>
          <w:rFonts w:hint="eastAsia"/>
        </w:rPr>
        <w:t>般公共预算财政拨款支出决算情况说明</w:t>
      </w:r>
      <w:bookmarkEnd w:id="66"/>
      <w:bookmarkEnd w:id="67"/>
      <w:bookmarkEnd w:id="68"/>
      <w:bookmarkEnd w:id="69"/>
      <w:bookmarkEnd w:id="70"/>
    </w:p>
    <w:p w14:paraId="2165DB50">
      <w:pPr>
        <w:spacing w:line="600" w:lineRule="exact"/>
        <w:ind w:firstLine="643"/>
        <w:outlineLvl w:val="2"/>
        <w:rPr>
          <w:rFonts w:ascii="仿宋" w:hAnsi="仿宋"/>
          <w:b/>
          <w:szCs w:val="32"/>
        </w:rPr>
      </w:pPr>
      <w:bookmarkStart w:id="71" w:name="_Toc15377210"/>
      <w:bookmarkStart w:id="72" w:name="_Toc112942278"/>
      <w:bookmarkStart w:id="73" w:name="_Toc17235"/>
      <w:bookmarkStart w:id="74" w:name="_Toc15043"/>
      <w:bookmarkStart w:id="75" w:name="_Toc31116"/>
      <w:r>
        <w:rPr>
          <w:rFonts w:hint="eastAsia" w:ascii="仿宋" w:hAnsi="仿宋"/>
          <w:b/>
          <w:szCs w:val="32"/>
        </w:rPr>
        <w:t>（一）一般公共预算财政拨款支出决算总体情况</w:t>
      </w:r>
      <w:bookmarkEnd w:id="71"/>
      <w:bookmarkEnd w:id="72"/>
      <w:bookmarkEnd w:id="73"/>
      <w:bookmarkEnd w:id="74"/>
      <w:bookmarkEnd w:id="75"/>
    </w:p>
    <w:p w14:paraId="0AAD38A0">
      <w:pPr>
        <w:ind w:firstLine="640"/>
      </w:pPr>
      <w:r>
        <w:t>20</w:t>
      </w:r>
      <w:r>
        <w:rPr>
          <w:rFonts w:hint="eastAsia"/>
        </w:rPr>
        <w:t>21年一般公共预算财政拨款支出1098.69万元，占本年支出合计的100</w:t>
      </w:r>
      <w:r>
        <w:t>%</w:t>
      </w:r>
      <w:r>
        <w:rPr>
          <w:rFonts w:hint="eastAsia"/>
        </w:rPr>
        <w:t>。与</w:t>
      </w:r>
      <w:r>
        <w:t>20</w:t>
      </w:r>
      <w:r>
        <w:rPr>
          <w:rFonts w:hint="eastAsia"/>
        </w:rPr>
        <w:t>20年相比，一般公共预算财政拨款支出增加78.9万元，增长7.74</w:t>
      </w:r>
      <w:r>
        <w:t>%</w:t>
      </w:r>
      <w:r>
        <w:rPr>
          <w:rFonts w:hint="eastAsia"/>
        </w:rPr>
        <w:t>。主要变动原因是基本支出增加78.97万元，项目支出减少0.07万元。</w:t>
      </w:r>
    </w:p>
    <w:p w14:paraId="51061BFB">
      <w:pPr>
        <w:ind w:left="0" w:leftChars="0" w:firstLine="0" w:firstLineChars="0"/>
      </w:pPr>
      <w:r>
        <w:rPr>
          <w:rFonts w:hint="eastAsia"/>
        </w:rPr>
        <w:t>（图5：一般公共预算财政拨款支出决算变动情况）（柱状图）</w:t>
      </w:r>
    </w:p>
    <w:p w14:paraId="647DFD80">
      <w:pPr>
        <w:spacing w:line="600" w:lineRule="exact"/>
        <w:ind w:firstLine="640"/>
        <w:rPr>
          <w:rFonts w:ascii="仿宋" w:hAnsi="仿宋"/>
          <w:szCs w:val="32"/>
        </w:rPr>
      </w:pPr>
      <w:r>
        <w:rPr>
          <w:rFonts w:hint="eastAsia" w:ascii="仿宋" w:hAnsi="仿宋"/>
          <w:szCs w:val="32"/>
        </w:rPr>
        <w:drawing>
          <wp:anchor distT="0" distB="0" distL="114300" distR="114300" simplePos="0" relativeHeight="251662336" behindDoc="0" locked="0" layoutInCell="1" allowOverlap="1">
            <wp:simplePos x="0" y="0"/>
            <wp:positionH relativeFrom="column">
              <wp:posOffset>257175</wp:posOffset>
            </wp:positionH>
            <wp:positionV relativeFrom="paragraph">
              <wp:posOffset>228600</wp:posOffset>
            </wp:positionV>
            <wp:extent cx="4600575" cy="2771775"/>
            <wp:effectExtent l="19050" t="0" r="9525" b="0"/>
            <wp:wrapSquare wrapText="bothSides"/>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srcRect/>
                    <a:stretch>
                      <a:fillRect/>
                    </a:stretch>
                  </pic:blipFill>
                  <pic:spPr>
                    <a:xfrm>
                      <a:off x="0" y="0"/>
                      <a:ext cx="4600575" cy="2771775"/>
                    </a:xfrm>
                    <a:prstGeom prst="rect">
                      <a:avLst/>
                    </a:prstGeom>
                    <a:noFill/>
                  </pic:spPr>
                </pic:pic>
              </a:graphicData>
            </a:graphic>
          </wp:anchor>
        </w:drawing>
      </w:r>
    </w:p>
    <w:p w14:paraId="68A86266">
      <w:pPr>
        <w:pStyle w:val="2"/>
        <w:spacing w:before="93"/>
        <w:ind w:firstLine="600"/>
      </w:pPr>
    </w:p>
    <w:p w14:paraId="5CFE7548">
      <w:pPr>
        <w:pStyle w:val="2"/>
        <w:spacing w:before="93"/>
        <w:ind w:firstLine="600"/>
      </w:pPr>
    </w:p>
    <w:p w14:paraId="1E630DD7">
      <w:pPr>
        <w:pStyle w:val="2"/>
        <w:spacing w:before="93"/>
        <w:ind w:firstLine="600"/>
      </w:pPr>
    </w:p>
    <w:p w14:paraId="00BEA34B">
      <w:pPr>
        <w:pStyle w:val="2"/>
        <w:spacing w:before="93"/>
        <w:ind w:firstLine="600"/>
      </w:pPr>
    </w:p>
    <w:p w14:paraId="1156CE11">
      <w:pPr>
        <w:pStyle w:val="2"/>
        <w:spacing w:before="93"/>
        <w:ind w:firstLine="600"/>
      </w:pPr>
    </w:p>
    <w:p w14:paraId="24F72877">
      <w:pPr>
        <w:pStyle w:val="2"/>
        <w:spacing w:before="93"/>
        <w:ind w:firstLine="600"/>
      </w:pPr>
    </w:p>
    <w:p w14:paraId="212AAE12">
      <w:pPr>
        <w:spacing w:line="600" w:lineRule="exact"/>
        <w:ind w:firstLine="643"/>
        <w:outlineLvl w:val="2"/>
        <w:rPr>
          <w:rFonts w:ascii="仿宋" w:hAnsi="仿宋"/>
          <w:b/>
          <w:szCs w:val="32"/>
        </w:rPr>
      </w:pPr>
      <w:bookmarkStart w:id="76" w:name="_Toc15377211"/>
      <w:bookmarkStart w:id="77" w:name="_Toc112942279"/>
      <w:bookmarkStart w:id="78" w:name="_Toc14442"/>
      <w:bookmarkStart w:id="79" w:name="_Toc19748"/>
      <w:bookmarkStart w:id="80" w:name="_Toc23187"/>
      <w:r>
        <w:rPr>
          <w:rFonts w:hint="eastAsia" w:ascii="仿宋" w:hAnsi="仿宋"/>
          <w:b/>
          <w:szCs w:val="32"/>
        </w:rPr>
        <w:t>（二）一般公共预算财政拨款支出决算结构情况</w:t>
      </w:r>
      <w:bookmarkEnd w:id="76"/>
      <w:bookmarkEnd w:id="77"/>
      <w:bookmarkEnd w:id="78"/>
      <w:bookmarkEnd w:id="79"/>
      <w:bookmarkEnd w:id="80"/>
    </w:p>
    <w:p w14:paraId="121DF022">
      <w:pPr>
        <w:ind w:firstLine="640"/>
        <w:rPr>
          <w:b/>
        </w:rPr>
      </w:pPr>
      <w:r>
        <w:t>20</w:t>
      </w:r>
      <w:r>
        <w:rPr>
          <w:rFonts w:hint="eastAsia"/>
        </w:rPr>
        <w:t>21年一般公共预算财政拨款支出1098.69万元，主要用于以下方面:一般公共服务（类）支出0万元，占0%；教育支出（类）944.83万元，占86%； 社会保障和就业（类）支出94.51万元，占8.60%；住房保障支出59.34万元，占5.40</w:t>
      </w:r>
      <w:r>
        <w:t>%</w:t>
      </w:r>
      <w:r>
        <w:rPr>
          <w:rFonts w:hint="eastAsia"/>
        </w:rPr>
        <w:t>。</w:t>
      </w:r>
    </w:p>
    <w:p w14:paraId="18C04C02">
      <w:pPr>
        <w:ind w:firstLine="640"/>
      </w:pPr>
      <w:r>
        <w:rPr>
          <w:rFonts w:hint="eastAsia"/>
        </w:rPr>
        <w:t>（图6：一般公共预算财政拨款支出决算结构）（饼状图）</w:t>
      </w:r>
    </w:p>
    <w:p w14:paraId="24D7D48A">
      <w:pPr>
        <w:spacing w:line="600" w:lineRule="exact"/>
        <w:ind w:firstLine="640"/>
        <w:rPr>
          <w:rFonts w:ascii="仿宋" w:hAnsi="仿宋"/>
          <w:szCs w:val="32"/>
        </w:rPr>
      </w:pPr>
    </w:p>
    <w:p w14:paraId="59E8F379">
      <w:pPr>
        <w:pStyle w:val="2"/>
        <w:spacing w:before="93"/>
        <w:ind w:firstLine="600"/>
      </w:pPr>
    </w:p>
    <w:p w14:paraId="04A2082F">
      <w:pPr>
        <w:pStyle w:val="2"/>
        <w:spacing w:before="93"/>
        <w:ind w:firstLine="600"/>
      </w:pPr>
      <w:r>
        <w:rPr>
          <w:rFonts w:hint="eastAsia"/>
        </w:rPr>
        <w:drawing>
          <wp:anchor distT="0" distB="0" distL="114300" distR="114300" simplePos="0" relativeHeight="251663360" behindDoc="0" locked="0" layoutInCell="1" allowOverlap="1">
            <wp:simplePos x="0" y="0"/>
            <wp:positionH relativeFrom="column">
              <wp:posOffset>466725</wp:posOffset>
            </wp:positionH>
            <wp:positionV relativeFrom="paragraph">
              <wp:posOffset>-323850</wp:posOffset>
            </wp:positionV>
            <wp:extent cx="4600575" cy="2771775"/>
            <wp:effectExtent l="19050" t="0" r="9525" b="0"/>
            <wp:wrapSquare wrapText="bothSides"/>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16"/>
                    <a:srcRect/>
                    <a:stretch>
                      <a:fillRect/>
                    </a:stretch>
                  </pic:blipFill>
                  <pic:spPr>
                    <a:xfrm>
                      <a:off x="0" y="0"/>
                      <a:ext cx="4600575" cy="2771775"/>
                    </a:xfrm>
                    <a:prstGeom prst="rect">
                      <a:avLst/>
                    </a:prstGeom>
                    <a:noFill/>
                  </pic:spPr>
                </pic:pic>
              </a:graphicData>
            </a:graphic>
          </wp:anchor>
        </w:drawing>
      </w:r>
    </w:p>
    <w:p w14:paraId="1D8F83FC">
      <w:pPr>
        <w:pStyle w:val="2"/>
        <w:spacing w:before="93"/>
        <w:ind w:firstLine="600"/>
      </w:pPr>
    </w:p>
    <w:p w14:paraId="1D006551">
      <w:pPr>
        <w:pStyle w:val="2"/>
        <w:spacing w:before="93"/>
        <w:ind w:firstLine="600"/>
      </w:pPr>
    </w:p>
    <w:p w14:paraId="48801068">
      <w:pPr>
        <w:pStyle w:val="2"/>
        <w:spacing w:before="93"/>
        <w:ind w:firstLine="600"/>
      </w:pPr>
    </w:p>
    <w:p w14:paraId="7DB68751">
      <w:pPr>
        <w:pStyle w:val="2"/>
        <w:spacing w:before="93"/>
        <w:ind w:firstLine="600"/>
      </w:pPr>
    </w:p>
    <w:p w14:paraId="1E1D21DD">
      <w:pPr>
        <w:pStyle w:val="2"/>
        <w:spacing w:before="93"/>
        <w:ind w:firstLine="600"/>
      </w:pPr>
    </w:p>
    <w:p w14:paraId="69121247">
      <w:pPr>
        <w:spacing w:line="600" w:lineRule="exact"/>
        <w:ind w:firstLine="643"/>
        <w:outlineLvl w:val="2"/>
        <w:rPr>
          <w:rFonts w:ascii="仿宋" w:hAnsi="仿宋"/>
          <w:b/>
          <w:szCs w:val="32"/>
        </w:rPr>
      </w:pPr>
      <w:bookmarkStart w:id="81" w:name="_Toc112942280"/>
      <w:bookmarkStart w:id="82" w:name="_Toc15377212"/>
      <w:bookmarkStart w:id="83" w:name="_Toc866"/>
      <w:bookmarkStart w:id="84" w:name="_Toc5685"/>
      <w:bookmarkStart w:id="85" w:name="_Toc25191"/>
      <w:r>
        <w:rPr>
          <w:rFonts w:hint="eastAsia" w:ascii="仿宋" w:hAnsi="仿宋"/>
          <w:b/>
          <w:szCs w:val="32"/>
        </w:rPr>
        <w:t>（三）一般公共预算财政拨款支出决算具体情况</w:t>
      </w:r>
      <w:bookmarkEnd w:id="81"/>
      <w:bookmarkEnd w:id="82"/>
      <w:bookmarkEnd w:id="83"/>
      <w:bookmarkEnd w:id="84"/>
      <w:bookmarkEnd w:id="85"/>
    </w:p>
    <w:p w14:paraId="67495033">
      <w:pPr>
        <w:ind w:firstLine="640"/>
        <w:rPr>
          <w:rFonts w:hint="eastAsia"/>
        </w:rPr>
      </w:pPr>
      <w:bookmarkStart w:id="86" w:name="_Toc15377444"/>
      <w:bookmarkStart w:id="87" w:name="_Toc15378460"/>
      <w:bookmarkStart w:id="88" w:name="_Toc15377213"/>
      <w:r>
        <w:rPr>
          <w:rFonts w:hint="eastAsia"/>
        </w:rPr>
        <w:t>2021年一般公共预算支出决算数为1098.69万元，完成预算100%。其中：</w:t>
      </w:r>
      <w:bookmarkEnd w:id="86"/>
      <w:bookmarkEnd w:id="87"/>
      <w:bookmarkEnd w:id="88"/>
    </w:p>
    <w:p w14:paraId="0CB59CFE">
      <w:pPr>
        <w:ind w:firstLine="640"/>
        <w:rPr>
          <w:rFonts w:hint="eastAsia"/>
        </w:rPr>
      </w:pPr>
      <w:r>
        <w:rPr>
          <w:rFonts w:hint="eastAsia"/>
        </w:rPr>
        <w:t>1.教育（类）进修及培训（款）教师进修（项）、教育费附加安排的支出（款）其他教育费附加安排的支出（项）、其他教育支出（款）其他教育支出（项）:支出决算为944.83万元，完成预算100%。</w:t>
      </w:r>
    </w:p>
    <w:p w14:paraId="59CDEA2B">
      <w:pPr>
        <w:ind w:firstLine="640"/>
        <w:rPr>
          <w:rFonts w:hint="eastAsia"/>
        </w:rPr>
      </w:pPr>
      <w:r>
        <w:rPr>
          <w:rFonts w:hint="eastAsia"/>
        </w:rPr>
        <w:t>2.社会保障和就业（类）人力资源和社会保障管理事务支出（款）其他人力资源和社会保障管理事务支出（项）、行政事业单位养老支出（款）机关事业单位基本养老保险缴费支出（项）、抚恤（款）死亡抚恤（项）:支出决算为94.52万元，完成预算100%。</w:t>
      </w:r>
    </w:p>
    <w:p w14:paraId="2B3BC0CE">
      <w:pPr>
        <w:ind w:firstLine="640"/>
        <w:rPr>
          <w:rFonts w:hint="eastAsia"/>
        </w:rPr>
      </w:pPr>
      <w:r>
        <w:rPr>
          <w:rFonts w:hint="eastAsia"/>
        </w:rPr>
        <w:t>3.住房保障支出（类）住房改革支出（款）住房公积金（项）：支出决算为59.34万元，完成预算100%。</w:t>
      </w:r>
    </w:p>
    <w:p w14:paraId="0E5A2346">
      <w:pPr>
        <w:pStyle w:val="4"/>
        <w:rPr>
          <w:rStyle w:val="25"/>
        </w:rPr>
      </w:pPr>
      <w:bookmarkStart w:id="89" w:name="_Toc15377214"/>
      <w:bookmarkStart w:id="90" w:name="_Toc15396608"/>
      <w:bookmarkStart w:id="91" w:name="_Toc15092"/>
      <w:bookmarkStart w:id="92" w:name="_Toc18709"/>
      <w:bookmarkStart w:id="93" w:name="_Toc4451"/>
      <w:r>
        <w:rPr>
          <w:rFonts w:hint="eastAsia"/>
        </w:rPr>
        <w:t>六</w:t>
      </w:r>
      <w:r>
        <w:rPr>
          <w:rFonts w:hint="eastAsia"/>
          <w:b/>
        </w:rPr>
        <w:t>、一</w:t>
      </w:r>
      <w:r>
        <w:rPr>
          <w:rFonts w:hint="eastAsia"/>
        </w:rPr>
        <w:t>般公共预算财政拨款基本支出决算情况说明</w:t>
      </w:r>
      <w:bookmarkEnd w:id="89"/>
      <w:bookmarkEnd w:id="90"/>
      <w:bookmarkEnd w:id="91"/>
      <w:bookmarkEnd w:id="92"/>
      <w:bookmarkEnd w:id="93"/>
      <w:r>
        <w:rPr>
          <w:rStyle w:val="25"/>
        </w:rPr>
        <w:tab/>
      </w:r>
    </w:p>
    <w:p w14:paraId="52896BF9">
      <w:pPr>
        <w:ind w:firstLine="640"/>
      </w:pPr>
      <w:r>
        <w:t>20</w:t>
      </w:r>
      <w:r>
        <w:rPr>
          <w:rFonts w:hint="eastAsia"/>
        </w:rPr>
        <w:t>21年一般公共预算财政拨款基本支出843.39万元，其中：</w:t>
      </w:r>
    </w:p>
    <w:p w14:paraId="06B93E38">
      <w:pPr>
        <w:ind w:firstLine="640"/>
      </w:pPr>
      <w:r>
        <w:rPr>
          <w:rFonts w:hint="eastAsia"/>
        </w:rPr>
        <w:t>人员经费820.2万元，主要包括：基本工资、津贴补贴、奖金、绩效工资、机关事业单位基本养老保险缴费、职工基本医疗保险缴费、公务员医疗补助缴费、其他社会保障缴费、其他工资福利支出、抚恤金、生活补助、住房公积金、其他对个人和家庭的补助支出等。</w:t>
      </w:r>
      <w:r>
        <w:br w:type="textWrapping"/>
      </w:r>
      <w:r>
        <w:rPr>
          <w:rFonts w:hint="eastAsia"/>
        </w:rPr>
        <w:t>　　公用经费23.18万元，主要包括：办公费、手续费、水费、电费、邮电费、物业管理费、差旅费、维修（护）费、培训费、劳务费、委托业务费、工会经费、公务用车运行维护费、其他交通费、其他商品和服务支出等。</w:t>
      </w:r>
    </w:p>
    <w:p w14:paraId="6DFE2EB0">
      <w:pPr>
        <w:pStyle w:val="4"/>
        <w:rPr>
          <w:b/>
        </w:rPr>
      </w:pPr>
      <w:bookmarkStart w:id="94" w:name="_Toc15377215"/>
      <w:bookmarkStart w:id="95" w:name="_Toc15396609"/>
      <w:bookmarkStart w:id="96" w:name="_Toc17724"/>
      <w:bookmarkStart w:id="97" w:name="_Toc6698"/>
      <w:bookmarkStart w:id="98" w:name="_Toc7033"/>
      <w:r>
        <w:rPr>
          <w:rFonts w:hint="eastAsia"/>
        </w:rPr>
        <w:t>七、“三公”经费财政拨款支出决算情况说明</w:t>
      </w:r>
      <w:bookmarkEnd w:id="94"/>
      <w:bookmarkEnd w:id="95"/>
      <w:bookmarkEnd w:id="96"/>
      <w:bookmarkEnd w:id="97"/>
      <w:bookmarkEnd w:id="98"/>
    </w:p>
    <w:p w14:paraId="6FE81106">
      <w:pPr>
        <w:ind w:firstLine="640"/>
      </w:pPr>
      <w:bookmarkStart w:id="99" w:name="_Toc15377216"/>
      <w:r>
        <w:rPr>
          <w:rFonts w:hint="eastAsia"/>
        </w:rPr>
        <w:t>（一）“三公”经费财政拨款支出决算总体情况说明</w:t>
      </w:r>
      <w:bookmarkEnd w:id="99"/>
    </w:p>
    <w:p w14:paraId="7108B734">
      <w:pPr>
        <w:ind w:firstLine="640"/>
      </w:pPr>
      <w:r>
        <w:t>20</w:t>
      </w:r>
      <w:r>
        <w:rPr>
          <w:rFonts w:hint="eastAsia"/>
        </w:rPr>
        <w:t>21年“三公”经费财政拨款支出决算为1.03万元，完成预算39.46</w:t>
      </w:r>
      <w:r>
        <w:t>%</w:t>
      </w:r>
      <w:r>
        <w:rPr>
          <w:rFonts w:hint="eastAsia"/>
        </w:rPr>
        <w:t>，决算数小于预算数的主要原因是2021年公务接待费未发生公务接待，</w:t>
      </w:r>
      <w:r>
        <w:rPr>
          <w:rFonts w:hint="eastAsia"/>
          <w:lang w:eastAsia="zh-CN"/>
        </w:rPr>
        <w:t>单位加强</w:t>
      </w:r>
      <w:r>
        <w:rPr>
          <w:rFonts w:hint="eastAsia"/>
        </w:rPr>
        <w:t>公务用车购置及运行维护费</w:t>
      </w:r>
      <w:r>
        <w:rPr>
          <w:rFonts w:hint="eastAsia"/>
          <w:lang w:eastAsia="zh-CN"/>
        </w:rPr>
        <w:t>方面管理，严格控制非必要出行</w:t>
      </w:r>
      <w:r>
        <w:rPr>
          <w:rFonts w:hint="eastAsia"/>
        </w:rPr>
        <w:t>。</w:t>
      </w:r>
    </w:p>
    <w:p w14:paraId="1BA617CB">
      <w:pPr>
        <w:ind w:firstLine="640"/>
      </w:pPr>
      <w:bookmarkStart w:id="100" w:name="_Toc15377217"/>
      <w:r>
        <w:rPr>
          <w:rFonts w:hint="eastAsia"/>
        </w:rPr>
        <w:t>（二）“三公”经费财政拨款支出决算具体情况说明</w:t>
      </w:r>
      <w:bookmarkEnd w:id="100"/>
    </w:p>
    <w:p w14:paraId="74FAF772">
      <w:pPr>
        <w:ind w:firstLine="640"/>
      </w:pPr>
      <w:r>
        <w:t>20</w:t>
      </w:r>
      <w:r>
        <w:rPr>
          <w:rFonts w:hint="eastAsia"/>
        </w:rPr>
        <w:t>21年“三公”经费财政拨款支出决算中，因公出国（境）费支出决算0万元，占0</w:t>
      </w:r>
      <w:r>
        <w:t>%</w:t>
      </w:r>
      <w:r>
        <w:rPr>
          <w:rFonts w:hint="eastAsia"/>
        </w:rPr>
        <w:t>；公务用车购置及运行维护费支出决算1.03万元，占100</w:t>
      </w:r>
      <w:r>
        <w:t>%</w:t>
      </w:r>
      <w:r>
        <w:rPr>
          <w:rFonts w:hint="eastAsia"/>
        </w:rPr>
        <w:t>；公务接待费支出决算0万元，占0</w:t>
      </w:r>
      <w:r>
        <w:t>%</w:t>
      </w:r>
      <w:r>
        <w:rPr>
          <w:rFonts w:hint="eastAsia"/>
        </w:rPr>
        <w:t>。具体情况如下：</w:t>
      </w:r>
    </w:p>
    <w:p w14:paraId="54C2FE53">
      <w:pPr>
        <w:ind w:firstLine="640"/>
      </w:pPr>
      <w:r>
        <w:rPr>
          <w:rFonts w:hint="eastAsia"/>
        </w:rPr>
        <w:t>（图7：“三公”经费财政拨款支出结构）（饼状图）</w:t>
      </w:r>
    </w:p>
    <w:p w14:paraId="694A496D">
      <w:pPr>
        <w:pStyle w:val="2"/>
        <w:spacing w:before="93"/>
        <w:ind w:firstLine="600"/>
      </w:pPr>
      <w:r>
        <w:drawing>
          <wp:anchor distT="0" distB="0" distL="114300" distR="114300" simplePos="0" relativeHeight="251664384" behindDoc="0" locked="0" layoutInCell="1" allowOverlap="1">
            <wp:simplePos x="0" y="0"/>
            <wp:positionH relativeFrom="column">
              <wp:posOffset>396240</wp:posOffset>
            </wp:positionH>
            <wp:positionV relativeFrom="paragraph">
              <wp:posOffset>56515</wp:posOffset>
            </wp:positionV>
            <wp:extent cx="4594860" cy="2764155"/>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srcRect/>
                    <a:stretch>
                      <a:fillRect/>
                    </a:stretch>
                  </pic:blipFill>
                  <pic:spPr>
                    <a:xfrm>
                      <a:off x="0" y="0"/>
                      <a:ext cx="4594845" cy="2764465"/>
                    </a:xfrm>
                    <a:prstGeom prst="rect">
                      <a:avLst/>
                    </a:prstGeom>
                    <a:noFill/>
                  </pic:spPr>
                </pic:pic>
              </a:graphicData>
            </a:graphic>
          </wp:anchor>
        </w:drawing>
      </w:r>
    </w:p>
    <w:p w14:paraId="4B894961">
      <w:pPr>
        <w:pStyle w:val="2"/>
        <w:spacing w:before="93"/>
        <w:ind w:firstLine="600"/>
      </w:pPr>
    </w:p>
    <w:p w14:paraId="303DCA08">
      <w:pPr>
        <w:pStyle w:val="2"/>
        <w:spacing w:before="93"/>
        <w:ind w:firstLine="600"/>
      </w:pPr>
    </w:p>
    <w:p w14:paraId="479E0E9F">
      <w:pPr>
        <w:pStyle w:val="2"/>
        <w:spacing w:before="93"/>
        <w:ind w:firstLine="600"/>
      </w:pPr>
    </w:p>
    <w:p w14:paraId="285F48E2">
      <w:pPr>
        <w:pStyle w:val="2"/>
        <w:spacing w:before="93"/>
        <w:ind w:firstLine="600"/>
      </w:pPr>
    </w:p>
    <w:p w14:paraId="3F8CA5C9">
      <w:pPr>
        <w:spacing w:line="600" w:lineRule="exact"/>
        <w:ind w:firstLine="643"/>
        <w:rPr>
          <w:rFonts w:ascii="仿宋_GB2312" w:eastAsia="仿宋_GB2312"/>
          <w:b/>
          <w:szCs w:val="32"/>
        </w:rPr>
      </w:pPr>
      <w:r>
        <w:rPr>
          <w:rFonts w:ascii="仿宋_GB2312" w:eastAsia="仿宋_GB2312"/>
          <w:b/>
          <w:szCs w:val="32"/>
        </w:rPr>
        <w:t>1</w:t>
      </w:r>
    </w:p>
    <w:p w14:paraId="356D25CF">
      <w:pPr>
        <w:spacing w:line="600" w:lineRule="exact"/>
        <w:ind w:firstLine="643"/>
        <w:rPr>
          <w:rFonts w:ascii="仿宋_GB2312" w:eastAsia="仿宋_GB2312"/>
          <w:b/>
          <w:szCs w:val="32"/>
        </w:rPr>
      </w:pPr>
    </w:p>
    <w:p w14:paraId="4342FF63">
      <w:pPr>
        <w:ind w:firstLine="643"/>
        <w:rPr>
          <w:b/>
        </w:rPr>
      </w:pPr>
      <w:r>
        <w:rPr>
          <w:rFonts w:hint="eastAsia"/>
          <w:b/>
        </w:rPr>
        <w:t>因公出国（境）经费支出</w:t>
      </w:r>
      <w:r>
        <w:rPr>
          <w:rFonts w:hint="eastAsia"/>
        </w:rPr>
        <w:t>0万元，</w:t>
      </w:r>
      <w:r>
        <w:rPr>
          <w:rStyle w:val="14"/>
          <w:rFonts w:hint="eastAsia" w:ascii="仿宋" w:hAnsi="仿宋"/>
          <w:b w:val="0"/>
          <w:bCs/>
          <w:szCs w:val="32"/>
        </w:rPr>
        <w:t>完成预算0</w:t>
      </w:r>
      <w:r>
        <w:rPr>
          <w:rStyle w:val="14"/>
          <w:rFonts w:ascii="仿宋" w:hAnsi="仿宋"/>
          <w:b w:val="0"/>
          <w:bCs/>
          <w:szCs w:val="32"/>
        </w:rPr>
        <w:t>%</w:t>
      </w:r>
      <w:r>
        <w:rPr>
          <w:rStyle w:val="14"/>
          <w:rFonts w:hint="eastAsia" w:ascii="仿宋" w:hAnsi="仿宋"/>
          <w:b w:val="0"/>
          <w:bCs/>
          <w:szCs w:val="32"/>
        </w:rPr>
        <w:t>。</w:t>
      </w:r>
      <w:r>
        <w:rPr>
          <w:rFonts w:hint="eastAsia"/>
        </w:rPr>
        <w:t>全年安排因公出国（境）团组0次，出国（境）0人。因公出国（境）支出决算与</w:t>
      </w:r>
      <w:r>
        <w:t>20</w:t>
      </w:r>
      <w:r>
        <w:rPr>
          <w:rFonts w:hint="eastAsia"/>
        </w:rPr>
        <w:t>20年决算数持平，未发生因公出国（境）经费支出。</w:t>
      </w:r>
    </w:p>
    <w:p w14:paraId="090202ED">
      <w:pPr>
        <w:ind w:firstLine="643"/>
        <w:rPr>
          <w:rFonts w:ascii="仿宋" w:hAnsi="仿宋"/>
        </w:rPr>
      </w:pPr>
      <w:r>
        <w:rPr>
          <w:b/>
        </w:rPr>
        <w:t>2.</w:t>
      </w:r>
      <w:r>
        <w:rPr>
          <w:rFonts w:hint="eastAsia"/>
          <w:b/>
        </w:rPr>
        <w:t>公务用车购置及运行维护费支出</w:t>
      </w:r>
      <w:r>
        <w:rPr>
          <w:rFonts w:hint="eastAsia"/>
        </w:rPr>
        <w:t>1.03万元,</w:t>
      </w:r>
      <w:r>
        <w:rPr>
          <w:rStyle w:val="14"/>
          <w:rFonts w:hint="eastAsia" w:ascii="仿宋" w:hAnsi="仿宋"/>
          <w:b w:val="0"/>
          <w:bCs/>
          <w:szCs w:val="32"/>
        </w:rPr>
        <w:t>完成预算63.58</w:t>
      </w:r>
      <w:r>
        <w:rPr>
          <w:rStyle w:val="14"/>
          <w:rFonts w:ascii="仿宋" w:hAnsi="仿宋"/>
          <w:b w:val="0"/>
          <w:bCs/>
          <w:szCs w:val="32"/>
        </w:rPr>
        <w:t>%</w:t>
      </w:r>
      <w:r>
        <w:rPr>
          <w:rStyle w:val="14"/>
          <w:rFonts w:hint="eastAsia" w:ascii="仿宋" w:hAnsi="仿宋"/>
          <w:b w:val="0"/>
          <w:bCs/>
          <w:szCs w:val="32"/>
        </w:rPr>
        <w:t>。</w:t>
      </w:r>
      <w:r>
        <w:rPr>
          <w:rFonts w:hint="eastAsia"/>
        </w:rPr>
        <w:t>公务用车购置及运行维护费支出决算比</w:t>
      </w:r>
      <w:r>
        <w:t>20</w:t>
      </w:r>
      <w:r>
        <w:rPr>
          <w:rFonts w:hint="eastAsia"/>
        </w:rPr>
        <w:t>20年减少0.68万元，下降39.77</w:t>
      </w:r>
      <w:r>
        <w:t>%</w:t>
      </w:r>
      <w:r>
        <w:rPr>
          <w:rFonts w:hint="eastAsia"/>
        </w:rPr>
        <w:t>。主要原因是</w:t>
      </w:r>
      <w:r>
        <w:rPr>
          <w:rFonts w:hint="eastAsia"/>
          <w:lang w:eastAsia="zh-CN"/>
        </w:rPr>
        <w:t>单位加强管理，严格控制非必要出行</w:t>
      </w:r>
      <w:r>
        <w:rPr>
          <w:rFonts w:hint="eastAsia" w:ascii="仿宋" w:hAnsi="仿宋"/>
        </w:rPr>
        <w:t>。</w:t>
      </w:r>
    </w:p>
    <w:p w14:paraId="30A3BF86">
      <w:pPr>
        <w:ind w:firstLine="640"/>
        <w:rPr>
          <w:b/>
        </w:rPr>
      </w:pPr>
      <w:r>
        <w:rPr>
          <w:rFonts w:hint="eastAsia"/>
        </w:rPr>
        <w:t>其中：</w:t>
      </w:r>
      <w:r>
        <w:rPr>
          <w:rFonts w:hint="eastAsia"/>
          <w:b/>
        </w:rPr>
        <w:t>公务用车购置支出</w:t>
      </w:r>
      <w:r>
        <w:rPr>
          <w:rFonts w:hint="eastAsia"/>
        </w:rPr>
        <w:t>0万元。全年按规定更新购置公务用车0辆，其中：轿车0辆、金额0万元，越野车0辆、金额0万元，载客汽车0辆、金额0万元。截至</w:t>
      </w:r>
      <w:r>
        <w:t>20</w:t>
      </w:r>
      <w:r>
        <w:rPr>
          <w:rFonts w:hint="eastAsia"/>
        </w:rPr>
        <w:t>21年</w:t>
      </w:r>
      <w:r>
        <w:t>12</w:t>
      </w:r>
      <w:r>
        <w:rPr>
          <w:rFonts w:hint="eastAsia"/>
        </w:rPr>
        <w:t>月底，单位共有公务用车1辆，其中：轿车0辆、越野车0辆、载客汽车1辆。</w:t>
      </w:r>
    </w:p>
    <w:p w14:paraId="6B1334E1">
      <w:pPr>
        <w:ind w:firstLine="643"/>
      </w:pPr>
      <w:r>
        <w:rPr>
          <w:rFonts w:hint="eastAsia"/>
          <w:b/>
        </w:rPr>
        <w:t>公务用车运行维护费支出</w:t>
      </w:r>
      <w:r>
        <w:rPr>
          <w:rFonts w:hint="eastAsia"/>
        </w:rPr>
        <w:t>1.03万元。主要用于教研员外出参与教研活动等所需的公务用车燃料费、维修费、过路过桥费、保险费等支出。</w:t>
      </w:r>
    </w:p>
    <w:p w14:paraId="3A4598C5">
      <w:pPr>
        <w:ind w:firstLine="643"/>
      </w:pPr>
      <w:r>
        <w:rPr>
          <w:b/>
        </w:rPr>
        <w:t>3.</w:t>
      </w:r>
      <w:r>
        <w:rPr>
          <w:rFonts w:hint="eastAsia"/>
          <w:b/>
        </w:rPr>
        <w:t>公务接待费支出</w:t>
      </w:r>
      <w:r>
        <w:rPr>
          <w:rFonts w:hint="eastAsia"/>
        </w:rPr>
        <w:t>0万元，</w:t>
      </w:r>
      <w:r>
        <w:rPr>
          <w:rStyle w:val="14"/>
          <w:rFonts w:hint="eastAsia" w:ascii="仿宋" w:hAnsi="仿宋"/>
          <w:b w:val="0"/>
          <w:bCs/>
          <w:szCs w:val="32"/>
        </w:rPr>
        <w:t>完成预算0</w:t>
      </w:r>
      <w:r>
        <w:rPr>
          <w:rStyle w:val="14"/>
          <w:rFonts w:ascii="仿宋" w:hAnsi="仿宋"/>
          <w:b w:val="0"/>
          <w:bCs/>
          <w:szCs w:val="32"/>
        </w:rPr>
        <w:t>%</w:t>
      </w:r>
      <w:r>
        <w:rPr>
          <w:rStyle w:val="14"/>
          <w:rFonts w:hint="eastAsia" w:ascii="仿宋" w:hAnsi="仿宋"/>
          <w:b w:val="0"/>
          <w:bCs/>
          <w:szCs w:val="32"/>
        </w:rPr>
        <w:t>。</w:t>
      </w:r>
      <w:r>
        <w:rPr>
          <w:rFonts w:hint="eastAsia"/>
        </w:rPr>
        <w:t>公务接待费支出决算与</w:t>
      </w:r>
      <w:r>
        <w:t>20</w:t>
      </w:r>
      <w:r>
        <w:rPr>
          <w:rFonts w:hint="eastAsia"/>
        </w:rPr>
        <w:t>20年决算数持平。主要原因是2021年未发生公务接待。其中：</w:t>
      </w:r>
    </w:p>
    <w:p w14:paraId="79195DF8">
      <w:pPr>
        <w:ind w:firstLine="643"/>
      </w:pPr>
      <w:r>
        <w:rPr>
          <w:rFonts w:hint="eastAsia" w:ascii="仿宋" w:hAnsi="仿宋"/>
          <w:b/>
        </w:rPr>
        <w:t>国内公务接待支出</w:t>
      </w:r>
      <w:r>
        <w:rPr>
          <w:rFonts w:hint="eastAsia" w:ascii="仿宋" w:hAnsi="仿宋"/>
        </w:rPr>
        <w:t>0</w:t>
      </w:r>
      <w:r>
        <w:rPr>
          <w:rFonts w:hint="eastAsia"/>
        </w:rPr>
        <w:t>万元。国内公务接待0批次，0人次（不包括陪同人员），共计支出0万元。</w:t>
      </w:r>
    </w:p>
    <w:p w14:paraId="23925368">
      <w:pPr>
        <w:ind w:firstLine="643"/>
      </w:pPr>
      <w:r>
        <w:rPr>
          <w:rFonts w:hint="eastAsia" w:ascii="仿宋" w:hAnsi="仿宋"/>
          <w:b/>
        </w:rPr>
        <w:t>外事接待支出</w:t>
      </w:r>
      <w:r>
        <w:rPr>
          <w:rFonts w:hint="eastAsia" w:ascii="仿宋" w:hAnsi="仿宋"/>
        </w:rPr>
        <w:t>0</w:t>
      </w:r>
      <w:r>
        <w:rPr>
          <w:rFonts w:hint="eastAsia"/>
        </w:rPr>
        <w:t>万元，外事接待0批次，0人，共计支出0万元。</w:t>
      </w:r>
      <w:bookmarkStart w:id="101" w:name="_Toc15396610"/>
      <w:bookmarkStart w:id="102" w:name="_Toc15377218"/>
    </w:p>
    <w:p w14:paraId="3C2EF3AF">
      <w:pPr>
        <w:pStyle w:val="4"/>
      </w:pPr>
      <w:bookmarkStart w:id="103" w:name="_Toc25630"/>
      <w:bookmarkStart w:id="104" w:name="_Toc28160"/>
      <w:bookmarkStart w:id="105" w:name="_Toc14541"/>
      <w:r>
        <w:rPr>
          <w:rFonts w:hint="eastAsia"/>
        </w:rPr>
        <w:t>八、政府性基金预算支出决算情况说明</w:t>
      </w:r>
      <w:bookmarkEnd w:id="101"/>
      <w:bookmarkEnd w:id="102"/>
      <w:bookmarkEnd w:id="103"/>
      <w:bookmarkEnd w:id="104"/>
      <w:bookmarkEnd w:id="105"/>
    </w:p>
    <w:p w14:paraId="5E79E071">
      <w:pPr>
        <w:ind w:firstLine="640"/>
      </w:pPr>
      <w:r>
        <w:t>20</w:t>
      </w:r>
      <w:r>
        <w:rPr>
          <w:rFonts w:hint="eastAsia"/>
        </w:rPr>
        <w:t>21年政府性基金预算财政拨款支出0万元。</w:t>
      </w:r>
    </w:p>
    <w:p w14:paraId="6ADE9EA7">
      <w:pPr>
        <w:pStyle w:val="4"/>
        <w:rPr>
          <w:b/>
        </w:rPr>
      </w:pPr>
      <w:bookmarkStart w:id="106" w:name="_Toc15377219"/>
      <w:bookmarkStart w:id="107" w:name="_Toc15396611"/>
      <w:bookmarkStart w:id="108" w:name="_Toc7224"/>
      <w:bookmarkStart w:id="109" w:name="_Toc20651"/>
      <w:bookmarkStart w:id="110" w:name="_Toc27644"/>
      <w:r>
        <w:rPr>
          <w:rFonts w:hint="eastAsia"/>
        </w:rPr>
        <w:t>九、国有资本经营预算支出决算情况说明</w:t>
      </w:r>
      <w:bookmarkEnd w:id="106"/>
      <w:bookmarkEnd w:id="107"/>
      <w:bookmarkEnd w:id="108"/>
      <w:bookmarkEnd w:id="109"/>
      <w:bookmarkEnd w:id="110"/>
    </w:p>
    <w:p w14:paraId="6668B5AE">
      <w:pPr>
        <w:ind w:firstLine="640"/>
      </w:pPr>
      <w:r>
        <w:t>20</w:t>
      </w:r>
      <w:r>
        <w:rPr>
          <w:rFonts w:hint="eastAsia"/>
        </w:rPr>
        <w:t>21年国有资本经营预算财政拨款支出0万元。</w:t>
      </w:r>
    </w:p>
    <w:p w14:paraId="4DF583A5">
      <w:pPr>
        <w:pStyle w:val="4"/>
        <w:rPr>
          <w:b/>
        </w:rPr>
      </w:pPr>
      <w:bookmarkStart w:id="111" w:name="_Toc15396612"/>
      <w:bookmarkStart w:id="112" w:name="_Toc15377221"/>
      <w:bookmarkStart w:id="113" w:name="_Toc3033"/>
      <w:bookmarkStart w:id="114" w:name="_Toc13267"/>
      <w:bookmarkStart w:id="115" w:name="_Toc14108"/>
      <w:r>
        <w:rPr>
          <w:rFonts w:hint="eastAsia"/>
        </w:rPr>
        <w:t>十、其他重要事项的情况说明</w:t>
      </w:r>
      <w:bookmarkEnd w:id="111"/>
      <w:bookmarkEnd w:id="112"/>
      <w:bookmarkEnd w:id="113"/>
      <w:bookmarkEnd w:id="114"/>
      <w:bookmarkEnd w:id="115"/>
    </w:p>
    <w:p w14:paraId="0D56CF35">
      <w:pPr>
        <w:ind w:firstLine="640"/>
      </w:pPr>
      <w:bookmarkStart w:id="116" w:name="_Toc15377222"/>
      <w:r>
        <w:rPr>
          <w:rFonts w:hint="eastAsia"/>
        </w:rPr>
        <w:t>（一）机关运行经费支出情况</w:t>
      </w:r>
      <w:bookmarkEnd w:id="116"/>
    </w:p>
    <w:p w14:paraId="77500A60">
      <w:pPr>
        <w:ind w:firstLine="640"/>
      </w:pPr>
      <w:r>
        <w:t>20</w:t>
      </w:r>
      <w:r>
        <w:rPr>
          <w:rFonts w:hint="eastAsia"/>
        </w:rPr>
        <w:t>21年，攀枝花市教育科学研究所机关运行经费支出0万元，与</w:t>
      </w:r>
      <w:r>
        <w:t>20</w:t>
      </w:r>
      <w:r>
        <w:rPr>
          <w:rFonts w:hint="eastAsia"/>
        </w:rPr>
        <w:t>20年决算数持平。主要原因是攀枝花市教育科学研究所属于事业单位，无机关运行经费。</w:t>
      </w:r>
    </w:p>
    <w:p w14:paraId="39D10F1F">
      <w:pPr>
        <w:ind w:firstLine="640"/>
      </w:pPr>
      <w:bookmarkStart w:id="117" w:name="_Toc15377223"/>
      <w:r>
        <w:rPr>
          <w:rFonts w:hint="eastAsia"/>
        </w:rPr>
        <w:t>（二）政府采购支出情况</w:t>
      </w:r>
      <w:bookmarkEnd w:id="117"/>
    </w:p>
    <w:p w14:paraId="3D53C484">
      <w:pPr>
        <w:ind w:firstLine="640"/>
      </w:pPr>
      <w:r>
        <w:t>20</w:t>
      </w:r>
      <w:r>
        <w:rPr>
          <w:rFonts w:hint="eastAsia"/>
        </w:rPr>
        <w:t>21年，攀枝花市教育科学研究所政府采购支出总额0万元，其中：政府采购货物支出0万元、政府采购工程支出0万元、政府采购服务支出0万元。授予中小企业合同金额0万元，占政府采购支出总额的0</w:t>
      </w:r>
      <w:r>
        <w:t>%</w:t>
      </w:r>
      <w:r>
        <w:rPr>
          <w:rFonts w:hint="eastAsia"/>
        </w:rPr>
        <w:t>，其中：授予小微企业合同金额0万元，占政府采购支出总额的0</w:t>
      </w:r>
      <w:r>
        <w:t>%</w:t>
      </w:r>
      <w:r>
        <w:rPr>
          <w:rFonts w:hint="eastAsia"/>
        </w:rPr>
        <w:t>。</w:t>
      </w:r>
    </w:p>
    <w:p w14:paraId="4815C52F">
      <w:pPr>
        <w:ind w:firstLine="643"/>
        <w:rPr>
          <w:rFonts w:ascii="仿宋" w:hAnsi="仿宋"/>
          <w:b/>
        </w:rPr>
      </w:pPr>
      <w:bookmarkStart w:id="118" w:name="_Toc15377224"/>
      <w:r>
        <w:rPr>
          <w:rFonts w:hint="eastAsia" w:ascii="仿宋" w:hAnsi="仿宋"/>
          <w:b/>
        </w:rPr>
        <w:t>（三）国有资产占有使用情况</w:t>
      </w:r>
      <w:bookmarkEnd w:id="118"/>
    </w:p>
    <w:p w14:paraId="2F3B09CF">
      <w:pPr>
        <w:ind w:firstLine="640"/>
        <w:rPr>
          <w:rFonts w:ascii="仿宋_GB2312" w:eastAsia="仿宋_GB2312"/>
          <w:szCs w:val="32"/>
        </w:rPr>
      </w:pPr>
      <w:r>
        <w:rPr>
          <w:rFonts w:hint="eastAsia" w:ascii="仿宋_GB2312" w:eastAsia="仿宋_GB2312"/>
          <w:szCs w:val="32"/>
        </w:rPr>
        <w:t>截至</w:t>
      </w:r>
      <w:r>
        <w:rPr>
          <w:rFonts w:ascii="仿宋_GB2312" w:eastAsia="仿宋_GB2312"/>
          <w:szCs w:val="32"/>
        </w:rPr>
        <w:t>20</w:t>
      </w:r>
      <w:r>
        <w:rPr>
          <w:rFonts w:hint="eastAsia" w:ascii="仿宋_GB2312" w:eastAsia="仿宋_GB2312"/>
          <w:szCs w:val="32"/>
        </w:rPr>
        <w:t>21年</w:t>
      </w:r>
      <w:r>
        <w:rPr>
          <w:rFonts w:ascii="仿宋_GB2312" w:eastAsia="仿宋_GB2312"/>
          <w:szCs w:val="32"/>
        </w:rPr>
        <w:t>12</w:t>
      </w:r>
      <w:r>
        <w:rPr>
          <w:rFonts w:hint="eastAsia" w:ascii="仿宋_GB2312" w:eastAsia="仿宋_GB2312"/>
          <w:szCs w:val="32"/>
        </w:rPr>
        <w:t>月</w:t>
      </w:r>
      <w:r>
        <w:rPr>
          <w:rFonts w:ascii="仿宋_GB2312" w:eastAsia="仿宋_GB2312"/>
          <w:szCs w:val="32"/>
        </w:rPr>
        <w:t>31</w:t>
      </w:r>
      <w:r>
        <w:rPr>
          <w:rFonts w:hint="eastAsia" w:ascii="仿宋_GB2312" w:eastAsia="仿宋_GB2312"/>
          <w:szCs w:val="32"/>
        </w:rPr>
        <w:t>日，攀枝花市教育科学研究所共有车辆2辆，其中：主要领导干部用车0辆、机要通信用车0辆、应急保障用车0辆、其他用车2辆.其他用车主要是</w:t>
      </w:r>
      <w:r>
        <w:rPr>
          <w:rFonts w:hint="eastAsia" w:ascii="仿宋_GB2312"/>
        </w:rPr>
        <w:t>一辆用于日常教研活动等日常办公出行使用，另一辆处于待处置状态并已停止使用。</w:t>
      </w:r>
      <w:r>
        <w:rPr>
          <w:rFonts w:hint="eastAsia" w:ascii="仿宋_GB2312" w:eastAsia="仿宋_GB2312"/>
          <w:szCs w:val="32"/>
        </w:rPr>
        <w:t>单价</w:t>
      </w:r>
      <w:r>
        <w:rPr>
          <w:rFonts w:ascii="仿宋_GB2312" w:eastAsia="仿宋_GB2312"/>
          <w:szCs w:val="32"/>
        </w:rPr>
        <w:t>50</w:t>
      </w:r>
      <w:r>
        <w:rPr>
          <w:rFonts w:hint="eastAsia" w:ascii="仿宋_GB2312" w:eastAsia="仿宋_GB2312"/>
          <w:szCs w:val="32"/>
        </w:rPr>
        <w:t>万元以上通用设备0台（套），单价</w:t>
      </w:r>
      <w:r>
        <w:rPr>
          <w:rFonts w:ascii="仿宋_GB2312" w:eastAsia="仿宋_GB2312"/>
          <w:szCs w:val="32"/>
        </w:rPr>
        <w:t>100</w:t>
      </w:r>
      <w:r>
        <w:rPr>
          <w:rFonts w:hint="eastAsia" w:ascii="仿宋_GB2312" w:eastAsia="仿宋_GB2312"/>
          <w:szCs w:val="32"/>
        </w:rPr>
        <w:t>万元以上专用设备0台（套）。</w:t>
      </w:r>
    </w:p>
    <w:p w14:paraId="50F75AC8">
      <w:pPr>
        <w:ind w:firstLine="643"/>
        <w:rPr>
          <w:rFonts w:ascii="仿宋" w:hAnsi="仿宋"/>
          <w:b/>
          <w:szCs w:val="32"/>
        </w:rPr>
      </w:pPr>
      <w:r>
        <w:rPr>
          <w:rFonts w:hint="eastAsia" w:ascii="仿宋" w:hAnsi="仿宋"/>
          <w:b/>
          <w:szCs w:val="32"/>
        </w:rPr>
        <w:t>（四）预算绩效管理情况</w:t>
      </w:r>
    </w:p>
    <w:p w14:paraId="65AA5409">
      <w:pPr>
        <w:ind w:firstLine="640"/>
        <w:rPr>
          <w:rFonts w:ascii="仿宋_GB2312" w:hAnsi="仿宋_GB2312" w:eastAsia="仿宋_GB2312" w:cs="仿宋_GB2312"/>
          <w:szCs w:val="32"/>
        </w:rPr>
      </w:pPr>
      <w:r>
        <w:rPr>
          <w:rFonts w:hint="eastAsia" w:ascii="仿宋_GB2312" w:hAnsi="仿宋_GB2312" w:eastAsia="仿宋_GB2312" w:cs="仿宋_GB2312"/>
          <w:szCs w:val="32"/>
        </w:rPr>
        <w:t>根据预算绩效管理要求，本单位在2021年度预算编制阶段，组织对</w:t>
      </w:r>
      <w:r>
        <w:rPr>
          <w:rFonts w:hint="eastAsia"/>
        </w:rPr>
        <w:t>教师进修——国培计划</w:t>
      </w:r>
      <w:r>
        <w:rPr>
          <w:rFonts w:hint="eastAsia" w:ascii="仿宋_GB2312" w:hAnsi="仿宋_GB2312" w:eastAsia="仿宋_GB2312" w:cs="仿宋_GB2312"/>
          <w:szCs w:val="32"/>
        </w:rPr>
        <w:t>项目（项目名称）等2个项目开展了预算事前绩效评估，对2个项目编制了绩效目标，预算执行过程中，选取2个项目开展绩效监控，年终执行完毕后，对2个项目开展了绩效自评，2021年特定目标类部门预算项目绩效目标自评表见附件（第四部分）。</w:t>
      </w:r>
    </w:p>
    <w:p w14:paraId="5E5E3444">
      <w:pPr>
        <w:pStyle w:val="2"/>
        <w:spacing w:before="93"/>
        <w:ind w:firstLine="600"/>
        <w:rPr>
          <w:highlight w:val="yellow"/>
        </w:rPr>
      </w:pPr>
    </w:p>
    <w:p w14:paraId="1BFC4926">
      <w:pPr>
        <w:widowControl/>
        <w:ind w:firstLine="643"/>
        <w:rPr>
          <w:rFonts w:ascii="仿宋_GB2312" w:eastAsia="仿宋_GB2312"/>
          <w:b/>
          <w:szCs w:val="32"/>
        </w:rPr>
      </w:pPr>
      <w:r>
        <w:rPr>
          <w:rFonts w:ascii="仿宋_GB2312" w:eastAsia="仿宋_GB2312"/>
          <w:b/>
          <w:szCs w:val="32"/>
        </w:rPr>
        <w:br w:type="page"/>
      </w:r>
    </w:p>
    <w:p w14:paraId="060DACC9">
      <w:pPr>
        <w:pStyle w:val="3"/>
        <w:rPr>
          <w:b/>
        </w:rPr>
      </w:pPr>
      <w:bookmarkStart w:id="119" w:name="_Toc15396613"/>
      <w:bookmarkStart w:id="120" w:name="_Toc15377225"/>
      <w:bookmarkStart w:id="121" w:name="_Toc12949"/>
      <w:bookmarkStart w:id="122" w:name="_Toc14293"/>
      <w:bookmarkStart w:id="123" w:name="_Toc21797"/>
      <w:r>
        <w:rPr>
          <w:rFonts w:hint="eastAsia"/>
        </w:rPr>
        <w:t>第三部分 名词解释</w:t>
      </w:r>
      <w:bookmarkEnd w:id="119"/>
      <w:bookmarkEnd w:id="120"/>
      <w:bookmarkEnd w:id="121"/>
      <w:bookmarkEnd w:id="122"/>
      <w:bookmarkEnd w:id="123"/>
    </w:p>
    <w:p w14:paraId="1F2C4A3E">
      <w:pPr>
        <w:spacing w:line="600" w:lineRule="exact"/>
        <w:ind w:firstLine="883"/>
        <w:rPr>
          <w:rFonts w:ascii="宋体"/>
          <w:b/>
          <w:sz w:val="44"/>
          <w:szCs w:val="44"/>
        </w:rPr>
      </w:pPr>
    </w:p>
    <w:p w14:paraId="52408594">
      <w:pPr>
        <w:ind w:firstLine="640"/>
      </w:pPr>
      <w:r>
        <w:t>1.</w:t>
      </w:r>
      <w:r>
        <w:rPr>
          <w:rFonts w:hint="eastAsia"/>
        </w:rPr>
        <w:t>财政拨款收入：指单位从同级财政部门取得的财政预算资金。</w:t>
      </w:r>
    </w:p>
    <w:p w14:paraId="5C3B4DDD">
      <w:pPr>
        <w:ind w:firstLine="640"/>
      </w:pPr>
      <w:r>
        <w:rPr>
          <w:rFonts w:hint="eastAsia"/>
        </w:rPr>
        <w:t>2</w:t>
      </w:r>
      <w:r>
        <w:t>.</w:t>
      </w:r>
      <w:r>
        <w:rPr>
          <w:rFonts w:hint="eastAsia"/>
        </w:rPr>
        <w:t>年初结转和结余：指以前年度尚未完成、结转到本年按有关规定继续使用的资金。</w:t>
      </w:r>
    </w:p>
    <w:p w14:paraId="1974A708">
      <w:pPr>
        <w:ind w:firstLine="640"/>
      </w:pPr>
      <w:r>
        <w:rPr>
          <w:rFonts w:hint="eastAsia"/>
        </w:rPr>
        <w:t>3.年末结转和结余：指单位按有关规定结转到下年或以后年度继续使用的资金。</w:t>
      </w:r>
    </w:p>
    <w:p w14:paraId="474D634E">
      <w:pPr>
        <w:ind w:firstLine="640"/>
      </w:pPr>
      <w:r>
        <w:rPr>
          <w:rFonts w:hint="eastAsia"/>
        </w:rPr>
        <w:t>4</w:t>
      </w:r>
      <w:r>
        <w:t>.</w:t>
      </w:r>
      <w:r>
        <w:rPr>
          <w:rFonts w:hint="eastAsia"/>
        </w:rPr>
        <w:t>教育（类）教育费附加安排的支出（款）其他教育费附加安排的支出（项）：指事业单位用于除农村中小学校舍建设及教学设施、城市中小学校舍建设及教学设施、中等职业学校教学设施以外的教育费附加安排的资金。教育（类）其他教育支出（款）其他教育支出（项）：指单位用于其他教育方面的支出。</w:t>
      </w:r>
    </w:p>
    <w:p w14:paraId="7376FC3A">
      <w:pPr>
        <w:ind w:firstLine="640"/>
      </w:pPr>
      <w:r>
        <w:rPr>
          <w:rFonts w:hint="eastAsia"/>
        </w:rPr>
        <w:t>5</w:t>
      </w:r>
      <w:r>
        <w:t>.</w:t>
      </w:r>
      <w:r>
        <w:rPr>
          <w:rFonts w:hint="eastAsia"/>
        </w:rPr>
        <w:t>社会保障和就业（类）人力资源和社会保障管理事务（款）其他人力资源和社会保障管理事务支出（项）：指单位其他用于人力资源和社会保障管理事务方面的支出。社会保障和就业（类）行政事业单位养老支出（款）机关事业单位基本养老保险缴费支出（项）：指单位实施养老保险制度由单位缴纳的基本养老保险费。社会保障和就业（类）抚恤支出（款）死亡抚恤（项）：指单位按规定用于烈士和牺牲、病故人员家属的一次性和定期抚恤金、丧葬补助费以及烈士褒扬金。</w:t>
      </w:r>
    </w:p>
    <w:p w14:paraId="5D6CBEDF">
      <w:pPr>
        <w:ind w:firstLine="640"/>
      </w:pPr>
      <w:r>
        <w:rPr>
          <w:rFonts w:hint="eastAsia"/>
        </w:rPr>
        <w:t>6</w:t>
      </w:r>
      <w:r>
        <w:t>.</w:t>
      </w:r>
      <w:r>
        <w:rPr>
          <w:rFonts w:hint="eastAsia"/>
        </w:rPr>
        <w:t>住房保障（类）住房改革支出（款）住房公积金（项）：指单位按人力资源和社会保障部、财政部规定的基本工资和津贴补贴以及规定比例为职工缴纳的住房公积金。</w:t>
      </w:r>
    </w:p>
    <w:p w14:paraId="3628DECD">
      <w:pPr>
        <w:ind w:firstLine="640"/>
      </w:pPr>
      <w:r>
        <w:t>7.</w:t>
      </w:r>
      <w:r>
        <w:rPr>
          <w:rFonts w:hint="eastAsia"/>
        </w:rPr>
        <w:t>基本支出：指为保障机构正常运转、完成日常工作任务而发生的人员支出和公用支出。</w:t>
      </w:r>
    </w:p>
    <w:p w14:paraId="5D8FBE52">
      <w:pPr>
        <w:ind w:firstLine="640"/>
      </w:pPr>
      <w:r>
        <w:t>8.</w:t>
      </w:r>
      <w:r>
        <w:rPr>
          <w:rFonts w:hint="eastAsia"/>
        </w:rPr>
        <w:t>项目支出：指在基本支出之外为完成特定行政任务和事业发展目标所发生的支出。</w:t>
      </w:r>
    </w:p>
    <w:p w14:paraId="62F00067">
      <w:pPr>
        <w:ind w:firstLine="640"/>
      </w:pPr>
      <w:r>
        <w:t>9.</w:t>
      </w:r>
      <w:r>
        <w:rPr>
          <w:rFonts w:hint="eastAsia"/>
        </w:rPr>
        <w:t>经营支出：指事业单位在专业业务活动及其辅助活动之外开展非独立核算经营活动发生的支出。</w:t>
      </w:r>
    </w:p>
    <w:p w14:paraId="455EE868">
      <w:pPr>
        <w:ind w:firstLine="640"/>
      </w:pPr>
      <w:r>
        <w:rPr>
          <w:rFonts w:hint="eastAsia"/>
        </w:rPr>
        <w:t>1</w:t>
      </w:r>
      <w:r>
        <w:t>0.</w:t>
      </w:r>
      <w:r>
        <w:rPr>
          <w:rFonts w:hint="eastAsia"/>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689F36D">
      <w:pPr>
        <w:ind w:firstLine="640"/>
        <w:rPr>
          <w:rStyle w:val="24"/>
          <w:rFonts w:hint="default" w:eastAsia="仿宋"/>
          <w:lang w:val="en-US" w:eastAsia="zh-CN"/>
        </w:rPr>
      </w:pPr>
      <w:r>
        <w:rPr>
          <w:rFonts w:hint="eastAsia"/>
        </w:rPr>
        <w:t>1</w:t>
      </w:r>
      <w:r>
        <w:t>1.</w:t>
      </w:r>
      <w:r>
        <w:rPr>
          <w:rFonts w:hint="eastAsi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124" w:name="_Toc15377226"/>
      <w:r>
        <w:rPr>
          <w:rFonts w:ascii="宋体"/>
          <w:b/>
        </w:rPr>
        <w:br w:type="page"/>
      </w:r>
      <w:r>
        <w:rPr>
          <w:rStyle w:val="24"/>
          <w:rFonts w:hint="eastAsia"/>
          <w:lang w:eastAsia="zh-CN"/>
        </w:rPr>
        <w:t>第四部分</w:t>
      </w:r>
      <w:r>
        <w:rPr>
          <w:rStyle w:val="24"/>
          <w:rFonts w:hint="eastAsia"/>
          <w:lang w:val="en-US" w:eastAsia="zh-CN"/>
        </w:rPr>
        <w:t xml:space="preserve"> 附件</w:t>
      </w:r>
    </w:p>
    <w:p w14:paraId="26275BF4">
      <w:pPr>
        <w:spacing w:line="572" w:lineRule="exact"/>
        <w:ind w:firstLine="640"/>
        <w:outlineLvl w:val="0"/>
        <w:rPr>
          <w:rFonts w:ascii="仿宋_GB2312" w:hAnsi="仿宋_GB2312" w:eastAsia="仿宋_GB2312" w:cs="仿宋_GB2312"/>
          <w:szCs w:val="32"/>
        </w:rPr>
      </w:pPr>
      <w:bookmarkStart w:id="125" w:name="_Toc112942287"/>
      <w:bookmarkStart w:id="126" w:name="_Toc25910"/>
      <w:bookmarkStart w:id="127" w:name="_Toc30349"/>
      <w:bookmarkStart w:id="128" w:name="_Toc18885"/>
      <w:bookmarkStart w:id="129" w:name="_Toc13437"/>
      <w:r>
        <w:rPr>
          <w:rFonts w:hint="eastAsia" w:ascii="黑体" w:hAnsi="黑体" w:eastAsia="黑体" w:cs="黑体"/>
          <w:szCs w:val="32"/>
        </w:rPr>
        <w:t>附件(</w:t>
      </w:r>
      <w:r>
        <w:rPr>
          <w:rFonts w:hint="eastAsia"/>
        </w:rPr>
        <w:t>教师进修——国培计划)</w:t>
      </w:r>
      <w:bookmarkEnd w:id="125"/>
      <w:bookmarkEnd w:id="126"/>
      <w:bookmarkEnd w:id="127"/>
      <w:bookmarkEnd w:id="128"/>
      <w:bookmarkEnd w:id="129"/>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38A2FB79">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335589DD">
            <w:pPr>
              <w:widowControl/>
              <w:ind w:firstLine="643"/>
              <w:textAlignment w:val="center"/>
              <w:rPr>
                <w:rFonts w:ascii="宋体" w:hAnsi="宋体" w:eastAsia="宋体" w:cs="宋体"/>
                <w:b/>
                <w:szCs w:val="32"/>
              </w:rPr>
            </w:pPr>
            <w:bookmarkStart w:id="130" w:name="_Toc15396618"/>
            <w:r>
              <w:rPr>
                <w:rFonts w:hint="eastAsia" w:ascii="宋体" w:hAnsi="宋体" w:eastAsia="宋体" w:cs="宋体"/>
                <w:b/>
                <w:szCs w:val="32"/>
              </w:rPr>
              <w:t>2021年不限金额特定目标类部门预算项目绩效目标自评</w:t>
            </w:r>
          </w:p>
        </w:tc>
        <w:tc>
          <w:tcPr>
            <w:tcW w:w="236" w:type="dxa"/>
            <w:tcBorders>
              <w:top w:val="nil"/>
              <w:left w:val="nil"/>
              <w:bottom w:val="nil"/>
              <w:right w:val="nil"/>
            </w:tcBorders>
            <w:shd w:val="clear" w:color="auto" w:fill="auto"/>
            <w:vAlign w:val="center"/>
          </w:tcPr>
          <w:p w14:paraId="51778F22">
            <w:pPr>
              <w:widowControl/>
              <w:ind w:firstLine="643"/>
              <w:jc w:val="center"/>
              <w:textAlignment w:val="center"/>
              <w:rPr>
                <w:rFonts w:ascii="宋体" w:hAnsi="宋体" w:cs="宋体"/>
                <w:b/>
                <w:kern w:val="0"/>
                <w:szCs w:val="32"/>
              </w:rPr>
            </w:pPr>
          </w:p>
        </w:tc>
      </w:tr>
      <w:tr w14:paraId="4ABF0220">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BE98F">
            <w:pPr>
              <w:widowControl/>
              <w:spacing w:line="320" w:lineRule="exact"/>
              <w:ind w:firstLine="480"/>
              <w:jc w:val="center"/>
              <w:textAlignment w:val="center"/>
              <w:rPr>
                <w:rFonts w:ascii="宋体" w:hAnsi="宋体" w:cs="宋体"/>
                <w:sz w:val="24"/>
              </w:rPr>
            </w:pPr>
            <w:r>
              <w:rPr>
                <w:rFonts w:hint="eastAsia" w:ascii="宋体" w:hAnsi="宋体" w:eastAsia="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B4934">
            <w:pPr>
              <w:widowControl/>
              <w:spacing w:line="320" w:lineRule="exact"/>
              <w:ind w:firstLine="0" w:firstLineChars="0"/>
              <w:textAlignment w:val="center"/>
              <w:rPr>
                <w:rFonts w:ascii="宋体" w:hAnsi="宋体" w:cs="宋体"/>
                <w:sz w:val="24"/>
              </w:rPr>
            </w:pPr>
            <w:r>
              <w:rPr>
                <w:rFonts w:hint="eastAsia" w:ascii="宋体" w:hAnsi="宋体" w:eastAsia="宋体" w:cs="宋体"/>
                <w:kern w:val="0"/>
                <w:sz w:val="24"/>
              </w:rPr>
              <w:t>攀枝花市教育和体育局  115103000083202018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C659">
            <w:pPr>
              <w:widowControl/>
              <w:spacing w:line="320" w:lineRule="exact"/>
              <w:ind w:left="0" w:leftChars="0" w:firstLine="0" w:firstLineChars="0"/>
              <w:jc w:val="both"/>
              <w:textAlignment w:val="center"/>
              <w:rPr>
                <w:rFonts w:ascii="宋体" w:hAnsi="宋体" w:cs="宋体"/>
                <w:sz w:val="24"/>
              </w:rPr>
            </w:pPr>
            <w:r>
              <w:rPr>
                <w:rFonts w:hint="eastAsia" w:ascii="宋体" w:hAnsi="宋体" w:eastAsia="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B34D">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攀枝花市教育科学研究所</w:t>
            </w:r>
          </w:p>
        </w:tc>
      </w:tr>
      <w:tr w14:paraId="2805A03B">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140F1">
            <w:pPr>
              <w:widowControl/>
              <w:spacing w:line="320" w:lineRule="exact"/>
              <w:ind w:firstLine="0" w:firstLineChars="0"/>
              <w:jc w:val="center"/>
              <w:textAlignment w:val="center"/>
              <w:rPr>
                <w:rFonts w:ascii="宋体" w:hAnsi="宋体" w:cs="宋体"/>
                <w:sz w:val="24"/>
              </w:rPr>
            </w:pPr>
            <w:r>
              <w:rPr>
                <w:rFonts w:hint="eastAsia" w:ascii="宋体" w:hAnsi="宋体" w:eastAsia="宋体" w:cs="宋体"/>
                <w:kern w:val="0"/>
                <w:sz w:val="24"/>
              </w:rPr>
              <w:t>项目预算</w:t>
            </w:r>
            <w:r>
              <w:rPr>
                <w:rFonts w:hint="eastAsia" w:ascii="宋体" w:hAnsi="宋体" w:eastAsia="宋体" w:cs="宋体"/>
                <w:kern w:val="0"/>
                <w:sz w:val="24"/>
              </w:rPr>
              <w:br w:type="textWrapping"/>
            </w:r>
            <w:r>
              <w:rPr>
                <w:rFonts w:hint="eastAsia" w:ascii="宋体" w:hAnsi="宋体" w:eastAsia="宋体" w:cs="宋体"/>
                <w:kern w:val="0"/>
                <w:sz w:val="24"/>
              </w:rPr>
              <w:t>执行情况</w:t>
            </w:r>
            <w:r>
              <w:rPr>
                <w:rFonts w:hint="eastAsia" w:ascii="宋体" w:hAnsi="宋体" w:eastAsia="宋体" w:cs="宋体"/>
                <w:kern w:val="0"/>
                <w:sz w:val="24"/>
              </w:rPr>
              <w:br w:type="textWrapping"/>
            </w:r>
            <w:r>
              <w:rPr>
                <w:rFonts w:hint="eastAsia" w:ascii="宋体" w:hAnsi="宋体" w:eastAsia="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235E">
            <w:pPr>
              <w:widowControl/>
              <w:spacing w:line="320" w:lineRule="exact"/>
              <w:ind w:firstLine="0" w:firstLineChars="0"/>
              <w:textAlignment w:val="center"/>
              <w:rPr>
                <w:rFonts w:ascii="宋体" w:hAnsi="宋体" w:cs="宋体"/>
                <w:sz w:val="24"/>
              </w:rPr>
            </w:pPr>
            <w:r>
              <w:rPr>
                <w:rFonts w:hint="eastAsia" w:ascii="宋体" w:hAnsi="宋体" w:eastAsia="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6202">
            <w:pPr>
              <w:widowControl/>
              <w:spacing w:line="320" w:lineRule="exact"/>
              <w:ind w:firstLine="480"/>
              <w:textAlignment w:val="center"/>
              <w:rPr>
                <w:rFonts w:ascii="宋体" w:hAnsi="宋体" w:cs="宋体"/>
                <w:sz w:val="24"/>
              </w:rPr>
            </w:pPr>
            <w:r>
              <w:rPr>
                <w:rFonts w:hint="eastAsia" w:ascii="宋体" w:hAnsi="宋体" w:cs="宋体"/>
                <w:sz w:val="24"/>
              </w:rPr>
              <w:t>70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4D44">
            <w:pPr>
              <w:widowControl/>
              <w:spacing w:line="320" w:lineRule="exact"/>
              <w:ind w:firstLine="0" w:firstLineChars="0"/>
              <w:textAlignment w:val="center"/>
              <w:rPr>
                <w:rFonts w:ascii="宋体" w:hAnsi="宋体" w:cs="宋体"/>
                <w:sz w:val="24"/>
              </w:rPr>
            </w:pPr>
            <w:r>
              <w:rPr>
                <w:rFonts w:hint="eastAsia" w:ascii="宋体" w:hAnsi="宋体" w:eastAsia="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E9C0">
            <w:pPr>
              <w:widowControl/>
              <w:spacing w:line="320" w:lineRule="exact"/>
              <w:ind w:firstLine="480"/>
              <w:jc w:val="center"/>
              <w:textAlignment w:val="center"/>
              <w:rPr>
                <w:rFonts w:ascii="宋体" w:hAnsi="宋体" w:cs="宋体"/>
                <w:sz w:val="24"/>
              </w:rPr>
            </w:pPr>
            <w:r>
              <w:rPr>
                <w:rFonts w:hint="eastAsia" w:ascii="宋体" w:hAnsi="宋体" w:cs="宋体"/>
                <w:sz w:val="24"/>
              </w:rPr>
              <w:t>57.39</w:t>
            </w:r>
          </w:p>
        </w:tc>
      </w:tr>
      <w:tr w14:paraId="7729C835">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D301">
            <w:pPr>
              <w:spacing w:line="320" w:lineRule="exact"/>
              <w:ind w:firstLine="480"/>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8775">
            <w:pPr>
              <w:widowControl/>
              <w:spacing w:line="320" w:lineRule="exact"/>
              <w:ind w:firstLine="0" w:firstLineChars="0"/>
              <w:textAlignment w:val="center"/>
              <w:rPr>
                <w:rFonts w:ascii="宋体" w:hAnsi="宋体" w:cs="宋体"/>
                <w:kern w:val="0"/>
                <w:sz w:val="24"/>
              </w:rPr>
            </w:pPr>
            <w:r>
              <w:rPr>
                <w:rFonts w:hint="eastAsia" w:ascii="宋体" w:hAnsi="宋体" w:eastAsia="宋体" w:cs="宋体"/>
                <w:kern w:val="0"/>
                <w:sz w:val="24"/>
              </w:rPr>
              <w:t>其中：</w:t>
            </w:r>
          </w:p>
          <w:p w14:paraId="1DC4C432">
            <w:pPr>
              <w:widowControl/>
              <w:spacing w:line="320" w:lineRule="exact"/>
              <w:ind w:firstLine="0" w:firstLineChars="0"/>
              <w:textAlignment w:val="center"/>
              <w:rPr>
                <w:rFonts w:ascii="宋体" w:hAnsi="宋体" w:cs="宋体"/>
                <w:sz w:val="24"/>
              </w:rPr>
            </w:pPr>
            <w:r>
              <w:rPr>
                <w:rFonts w:hint="eastAsia" w:ascii="宋体" w:hAnsi="宋体" w:eastAsia="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19B0">
            <w:pPr>
              <w:widowControl/>
              <w:spacing w:line="320" w:lineRule="exact"/>
              <w:ind w:firstLine="480"/>
              <w:textAlignment w:val="center"/>
              <w:rPr>
                <w:rFonts w:ascii="宋体" w:hAnsi="宋体" w:cs="宋体"/>
                <w:sz w:val="24"/>
              </w:rPr>
            </w:pPr>
            <w:r>
              <w:rPr>
                <w:rFonts w:hint="eastAsia" w:ascii="宋体" w:hAnsi="宋体" w:cs="宋体"/>
                <w:sz w:val="24"/>
              </w:rPr>
              <w:t>70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C8E5">
            <w:pPr>
              <w:widowControl/>
              <w:spacing w:line="320" w:lineRule="exact"/>
              <w:ind w:firstLine="0" w:firstLineChars="0"/>
              <w:textAlignment w:val="center"/>
              <w:rPr>
                <w:rFonts w:ascii="宋体" w:hAnsi="宋体" w:cs="宋体"/>
                <w:kern w:val="0"/>
                <w:sz w:val="24"/>
              </w:rPr>
            </w:pPr>
            <w:r>
              <w:rPr>
                <w:rFonts w:hint="eastAsia" w:ascii="宋体" w:hAnsi="宋体" w:eastAsia="宋体" w:cs="宋体"/>
                <w:kern w:val="0"/>
                <w:sz w:val="24"/>
              </w:rPr>
              <w:t>其中：</w:t>
            </w:r>
          </w:p>
          <w:p w14:paraId="552DCA0E">
            <w:pPr>
              <w:widowControl/>
              <w:spacing w:line="320" w:lineRule="exact"/>
              <w:ind w:firstLine="0" w:firstLineChars="0"/>
              <w:textAlignment w:val="center"/>
              <w:rPr>
                <w:rFonts w:ascii="宋体" w:hAnsi="宋体" w:cs="宋体"/>
                <w:sz w:val="24"/>
              </w:rPr>
            </w:pPr>
            <w:r>
              <w:rPr>
                <w:rFonts w:hint="eastAsia" w:ascii="宋体" w:hAnsi="宋体" w:eastAsia="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596D">
            <w:pPr>
              <w:widowControl/>
              <w:spacing w:line="320" w:lineRule="exact"/>
              <w:ind w:firstLine="480"/>
              <w:textAlignment w:val="center"/>
              <w:rPr>
                <w:rFonts w:ascii="宋体" w:hAnsi="宋体" w:cs="宋体"/>
                <w:sz w:val="24"/>
              </w:rPr>
            </w:pPr>
            <w:r>
              <w:rPr>
                <w:rFonts w:hint="eastAsia" w:ascii="宋体" w:hAnsi="宋体" w:cs="宋体"/>
                <w:sz w:val="24"/>
              </w:rPr>
              <w:t>57.39</w:t>
            </w:r>
          </w:p>
        </w:tc>
      </w:tr>
      <w:tr w14:paraId="71A241B8">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01632">
            <w:pPr>
              <w:spacing w:line="320" w:lineRule="exact"/>
              <w:ind w:firstLine="480"/>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530B">
            <w:pPr>
              <w:widowControl/>
              <w:spacing w:line="320" w:lineRule="exact"/>
              <w:ind w:firstLine="0" w:firstLineChars="0"/>
              <w:textAlignment w:val="center"/>
              <w:rPr>
                <w:rFonts w:ascii="宋体" w:hAnsi="宋体" w:cs="宋体"/>
                <w:sz w:val="24"/>
              </w:rPr>
            </w:pPr>
            <w:r>
              <w:rPr>
                <w:rFonts w:hint="eastAsia" w:ascii="宋体" w:hAnsi="宋体" w:eastAsia="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8670">
            <w:pPr>
              <w:widowControl/>
              <w:spacing w:line="320" w:lineRule="exact"/>
              <w:ind w:firstLine="480"/>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0B1B">
            <w:pPr>
              <w:widowControl/>
              <w:spacing w:line="320" w:lineRule="exact"/>
              <w:ind w:firstLine="0" w:firstLineChars="0"/>
              <w:textAlignment w:val="center"/>
              <w:rPr>
                <w:rFonts w:ascii="宋体" w:hAnsi="宋体" w:cs="宋体"/>
                <w:sz w:val="24"/>
              </w:rPr>
            </w:pPr>
            <w:r>
              <w:rPr>
                <w:rFonts w:hint="eastAsia" w:ascii="宋体" w:hAnsi="宋体" w:eastAsia="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945D">
            <w:pPr>
              <w:widowControl/>
              <w:spacing w:line="320" w:lineRule="exact"/>
              <w:ind w:firstLine="480"/>
              <w:jc w:val="center"/>
              <w:textAlignment w:val="center"/>
              <w:rPr>
                <w:rFonts w:ascii="宋体" w:hAnsi="宋体" w:cs="宋体"/>
                <w:sz w:val="24"/>
              </w:rPr>
            </w:pPr>
          </w:p>
        </w:tc>
      </w:tr>
      <w:tr w14:paraId="6988DEA4">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35C1B">
            <w:pPr>
              <w:widowControl/>
              <w:spacing w:line="320" w:lineRule="exact"/>
              <w:ind w:firstLine="0" w:firstLineChars="0"/>
              <w:textAlignment w:val="center"/>
              <w:rPr>
                <w:rFonts w:ascii="宋体" w:hAnsi="宋体" w:cs="宋体"/>
                <w:kern w:val="0"/>
                <w:sz w:val="24"/>
              </w:rPr>
            </w:pPr>
            <w:r>
              <w:rPr>
                <w:rFonts w:hint="eastAsia" w:ascii="宋体" w:hAnsi="宋体" w:eastAsia="宋体" w:cs="宋体"/>
                <w:kern w:val="0"/>
                <w:sz w:val="24"/>
              </w:rPr>
              <w:t>年度总体目标</w:t>
            </w:r>
          </w:p>
          <w:p w14:paraId="6A790EE2">
            <w:pPr>
              <w:widowControl/>
              <w:spacing w:line="320" w:lineRule="exact"/>
              <w:ind w:firstLine="199" w:firstLineChars="83"/>
              <w:textAlignment w:val="center"/>
              <w:rPr>
                <w:rFonts w:ascii="宋体" w:hAnsi="宋体" w:cs="宋体"/>
                <w:sz w:val="24"/>
              </w:rPr>
            </w:pPr>
            <w:r>
              <w:rPr>
                <w:rFonts w:hint="eastAsia" w:ascii="宋体" w:hAnsi="宋体" w:eastAsia="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2372B">
            <w:pPr>
              <w:widowControl/>
              <w:spacing w:line="320" w:lineRule="exact"/>
              <w:ind w:firstLine="480"/>
              <w:jc w:val="center"/>
              <w:textAlignment w:val="center"/>
              <w:rPr>
                <w:rFonts w:ascii="宋体" w:hAnsi="宋体" w:cs="宋体"/>
                <w:sz w:val="24"/>
              </w:rPr>
            </w:pPr>
            <w:r>
              <w:rPr>
                <w:rFonts w:hint="eastAsia" w:ascii="宋体" w:hAnsi="宋体" w:eastAsia="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AA0DA">
            <w:pPr>
              <w:widowControl/>
              <w:spacing w:line="320" w:lineRule="exact"/>
              <w:ind w:firstLine="480"/>
              <w:jc w:val="center"/>
              <w:textAlignment w:val="center"/>
              <w:rPr>
                <w:rFonts w:ascii="宋体" w:hAnsi="宋体" w:cs="宋体"/>
                <w:sz w:val="24"/>
              </w:rPr>
            </w:pPr>
            <w:r>
              <w:rPr>
                <w:rFonts w:hint="eastAsia" w:ascii="宋体" w:hAnsi="宋体" w:eastAsia="宋体" w:cs="宋体"/>
                <w:kern w:val="0"/>
                <w:sz w:val="24"/>
              </w:rPr>
              <w:t>目标实际完成情况</w:t>
            </w:r>
          </w:p>
        </w:tc>
      </w:tr>
      <w:tr w14:paraId="202984AD">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28B4E">
            <w:pPr>
              <w:spacing w:line="320" w:lineRule="exact"/>
              <w:ind w:firstLine="480"/>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27FF7F35">
            <w:pPr>
              <w:widowControl/>
              <w:spacing w:line="320" w:lineRule="exact"/>
              <w:ind w:firstLine="0" w:firstLineChars="0"/>
              <w:textAlignment w:val="top"/>
              <w:rPr>
                <w:rFonts w:ascii="宋体" w:hAnsi="宋体" w:cs="宋体"/>
                <w:sz w:val="24"/>
              </w:rPr>
            </w:pPr>
            <w:r>
              <w:rPr>
                <w:rFonts w:hint="eastAsia" w:ascii="宋体" w:hAnsi="宋体" w:eastAsia="宋体" w:cs="宋体"/>
                <w:kern w:val="0"/>
                <w:sz w:val="24"/>
              </w:rPr>
              <w:t>将党的十九大、十九届四中全会精神和全国教育大会精神作为教师校长培训的首要内容，贯穿教师校长培训全过程，并将师德教育、心理健康、信息技术等纳入培训内容，增强教师校长的师德修养、法治意识、价值认同和信息化素养，进一步更新教师校长的思想观念和教育理念，提升教育教学质量和办学治校水平。</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7D210B7D">
            <w:pPr>
              <w:widowControl/>
              <w:spacing w:line="320" w:lineRule="exact"/>
              <w:ind w:firstLine="0" w:firstLineChars="0"/>
              <w:textAlignment w:val="top"/>
              <w:rPr>
                <w:rFonts w:ascii="宋体" w:hAnsi="宋体" w:cs="宋体"/>
                <w:sz w:val="24"/>
              </w:rPr>
            </w:pPr>
            <w:r>
              <w:rPr>
                <w:rFonts w:hint="eastAsia" w:ascii="宋体" w:hAnsi="宋体" w:eastAsia="宋体" w:cs="宋体"/>
                <w:kern w:val="0"/>
                <w:sz w:val="24"/>
              </w:rPr>
              <w:t>提升参培老师的教学设计格局、改变设计依据与功能的揣度力、教学设计要素，国培计划在2021年顺利完成。</w:t>
            </w:r>
          </w:p>
        </w:tc>
      </w:tr>
      <w:tr w14:paraId="6E4B7CBF">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2589623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7E570F22">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一级</w:t>
            </w:r>
          </w:p>
          <w:p w14:paraId="5690F8D8">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F184">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二级</w:t>
            </w:r>
          </w:p>
          <w:p w14:paraId="62CA010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060B">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三级</w:t>
            </w:r>
          </w:p>
          <w:p w14:paraId="5F66CA54">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A7A">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9241">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实际完成指标值</w:t>
            </w:r>
          </w:p>
        </w:tc>
      </w:tr>
      <w:tr w14:paraId="67F6D042">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2D6D6C31">
            <w:pPr>
              <w:widowControl/>
              <w:spacing w:line="320" w:lineRule="exact"/>
              <w:ind w:firstLine="0" w:firstLineChars="0"/>
              <w:textAlignment w:val="center"/>
              <w:rPr>
                <w:rFonts w:hint="eastAsia" w:ascii="宋体" w:hAnsi="宋体" w:eastAsia="宋体" w:cs="宋体"/>
                <w:kern w:val="0"/>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EFA4A">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完成</w:t>
            </w:r>
          </w:p>
          <w:p w14:paraId="69C242D4">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3AC9E">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243B5">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国培计划参培教师</w:t>
            </w:r>
            <w:r>
              <w:rPr>
                <w:rFonts w:hint="eastAsia" w:ascii="宋体" w:hAnsi="宋体" w:eastAsia="宋体" w:cs="宋体"/>
                <w:kern w:val="0"/>
                <w:sz w:val="24"/>
              </w:rPr>
              <w:tab/>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5B1C8">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E23DD">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100</w:t>
            </w:r>
          </w:p>
        </w:tc>
      </w:tr>
      <w:tr w14:paraId="32585940">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572449B2">
            <w:pPr>
              <w:widowControl/>
              <w:spacing w:line="320" w:lineRule="exact"/>
              <w:ind w:firstLine="0" w:firstLineChars="0"/>
              <w:textAlignment w:val="center"/>
              <w:rPr>
                <w:rFonts w:hint="eastAsia" w:ascii="宋体" w:hAnsi="宋体" w:eastAsia="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8BAC874">
            <w:pPr>
              <w:widowControl/>
              <w:spacing w:line="320" w:lineRule="exact"/>
              <w:ind w:firstLine="0" w:firstLineChars="0"/>
              <w:textAlignment w:val="center"/>
              <w:rPr>
                <w:rFonts w:hint="eastAsia" w:ascii="宋体" w:hAnsi="宋体" w:eastAsia="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8D1EE">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E9A46F">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合规性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94D0A6">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≥80%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4730F">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≥80%</w:t>
            </w:r>
          </w:p>
        </w:tc>
      </w:tr>
      <w:tr w14:paraId="318F5477">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6F627C51">
            <w:pPr>
              <w:widowControl/>
              <w:spacing w:line="320" w:lineRule="exact"/>
              <w:ind w:firstLine="0" w:firstLineChars="0"/>
              <w:textAlignment w:val="center"/>
              <w:rPr>
                <w:rFonts w:hint="eastAsia" w:ascii="宋体" w:hAnsi="宋体" w:eastAsia="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074FF6D">
            <w:pPr>
              <w:widowControl/>
              <w:spacing w:line="320" w:lineRule="exact"/>
              <w:ind w:firstLine="0" w:firstLineChars="0"/>
              <w:textAlignment w:val="center"/>
              <w:rPr>
                <w:rFonts w:hint="eastAsia" w:ascii="宋体" w:hAnsi="宋体" w:eastAsia="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DC8F8">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FD6BA6">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项目完成时间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F0853">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2021年12月31日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DAAA31">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2021年12月31日</w:t>
            </w:r>
          </w:p>
        </w:tc>
      </w:tr>
      <w:tr w14:paraId="2EAC2FA5">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7E67B302">
            <w:pPr>
              <w:widowControl/>
              <w:spacing w:line="320" w:lineRule="exact"/>
              <w:ind w:firstLine="0" w:firstLineChars="0"/>
              <w:textAlignment w:val="center"/>
              <w:rPr>
                <w:rFonts w:hint="eastAsia" w:ascii="宋体" w:hAnsi="宋体" w:eastAsia="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6EB76A1">
            <w:pPr>
              <w:widowControl/>
              <w:spacing w:line="320" w:lineRule="exact"/>
              <w:ind w:firstLine="0" w:firstLineChars="0"/>
              <w:textAlignment w:val="center"/>
              <w:rPr>
                <w:rFonts w:hint="eastAsia" w:ascii="宋体" w:hAnsi="宋体" w:eastAsia="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A09872">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31016">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预算经费指标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37BE7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70万元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6A2F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57.39万元</w:t>
            </w:r>
          </w:p>
        </w:tc>
      </w:tr>
      <w:tr w14:paraId="141D3283">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270941CC">
            <w:pPr>
              <w:widowControl/>
              <w:spacing w:line="320" w:lineRule="exact"/>
              <w:ind w:firstLine="0" w:firstLineChars="0"/>
              <w:textAlignment w:val="center"/>
              <w:rPr>
                <w:rFonts w:hint="eastAsia" w:ascii="宋体" w:hAnsi="宋体" w:eastAsia="宋体" w:cs="宋体"/>
                <w:kern w:val="0"/>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CB998C2">
            <w:pPr>
              <w:widowControl/>
              <w:spacing w:line="320" w:lineRule="exact"/>
              <w:ind w:firstLine="0" w:firstLineChars="0"/>
              <w:textAlignment w:val="center"/>
              <w:rPr>
                <w:rFonts w:hint="eastAsia" w:ascii="宋体" w:hAnsi="宋体" w:eastAsia="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94858">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7EF3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参培老师的教学能力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24CF8">
            <w:pPr>
              <w:widowControl/>
              <w:spacing w:line="320" w:lineRule="exact"/>
              <w:ind w:firstLine="0" w:firstLineChars="0"/>
              <w:textAlignment w:val="center"/>
              <w:rPr>
                <w:rFonts w:hint="eastAsia" w:ascii="宋体" w:hAnsi="宋体" w:eastAsia="宋体" w:cs="宋体"/>
                <w:kern w:val="0"/>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9E7B4D">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提升参培老师的教学设计格局、改变设计依据与功能的揣度力、教学设计要素</w:t>
            </w:r>
          </w:p>
        </w:tc>
      </w:tr>
      <w:tr w14:paraId="63623D3E">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30689C61">
            <w:pPr>
              <w:widowControl/>
              <w:spacing w:line="320" w:lineRule="exact"/>
              <w:ind w:firstLine="0" w:firstLineChars="0"/>
              <w:textAlignment w:val="center"/>
              <w:rPr>
                <w:rFonts w:hint="eastAsia" w:ascii="宋体" w:hAnsi="宋体" w:eastAsia="宋体" w:cs="宋体"/>
                <w:kern w:val="0"/>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B3B5F2">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5C93C5">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满意度</w:t>
            </w:r>
          </w:p>
          <w:p w14:paraId="7EB692E6">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1C941C">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参培教师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509D0A">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8</w:t>
            </w:r>
            <w:r>
              <w:rPr>
                <w:rFonts w:hint="eastAsia" w:ascii="宋体" w:hAnsi="宋体" w:eastAsia="宋体" w:cs="宋体"/>
                <w:kern w:val="0"/>
                <w:sz w:val="24"/>
              </w:rPr>
              <w:t>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9A7D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8</w:t>
            </w:r>
            <w:r>
              <w:rPr>
                <w:rFonts w:hint="eastAsia" w:ascii="宋体" w:hAnsi="宋体" w:eastAsia="宋体" w:cs="宋体"/>
                <w:kern w:val="0"/>
                <w:sz w:val="24"/>
              </w:rPr>
              <w:t>0%</w:t>
            </w:r>
          </w:p>
        </w:tc>
      </w:tr>
    </w:tbl>
    <w:p w14:paraId="2F85B0CB">
      <w:pPr>
        <w:widowControl/>
        <w:spacing w:line="320" w:lineRule="exact"/>
        <w:ind w:firstLine="0" w:firstLineChars="0"/>
        <w:textAlignment w:val="center"/>
        <w:rPr>
          <w:rFonts w:hint="eastAsia" w:ascii="宋体" w:hAnsi="宋体" w:eastAsia="宋体" w:cs="宋体"/>
          <w:kern w:val="0"/>
          <w:sz w:val="24"/>
        </w:rPr>
      </w:pPr>
    </w:p>
    <w:p w14:paraId="20D0F7A8">
      <w:pPr>
        <w:spacing w:line="572" w:lineRule="exact"/>
        <w:ind w:firstLine="640"/>
        <w:outlineLvl w:val="0"/>
        <w:rPr>
          <w:rFonts w:ascii="仿宋_GB2312" w:hAnsi="仿宋_GB2312" w:eastAsia="仿宋_GB2312" w:cs="仿宋_GB2312"/>
          <w:szCs w:val="32"/>
        </w:rPr>
      </w:pPr>
      <w:bookmarkStart w:id="131" w:name="_Toc783"/>
      <w:bookmarkStart w:id="132" w:name="_Toc8236"/>
      <w:bookmarkStart w:id="133" w:name="_Toc112942289"/>
      <w:bookmarkStart w:id="134" w:name="_Toc8346"/>
      <w:bookmarkStart w:id="135" w:name="_Toc452"/>
      <w:r>
        <w:rPr>
          <w:rFonts w:hint="eastAsia" w:ascii="黑体" w:hAnsi="黑体" w:eastAsia="黑体" w:cs="黑体"/>
          <w:szCs w:val="32"/>
        </w:rPr>
        <w:t>附件(</w:t>
      </w:r>
      <w:r>
        <w:rPr>
          <w:rFonts w:hint="eastAsia"/>
        </w:rPr>
        <w:t>质量监测)</w:t>
      </w:r>
      <w:bookmarkEnd w:id="131"/>
      <w:bookmarkEnd w:id="132"/>
      <w:bookmarkEnd w:id="133"/>
      <w:bookmarkEnd w:id="134"/>
      <w:bookmarkEnd w:id="135"/>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30B6057E">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0C99FD64">
            <w:pPr>
              <w:widowControl/>
              <w:ind w:firstLine="643"/>
              <w:textAlignment w:val="center"/>
              <w:rPr>
                <w:rFonts w:ascii="宋体" w:hAnsi="宋体" w:eastAsia="宋体" w:cs="宋体"/>
                <w:b/>
                <w:szCs w:val="32"/>
              </w:rPr>
            </w:pPr>
            <w:r>
              <w:rPr>
                <w:rFonts w:hint="eastAsia" w:ascii="宋体" w:hAnsi="宋体" w:eastAsia="宋体" w:cs="宋体"/>
                <w:b/>
                <w:szCs w:val="32"/>
              </w:rPr>
              <w:t>2021年不限金额特定目标类部门预算项目绩效目标自评</w:t>
            </w:r>
          </w:p>
        </w:tc>
        <w:tc>
          <w:tcPr>
            <w:tcW w:w="236" w:type="dxa"/>
            <w:tcBorders>
              <w:top w:val="nil"/>
              <w:left w:val="nil"/>
              <w:bottom w:val="nil"/>
              <w:right w:val="nil"/>
            </w:tcBorders>
            <w:shd w:val="clear" w:color="auto" w:fill="auto"/>
            <w:vAlign w:val="center"/>
          </w:tcPr>
          <w:p w14:paraId="64CE68DB">
            <w:pPr>
              <w:widowControl/>
              <w:ind w:firstLine="643"/>
              <w:jc w:val="center"/>
              <w:textAlignment w:val="center"/>
              <w:rPr>
                <w:rFonts w:ascii="宋体" w:hAnsi="宋体" w:cs="宋体"/>
                <w:b/>
                <w:kern w:val="0"/>
                <w:szCs w:val="32"/>
              </w:rPr>
            </w:pPr>
          </w:p>
        </w:tc>
      </w:tr>
      <w:tr w14:paraId="0F76CCFE">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CC4FA">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097D8">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攀枝花市教育和体育局  115103000083202018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D60F">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22AE">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攀枝花市教育科学研究所</w:t>
            </w:r>
          </w:p>
        </w:tc>
      </w:tr>
      <w:tr w14:paraId="7BB9A063">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EDE6E">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项目预算</w:t>
            </w:r>
            <w:r>
              <w:rPr>
                <w:rFonts w:hint="eastAsia" w:ascii="宋体" w:hAnsi="宋体" w:eastAsia="宋体" w:cs="宋体"/>
                <w:kern w:val="0"/>
                <w:sz w:val="24"/>
              </w:rPr>
              <w:br w:type="textWrapping"/>
            </w:r>
            <w:r>
              <w:rPr>
                <w:rFonts w:hint="eastAsia" w:ascii="宋体" w:hAnsi="宋体" w:eastAsia="宋体" w:cs="宋体"/>
                <w:kern w:val="0"/>
                <w:sz w:val="24"/>
              </w:rPr>
              <w:t>执行情况</w:t>
            </w:r>
            <w:r>
              <w:rPr>
                <w:rFonts w:hint="eastAsia" w:ascii="宋体" w:hAnsi="宋体" w:eastAsia="宋体" w:cs="宋体"/>
                <w:kern w:val="0"/>
                <w:sz w:val="24"/>
              </w:rPr>
              <w:br w:type="textWrapping"/>
            </w:r>
            <w:r>
              <w:rPr>
                <w:rFonts w:hint="eastAsia" w:ascii="宋体" w:hAnsi="宋体" w:eastAsia="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A1C5">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E779">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69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2B41">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921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69</w:t>
            </w:r>
          </w:p>
        </w:tc>
      </w:tr>
      <w:tr w14:paraId="77F93D25">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C085F">
            <w:pPr>
              <w:widowControl/>
              <w:spacing w:line="320" w:lineRule="exact"/>
              <w:ind w:firstLine="0" w:firstLineChars="0"/>
              <w:textAlignment w:val="center"/>
              <w:rPr>
                <w:rFonts w:hint="eastAsia" w:ascii="宋体" w:hAnsi="宋体" w:eastAsia="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544A">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其中：</w:t>
            </w:r>
          </w:p>
          <w:p w14:paraId="620CC89A">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51E9">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69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818F">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其中：</w:t>
            </w:r>
          </w:p>
          <w:p w14:paraId="6611EF53">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C86A">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69</w:t>
            </w:r>
          </w:p>
        </w:tc>
      </w:tr>
      <w:tr w14:paraId="6FCB830F">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D5D3C">
            <w:pPr>
              <w:widowControl/>
              <w:spacing w:line="320" w:lineRule="exact"/>
              <w:ind w:firstLine="0" w:firstLineChars="0"/>
              <w:textAlignment w:val="center"/>
              <w:rPr>
                <w:rFonts w:hint="eastAsia" w:ascii="宋体" w:hAnsi="宋体" w:eastAsia="宋体" w:cs="宋体"/>
                <w:kern w:val="0"/>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251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CF1A">
            <w:pPr>
              <w:widowControl/>
              <w:spacing w:line="320" w:lineRule="exact"/>
              <w:ind w:firstLine="0" w:firstLineChars="0"/>
              <w:textAlignment w:val="center"/>
              <w:rPr>
                <w:rFonts w:hint="eastAsia" w:ascii="宋体" w:hAnsi="宋体" w:eastAsia="宋体" w:cs="宋体"/>
                <w:kern w:val="0"/>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C731">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CA57">
            <w:pPr>
              <w:widowControl/>
              <w:spacing w:line="320" w:lineRule="exact"/>
              <w:ind w:firstLine="0" w:firstLineChars="0"/>
              <w:textAlignment w:val="center"/>
              <w:rPr>
                <w:rFonts w:hint="eastAsia" w:ascii="宋体" w:hAnsi="宋体" w:eastAsia="宋体" w:cs="宋体"/>
                <w:kern w:val="0"/>
                <w:sz w:val="24"/>
              </w:rPr>
            </w:pPr>
          </w:p>
        </w:tc>
      </w:tr>
      <w:tr w14:paraId="6F9145DC">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36C7D">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年度总体目标</w:t>
            </w:r>
          </w:p>
          <w:p w14:paraId="4355D629">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B75F4">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A09A6">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目标实际完成情况</w:t>
            </w:r>
          </w:p>
        </w:tc>
      </w:tr>
      <w:tr w14:paraId="75CF2DA0">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A319E">
            <w:pPr>
              <w:widowControl/>
              <w:spacing w:line="320" w:lineRule="exact"/>
              <w:ind w:firstLine="0" w:firstLineChars="0"/>
              <w:textAlignment w:val="center"/>
              <w:rPr>
                <w:rFonts w:hint="eastAsia" w:ascii="宋体" w:hAnsi="宋体" w:eastAsia="宋体" w:cs="宋体"/>
                <w:kern w:val="0"/>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4E95292D">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保障本单位承担的教育教学任务顺利完成。</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7CADE42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保障本单位承担的教育教学任务顺利完成。</w:t>
            </w:r>
          </w:p>
        </w:tc>
      </w:tr>
      <w:tr w14:paraId="4D028CB8">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66061E6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49FFA961">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一级</w:t>
            </w:r>
          </w:p>
          <w:p w14:paraId="461DF789">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9E63">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二级</w:t>
            </w:r>
          </w:p>
          <w:p w14:paraId="29B2F66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2E9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三级</w:t>
            </w:r>
          </w:p>
          <w:p w14:paraId="1E6E0421">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FB6">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8659">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实际完成指标值</w:t>
            </w:r>
          </w:p>
        </w:tc>
      </w:tr>
      <w:tr w14:paraId="41CB5CCE">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73338F66">
            <w:pPr>
              <w:widowControl/>
              <w:spacing w:line="320" w:lineRule="exact"/>
              <w:ind w:firstLine="0" w:firstLineChars="0"/>
              <w:textAlignment w:val="center"/>
              <w:rPr>
                <w:rFonts w:hint="eastAsia" w:ascii="宋体" w:hAnsi="宋体" w:eastAsia="宋体" w:cs="宋体"/>
                <w:kern w:val="0"/>
                <w:sz w:val="24"/>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14:paraId="7D1A8EE2">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完成</w:t>
            </w:r>
          </w:p>
          <w:p w14:paraId="30517AC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635" w:type="dxa"/>
            <w:vMerge w:val="restart"/>
            <w:tcBorders>
              <w:top w:val="single" w:color="000000" w:sz="4" w:space="0"/>
              <w:left w:val="single" w:color="000000" w:sz="4" w:space="0"/>
              <w:right w:val="single" w:color="000000" w:sz="4" w:space="0"/>
            </w:tcBorders>
            <w:shd w:val="clear" w:color="auto" w:fill="auto"/>
            <w:vAlign w:val="bottom"/>
          </w:tcPr>
          <w:p w14:paraId="14D9B048">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1DE9D">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市内学生、教师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AE715">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惠及10余万人次的攀枝花市中小学生及其家庭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84A0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惠及10余万人次的攀枝花市中小学生及其家庭</w:t>
            </w:r>
          </w:p>
        </w:tc>
      </w:tr>
      <w:tr w14:paraId="1FE77DAC">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325C926D">
            <w:pPr>
              <w:spacing w:line="320" w:lineRule="exact"/>
              <w:ind w:firstLine="560"/>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14:paraId="421D71F4">
            <w:pPr>
              <w:widowControl/>
              <w:spacing w:line="320" w:lineRule="exact"/>
              <w:ind w:firstLine="0" w:firstLineChars="0"/>
              <w:textAlignment w:val="bottom"/>
              <w:rPr>
                <w:rFonts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14:paraId="64794645">
            <w:pPr>
              <w:widowControl/>
              <w:spacing w:line="320" w:lineRule="exact"/>
              <w:ind w:firstLine="0" w:firstLineChars="0"/>
              <w:textAlignment w:val="center"/>
              <w:rPr>
                <w:rFonts w:hint="eastAsia" w:ascii="宋体" w:hAnsi="宋体" w:eastAsia="宋体" w:cs="宋体"/>
                <w:kern w:val="0"/>
                <w:sz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3E248">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参与命题与监测的教师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FD22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提高200余位命题教研员和命题教师的水平，引导全市20000余位中小学教师的教学。</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4E9E8">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提高200余位命题教研员和命题教师的水平，引导全市20000余位中小学教师的教学。</w:t>
            </w:r>
          </w:p>
        </w:tc>
      </w:tr>
      <w:tr w14:paraId="00057AE2">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421D3845">
            <w:pPr>
              <w:spacing w:line="320" w:lineRule="exact"/>
              <w:ind w:firstLine="560"/>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14:paraId="14B5A8F4">
            <w:pPr>
              <w:spacing w:line="320" w:lineRule="exact"/>
              <w:ind w:firstLine="560"/>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98A3A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1713D">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完成各项工作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5DD5D">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圆满完成各项工作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83032">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圆满完成各项工作</w:t>
            </w:r>
          </w:p>
        </w:tc>
      </w:tr>
      <w:tr w14:paraId="1A39F2A0">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319AE7F5">
            <w:pPr>
              <w:spacing w:line="320" w:lineRule="exact"/>
              <w:ind w:firstLine="560"/>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14:paraId="761D5686">
            <w:pPr>
              <w:spacing w:line="320" w:lineRule="exact"/>
              <w:ind w:firstLine="560"/>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41F13">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AA576">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项目完成时间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1B18A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2021年12月31日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4C98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2021年12月31日</w:t>
            </w:r>
          </w:p>
        </w:tc>
      </w:tr>
      <w:tr w14:paraId="1FEB7FC0">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24AB8EC0">
            <w:pPr>
              <w:spacing w:line="320" w:lineRule="exact"/>
              <w:ind w:firstLine="560"/>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14:paraId="0E620840">
            <w:pPr>
              <w:spacing w:line="320" w:lineRule="exact"/>
              <w:ind w:firstLine="560"/>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8DD69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F4CBF0">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预算经费指标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A467D">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69万元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90916">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69万元</w:t>
            </w:r>
          </w:p>
        </w:tc>
      </w:tr>
      <w:tr w14:paraId="4F5E9941">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3117BCFD">
            <w:pPr>
              <w:spacing w:line="320" w:lineRule="exact"/>
              <w:ind w:firstLine="560"/>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14:paraId="5E505F80">
            <w:pPr>
              <w:spacing w:line="320" w:lineRule="exact"/>
              <w:ind w:firstLine="560"/>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7F4B5">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E670C">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促进教育事业发展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747D3">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提升全市基础教育教学质量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4CF1B">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提升全市基础教育教学质量，提高学生中高考升学率</w:t>
            </w:r>
          </w:p>
        </w:tc>
      </w:tr>
      <w:tr w14:paraId="16010BEC">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41A4C9A7">
            <w:pPr>
              <w:spacing w:line="320" w:lineRule="exact"/>
              <w:ind w:firstLine="560"/>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14:paraId="0659A1BD">
            <w:pPr>
              <w:spacing w:line="320" w:lineRule="exact"/>
              <w:ind w:firstLine="560"/>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72C33">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F25C67">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全市基础教育教学质量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E830F2">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不断提升全市基础教育教学质量，提高对周边省市的辐射力和影响力。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187F4">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不断提升全市基础教育教学质量，提高对周边省市的辐射力和影响力。</w:t>
            </w:r>
          </w:p>
        </w:tc>
      </w:tr>
      <w:tr w14:paraId="129D8D86">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3EC21549">
            <w:pPr>
              <w:spacing w:line="320" w:lineRule="exact"/>
              <w:ind w:firstLine="560"/>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825DAB">
            <w:pPr>
              <w:widowControl/>
              <w:spacing w:line="320" w:lineRule="exact"/>
              <w:ind w:firstLine="0" w:firstLineChars="0"/>
              <w:textAlignment w:val="bottom"/>
              <w:rPr>
                <w:rFonts w:ascii="仿宋_GB2312" w:hAnsi="仿宋_GB2312" w:eastAsia="仿宋_GB2312" w:cs="仿宋_GB2312"/>
                <w:sz w:val="28"/>
                <w:szCs w:val="28"/>
              </w:rPr>
            </w:pPr>
            <w:r>
              <w:rPr>
                <w:rFonts w:hint="eastAsia" w:ascii="宋体" w:hAnsi="宋体" w:eastAsia="宋体" w:cs="宋体"/>
                <w:kern w:val="0"/>
                <w:sz w:val="24"/>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C88B9">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满意度</w:t>
            </w:r>
          </w:p>
          <w:p w14:paraId="4FDD9CFC">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D271A1">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学生及家长</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4265E">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80</w:t>
            </w:r>
            <w:r>
              <w:rPr>
                <w:rFonts w:hint="eastAsia" w:ascii="宋体" w:hAnsi="宋体" w:eastAsia="宋体" w:cs="宋体"/>
                <w:kern w:val="0"/>
                <w:sz w:val="24"/>
              </w:rPr>
              <w:t>%</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AA88EC">
            <w:pPr>
              <w:widowControl/>
              <w:spacing w:line="320" w:lineRule="exact"/>
              <w:ind w:firstLine="0" w:firstLineChars="0"/>
              <w:textAlignment w:val="center"/>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8</w:t>
            </w:r>
            <w:r>
              <w:rPr>
                <w:rFonts w:hint="eastAsia" w:ascii="宋体" w:hAnsi="宋体" w:eastAsia="宋体" w:cs="宋体"/>
                <w:kern w:val="0"/>
                <w:sz w:val="24"/>
              </w:rPr>
              <w:t>0%</w:t>
            </w:r>
          </w:p>
        </w:tc>
      </w:tr>
    </w:tbl>
    <w:p w14:paraId="344EE338">
      <w:pPr>
        <w:spacing w:line="600" w:lineRule="exact"/>
        <w:ind w:firstLine="880"/>
        <w:jc w:val="center"/>
        <w:outlineLvl w:val="0"/>
        <w:rPr>
          <w:rFonts w:ascii="黑体" w:hAnsi="黑体" w:eastAsia="黑体"/>
          <w:sz w:val="44"/>
          <w:szCs w:val="44"/>
        </w:rPr>
      </w:pPr>
    </w:p>
    <w:p w14:paraId="461BF0EF">
      <w:pPr>
        <w:pStyle w:val="3"/>
        <w:rPr>
          <w:rFonts w:ascii="仿宋" w:hAnsi="仿宋"/>
        </w:rPr>
      </w:pPr>
      <w:bookmarkStart w:id="136" w:name="_Toc21498"/>
      <w:bookmarkStart w:id="137" w:name="_Toc23687"/>
      <w:bookmarkStart w:id="138" w:name="_Toc18102"/>
      <w:r>
        <w:rPr>
          <w:rFonts w:hint="eastAsia"/>
        </w:rPr>
        <w:t>第五部分 附表</w:t>
      </w:r>
      <w:bookmarkEnd w:id="124"/>
      <w:bookmarkEnd w:id="130"/>
      <w:bookmarkEnd w:id="136"/>
      <w:bookmarkEnd w:id="137"/>
      <w:bookmarkEnd w:id="138"/>
      <w:bookmarkStart w:id="139" w:name="_Toc15396619"/>
    </w:p>
    <w:p w14:paraId="601258EF">
      <w:pPr>
        <w:pStyle w:val="4"/>
      </w:pPr>
      <w:bookmarkStart w:id="140" w:name="_Toc22052"/>
      <w:bookmarkStart w:id="141" w:name="_Toc29808"/>
      <w:bookmarkStart w:id="142" w:name="_Toc19993"/>
      <w:r>
        <w:rPr>
          <w:rStyle w:val="25"/>
          <w:rFonts w:hint="eastAsia" w:ascii="仿宋" w:hAnsi="仿宋" w:eastAsia="仿宋"/>
        </w:rPr>
        <w:t>一、收入支出决算总表</w:t>
      </w:r>
      <w:bookmarkEnd w:id="139"/>
      <w:bookmarkEnd w:id="140"/>
      <w:bookmarkEnd w:id="141"/>
      <w:bookmarkEnd w:id="142"/>
    </w:p>
    <w:p w14:paraId="50FAE318">
      <w:pPr>
        <w:pStyle w:val="4"/>
      </w:pPr>
      <w:bookmarkStart w:id="143" w:name="_Toc15396620"/>
      <w:bookmarkStart w:id="144" w:name="_Toc21491"/>
      <w:bookmarkStart w:id="145" w:name="_Toc7129"/>
      <w:bookmarkStart w:id="146" w:name="_Toc24473"/>
      <w:r>
        <w:rPr>
          <w:rStyle w:val="25"/>
          <w:rFonts w:hint="eastAsia" w:ascii="仿宋" w:hAnsi="仿宋" w:eastAsia="仿宋"/>
        </w:rPr>
        <w:t>二、收入决算表</w:t>
      </w:r>
      <w:bookmarkEnd w:id="143"/>
      <w:bookmarkEnd w:id="144"/>
      <w:bookmarkEnd w:id="145"/>
      <w:bookmarkEnd w:id="146"/>
    </w:p>
    <w:p w14:paraId="7662B3A5">
      <w:pPr>
        <w:pStyle w:val="4"/>
        <w:rPr>
          <w:rStyle w:val="25"/>
          <w:rFonts w:ascii="仿宋" w:hAnsi="仿宋" w:eastAsia="仿宋"/>
        </w:rPr>
      </w:pPr>
      <w:bookmarkStart w:id="147" w:name="_Toc6162"/>
      <w:bookmarkStart w:id="148" w:name="_Toc16786"/>
      <w:bookmarkStart w:id="149" w:name="_Toc8611"/>
      <w:bookmarkStart w:id="150" w:name="_Toc15396621"/>
      <w:r>
        <w:rPr>
          <w:rStyle w:val="25"/>
          <w:rFonts w:hint="eastAsia" w:ascii="仿宋" w:hAnsi="仿宋" w:eastAsia="仿宋"/>
        </w:rPr>
        <w:t>三、支出决算表</w:t>
      </w:r>
      <w:bookmarkEnd w:id="147"/>
      <w:bookmarkEnd w:id="148"/>
      <w:bookmarkEnd w:id="149"/>
      <w:bookmarkEnd w:id="150"/>
    </w:p>
    <w:p w14:paraId="21949409">
      <w:pPr>
        <w:pStyle w:val="4"/>
        <w:rPr>
          <w:rStyle w:val="25"/>
          <w:rFonts w:ascii="仿宋" w:hAnsi="仿宋" w:eastAsia="仿宋"/>
        </w:rPr>
      </w:pPr>
      <w:bookmarkStart w:id="151" w:name="_Toc15396622"/>
      <w:bookmarkStart w:id="152" w:name="_Toc10179"/>
      <w:bookmarkStart w:id="153" w:name="_Toc32741"/>
      <w:bookmarkStart w:id="154" w:name="_Toc15344"/>
      <w:r>
        <w:rPr>
          <w:rStyle w:val="25"/>
          <w:rFonts w:hint="eastAsia" w:ascii="仿宋" w:hAnsi="仿宋" w:eastAsia="仿宋"/>
        </w:rPr>
        <w:t>四、财政拨款收入支出决算总表</w:t>
      </w:r>
      <w:bookmarkEnd w:id="151"/>
      <w:bookmarkEnd w:id="152"/>
      <w:bookmarkEnd w:id="153"/>
      <w:bookmarkEnd w:id="154"/>
    </w:p>
    <w:p w14:paraId="7E166885">
      <w:pPr>
        <w:pStyle w:val="4"/>
        <w:rPr>
          <w:rStyle w:val="25"/>
          <w:rFonts w:ascii="仿宋" w:hAnsi="仿宋" w:eastAsia="仿宋"/>
        </w:rPr>
      </w:pPr>
      <w:bookmarkStart w:id="155" w:name="_Toc15396623"/>
      <w:bookmarkStart w:id="156" w:name="_Toc31604"/>
      <w:bookmarkStart w:id="157" w:name="_Toc11053"/>
      <w:bookmarkStart w:id="158" w:name="_Toc27622"/>
      <w:r>
        <w:rPr>
          <w:rStyle w:val="25"/>
          <w:rFonts w:hint="eastAsia" w:ascii="仿宋" w:hAnsi="仿宋" w:eastAsia="仿宋"/>
        </w:rPr>
        <w:t>五、财政拨款支出决算明细表</w:t>
      </w:r>
      <w:bookmarkEnd w:id="155"/>
      <w:bookmarkEnd w:id="156"/>
      <w:bookmarkEnd w:id="157"/>
      <w:bookmarkEnd w:id="158"/>
      <w:bookmarkStart w:id="159" w:name="_Toc15396624"/>
    </w:p>
    <w:p w14:paraId="6BE59CBE">
      <w:pPr>
        <w:pStyle w:val="4"/>
      </w:pPr>
      <w:bookmarkStart w:id="160" w:name="_Toc29505"/>
      <w:bookmarkStart w:id="161" w:name="_Toc22618"/>
      <w:bookmarkStart w:id="162" w:name="_Toc16127"/>
      <w:r>
        <w:rPr>
          <w:rStyle w:val="25"/>
          <w:rFonts w:hint="eastAsia" w:ascii="仿宋" w:hAnsi="仿宋" w:eastAsia="仿宋"/>
        </w:rPr>
        <w:t>六、一般公共预算财政拨款支出决算表</w:t>
      </w:r>
      <w:bookmarkEnd w:id="159"/>
      <w:bookmarkEnd w:id="160"/>
      <w:bookmarkEnd w:id="161"/>
      <w:bookmarkEnd w:id="162"/>
    </w:p>
    <w:p w14:paraId="0F2A57AD">
      <w:pPr>
        <w:pStyle w:val="4"/>
        <w:rPr>
          <w:rStyle w:val="25"/>
          <w:rFonts w:ascii="仿宋" w:hAnsi="仿宋" w:eastAsia="仿宋"/>
        </w:rPr>
      </w:pPr>
      <w:bookmarkStart w:id="163" w:name="_Toc15396625"/>
      <w:bookmarkStart w:id="164" w:name="_Toc25134"/>
      <w:bookmarkStart w:id="165" w:name="_Toc54"/>
      <w:bookmarkStart w:id="166" w:name="_Toc15284"/>
      <w:r>
        <w:rPr>
          <w:rStyle w:val="25"/>
          <w:rFonts w:hint="eastAsia" w:ascii="仿宋" w:hAnsi="仿宋" w:eastAsia="仿宋"/>
        </w:rPr>
        <w:t>七、一般公共预算财政拨款支出决算明细表</w:t>
      </w:r>
      <w:bookmarkEnd w:id="163"/>
      <w:bookmarkEnd w:id="164"/>
      <w:bookmarkEnd w:id="165"/>
      <w:bookmarkEnd w:id="166"/>
    </w:p>
    <w:p w14:paraId="57E041DF">
      <w:pPr>
        <w:pStyle w:val="4"/>
        <w:rPr>
          <w:rStyle w:val="25"/>
          <w:rFonts w:ascii="仿宋" w:hAnsi="仿宋" w:eastAsia="仿宋"/>
        </w:rPr>
      </w:pPr>
      <w:bookmarkStart w:id="167" w:name="_Toc15396626"/>
      <w:bookmarkStart w:id="168" w:name="_Toc17820"/>
      <w:bookmarkStart w:id="169" w:name="_Toc1320"/>
      <w:bookmarkStart w:id="170" w:name="_Toc18119"/>
      <w:r>
        <w:rPr>
          <w:rStyle w:val="25"/>
          <w:rFonts w:hint="eastAsia" w:ascii="仿宋" w:hAnsi="仿宋" w:eastAsia="仿宋"/>
        </w:rPr>
        <w:t>八、一般公共预算财政拨款基本支出决算表</w:t>
      </w:r>
      <w:bookmarkEnd w:id="167"/>
      <w:bookmarkEnd w:id="168"/>
      <w:bookmarkEnd w:id="169"/>
      <w:bookmarkEnd w:id="170"/>
    </w:p>
    <w:p w14:paraId="7C817AD2">
      <w:pPr>
        <w:pStyle w:val="4"/>
        <w:rPr>
          <w:rStyle w:val="25"/>
          <w:rFonts w:ascii="仿宋" w:hAnsi="仿宋" w:eastAsia="仿宋"/>
        </w:rPr>
      </w:pPr>
      <w:bookmarkStart w:id="171" w:name="_Toc15396627"/>
      <w:bookmarkStart w:id="172" w:name="_Toc12573"/>
      <w:bookmarkStart w:id="173" w:name="_Toc8366"/>
      <w:bookmarkStart w:id="174" w:name="_Toc14440"/>
      <w:r>
        <w:rPr>
          <w:rStyle w:val="25"/>
          <w:rFonts w:hint="eastAsia" w:ascii="仿宋" w:hAnsi="仿宋" w:eastAsia="仿宋"/>
        </w:rPr>
        <w:t>九、一般公共预算财政拨款项目支出决算表</w:t>
      </w:r>
      <w:bookmarkEnd w:id="171"/>
      <w:bookmarkEnd w:id="172"/>
      <w:bookmarkEnd w:id="173"/>
      <w:bookmarkEnd w:id="174"/>
    </w:p>
    <w:p w14:paraId="6B666B47">
      <w:pPr>
        <w:pStyle w:val="4"/>
        <w:rPr>
          <w:rStyle w:val="25"/>
          <w:rFonts w:ascii="仿宋" w:hAnsi="仿宋" w:eastAsia="仿宋"/>
        </w:rPr>
      </w:pPr>
      <w:bookmarkStart w:id="175" w:name="_Toc15396628"/>
      <w:bookmarkStart w:id="176" w:name="_Toc31209"/>
      <w:bookmarkStart w:id="177" w:name="_Toc12092"/>
      <w:bookmarkStart w:id="178" w:name="_Toc10158"/>
      <w:r>
        <w:rPr>
          <w:rStyle w:val="25"/>
          <w:rFonts w:hint="eastAsia" w:ascii="仿宋" w:hAnsi="仿宋" w:eastAsia="仿宋"/>
        </w:rPr>
        <w:t>十、一般公共预算财政拨款“三公”经费支出决算表</w:t>
      </w:r>
      <w:bookmarkEnd w:id="175"/>
      <w:bookmarkEnd w:id="176"/>
      <w:bookmarkEnd w:id="177"/>
      <w:bookmarkEnd w:id="178"/>
    </w:p>
    <w:p w14:paraId="0F40EFDC">
      <w:pPr>
        <w:pStyle w:val="4"/>
        <w:rPr>
          <w:rStyle w:val="25"/>
          <w:rFonts w:ascii="仿宋" w:hAnsi="仿宋" w:eastAsia="仿宋"/>
        </w:rPr>
      </w:pPr>
      <w:bookmarkStart w:id="179" w:name="_Toc15396629"/>
      <w:bookmarkStart w:id="180" w:name="_Toc22412"/>
      <w:bookmarkStart w:id="181" w:name="_Toc32670"/>
      <w:bookmarkStart w:id="182" w:name="_Toc22350"/>
      <w:r>
        <w:rPr>
          <w:rStyle w:val="25"/>
          <w:rFonts w:hint="eastAsia" w:ascii="仿宋" w:hAnsi="仿宋" w:eastAsia="仿宋"/>
        </w:rPr>
        <w:t>十一、政府性基金预算财政拨款收入支出决算表</w:t>
      </w:r>
      <w:bookmarkEnd w:id="179"/>
      <w:r>
        <w:rPr>
          <w:rStyle w:val="25"/>
          <w:rFonts w:hint="eastAsia" w:ascii="仿宋" w:hAnsi="仿宋" w:eastAsia="仿宋"/>
        </w:rPr>
        <w:t>（此表无数据）</w:t>
      </w:r>
      <w:bookmarkEnd w:id="180"/>
      <w:bookmarkEnd w:id="181"/>
      <w:bookmarkEnd w:id="182"/>
    </w:p>
    <w:p w14:paraId="339E6116">
      <w:pPr>
        <w:pStyle w:val="4"/>
        <w:rPr>
          <w:rStyle w:val="25"/>
          <w:rFonts w:ascii="仿宋" w:hAnsi="仿宋" w:eastAsia="仿宋"/>
        </w:rPr>
      </w:pPr>
      <w:bookmarkStart w:id="183" w:name="_Toc15396630"/>
      <w:bookmarkStart w:id="184" w:name="_Toc18622"/>
      <w:bookmarkStart w:id="185" w:name="_Toc31747"/>
      <w:bookmarkStart w:id="186" w:name="_Toc12870"/>
      <w:r>
        <w:rPr>
          <w:rStyle w:val="25"/>
          <w:rFonts w:hint="eastAsia" w:ascii="仿宋" w:hAnsi="仿宋" w:eastAsia="仿宋"/>
        </w:rPr>
        <w:t>十二、政府性基金预算财政拨款“三公”经费支出决算表</w:t>
      </w:r>
      <w:bookmarkEnd w:id="183"/>
      <w:r>
        <w:rPr>
          <w:rStyle w:val="25"/>
          <w:rFonts w:hint="eastAsia" w:ascii="仿宋" w:hAnsi="仿宋" w:eastAsia="仿宋"/>
        </w:rPr>
        <w:t>（此表无数据）</w:t>
      </w:r>
      <w:bookmarkEnd w:id="184"/>
      <w:bookmarkEnd w:id="185"/>
      <w:bookmarkEnd w:id="186"/>
    </w:p>
    <w:p w14:paraId="7176080D">
      <w:pPr>
        <w:pStyle w:val="4"/>
        <w:rPr>
          <w:rStyle w:val="25"/>
          <w:rFonts w:ascii="仿宋" w:hAnsi="仿宋" w:eastAsia="仿宋"/>
        </w:rPr>
      </w:pPr>
      <w:bookmarkStart w:id="187" w:name="_Toc15396631"/>
      <w:bookmarkStart w:id="188" w:name="_Toc69"/>
      <w:bookmarkStart w:id="189" w:name="_Toc22821"/>
      <w:bookmarkStart w:id="190" w:name="_Toc32072"/>
      <w:r>
        <w:rPr>
          <w:rStyle w:val="25"/>
          <w:rFonts w:hint="eastAsia" w:ascii="仿宋" w:hAnsi="仿宋" w:eastAsia="仿宋"/>
        </w:rPr>
        <w:t>十三、国有资本经营预算财政拨款收入支出决算表</w:t>
      </w:r>
      <w:bookmarkEnd w:id="187"/>
      <w:r>
        <w:rPr>
          <w:rStyle w:val="25"/>
          <w:rFonts w:hint="eastAsia" w:ascii="仿宋" w:hAnsi="仿宋" w:eastAsia="仿宋"/>
        </w:rPr>
        <w:t>（此表无数据）</w:t>
      </w:r>
      <w:bookmarkEnd w:id="188"/>
      <w:bookmarkEnd w:id="189"/>
      <w:bookmarkEnd w:id="190"/>
    </w:p>
    <w:p w14:paraId="2A8CA1FA">
      <w:pPr>
        <w:ind w:firstLine="640"/>
        <w:rPr>
          <w:rStyle w:val="25"/>
          <w:rFonts w:ascii="仿宋" w:hAnsi="仿宋" w:eastAsia="仿宋"/>
        </w:rPr>
      </w:pPr>
      <w:bookmarkStart w:id="191" w:name="_Toc31752"/>
      <w:bookmarkStart w:id="192" w:name="_Toc14842"/>
      <w:bookmarkStart w:id="193" w:name="_Toc31798"/>
      <w:r>
        <w:rPr>
          <w:rStyle w:val="25"/>
          <w:rFonts w:hint="eastAsia" w:ascii="仿宋" w:hAnsi="仿宋" w:eastAsia="仿宋"/>
        </w:rPr>
        <w:t>十四、国有资本经营预算财政拨款支出决算表（此表无数据）</w:t>
      </w:r>
    </w:p>
    <w:bookmarkEnd w:id="191"/>
    <w:bookmarkEnd w:id="192"/>
    <w:bookmarkEnd w:id="193"/>
    <w:sectPr>
      <w:footerReference r:id="rId9" w:type="first"/>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A4D5">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70D32">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24B4364">
        <w:pPr>
          <w:pStyle w:val="8"/>
          <w:ind w:firstLine="360"/>
          <w:jc w:val="center"/>
        </w:pPr>
        <w:r>
          <w:fldChar w:fldCharType="begin"/>
        </w:r>
        <w:r>
          <w:instrText xml:space="preserve">PAGE   \* MERGEFORMAT</w:instrText>
        </w:r>
        <w:r>
          <w:fldChar w:fldCharType="separate"/>
        </w:r>
        <w:r>
          <w:rPr>
            <w:lang w:val="zh-CN"/>
          </w:rPr>
          <w:t>10</w:t>
        </w:r>
        <w:r>
          <w:rPr>
            <w:lang w:val="zh-CN"/>
          </w:rPr>
          <w:fldChar w:fldCharType="end"/>
        </w:r>
      </w:p>
    </w:sdtContent>
  </w:sdt>
  <w:p w14:paraId="3A053786">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DE16">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099D">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iNmY5NzM0MTEwNDEwNWY2ZWY1YWM3NTlhMjYyNWYifQ=="/>
  </w:docVars>
  <w:rsids>
    <w:rsidRoot w:val="00F1361C"/>
    <w:rsid w:val="00021461"/>
    <w:rsid w:val="000222C6"/>
    <w:rsid w:val="0002549F"/>
    <w:rsid w:val="00026581"/>
    <w:rsid w:val="00033A59"/>
    <w:rsid w:val="000468DB"/>
    <w:rsid w:val="0006487A"/>
    <w:rsid w:val="00065F8F"/>
    <w:rsid w:val="00070A43"/>
    <w:rsid w:val="000768F2"/>
    <w:rsid w:val="000800E9"/>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0006"/>
    <w:rsid w:val="001C0962"/>
    <w:rsid w:val="001D537E"/>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1C01"/>
    <w:rsid w:val="002F1818"/>
    <w:rsid w:val="002F567B"/>
    <w:rsid w:val="003216A9"/>
    <w:rsid w:val="00335A74"/>
    <w:rsid w:val="0036561B"/>
    <w:rsid w:val="0037013F"/>
    <w:rsid w:val="00380C92"/>
    <w:rsid w:val="003A36E6"/>
    <w:rsid w:val="003A484F"/>
    <w:rsid w:val="003A4883"/>
    <w:rsid w:val="003B0BE0"/>
    <w:rsid w:val="003B0C1B"/>
    <w:rsid w:val="003B688C"/>
    <w:rsid w:val="003C0291"/>
    <w:rsid w:val="003C39AE"/>
    <w:rsid w:val="003C7B60"/>
    <w:rsid w:val="003D0C0F"/>
    <w:rsid w:val="003D1FB2"/>
    <w:rsid w:val="003D66DA"/>
    <w:rsid w:val="003E1310"/>
    <w:rsid w:val="003E6F55"/>
    <w:rsid w:val="003F3872"/>
    <w:rsid w:val="00406254"/>
    <w:rsid w:val="0040651F"/>
    <w:rsid w:val="004156AA"/>
    <w:rsid w:val="004223DE"/>
    <w:rsid w:val="004319AE"/>
    <w:rsid w:val="00434489"/>
    <w:rsid w:val="00437085"/>
    <w:rsid w:val="00443880"/>
    <w:rsid w:val="004464F4"/>
    <w:rsid w:val="00471401"/>
    <w:rsid w:val="00473F31"/>
    <w:rsid w:val="0048263A"/>
    <w:rsid w:val="00487E5D"/>
    <w:rsid w:val="004A711F"/>
    <w:rsid w:val="004B199D"/>
    <w:rsid w:val="004B4690"/>
    <w:rsid w:val="004C0879"/>
    <w:rsid w:val="004D4BC5"/>
    <w:rsid w:val="004E0A2D"/>
    <w:rsid w:val="004E206B"/>
    <w:rsid w:val="004E6DF7"/>
    <w:rsid w:val="004F0FBD"/>
    <w:rsid w:val="00505A47"/>
    <w:rsid w:val="00512FDA"/>
    <w:rsid w:val="00520DA0"/>
    <w:rsid w:val="00556F19"/>
    <w:rsid w:val="005664BB"/>
    <w:rsid w:val="00566772"/>
    <w:rsid w:val="00566FFA"/>
    <w:rsid w:val="00571898"/>
    <w:rsid w:val="0057481D"/>
    <w:rsid w:val="0058130A"/>
    <w:rsid w:val="0058486E"/>
    <w:rsid w:val="00585B33"/>
    <w:rsid w:val="0059014D"/>
    <w:rsid w:val="00595F87"/>
    <w:rsid w:val="005B5C64"/>
    <w:rsid w:val="005C5337"/>
    <w:rsid w:val="005C6BD0"/>
    <w:rsid w:val="005D1C8B"/>
    <w:rsid w:val="005D468D"/>
    <w:rsid w:val="005D5CED"/>
    <w:rsid w:val="005E6C7B"/>
    <w:rsid w:val="005F1A4C"/>
    <w:rsid w:val="00605688"/>
    <w:rsid w:val="006070AF"/>
    <w:rsid w:val="00607E6C"/>
    <w:rsid w:val="006101B1"/>
    <w:rsid w:val="00614E44"/>
    <w:rsid w:val="0062270A"/>
    <w:rsid w:val="00622830"/>
    <w:rsid w:val="00623DA0"/>
    <w:rsid w:val="00630AEF"/>
    <w:rsid w:val="006325F8"/>
    <w:rsid w:val="00633463"/>
    <w:rsid w:val="00634C9A"/>
    <w:rsid w:val="00641E64"/>
    <w:rsid w:val="006440E4"/>
    <w:rsid w:val="0066343B"/>
    <w:rsid w:val="00664777"/>
    <w:rsid w:val="006748A4"/>
    <w:rsid w:val="00681A31"/>
    <w:rsid w:val="00683E73"/>
    <w:rsid w:val="00684E27"/>
    <w:rsid w:val="006A3141"/>
    <w:rsid w:val="006A5E34"/>
    <w:rsid w:val="006B2422"/>
    <w:rsid w:val="006B2B9A"/>
    <w:rsid w:val="006C1937"/>
    <w:rsid w:val="006C49CF"/>
    <w:rsid w:val="006F020C"/>
    <w:rsid w:val="007127B7"/>
    <w:rsid w:val="0071798E"/>
    <w:rsid w:val="007416B6"/>
    <w:rsid w:val="00743474"/>
    <w:rsid w:val="00746F48"/>
    <w:rsid w:val="0075404D"/>
    <w:rsid w:val="0076182A"/>
    <w:rsid w:val="00767B7E"/>
    <w:rsid w:val="007770C3"/>
    <w:rsid w:val="0078260A"/>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10A1"/>
    <w:rsid w:val="008939CD"/>
    <w:rsid w:val="008A488D"/>
    <w:rsid w:val="008B4D64"/>
    <w:rsid w:val="008B66D6"/>
    <w:rsid w:val="008B768C"/>
    <w:rsid w:val="008C4DB1"/>
    <w:rsid w:val="008C4EAF"/>
    <w:rsid w:val="008C5176"/>
    <w:rsid w:val="008C7FD0"/>
    <w:rsid w:val="008E1DE7"/>
    <w:rsid w:val="008E707C"/>
    <w:rsid w:val="008F6E5E"/>
    <w:rsid w:val="00900B08"/>
    <w:rsid w:val="00902155"/>
    <w:rsid w:val="00902FA3"/>
    <w:rsid w:val="00914244"/>
    <w:rsid w:val="00923564"/>
    <w:rsid w:val="0092392E"/>
    <w:rsid w:val="009315F9"/>
    <w:rsid w:val="00933499"/>
    <w:rsid w:val="00935C98"/>
    <w:rsid w:val="00942C83"/>
    <w:rsid w:val="00946945"/>
    <w:rsid w:val="00951248"/>
    <w:rsid w:val="0095152F"/>
    <w:rsid w:val="00954C49"/>
    <w:rsid w:val="00955E37"/>
    <w:rsid w:val="00955EA5"/>
    <w:rsid w:val="0097099F"/>
    <w:rsid w:val="00971997"/>
    <w:rsid w:val="00971FFC"/>
    <w:rsid w:val="00977A2A"/>
    <w:rsid w:val="0098660A"/>
    <w:rsid w:val="009931C3"/>
    <w:rsid w:val="009B2C43"/>
    <w:rsid w:val="009B4EAE"/>
    <w:rsid w:val="009B7573"/>
    <w:rsid w:val="009C22F4"/>
    <w:rsid w:val="009C2A4B"/>
    <w:rsid w:val="009C2E98"/>
    <w:rsid w:val="009C2EEE"/>
    <w:rsid w:val="009D3447"/>
    <w:rsid w:val="009D4711"/>
    <w:rsid w:val="009E2F09"/>
    <w:rsid w:val="009F1185"/>
    <w:rsid w:val="009F18CD"/>
    <w:rsid w:val="009F2A13"/>
    <w:rsid w:val="009F7527"/>
    <w:rsid w:val="00A02DE5"/>
    <w:rsid w:val="00A04EB0"/>
    <w:rsid w:val="00A13CC1"/>
    <w:rsid w:val="00A16847"/>
    <w:rsid w:val="00A237D8"/>
    <w:rsid w:val="00A268C4"/>
    <w:rsid w:val="00A307CD"/>
    <w:rsid w:val="00A331C8"/>
    <w:rsid w:val="00A40A00"/>
    <w:rsid w:val="00A4142F"/>
    <w:rsid w:val="00A422EB"/>
    <w:rsid w:val="00A45BB7"/>
    <w:rsid w:val="00A56DF2"/>
    <w:rsid w:val="00A56E6E"/>
    <w:rsid w:val="00A64270"/>
    <w:rsid w:val="00A67AB5"/>
    <w:rsid w:val="00A733B2"/>
    <w:rsid w:val="00A741C2"/>
    <w:rsid w:val="00A91760"/>
    <w:rsid w:val="00A93B00"/>
    <w:rsid w:val="00A93C21"/>
    <w:rsid w:val="00AB3945"/>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60A4"/>
    <w:rsid w:val="00B944D6"/>
    <w:rsid w:val="00B96A32"/>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43CE"/>
    <w:rsid w:val="00C65438"/>
    <w:rsid w:val="00C87FD8"/>
    <w:rsid w:val="00C91381"/>
    <w:rsid w:val="00C91CBB"/>
    <w:rsid w:val="00CA6857"/>
    <w:rsid w:val="00CB4E70"/>
    <w:rsid w:val="00CC09B6"/>
    <w:rsid w:val="00CC666F"/>
    <w:rsid w:val="00CD1E3F"/>
    <w:rsid w:val="00CE44F6"/>
    <w:rsid w:val="00CE49DA"/>
    <w:rsid w:val="00CE7B61"/>
    <w:rsid w:val="00D00095"/>
    <w:rsid w:val="00D0499D"/>
    <w:rsid w:val="00D114F0"/>
    <w:rsid w:val="00D20620"/>
    <w:rsid w:val="00D23873"/>
    <w:rsid w:val="00D254F7"/>
    <w:rsid w:val="00D26091"/>
    <w:rsid w:val="00D2685C"/>
    <w:rsid w:val="00D34E7C"/>
    <w:rsid w:val="00D35327"/>
    <w:rsid w:val="00D35489"/>
    <w:rsid w:val="00D36AFE"/>
    <w:rsid w:val="00D51276"/>
    <w:rsid w:val="00D7035F"/>
    <w:rsid w:val="00D871BD"/>
    <w:rsid w:val="00D91935"/>
    <w:rsid w:val="00DA634F"/>
    <w:rsid w:val="00DA65AC"/>
    <w:rsid w:val="00DB1068"/>
    <w:rsid w:val="00DB1913"/>
    <w:rsid w:val="00DC410D"/>
    <w:rsid w:val="00DC5A81"/>
    <w:rsid w:val="00DC68CA"/>
    <w:rsid w:val="00DC7CBA"/>
    <w:rsid w:val="00DD73B7"/>
    <w:rsid w:val="00DE63E9"/>
    <w:rsid w:val="00DF28BC"/>
    <w:rsid w:val="00DF34B9"/>
    <w:rsid w:val="00E01053"/>
    <w:rsid w:val="00E01419"/>
    <w:rsid w:val="00E07ACF"/>
    <w:rsid w:val="00E23755"/>
    <w:rsid w:val="00E331A1"/>
    <w:rsid w:val="00E33202"/>
    <w:rsid w:val="00E336A9"/>
    <w:rsid w:val="00E3685C"/>
    <w:rsid w:val="00E472B1"/>
    <w:rsid w:val="00E50624"/>
    <w:rsid w:val="00E568DF"/>
    <w:rsid w:val="00E64269"/>
    <w:rsid w:val="00E82267"/>
    <w:rsid w:val="00E853CE"/>
    <w:rsid w:val="00E867B6"/>
    <w:rsid w:val="00EA010F"/>
    <w:rsid w:val="00ED1B63"/>
    <w:rsid w:val="00ED3C1F"/>
    <w:rsid w:val="00ED4085"/>
    <w:rsid w:val="00ED420E"/>
    <w:rsid w:val="00ED6FBE"/>
    <w:rsid w:val="00EE13C6"/>
    <w:rsid w:val="00EE2F57"/>
    <w:rsid w:val="00EE3AAC"/>
    <w:rsid w:val="00EF4C34"/>
    <w:rsid w:val="00EF77C6"/>
    <w:rsid w:val="00F05438"/>
    <w:rsid w:val="00F1361C"/>
    <w:rsid w:val="00F156F0"/>
    <w:rsid w:val="00F160C7"/>
    <w:rsid w:val="00F168C1"/>
    <w:rsid w:val="00F2408F"/>
    <w:rsid w:val="00F240E9"/>
    <w:rsid w:val="00F36D8F"/>
    <w:rsid w:val="00F417B1"/>
    <w:rsid w:val="00F45853"/>
    <w:rsid w:val="00F602DF"/>
    <w:rsid w:val="00F754A1"/>
    <w:rsid w:val="00F81FD9"/>
    <w:rsid w:val="00F841AA"/>
    <w:rsid w:val="00F84A94"/>
    <w:rsid w:val="00F8732F"/>
    <w:rsid w:val="00F87E96"/>
    <w:rsid w:val="00FA23E8"/>
    <w:rsid w:val="00FD3CC1"/>
    <w:rsid w:val="00FF1E02"/>
    <w:rsid w:val="00FF30B4"/>
    <w:rsid w:val="00FF467D"/>
    <w:rsid w:val="00FF595C"/>
    <w:rsid w:val="083C7709"/>
    <w:rsid w:val="0905713F"/>
    <w:rsid w:val="0A2032A3"/>
    <w:rsid w:val="0B8A37D8"/>
    <w:rsid w:val="10C055FF"/>
    <w:rsid w:val="118107EC"/>
    <w:rsid w:val="11DD6519"/>
    <w:rsid w:val="12511BE9"/>
    <w:rsid w:val="16BB723D"/>
    <w:rsid w:val="18015F3F"/>
    <w:rsid w:val="1BE8440E"/>
    <w:rsid w:val="1D155CEE"/>
    <w:rsid w:val="20F57F95"/>
    <w:rsid w:val="240371BF"/>
    <w:rsid w:val="25C741E6"/>
    <w:rsid w:val="26865DB2"/>
    <w:rsid w:val="27842671"/>
    <w:rsid w:val="29FD04D3"/>
    <w:rsid w:val="2A1237A0"/>
    <w:rsid w:val="2ABE7A3E"/>
    <w:rsid w:val="2EFA178C"/>
    <w:rsid w:val="30B46D73"/>
    <w:rsid w:val="319F7F4E"/>
    <w:rsid w:val="39AE70AB"/>
    <w:rsid w:val="3C0C0783"/>
    <w:rsid w:val="3F9F3A96"/>
    <w:rsid w:val="41F97A54"/>
    <w:rsid w:val="464148EB"/>
    <w:rsid w:val="493C27E9"/>
    <w:rsid w:val="496F39ED"/>
    <w:rsid w:val="49FF41D3"/>
    <w:rsid w:val="4BE068DB"/>
    <w:rsid w:val="4BF6002B"/>
    <w:rsid w:val="4E9B173F"/>
    <w:rsid w:val="4ECE2238"/>
    <w:rsid w:val="51DB4B86"/>
    <w:rsid w:val="524B3AEF"/>
    <w:rsid w:val="55333C3E"/>
    <w:rsid w:val="5AC95C92"/>
    <w:rsid w:val="63BB6EA0"/>
    <w:rsid w:val="64CA39A1"/>
    <w:rsid w:val="6C4A05C8"/>
    <w:rsid w:val="72734D90"/>
    <w:rsid w:val="793F39D3"/>
    <w:rsid w:val="79E7B28D"/>
    <w:rsid w:val="7A467573"/>
    <w:rsid w:val="7F9F20EE"/>
    <w:rsid w:val="7FB176B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pPr>
    <w:rPr>
      <w:rFonts w:ascii="Times New Roman" w:hAnsi="Times New Roman" w:eastAsia="仿宋" w:cs="Times New Roman"/>
      <w:kern w:val="2"/>
      <w:sz w:val="32"/>
      <w:szCs w:val="24"/>
      <w:lang w:val="en-US" w:eastAsia="zh-CN" w:bidi="ar-SA"/>
    </w:rPr>
  </w:style>
  <w:style w:type="paragraph" w:styleId="3">
    <w:name w:val="heading 1"/>
    <w:basedOn w:val="1"/>
    <w:next w:val="1"/>
    <w:link w:val="24"/>
    <w:qFormat/>
    <w:uiPriority w:val="9"/>
    <w:pPr>
      <w:keepNext/>
      <w:keepLines/>
      <w:spacing w:before="340" w:after="330" w:line="578" w:lineRule="auto"/>
      <w:ind w:firstLine="880"/>
      <w:jc w:val="center"/>
      <w:outlineLvl w:val="0"/>
    </w:pPr>
    <w:rPr>
      <w:rFonts w:ascii="黑体" w:hAnsi="黑体" w:eastAsia="黑体"/>
      <w:bCs/>
      <w:kern w:val="44"/>
      <w:sz w:val="44"/>
      <w:szCs w:val="44"/>
    </w:rPr>
  </w:style>
  <w:style w:type="paragraph" w:styleId="4">
    <w:name w:val="heading 2"/>
    <w:basedOn w:val="1"/>
    <w:next w:val="1"/>
    <w:link w:val="25"/>
    <w:unhideWhenUsed/>
    <w:qFormat/>
    <w:uiPriority w:val="9"/>
    <w:pPr>
      <w:keepNext/>
      <w:keepLines/>
      <w:spacing w:before="260" w:after="260" w:line="416" w:lineRule="auto"/>
      <w:ind w:firstLine="640"/>
      <w:outlineLvl w:val="1"/>
    </w:pPr>
    <w:rPr>
      <w:rFonts w:ascii="黑体" w:hAnsi="黑体" w:eastAsia="黑体" w:cstheme="majorBidi"/>
      <w:szCs w:val="32"/>
    </w:rPr>
  </w:style>
  <w:style w:type="paragraph" w:styleId="5">
    <w:name w:val="heading 3"/>
    <w:basedOn w:val="1"/>
    <w:next w:val="1"/>
    <w:link w:val="28"/>
    <w:unhideWhenUsed/>
    <w:qFormat/>
    <w:uiPriority w:val="9"/>
    <w:pPr>
      <w:keepNext/>
      <w:keepLines/>
      <w:spacing w:before="260" w:after="260" w:line="416" w:lineRule="auto"/>
      <w:outlineLvl w:val="2"/>
    </w:pPr>
    <w:rPr>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pPr>
  </w:style>
  <w:style w:type="character" w:customStyle="1" w:styleId="24">
    <w:name w:val="标题 1 Char"/>
    <w:basedOn w:val="13"/>
    <w:link w:val="3"/>
    <w:qFormat/>
    <w:uiPriority w:val="9"/>
    <w:rPr>
      <w:rFonts w:ascii="黑体" w:hAnsi="黑体" w:eastAsia="黑体" w:cs="Times New Roman"/>
      <w:bCs/>
      <w:kern w:val="44"/>
      <w:sz w:val="44"/>
      <w:szCs w:val="44"/>
    </w:rPr>
  </w:style>
  <w:style w:type="character" w:customStyle="1" w:styleId="25">
    <w:name w:val="标题 2 Char"/>
    <w:basedOn w:val="13"/>
    <w:link w:val="4"/>
    <w:qFormat/>
    <w:uiPriority w:val="9"/>
    <w:rPr>
      <w:rFonts w:ascii="黑体" w:hAnsi="黑体" w:eastAsia="黑体" w:cstheme="majorBidi"/>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TOC Heading"/>
    <w:basedOn w:val="3"/>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b/>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21&#24180;&#37096;&#38376;&#20915;&#31639;&#20844;&#24320;\&#20915;&#3163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图一：收、支决算总计变动情况图</a:t>
            </a:r>
            <a:endParaRPr lang="zh-CN" altLang="en-US"/>
          </a:p>
        </c:rich>
      </c:tx>
      <c:layout/>
      <c:overlay val="0"/>
    </c:title>
    <c:autoTitleDeleted val="0"/>
    <c:plotArea>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Sheet1!$A$2:$A$7</c:f>
              <c:strCache>
                <c:ptCount val="6"/>
                <c:pt idx="0">
                  <c:v>一般公共预算财政拨款收入</c:v>
                </c:pt>
                <c:pt idx="1">
                  <c:v>其他收入</c:v>
                </c:pt>
                <c:pt idx="2">
                  <c:v>  年初结转和结余</c:v>
                </c:pt>
                <c:pt idx="3">
                  <c:v>基本支出</c:v>
                </c:pt>
                <c:pt idx="4">
                  <c:v>项目支出</c:v>
                </c:pt>
                <c:pt idx="5">
                  <c:v>  年末结转和结余</c:v>
                </c:pt>
              </c:strCache>
            </c:strRef>
          </c:cat>
          <c:val>
            <c:numRef>
              <c:f>Sheet1!$B$2:$B$7</c:f>
              <c:numCache>
                <c:formatCode>#,##0.00</c:formatCode>
                <c:ptCount val="6"/>
                <c:pt idx="0">
                  <c:v>1100.79</c:v>
                </c:pt>
                <c:pt idx="1">
                  <c:v>21.25</c:v>
                </c:pt>
                <c:pt idx="2">
                  <c:v>71.46</c:v>
                </c:pt>
                <c:pt idx="3">
                  <c:v>783.51</c:v>
                </c:pt>
                <c:pt idx="4">
                  <c:v>255.37</c:v>
                </c:pt>
                <c:pt idx="5">
                  <c:v>154.63</c:v>
                </c:pt>
              </c:numCache>
            </c:numRef>
          </c:val>
        </c:ser>
        <c:ser>
          <c:idx val="1"/>
          <c:order val="1"/>
          <c:tx>
            <c:strRef>
              <c:f>Sheet1!$C$1</c:f>
              <c:strCache>
                <c:ptCount val="1"/>
                <c:pt idx="0">
                  <c:v>2021年</c:v>
                </c:pt>
              </c:strCache>
            </c:strRef>
          </c:tx>
          <c:invertIfNegative val="0"/>
          <c:dLbls>
            <c:dLbl>
              <c:idx val="0"/>
              <c:layout>
                <c:manualLayout>
                  <c:x val="0.0388888888888889"/>
                  <c:y val="0.04629629629629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22222222222223"/>
                  <c:y val="0.0324074074074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7777777777779"/>
                  <c:y val="0.1111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1111111111111"/>
                  <c:y val="0.0972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66666666666667"/>
                  <c:y val="0.0092592592592592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Sheet1!$A$2:$A$7</c:f>
              <c:strCache>
                <c:ptCount val="6"/>
                <c:pt idx="0">
                  <c:v>一般公共预算财政拨款收入</c:v>
                </c:pt>
                <c:pt idx="1">
                  <c:v>其他收入</c:v>
                </c:pt>
                <c:pt idx="2">
                  <c:v>  年初结转和结余</c:v>
                </c:pt>
                <c:pt idx="3">
                  <c:v>基本支出</c:v>
                </c:pt>
                <c:pt idx="4">
                  <c:v>项目支出</c:v>
                </c:pt>
                <c:pt idx="5">
                  <c:v>  年末结转和结余</c:v>
                </c:pt>
              </c:strCache>
            </c:strRef>
          </c:cat>
          <c:val>
            <c:numRef>
              <c:f>Sheet1!$C$2:$C$7</c:f>
              <c:numCache>
                <c:formatCode>General</c:formatCode>
                <c:ptCount val="6"/>
                <c:pt idx="0">
                  <c:v>1033.11</c:v>
                </c:pt>
                <c:pt idx="1">
                  <c:v>0</c:v>
                </c:pt>
                <c:pt idx="2">
                  <c:v>65.58</c:v>
                </c:pt>
                <c:pt idx="3">
                  <c:v>843.39</c:v>
                </c:pt>
                <c:pt idx="4">
                  <c:v>255.3</c:v>
                </c:pt>
                <c:pt idx="5">
                  <c:v>0</c:v>
                </c:pt>
              </c:numCache>
            </c:numRef>
          </c:val>
        </c:ser>
        <c:dLbls>
          <c:showLegendKey val="0"/>
          <c:showVal val="1"/>
          <c:showCatName val="0"/>
          <c:showSerName val="0"/>
          <c:showPercent val="0"/>
          <c:showBubbleSize val="0"/>
        </c:dLbls>
        <c:gapWidth val="150"/>
        <c:axId val="112456832"/>
        <c:axId val="112458368"/>
      </c:barChart>
      <c:catAx>
        <c:axId val="1124568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458368"/>
        <c:crosses val="autoZero"/>
        <c:auto val="1"/>
        <c:lblAlgn val="ctr"/>
        <c:lblOffset val="100"/>
        <c:noMultiLvlLbl val="0"/>
      </c:catAx>
      <c:valAx>
        <c:axId val="1124583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45683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09117-F217-416A-B660-026FC854CB5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8399</Words>
  <Characters>9108</Characters>
  <Lines>80</Lines>
  <Paragraphs>22</Paragraphs>
  <TotalTime>1</TotalTime>
  <ScaleCrop>false</ScaleCrop>
  <LinksUpToDate>false</LinksUpToDate>
  <CharactersWithSpaces>9164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刘清瑞</cp:lastModifiedBy>
  <cp:lastPrinted>2022-08-06T02:23:00Z</cp:lastPrinted>
  <dcterms:modified xsi:type="dcterms:W3CDTF">2025-01-07T05:54:11Z</dcterms:modified>
  <dc:title>四川省***</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872861D6274F4D5DBFDCDC0108094217_12</vt:lpwstr>
  </property>
</Properties>
</file>