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96597"/>
      <w:bookmarkStart w:id="2" w:name="_Toc15377193"/>
      <w:bookmarkStart w:id="3" w:name="_Toc15378441"/>
      <w:bookmarkStart w:id="4" w:name="_Toc15396475"/>
      <w:bookmarkStart w:id="5"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426"/>
      <w:bookmarkStart w:id="8" w:name="_Toc15378442"/>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攀枝花市教育和体</w:t>
      </w:r>
      <w:bookmarkStart w:id="55" w:name="_GoBack"/>
      <w:bookmarkEnd w:id="55"/>
      <w:r>
        <w:rPr>
          <w:rFonts w:hint="eastAsia" w:ascii="方正小标宋简体" w:hAnsi="方正小标宋简体" w:eastAsia="方正小标宋简体" w:cs="方正小标宋简体"/>
          <w:sz w:val="72"/>
          <w:szCs w:val="72"/>
          <w:lang w:eastAsia="zh-CN"/>
        </w:rPr>
        <w:t>育局</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18</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hint="eastAsia" w:cstheme="minorBidi"/>
          <w:sz w:val="24"/>
          <w:szCs w:val="24"/>
        </w:rPr>
        <w:t>4</w:t>
      </w:r>
    </w:p>
    <w:p>
      <w:pPr>
        <w:pStyle w:val="12"/>
        <w:adjustRightInd w:val="0"/>
        <w:snapToGrid w:val="0"/>
        <w:spacing w:line="440" w:lineRule="exact"/>
        <w:jc w:val="left"/>
        <w:rPr>
          <w:rFonts w:ascii="仿宋" w:hAnsi="仿宋"/>
          <w:sz w:val="24"/>
        </w:rPr>
      </w:pPr>
      <w:r>
        <w:rPr>
          <w:rFonts w:hint="eastAsia"/>
          <w:sz w:val="24"/>
        </w:rPr>
        <w:t>一、部门职责</w:t>
      </w:r>
      <w:r>
        <w:rPr>
          <w:rFonts w:cstheme="minorBidi"/>
          <w:sz w:val="24"/>
        </w:rPr>
        <w:tab/>
      </w:r>
      <w:r>
        <w:rPr>
          <w:rFonts w:hint="eastAsia" w:cstheme="minorBidi"/>
          <w:sz w:val="24"/>
        </w:rPr>
        <w:t>4</w:t>
      </w:r>
    </w:p>
    <w:p>
      <w:pPr>
        <w:pStyle w:val="12"/>
        <w:adjustRightInd w:val="0"/>
        <w:snapToGrid w:val="0"/>
        <w:spacing w:line="440" w:lineRule="exact"/>
        <w:jc w:val="left"/>
        <w:rPr>
          <w:rFonts w:cstheme="minorBidi"/>
          <w:sz w:val="24"/>
        </w:rPr>
      </w:pPr>
      <w:r>
        <w:rPr>
          <w:rFonts w:hint="eastAsia"/>
          <w:sz w:val="24"/>
        </w:rPr>
        <w:t>二、机构设置</w:t>
      </w:r>
      <w:r>
        <w:rPr>
          <w:rFonts w:cstheme="minorBidi"/>
          <w:sz w:val="24"/>
        </w:rPr>
        <w:tab/>
      </w:r>
      <w:r>
        <w:rPr>
          <w:rFonts w:hint="eastAsia" w:cstheme="minorBidi"/>
          <w:sz w:val="24"/>
        </w:rPr>
        <w:t>7</w:t>
      </w:r>
    </w:p>
    <w:p>
      <w:pPr>
        <w:pStyle w:val="12"/>
        <w:adjustRightInd w:val="0"/>
        <w:snapToGrid w:val="0"/>
        <w:spacing w:line="440" w:lineRule="exact"/>
        <w:jc w:val="left"/>
        <w:rPr>
          <w:sz w:val="24"/>
        </w:rPr>
      </w:pPr>
      <w:r>
        <w:rPr>
          <w:rFonts w:hint="eastAsia" w:ascii="仿宋" w:hAnsi="仿宋" w:eastAsia="仿宋" w:cs="Times New Roman"/>
          <w:kern w:val="2"/>
          <w:sz w:val="24"/>
          <w:szCs w:val="28"/>
          <w:lang w:val="en-US" w:eastAsia="zh-CN" w:bidi="ar-SA"/>
        </w:rPr>
        <w:t>第二部分 2022年度部门决算情况说明</w:t>
      </w:r>
      <w:r>
        <w:rPr>
          <w:rFonts w:cstheme="minorBidi"/>
          <w:sz w:val="24"/>
        </w:rPr>
        <w:tab/>
      </w:r>
      <w:r>
        <w:rPr>
          <w:rFonts w:hint="eastAsia" w:cstheme="minorBidi"/>
          <w:sz w:val="24"/>
        </w:rPr>
        <w:t>8</w:t>
      </w:r>
    </w:p>
    <w:p>
      <w:pPr>
        <w:pStyle w:val="11"/>
        <w:adjustRightInd w:val="0"/>
        <w:snapToGrid w:val="0"/>
        <w:spacing w:before="0" w:line="440" w:lineRule="exact"/>
        <w:ind w:firstLine="480" w:firstLineChars="200"/>
        <w:jc w:val="left"/>
        <w:rPr>
          <w:rFonts w:cstheme="minorBidi"/>
          <w:sz w:val="24"/>
        </w:rPr>
      </w:pPr>
      <w:r>
        <w:rPr>
          <w:rFonts w:hint="eastAsia" w:ascii="Times New Roman" w:hAnsi="Times New Roman" w:eastAsia="宋体" w:cs="Times New Roman"/>
          <w:kern w:val="2"/>
          <w:sz w:val="24"/>
          <w:szCs w:val="24"/>
          <w:lang w:val="en-US" w:eastAsia="zh-CN" w:bidi="ar-SA"/>
        </w:rPr>
        <w:t>一、收入支出决算总体情况说明</w:t>
      </w:r>
      <w:r>
        <w:rPr>
          <w:rFonts w:cstheme="minorBidi"/>
          <w:sz w:val="24"/>
          <w:szCs w:val="24"/>
        </w:rPr>
        <w:tab/>
      </w:r>
      <w:r>
        <w:rPr>
          <w:rFonts w:hint="eastAsia" w:cstheme="minorBidi"/>
          <w:sz w:val="24"/>
          <w:szCs w:val="24"/>
        </w:rPr>
        <w:t>8</w:t>
      </w:r>
    </w:p>
    <w:p>
      <w:pPr>
        <w:pStyle w:val="12"/>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hint="eastAsia" w:cstheme="minorBidi"/>
          <w:sz w:val="24"/>
        </w:rPr>
        <w:t>8</w:t>
      </w:r>
    </w:p>
    <w:p>
      <w:pPr>
        <w:pStyle w:val="12"/>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hint="eastAsia" w:cstheme="minorBidi"/>
          <w:sz w:val="24"/>
        </w:rPr>
        <w:t>9</w:t>
      </w:r>
    </w:p>
    <w:p>
      <w:pPr>
        <w:pStyle w:val="12"/>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cstheme="minorBidi"/>
          <w:sz w:val="24"/>
        </w:rPr>
        <w:tab/>
      </w:r>
      <w:r>
        <w:rPr>
          <w:rFonts w:hint="eastAsia" w:cstheme="minorBidi"/>
          <w:sz w:val="24"/>
        </w:rPr>
        <w:t>10</w:t>
      </w:r>
    </w:p>
    <w:p>
      <w:pPr>
        <w:pStyle w:val="12"/>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11</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rPr>
        <w:t>1</w:t>
      </w:r>
      <w:r>
        <w:rPr>
          <w:rFonts w:hint="eastAsia" w:cstheme="minorBidi"/>
          <w:sz w:val="24"/>
          <w:lang w:val="en-US" w:eastAsia="zh-CN"/>
        </w:rPr>
        <w:t>6</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rPr>
        <w:t>1</w:t>
      </w:r>
      <w:r>
        <w:rPr>
          <w:rFonts w:hint="eastAsia" w:cstheme="minorBidi"/>
          <w:sz w:val="24"/>
          <w:lang w:val="en-US" w:eastAsia="zh-CN"/>
        </w:rPr>
        <w:t>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21</w:t>
      </w:r>
    </w:p>
    <w:p>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rPr>
        <w:tab/>
      </w:r>
      <w:r>
        <w:rPr>
          <w:rFonts w:hint="eastAsia" w:cstheme="minorBidi"/>
          <w:sz w:val="24"/>
          <w:lang w:val="en-US" w:eastAsia="zh-CN"/>
        </w:rPr>
        <w:t>21</w:t>
      </w:r>
    </w:p>
    <w:p>
      <w:pPr>
        <w:pStyle w:val="12"/>
        <w:adjustRightInd w:val="0"/>
        <w:snapToGrid w:val="0"/>
        <w:spacing w:line="440" w:lineRule="exact"/>
        <w:jc w:val="left"/>
        <w:rPr>
          <w:sz w:val="24"/>
        </w:rPr>
      </w:pPr>
      <w:r>
        <w:rPr>
          <w:rFonts w:hint="eastAsia"/>
          <w:sz w:val="24"/>
        </w:rPr>
        <w:t>十、其他重要事项的情况说明</w:t>
      </w:r>
      <w:r>
        <w:rPr>
          <w:rFonts w:cstheme="minorBidi"/>
          <w:sz w:val="24"/>
        </w:rPr>
        <w:tab/>
      </w:r>
      <w:r>
        <w:rPr>
          <w:rFonts w:hint="eastAsia" w:cstheme="minorBidi"/>
          <w:sz w:val="24"/>
        </w:rPr>
        <w:t>21</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ascii="Times New Roman" w:hAnsi="Times New Roman" w:eastAsia="宋体" w:cstheme="minorBidi"/>
          <w:kern w:val="2"/>
          <w:sz w:val="24"/>
          <w:szCs w:val="24"/>
          <w:lang w:val="en-US" w:eastAsia="zh-CN" w:bidi="ar-SA"/>
        </w:rPr>
        <w:t>24</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ascii="Times New Roman" w:hAnsi="Times New Roman" w:eastAsia="宋体" w:cstheme="minorBidi"/>
          <w:kern w:val="2"/>
          <w:sz w:val="24"/>
          <w:szCs w:val="24"/>
          <w:lang w:val="en-US" w:eastAsia="zh-CN" w:bidi="ar-SA"/>
        </w:rPr>
        <w:t>29</w:t>
      </w:r>
    </w:p>
    <w:p>
      <w:pPr>
        <w:pStyle w:val="12"/>
        <w:adjustRightInd w:val="0"/>
        <w:snapToGrid w:val="0"/>
        <w:spacing w:line="440" w:lineRule="exact"/>
        <w:ind w:left="0" w:leftChars="0"/>
        <w:jc w:val="left"/>
        <w:rPr>
          <w:rFonts w:hint="eastAsia" w:eastAsia="宋体" w:cstheme="minorBidi"/>
          <w:sz w:val="24"/>
          <w:lang w:val="en-US" w:eastAsia="zh-CN"/>
        </w:rPr>
      </w:pPr>
      <w:r>
        <w:rPr>
          <w:rFonts w:hint="eastAsia" w:ascii="仿宋" w:hAnsi="仿宋" w:eastAsia="仿宋" w:cs="Times New Roman"/>
          <w:kern w:val="2"/>
          <w:sz w:val="24"/>
          <w:szCs w:val="28"/>
          <w:lang w:val="en-US" w:eastAsia="zh-CN" w:bidi="ar-SA"/>
        </w:rPr>
        <w:t>第五部分 附表</w:t>
      </w:r>
      <w:r>
        <w:rPr>
          <w:rFonts w:cstheme="minorBidi"/>
          <w:sz w:val="24"/>
        </w:rPr>
        <w:tab/>
      </w:r>
      <w:r>
        <w:rPr>
          <w:rFonts w:hint="eastAsia" w:cstheme="minorBidi"/>
          <w:sz w:val="24"/>
        </w:rPr>
        <w:t>5</w:t>
      </w:r>
      <w:r>
        <w:rPr>
          <w:rFonts w:hint="eastAsia" w:cstheme="minorBidi"/>
          <w:sz w:val="24"/>
          <w:lang w:val="en-US" w:eastAsia="zh-CN"/>
        </w:rPr>
        <w:t>5</w:t>
      </w:r>
    </w:p>
    <w:p>
      <w:pPr>
        <w:pStyle w:val="12"/>
        <w:adjustRightInd w:val="0"/>
        <w:snapToGrid w:val="0"/>
        <w:spacing w:line="440" w:lineRule="exact"/>
        <w:jc w:val="left"/>
        <w:rPr>
          <w:sz w:val="24"/>
        </w:rPr>
      </w:pPr>
      <w:r>
        <w:rPr>
          <w:rFonts w:hint="eastAsia"/>
          <w:sz w:val="24"/>
        </w:rPr>
        <w:t>一、收入支出决算总表</w:t>
      </w:r>
    </w:p>
    <w:p>
      <w:pPr>
        <w:pStyle w:val="12"/>
        <w:adjustRightInd w:val="0"/>
        <w:snapToGrid w:val="0"/>
        <w:spacing w:line="440" w:lineRule="exact"/>
        <w:jc w:val="left"/>
        <w:rPr>
          <w:sz w:val="24"/>
        </w:rPr>
      </w:pPr>
      <w:r>
        <w:rPr>
          <w:rFonts w:hint="eastAsia"/>
          <w:sz w:val="24"/>
        </w:rPr>
        <w:t>二、收入决算表</w:t>
      </w:r>
    </w:p>
    <w:p>
      <w:pPr>
        <w:pStyle w:val="12"/>
        <w:adjustRightInd w:val="0"/>
        <w:snapToGrid w:val="0"/>
        <w:spacing w:line="440" w:lineRule="exact"/>
        <w:jc w:val="left"/>
        <w:rPr>
          <w:sz w:val="24"/>
        </w:rPr>
      </w:pPr>
      <w:r>
        <w:rPr>
          <w:rFonts w:hint="eastAsia"/>
          <w:sz w:val="24"/>
        </w:rPr>
        <w:t>三、支出决算表</w:t>
      </w:r>
    </w:p>
    <w:p>
      <w:pPr>
        <w:pStyle w:val="12"/>
        <w:adjustRightInd w:val="0"/>
        <w:snapToGrid w:val="0"/>
        <w:spacing w:line="440" w:lineRule="exact"/>
        <w:jc w:val="left"/>
        <w:rPr>
          <w:sz w:val="24"/>
        </w:rPr>
      </w:pPr>
      <w:r>
        <w:rPr>
          <w:rFonts w:hint="eastAsia"/>
          <w:sz w:val="24"/>
        </w:rPr>
        <w:t>四、财政拨款收入支出决算总表</w:t>
      </w:r>
    </w:p>
    <w:p>
      <w:pPr>
        <w:pStyle w:val="12"/>
        <w:adjustRightInd w:val="0"/>
        <w:snapToGrid w:val="0"/>
        <w:spacing w:line="440" w:lineRule="exact"/>
        <w:jc w:val="left"/>
        <w:rPr>
          <w:sz w:val="24"/>
        </w:rPr>
      </w:pPr>
      <w:r>
        <w:rPr>
          <w:rFonts w:hint="eastAsia"/>
          <w:sz w:val="24"/>
        </w:rPr>
        <w:t>五、财政拨款支出决算明细表</w:t>
      </w:r>
    </w:p>
    <w:p>
      <w:pPr>
        <w:pStyle w:val="12"/>
        <w:adjustRightInd w:val="0"/>
        <w:snapToGrid w:val="0"/>
        <w:spacing w:line="440" w:lineRule="exact"/>
        <w:jc w:val="left"/>
        <w:rPr>
          <w:sz w:val="24"/>
        </w:rPr>
      </w:pPr>
      <w:r>
        <w:rPr>
          <w:rFonts w:hint="eastAsia"/>
          <w:sz w:val="24"/>
        </w:rPr>
        <w:t>六、一般公共预算财政拨款支出决算表</w:t>
      </w:r>
    </w:p>
    <w:p>
      <w:pPr>
        <w:pStyle w:val="12"/>
        <w:adjustRightInd w:val="0"/>
        <w:snapToGrid w:val="0"/>
        <w:spacing w:line="440" w:lineRule="exact"/>
        <w:jc w:val="left"/>
        <w:rPr>
          <w:sz w:val="24"/>
        </w:rPr>
      </w:pPr>
      <w:r>
        <w:rPr>
          <w:rFonts w:hint="eastAsia"/>
          <w:sz w:val="24"/>
        </w:rPr>
        <w:t>七、一般公共预算财政拨款支出决算明细表</w:t>
      </w:r>
    </w:p>
    <w:p>
      <w:pPr>
        <w:pStyle w:val="12"/>
        <w:adjustRightInd w:val="0"/>
        <w:snapToGrid w:val="0"/>
        <w:spacing w:line="440" w:lineRule="exact"/>
        <w:jc w:val="left"/>
        <w:rPr>
          <w:sz w:val="24"/>
        </w:rPr>
      </w:pPr>
      <w:r>
        <w:rPr>
          <w:rFonts w:hint="eastAsia"/>
          <w:sz w:val="24"/>
        </w:rPr>
        <w:t>八、一般公共预算财政拨款基本支出决算明细表</w:t>
      </w:r>
    </w:p>
    <w:p>
      <w:pPr>
        <w:pStyle w:val="12"/>
        <w:adjustRightInd w:val="0"/>
        <w:snapToGrid w:val="0"/>
        <w:spacing w:line="440" w:lineRule="exact"/>
        <w:jc w:val="left"/>
        <w:rPr>
          <w:sz w:val="24"/>
        </w:rPr>
      </w:pPr>
      <w:r>
        <w:rPr>
          <w:rFonts w:hint="eastAsia"/>
          <w:sz w:val="24"/>
        </w:rPr>
        <w:t>九、一般公共预算财政拨款项目支出决算表</w:t>
      </w:r>
    </w:p>
    <w:p>
      <w:pPr>
        <w:pStyle w:val="12"/>
        <w:adjustRightInd w:val="0"/>
        <w:snapToGrid w:val="0"/>
        <w:spacing w:line="440" w:lineRule="exact"/>
        <w:jc w:val="left"/>
        <w:rPr>
          <w:sz w:val="24"/>
        </w:rPr>
      </w:pPr>
      <w:r>
        <w:rPr>
          <w:rFonts w:hint="eastAsia"/>
          <w:sz w:val="24"/>
        </w:rPr>
        <w:t>十、政府性基金预算财政拨款收入支出决算表</w:t>
      </w:r>
    </w:p>
    <w:p>
      <w:pPr>
        <w:pStyle w:val="12"/>
        <w:adjustRightInd w:val="0"/>
        <w:snapToGrid w:val="0"/>
        <w:spacing w:line="440" w:lineRule="exact"/>
        <w:jc w:val="left"/>
        <w:rPr>
          <w:sz w:val="24"/>
        </w:rPr>
      </w:pPr>
      <w:r>
        <w:rPr>
          <w:rFonts w:hint="eastAsia"/>
          <w:sz w:val="24"/>
        </w:rPr>
        <w:t>十一、国有资本经营预算财政拨款收入支出决算表</w:t>
      </w:r>
    </w:p>
    <w:p>
      <w:pPr>
        <w:pStyle w:val="12"/>
        <w:adjustRightInd w:val="0"/>
        <w:snapToGrid w:val="0"/>
        <w:spacing w:line="440" w:lineRule="exact"/>
        <w:jc w:val="left"/>
        <w:rPr>
          <w:sz w:val="24"/>
        </w:rPr>
      </w:pPr>
      <w:r>
        <w:rPr>
          <w:rFonts w:hint="eastAsia"/>
          <w:sz w:val="24"/>
        </w:rPr>
        <w:t>十二、国有资本经营预算财政拨款支出决算表</w:t>
      </w:r>
    </w:p>
    <w:p>
      <w:pPr>
        <w:pStyle w:val="12"/>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4"/>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5"/>
        <w:numPr>
          <w:ilvl w:val="0"/>
          <w:numId w:val="1"/>
        </w:numPr>
        <w:rPr>
          <w:rFonts w:hint="eastAsia" w:ascii="黑体" w:hAnsi="黑体" w:eastAsia="黑体"/>
          <w:b w:val="0"/>
        </w:rPr>
      </w:pPr>
      <w:r>
        <w:rPr>
          <w:rFonts w:hint="eastAsia" w:ascii="黑体" w:hAnsi="黑体" w:eastAsia="黑体"/>
          <w:b w:val="0"/>
        </w:rPr>
        <w:t>部门职责</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攀枝花市教育和体育局是2014年由原攀枝花市教育局和原攀枝花市体育局合并成立的，为市政府工作部门。</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 xml:space="preserve"> 主要职责：</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（1）贯彻执行国家和省有关教育体育工作的方针、政策和法律、法规，研究制定有关贯彻意见并组织实施。</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2）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（3）负责义务教育的指导与协调，推进全市义务教育均衡发展和促进教育公平。指导普通高中教育、学前教育和特殊教育工作。推进基础教育教学改革，全面实施素质教育。</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（4）指导基础教育、中等职业教育和成人教育学校开展思想政治、德育、体育卫生与艺术教育、国防教育、心理健康教育、安全和稳定工作。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（5）指导职业教育发展与改革，组织实施民族地区免费中等职业教育工作。完成省里下达的藏（彝）区学生“9+3”免费职业教育任务。</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（6）综合管理全市成人教育和广播电视教育及扫除青壮年文盲工作，协调普通高等教育发展。</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 xml:space="preserve"> (7)负责全市教育督导工作。负责组织对中等及以下各级各类教育、广播电视教育以及扫除青壮年文盲工作的督导检查和评估考核工作；开展基础教育发展水平和质量监测工作。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(8)负责本部门教育体育经费的统筹管理。会同有关部门制定筹措教育体育经费、拨款、基建投资的政策和措施，协助有关部门做好教育体育拨款的筹集、拨付工作；监督全市教育体育经费的筹措和使用情况；指导国(境)外教育体育援助、贷款和合作项目的执行。负责普通高校生源地信用助学贷款工作，完善贫困学生资助管理体系。</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(9)指导少数民族教育工作，协调对少数民族地区的教育援助。</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(10)统筹规划、综合管理全市民办教育，规范民办教育办学秩序，促进民办教育事业健康发展。</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(11)负责全市中小学校教师队伍建设和教育体育系统干部队伍建设工作；组织和指导县(区)域内义务教育学校校长教师交流轮岗工作，推进义务教育教师“县管校用”管理制度改革。</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(12)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(13)贯彻执行国家语言文字的方针政策，拟订语言文字工作中长期规划和工作计划，指导普通话推广和普通话师资培训工作，承担市语言文字工作委员会的具体工作。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(14)指导教育体育系统对外交流与合作，负责全市中小学出国留学人员和教育体育系统来攀外籍教师、教练、专家及留学人员的有关管理工作。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(15)管理、指导大中专招生和自学考试工作；制定中小学和中等职业学校招生计划并组织实施。</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(16)统筹规划全市群众体育发展。负责推行全民健身计划，监督实施国家体育锻炼标准，承担全市国民体质监测和社会体育指导工作队伍制度建设；指导公共体育设施的建设，负责对公共体育设施的管理。</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(17)统筹规划全市竞技体育发展。指导体育训练、体育竞赛和运动员队伍建设；组织和统筹参加省级以上综合运动会，负责组织协调市级综合性运动会的竞赛工作，协调运动员社会保障工作。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(18)统筹规划全市青少年体育发展。指导和管理学校体育工作；制定全市学校体育、青少年业余训练的规划和工作意见，并负责组织实施、督促和检查。</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(19)指导全市学校后勤改革和体育产业发展，负责全市学校后勤和体育产业管理。拟定全市体育产业发展政策、措施，规范体育服务管理，推动体育标准化建设；协助管理全市体育彩票市场。</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(20)指导教育体育科研、技术攻关及成果推广工作；负责组织、监督全市体育运动中的反兴奋剂工作。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(21)负责指导、检查、督促全市学校安全管理工作。</w:t>
      </w:r>
    </w:p>
    <w:p>
      <w:pPr>
        <w:snapToGrid w:val="0"/>
        <w:spacing w:line="520" w:lineRule="exact"/>
        <w:ind w:firstLine="640" w:firstLineChars="200"/>
        <w:rPr>
          <w:rFonts w:ascii="仿宋_GB2312" w:eastAsia="仿宋_GB2312"/>
          <w:sz w:val="32"/>
          <w:szCs w:val="32"/>
        </w:rPr>
      </w:pPr>
      <w:r>
        <w:rPr>
          <w:rFonts w:hint="eastAsia" w:ascii="仿宋_GB2312" w:eastAsia="仿宋_GB2312" w:cs="仿宋_GB2312"/>
          <w:sz w:val="32"/>
          <w:szCs w:val="32"/>
        </w:rPr>
        <w:t>(22)承担市政府公布的有关行政审批事项。</w:t>
      </w:r>
    </w:p>
    <w:p>
      <w:pPr>
        <w:ind w:firstLine="640" w:firstLineChars="200"/>
      </w:pPr>
      <w:r>
        <w:rPr>
          <w:rFonts w:hint="eastAsia" w:ascii="仿宋_GB2312" w:eastAsia="仿宋_GB2312" w:cs="仿宋_GB2312"/>
          <w:sz w:val="32"/>
          <w:szCs w:val="32"/>
        </w:rPr>
        <w:t>(23)承办市政府交办的其他事项。</w:t>
      </w:r>
    </w:p>
    <w:p>
      <w:pPr>
        <w:pStyle w:val="5"/>
        <w:rPr>
          <w:rStyle w:val="28"/>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sz w:val="32"/>
          <w:szCs w:val="32"/>
        </w:rPr>
        <w:t>攀枝花市教育和体育局及下属二级预算单位18个，其中行政单位1个，参照公务员法管理的事业单位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个，其他事业单位17个。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纳入攀枝花市教育和体育局202</w:t>
      </w:r>
      <w:r>
        <w:rPr>
          <w:rFonts w:hint="eastAsia" w:ascii="仿宋" w:hAnsi="仿宋" w:eastAsia="仿宋"/>
          <w:sz w:val="32"/>
          <w:szCs w:val="32"/>
          <w:lang w:val="en-US" w:eastAsia="zh-CN"/>
        </w:rPr>
        <w:t>3</w:t>
      </w:r>
      <w:r>
        <w:rPr>
          <w:rFonts w:hint="eastAsia" w:ascii="仿宋" w:hAnsi="仿宋" w:eastAsia="仿宋"/>
          <w:sz w:val="32"/>
          <w:szCs w:val="32"/>
        </w:rPr>
        <w:t>年度部门决算编制范围的二级预算单位包括：</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1.攀枝花市教育和体育局</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2.攀枝花市外国语学校</w:t>
      </w:r>
    </w:p>
    <w:p>
      <w:pPr>
        <w:snapToGrid w:val="0"/>
        <w:spacing w:line="520" w:lineRule="exact"/>
        <w:ind w:firstLine="640" w:firstLineChars="200"/>
        <w:rPr>
          <w:rFonts w:ascii="仿宋" w:hAnsi="仿宋" w:eastAsia="仿宋"/>
          <w:kern w:val="0"/>
          <w:sz w:val="32"/>
          <w:szCs w:val="32"/>
        </w:rPr>
      </w:pPr>
      <w:bookmarkStart w:id="16" w:name="_Toc15306277"/>
      <w:bookmarkStart w:id="17" w:name="_Toc15378450"/>
      <w:bookmarkStart w:id="18" w:name="_Toc15377434"/>
      <w:bookmarkStart w:id="19" w:name="_Toc15377203"/>
      <w:r>
        <w:rPr>
          <w:rFonts w:hint="eastAsia" w:ascii="仿宋" w:hAnsi="仿宋" w:eastAsia="仿宋"/>
          <w:kern w:val="0"/>
          <w:sz w:val="32"/>
          <w:szCs w:val="32"/>
        </w:rPr>
        <w:t>3.攀枝花市第二初级中学校</w:t>
      </w:r>
      <w:bookmarkEnd w:id="16"/>
      <w:bookmarkEnd w:id="17"/>
      <w:bookmarkEnd w:id="18"/>
      <w:bookmarkEnd w:id="19"/>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4.攀枝花市实验学校</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5.攀枝花市特殊教育学校</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6.攀枝花市体育中学</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7.攀枝花市第三高级中学校</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8.攀枝花市第七高级中学校</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9.攀枝花市经贸旅游学校</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10.攀枝花市建筑工程学校</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11.攀枝花市实验幼儿园</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12.攀枝花开放大学</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13.攀枝花市教育考试院</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14.攀枝花市教育科学研究所</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15.攀枝花市电化教育技术装备中心</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16.攀枝花市学校后勤保障服务中心</w:t>
      </w:r>
    </w:p>
    <w:p>
      <w:pPr>
        <w:snapToGrid w:val="0"/>
        <w:spacing w:line="520" w:lineRule="exact"/>
        <w:ind w:firstLine="640" w:firstLineChars="200"/>
        <w:rPr>
          <w:rFonts w:ascii="仿宋" w:hAnsi="仿宋" w:eastAsia="仿宋"/>
          <w:kern w:val="0"/>
          <w:sz w:val="32"/>
          <w:szCs w:val="32"/>
        </w:rPr>
      </w:pPr>
      <w:r>
        <w:rPr>
          <w:rFonts w:hint="eastAsia" w:ascii="仿宋" w:hAnsi="仿宋" w:eastAsia="仿宋"/>
          <w:kern w:val="0"/>
          <w:sz w:val="32"/>
          <w:szCs w:val="32"/>
        </w:rPr>
        <w:t>17.攀枝花市体育场馆中心</w:t>
      </w:r>
    </w:p>
    <w:p>
      <w:pPr>
        <w:widowControl/>
        <w:ind w:firstLine="640" w:firstLineChars="200"/>
        <w:jc w:val="left"/>
        <w:rPr>
          <w:rFonts w:ascii="仿宋" w:hAnsi="仿宋" w:eastAsia="仿宋"/>
          <w:kern w:val="0"/>
          <w:sz w:val="32"/>
          <w:szCs w:val="32"/>
        </w:rPr>
      </w:pPr>
      <w:r>
        <w:rPr>
          <w:rFonts w:hint="eastAsia" w:ascii="仿宋" w:hAnsi="仿宋" w:eastAsia="仿宋"/>
          <w:kern w:val="0"/>
          <w:sz w:val="32"/>
          <w:szCs w:val="32"/>
        </w:rPr>
        <w:t>18.攀枝花市社会体育指导中心</w:t>
      </w:r>
      <w:r>
        <w:rPr>
          <w:rFonts w:ascii="仿宋" w:hAnsi="仿宋" w:eastAsia="仿宋"/>
          <w:sz w:val="32"/>
          <w:szCs w:val="32"/>
        </w:rPr>
        <w:br w:type="page"/>
      </w:r>
    </w:p>
    <w:p>
      <w:pPr>
        <w:pStyle w:val="4"/>
        <w:ind w:right="440"/>
        <w:jc w:val="center"/>
        <w:rPr>
          <w:rStyle w:val="27"/>
          <w:rFonts w:ascii="黑体" w:hAnsi="黑体" w:eastAsia="黑体"/>
          <w:b w:val="0"/>
          <w:bCs/>
        </w:rPr>
      </w:pPr>
      <w:bookmarkStart w:id="20" w:name="_Toc15377204"/>
      <w:bookmarkStart w:id="21" w:name="_Toc15396602"/>
      <w:r>
        <w:rPr>
          <w:rFonts w:hint="eastAsia" w:ascii="黑体" w:hAnsi="黑体" w:eastAsia="黑体"/>
          <w:b w:val="0"/>
        </w:rPr>
        <w:t>第二部分 2023年度</w:t>
      </w:r>
      <w:r>
        <w:rPr>
          <w:rStyle w:val="27"/>
          <w:rFonts w:hint="eastAsia" w:ascii="黑体" w:hAnsi="黑体" w:eastAsia="黑体"/>
          <w:b w:val="0"/>
          <w:bCs/>
        </w:rPr>
        <w:t>部门决算情况说明</w:t>
      </w:r>
      <w:bookmarkEnd w:id="20"/>
      <w:bookmarkEnd w:id="21"/>
    </w:p>
    <w:p/>
    <w:p>
      <w:pPr>
        <w:pStyle w:val="26"/>
        <w:numPr>
          <w:ilvl w:val="0"/>
          <w:numId w:val="2"/>
        </w:numPr>
        <w:spacing w:line="600" w:lineRule="exact"/>
        <w:ind w:firstLineChars="0"/>
        <w:outlineLvl w:val="1"/>
        <w:rPr>
          <w:rStyle w:val="28"/>
          <w:rFonts w:ascii="黑体" w:hAnsi="黑体" w:eastAsia="黑体"/>
          <w:b w:val="0"/>
        </w:rPr>
      </w:pPr>
      <w:bookmarkStart w:id="22" w:name="_Toc15396603"/>
      <w:bookmarkStart w:id="23"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2"/>
      <w:bookmarkEnd w:id="23"/>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sz w:val="32"/>
          <w:szCs w:val="32"/>
          <w:lang w:val="en-US" w:eastAsia="zh-CN"/>
        </w:rPr>
        <w:t>77313.05</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与2022年度相比，收、支总计各增加</w:t>
      </w:r>
      <w:r>
        <w:rPr>
          <w:rFonts w:hint="eastAsia" w:ascii="仿宋" w:hAnsi="仿宋" w:eastAsia="仿宋"/>
          <w:sz w:val="32"/>
          <w:szCs w:val="32"/>
          <w:lang w:val="en-US" w:eastAsia="zh-CN"/>
        </w:rPr>
        <w:t>6364.85</w:t>
      </w:r>
      <w:r>
        <w:rPr>
          <w:rFonts w:hint="eastAsia" w:ascii="仿宋" w:hAnsi="仿宋" w:eastAsia="仿宋"/>
          <w:sz w:val="32"/>
          <w:szCs w:val="32"/>
        </w:rPr>
        <w:t>万元，增长</w:t>
      </w:r>
      <w:r>
        <w:rPr>
          <w:rFonts w:hint="eastAsia" w:ascii="仿宋" w:hAnsi="仿宋" w:eastAsia="仿宋"/>
          <w:sz w:val="32"/>
          <w:szCs w:val="32"/>
          <w:lang w:val="en-US" w:eastAsia="zh-CN"/>
        </w:rPr>
        <w:t>8.97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教育投入增加以及偿还以往年度欠款</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rPr>
          <w:rFonts w:hint="eastAsia"/>
        </w:rPr>
      </w:pPr>
    </w:p>
    <w:p>
      <w:r>
        <w:rPr>
          <w:rFonts w:hint="eastAsia"/>
        </w:rPr>
        <w:drawing>
          <wp:inline distT="0" distB="0" distL="0" distR="0">
            <wp:extent cx="4724400" cy="2924175"/>
            <wp:effectExtent l="4445" t="4445" r="14605" b="5080"/>
            <wp:docPr id="1"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left"/>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4" w:name="_Toc15396604"/>
      <w:bookmarkStart w:id="25" w:name="_Toc15377206"/>
      <w:r>
        <w:rPr>
          <w:rFonts w:hint="eastAsia" w:ascii="黑体" w:hAnsi="黑体" w:eastAsia="黑体"/>
          <w:sz w:val="32"/>
          <w:szCs w:val="32"/>
        </w:rPr>
        <w:t>收</w:t>
      </w:r>
      <w:r>
        <w:rPr>
          <w:rStyle w:val="28"/>
          <w:rFonts w:hint="eastAsia" w:ascii="黑体" w:hAnsi="黑体" w:eastAsia="黑体"/>
          <w:b w:val="0"/>
        </w:rPr>
        <w:t>入决算情况说明</w:t>
      </w:r>
      <w:bookmarkEnd w:id="24"/>
      <w:bookmarkEnd w:id="25"/>
    </w:p>
    <w:p>
      <w:pPr>
        <w:spacing w:line="600" w:lineRule="exact"/>
        <w:ind w:firstLine="640" w:firstLineChars="200"/>
        <w:jc w:val="left"/>
        <w:outlineLvl w:val="1"/>
        <w:rPr>
          <w:rFonts w:ascii="仿宋" w:hAnsi="仿宋" w:eastAsia="仿宋"/>
          <w:sz w:val="32"/>
          <w:szCs w:val="32"/>
        </w:rPr>
      </w:pPr>
      <w:r>
        <w:rPr>
          <w:rFonts w:hint="eastAsia" w:ascii="仿宋" w:hAnsi="仿宋" w:eastAsia="仿宋"/>
          <w:sz w:val="32"/>
          <w:szCs w:val="32"/>
        </w:rPr>
        <w:t>2023年度本年收入合计</w:t>
      </w:r>
      <w:r>
        <w:rPr>
          <w:sz w:val="32"/>
          <w:szCs w:val="32"/>
        </w:rPr>
        <w:t>77038.82</w:t>
      </w:r>
      <w:r>
        <w:rPr>
          <w:rFonts w:hint="eastAsia" w:ascii="仿宋" w:hAnsi="仿宋" w:eastAsia="仿宋"/>
          <w:sz w:val="32"/>
          <w:szCs w:val="32"/>
        </w:rPr>
        <w:t>万元，其中：一般公共预算财政拨款收入</w:t>
      </w:r>
      <w:r>
        <w:rPr>
          <w:sz w:val="32"/>
          <w:szCs w:val="32"/>
        </w:rPr>
        <w:t>69800.72</w:t>
      </w:r>
      <w:r>
        <w:rPr>
          <w:rFonts w:hint="eastAsia" w:ascii="仿宋" w:hAnsi="仿宋" w:eastAsia="仿宋"/>
          <w:sz w:val="32"/>
          <w:szCs w:val="32"/>
        </w:rPr>
        <w:t>万元，占</w:t>
      </w:r>
      <w:r>
        <w:rPr>
          <w:sz w:val="32"/>
          <w:szCs w:val="32"/>
        </w:rPr>
        <w:t>90.6</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839.75</w:t>
      </w:r>
      <w:r>
        <w:rPr>
          <w:rFonts w:hint="eastAsia" w:ascii="仿宋" w:hAnsi="仿宋" w:eastAsia="仿宋"/>
          <w:sz w:val="32"/>
          <w:szCs w:val="32"/>
        </w:rPr>
        <w:t>万元，占</w:t>
      </w:r>
      <w:r>
        <w:rPr>
          <w:sz w:val="32"/>
          <w:szCs w:val="32"/>
        </w:rPr>
        <w:t>1.</w:t>
      </w:r>
      <w:r>
        <w:rPr>
          <w:rFonts w:hint="eastAsia"/>
          <w:sz w:val="32"/>
          <w:szCs w:val="32"/>
          <w:lang w:val="en-US" w:eastAsia="zh-CN"/>
        </w:rPr>
        <w:t>09</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3497.17</w:t>
      </w:r>
      <w:r>
        <w:rPr>
          <w:rFonts w:hint="eastAsia" w:ascii="仿宋" w:hAnsi="仿宋" w:eastAsia="仿宋"/>
          <w:sz w:val="32"/>
          <w:szCs w:val="32"/>
        </w:rPr>
        <w:t>万元，占</w:t>
      </w:r>
      <w:r>
        <w:rPr>
          <w:sz w:val="32"/>
          <w:szCs w:val="32"/>
        </w:rPr>
        <w:t>4.5</w:t>
      </w:r>
      <w:r>
        <w:rPr>
          <w:rFonts w:hint="eastAsia"/>
          <w:sz w:val="32"/>
          <w:szCs w:val="32"/>
          <w:lang w:val="en-US" w:eastAsia="zh-CN"/>
        </w:rPr>
        <w:t>4</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2901.18</w:t>
      </w:r>
      <w:r>
        <w:rPr>
          <w:rFonts w:hint="eastAsia" w:ascii="仿宋" w:hAnsi="仿宋" w:eastAsia="仿宋"/>
          <w:sz w:val="32"/>
          <w:szCs w:val="32"/>
        </w:rPr>
        <w:t>万元，占</w:t>
      </w:r>
      <w:r>
        <w:rPr>
          <w:sz w:val="32"/>
          <w:szCs w:val="32"/>
        </w:rPr>
        <w:t>3.</w:t>
      </w:r>
      <w:r>
        <w:rPr>
          <w:rFonts w:hint="eastAsia"/>
          <w:sz w:val="32"/>
          <w:szCs w:val="32"/>
          <w:lang w:val="en-US" w:eastAsia="zh-CN"/>
        </w:rPr>
        <w:t>77</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pPr>
        <w:pStyle w:val="18"/>
        <w:rPr>
          <w:rFonts w:hint="eastAsia" w:ascii="仿宋" w:hAnsi="仿宋" w:eastAsia="仿宋"/>
          <w:sz w:val="32"/>
          <w:szCs w:val="32"/>
        </w:rPr>
      </w:pPr>
    </w:p>
    <w:p>
      <w:pPr>
        <w:rPr>
          <w:rFonts w:hint="eastAsia" w:ascii="仿宋" w:hAnsi="仿宋" w:eastAsia="仿宋"/>
          <w:sz w:val="32"/>
          <w:szCs w:val="32"/>
        </w:rPr>
      </w:pPr>
      <w:r>
        <w:rPr>
          <w:rFonts w:hint="eastAsia"/>
        </w:rPr>
        <w:drawing>
          <wp:inline distT="0" distB="0" distL="0" distR="0">
            <wp:extent cx="4819650" cy="3171825"/>
            <wp:effectExtent l="4445" t="4445" r="14605" b="5080"/>
            <wp:docPr id="2"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28"/>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shd w:val="pct10" w:color="auto" w:fill="FFFFFF"/>
        </w:rPr>
      </w:pPr>
      <w:r>
        <w:rPr>
          <w:rFonts w:hint="eastAsia" w:ascii="仿宋" w:hAnsi="仿宋" w:eastAsia="仿宋"/>
          <w:sz w:val="32"/>
          <w:szCs w:val="32"/>
        </w:rPr>
        <w:t>2023年度本年支出合计</w:t>
      </w:r>
      <w:r>
        <w:rPr>
          <w:sz w:val="32"/>
          <w:szCs w:val="32"/>
        </w:rPr>
        <w:t>76484.61</w:t>
      </w:r>
      <w:r>
        <w:rPr>
          <w:rFonts w:hint="eastAsia" w:ascii="仿宋" w:hAnsi="仿宋" w:eastAsia="仿宋"/>
          <w:sz w:val="32"/>
          <w:szCs w:val="32"/>
        </w:rPr>
        <w:t>万元，其中：基本支出</w:t>
      </w:r>
      <w:r>
        <w:rPr>
          <w:sz w:val="32"/>
          <w:szCs w:val="32"/>
        </w:rPr>
        <w:t>63852.32</w:t>
      </w:r>
      <w:r>
        <w:rPr>
          <w:rFonts w:hint="eastAsia" w:ascii="仿宋" w:hAnsi="仿宋" w:eastAsia="仿宋"/>
          <w:sz w:val="32"/>
          <w:szCs w:val="32"/>
        </w:rPr>
        <w:t>万元，占</w:t>
      </w:r>
      <w:r>
        <w:rPr>
          <w:sz w:val="32"/>
          <w:szCs w:val="32"/>
        </w:rPr>
        <w:t>83.</w:t>
      </w:r>
      <w:r>
        <w:rPr>
          <w:rFonts w:hint="eastAsia"/>
          <w:sz w:val="32"/>
          <w:szCs w:val="32"/>
          <w:lang w:val="en-US" w:eastAsia="zh-CN"/>
        </w:rPr>
        <w:t>48</w:t>
      </w:r>
      <w:r>
        <w:rPr>
          <w:rFonts w:ascii="仿宋" w:hAnsi="仿宋" w:eastAsia="仿宋"/>
          <w:sz w:val="32"/>
          <w:szCs w:val="32"/>
        </w:rPr>
        <w:t>%</w:t>
      </w:r>
      <w:r>
        <w:rPr>
          <w:rFonts w:hint="eastAsia" w:ascii="仿宋" w:hAnsi="仿宋" w:eastAsia="仿宋"/>
          <w:sz w:val="32"/>
          <w:szCs w:val="32"/>
        </w:rPr>
        <w:t>；项目支出</w:t>
      </w:r>
      <w:r>
        <w:rPr>
          <w:sz w:val="32"/>
          <w:szCs w:val="32"/>
        </w:rPr>
        <w:t>12632.29</w:t>
      </w:r>
      <w:r>
        <w:rPr>
          <w:rFonts w:hint="eastAsia" w:ascii="仿宋" w:hAnsi="仿宋" w:eastAsia="仿宋"/>
          <w:sz w:val="32"/>
          <w:szCs w:val="32"/>
        </w:rPr>
        <w:t>万元，占</w:t>
      </w:r>
      <w:r>
        <w:rPr>
          <w:sz w:val="32"/>
          <w:szCs w:val="32"/>
        </w:rPr>
        <w:t>16.5</w:t>
      </w:r>
      <w:r>
        <w:rPr>
          <w:rFonts w:hint="eastAsia"/>
          <w:sz w:val="32"/>
          <w:szCs w:val="32"/>
          <w:lang w:val="en-US" w:eastAsia="zh-CN"/>
        </w:rPr>
        <w:t>2</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pStyle w:val="18"/>
      </w:pPr>
      <w:r>
        <w:rPr>
          <w:rFonts w:hint="eastAsia"/>
        </w:rPr>
        <w:drawing>
          <wp:inline distT="0" distB="0" distL="0" distR="0">
            <wp:extent cx="4620260" cy="2572385"/>
            <wp:effectExtent l="4445" t="4445" r="23495" b="13970"/>
            <wp:docPr id="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1"/>
        <w:rPr>
          <w:rStyle w:val="28"/>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8"/>
      <w:bookmarkEnd w:id="29"/>
    </w:p>
    <w:p>
      <w:pPr>
        <w:spacing w:line="600" w:lineRule="exact"/>
        <w:ind w:firstLine="640"/>
        <w:rPr>
          <w:rFonts w:hint="default" w:ascii="仿宋" w:hAnsi="仿宋" w:eastAsia="仿宋"/>
          <w:sz w:val="32"/>
          <w:szCs w:val="32"/>
          <w:lang w:val="en-US"/>
        </w:rPr>
      </w:pPr>
      <w:r>
        <w:rPr>
          <w:rFonts w:hint="eastAsia" w:ascii="仿宋" w:hAnsi="仿宋" w:eastAsia="仿宋"/>
          <w:sz w:val="32"/>
          <w:szCs w:val="32"/>
        </w:rPr>
        <w:t>2023年度财政拨款收、支总计均为</w:t>
      </w:r>
      <w:r>
        <w:rPr>
          <w:rFonts w:hint="eastAsia"/>
          <w:sz w:val="32"/>
          <w:szCs w:val="32"/>
          <w:lang w:val="en-US" w:eastAsia="zh-CN"/>
        </w:rPr>
        <w:t>70663.83</w:t>
      </w:r>
      <w:r>
        <w:rPr>
          <w:rFonts w:hint="eastAsia" w:ascii="仿宋" w:hAnsi="仿宋" w:eastAsia="仿宋"/>
          <w:sz w:val="32"/>
          <w:szCs w:val="32"/>
        </w:rPr>
        <w:t>万元。与2022年度相比，财政拨款收、支总计各增加</w:t>
      </w:r>
      <w:r>
        <w:rPr>
          <w:rFonts w:hint="eastAsia"/>
          <w:sz w:val="32"/>
          <w:szCs w:val="32"/>
          <w:lang w:val="en-US" w:eastAsia="zh-CN"/>
        </w:rPr>
        <w:t>4763.59</w:t>
      </w:r>
      <w:r>
        <w:rPr>
          <w:rFonts w:hint="eastAsia" w:ascii="仿宋" w:hAnsi="仿宋" w:eastAsia="仿宋"/>
          <w:sz w:val="32"/>
          <w:szCs w:val="32"/>
        </w:rPr>
        <w:t>万元，增长</w:t>
      </w:r>
      <w:r>
        <w:rPr>
          <w:rFonts w:hint="eastAsia"/>
          <w:sz w:val="32"/>
          <w:szCs w:val="32"/>
          <w:lang w:val="en-US" w:eastAsia="zh-CN"/>
        </w:rPr>
        <w:t>7.23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教育投入增加以及偿还以往年度欠款。</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rPr>
          <w:rFonts w:ascii="仿宋" w:hAnsi="仿宋" w:eastAsia="仿宋"/>
          <w:b/>
          <w:sz w:val="32"/>
          <w:szCs w:val="32"/>
        </w:rPr>
      </w:pPr>
      <w:r>
        <w:rPr>
          <w:rFonts w:hint="eastAsia"/>
        </w:rPr>
        <w:drawing>
          <wp:anchor distT="0" distB="0" distL="0" distR="0" simplePos="0" relativeHeight="251659264" behindDoc="0" locked="0" layoutInCell="1" allowOverlap="1">
            <wp:simplePos x="0" y="0"/>
            <wp:positionH relativeFrom="column">
              <wp:posOffset>-132715</wp:posOffset>
            </wp:positionH>
            <wp:positionV relativeFrom="paragraph">
              <wp:posOffset>26035</wp:posOffset>
            </wp:positionV>
            <wp:extent cx="5274310" cy="2849245"/>
            <wp:effectExtent l="4445" t="4445" r="17145" b="22860"/>
            <wp:wrapSquare wrapText="bothSides"/>
            <wp:docPr id="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18"/>
      </w:pPr>
    </w:p>
    <w:p>
      <w:pPr>
        <w:spacing w:line="600" w:lineRule="exact"/>
        <w:ind w:firstLine="640" w:firstLineChars="200"/>
        <w:outlineLvl w:val="1"/>
        <w:rPr>
          <w:rStyle w:val="28"/>
          <w:rFonts w:ascii="黑体" w:hAnsi="黑体" w:eastAsia="黑体"/>
          <w:b w:val="0"/>
        </w:rPr>
      </w:pPr>
      <w:bookmarkStart w:id="30" w:name="_Toc15377209"/>
      <w:bookmarkStart w:id="31"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0"/>
      <w:bookmarkEnd w:id="31"/>
    </w:p>
    <w:p>
      <w:pPr>
        <w:spacing w:line="600" w:lineRule="exact"/>
        <w:ind w:firstLine="640"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rPr>
          <w:rFonts w:hint="default" w:ascii="仿宋" w:hAnsi="仿宋" w:eastAsia="仿宋"/>
          <w:sz w:val="32"/>
          <w:szCs w:val="32"/>
          <w:lang w:val="en-US"/>
        </w:rPr>
      </w:pPr>
      <w:r>
        <w:rPr>
          <w:rFonts w:hint="eastAsia" w:ascii="仿宋" w:hAnsi="仿宋" w:eastAsia="仿宋"/>
          <w:sz w:val="32"/>
          <w:szCs w:val="32"/>
        </w:rPr>
        <w:t>2023年度一般公共预算财政拨款支出</w:t>
      </w:r>
      <w:r>
        <w:rPr>
          <w:sz w:val="32"/>
          <w:szCs w:val="32"/>
        </w:rPr>
        <w:t>69800.72</w:t>
      </w:r>
      <w:r>
        <w:rPr>
          <w:rFonts w:hint="eastAsia" w:ascii="仿宋" w:hAnsi="仿宋" w:eastAsia="仿宋"/>
          <w:sz w:val="32"/>
          <w:szCs w:val="32"/>
        </w:rPr>
        <w:t>万元，占本年支出合计的</w:t>
      </w:r>
      <w:r>
        <w:rPr>
          <w:sz w:val="32"/>
          <w:szCs w:val="32"/>
        </w:rPr>
        <w:t>91.26</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sz w:val="32"/>
          <w:szCs w:val="32"/>
          <w:lang w:val="en-US" w:eastAsia="zh-CN"/>
        </w:rPr>
        <w:t>4780.52</w:t>
      </w:r>
      <w:r>
        <w:rPr>
          <w:rFonts w:hint="eastAsia" w:ascii="仿宋" w:hAnsi="仿宋" w:eastAsia="仿宋"/>
          <w:sz w:val="32"/>
          <w:szCs w:val="32"/>
        </w:rPr>
        <w:t>万元，增长</w:t>
      </w:r>
      <w:r>
        <w:rPr>
          <w:rFonts w:hint="eastAsia"/>
          <w:sz w:val="32"/>
          <w:szCs w:val="32"/>
          <w:lang w:val="en-US" w:eastAsia="zh-CN"/>
        </w:rPr>
        <w:t>7.35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教育投入增加以及偿还以往年度欠款。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pStyle w:val="18"/>
        <w:rPr>
          <w:rFonts w:ascii="仿宋" w:hAnsi="仿宋" w:eastAsia="仿宋"/>
          <w:sz w:val="32"/>
          <w:szCs w:val="32"/>
        </w:rPr>
      </w:pPr>
      <w:r>
        <w:rPr>
          <w:rFonts w:hint="eastAsia"/>
        </w:rPr>
        <w:drawing>
          <wp:inline distT="0" distB="0" distL="0" distR="0">
            <wp:extent cx="5274310" cy="3076575"/>
            <wp:effectExtent l="5080" t="4445" r="16510" b="5080"/>
            <wp:docPr id="8"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ascii="仿宋" w:hAnsi="仿宋" w:eastAsia="仿宋"/>
          <w:sz w:val="32"/>
          <w:szCs w:val="32"/>
        </w:rPr>
      </w:pPr>
    </w:p>
    <w:p>
      <w:pPr>
        <w:pStyle w:val="18"/>
      </w:pPr>
    </w:p>
    <w:p/>
    <w:p>
      <w:pPr>
        <w:pStyle w:val="2"/>
      </w:pPr>
    </w:p>
    <w:p>
      <w:pPr>
        <w:spacing w:line="600" w:lineRule="exact"/>
        <w:ind w:firstLine="640" w:firstLineChars="200"/>
        <w:outlineLvl w:val="2"/>
        <w:rPr>
          <w:rFonts w:ascii="仿宋" w:hAnsi="仿宋" w:eastAsia="仿宋"/>
          <w:b/>
          <w:sz w:val="32"/>
          <w:szCs w:val="32"/>
        </w:rPr>
      </w:pPr>
      <w:bookmarkStart w:id="33" w:name="_Toc15377211"/>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hint="eastAsia" w:ascii="仿宋" w:hAnsi="仿宋" w:eastAsia="仿宋"/>
          <w:sz w:val="32"/>
          <w:szCs w:val="32"/>
          <w:highlight w:val="none"/>
        </w:rPr>
        <w:t>2023年度一般公共预算财政拨款支出</w:t>
      </w:r>
      <w:r>
        <w:rPr>
          <w:sz w:val="32"/>
          <w:szCs w:val="32"/>
          <w:highlight w:val="none"/>
        </w:rPr>
        <w:t>69800.72</w:t>
      </w:r>
      <w:r>
        <w:rPr>
          <w:rFonts w:hint="eastAsia" w:ascii="仿宋" w:hAnsi="仿宋" w:eastAsia="仿宋"/>
          <w:sz w:val="32"/>
          <w:szCs w:val="32"/>
          <w:highlight w:val="none"/>
        </w:rPr>
        <w:t>万元，主要用于以下方面</w:t>
      </w:r>
      <w:r>
        <w:rPr>
          <w:rFonts w:ascii="仿宋" w:hAnsi="仿宋" w:eastAsia="仿宋"/>
          <w:sz w:val="32"/>
          <w:szCs w:val="32"/>
          <w:highlight w:val="none"/>
        </w:rPr>
        <w:t>:</w:t>
      </w:r>
      <w:r>
        <w:rPr>
          <w:rFonts w:hint="eastAsia" w:ascii="仿宋" w:hAnsi="仿宋" w:eastAsia="仿宋"/>
          <w:b/>
          <w:sz w:val="32"/>
          <w:szCs w:val="32"/>
          <w:highlight w:val="none"/>
        </w:rPr>
        <w:t>一般公共服务</w:t>
      </w:r>
      <w:r>
        <w:rPr>
          <w:rFonts w:hint="eastAsia" w:ascii="仿宋" w:hAnsi="仿宋" w:eastAsia="仿宋"/>
          <w:b/>
          <w:bCs/>
          <w:sz w:val="32"/>
          <w:szCs w:val="32"/>
          <w:highlight w:val="none"/>
        </w:rPr>
        <w:t>支出</w:t>
      </w:r>
      <w:r>
        <w:rPr>
          <w:rFonts w:hint="eastAsia" w:ascii="仿宋" w:hAnsi="仿宋" w:eastAsia="仿宋"/>
          <w:sz w:val="32"/>
          <w:szCs w:val="32"/>
          <w:highlight w:val="none"/>
          <w:lang w:val="en-US" w:eastAsia="zh-CN"/>
        </w:rPr>
        <w:t>45.21</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0.06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sz w:val="32"/>
          <w:szCs w:val="32"/>
          <w:lang w:eastAsia="zh-CN"/>
        </w:rPr>
        <w:t>公共安全</w:t>
      </w:r>
      <w:r>
        <w:rPr>
          <w:rFonts w:hint="eastAsia" w:ascii="仿宋" w:hAnsi="仿宋" w:eastAsia="仿宋"/>
          <w:b/>
          <w:sz w:val="32"/>
          <w:szCs w:val="32"/>
        </w:rPr>
        <w:t>支出</w:t>
      </w:r>
      <w:r>
        <w:rPr>
          <w:rFonts w:hint="eastAsia" w:ascii="仿宋" w:hAnsi="仿宋" w:eastAsia="仿宋"/>
          <w:sz w:val="32"/>
          <w:szCs w:val="32"/>
          <w:lang w:val="en-US" w:eastAsia="zh-CN"/>
        </w:rPr>
        <w:t>0.12</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sz w:val="32"/>
          <w:szCs w:val="32"/>
        </w:rPr>
        <w:t>教育支出</w:t>
      </w:r>
      <w:r>
        <w:rPr>
          <w:rFonts w:hint="eastAsia" w:ascii="仿宋" w:hAnsi="仿宋" w:eastAsia="仿宋"/>
          <w:sz w:val="32"/>
          <w:szCs w:val="32"/>
          <w:lang w:val="en-US" w:eastAsia="zh-CN"/>
        </w:rPr>
        <w:t>55067.2</w:t>
      </w:r>
      <w:r>
        <w:rPr>
          <w:rFonts w:hint="default" w:ascii="仿宋" w:hAnsi="仿宋" w:eastAsia="仿宋"/>
          <w:sz w:val="32"/>
          <w:szCs w:val="32"/>
          <w:lang w:val="en-US" w:eastAsia="zh-CN"/>
        </w:rPr>
        <w:t>6</w:t>
      </w:r>
      <w:r>
        <w:rPr>
          <w:rFonts w:hint="eastAsia" w:ascii="仿宋" w:hAnsi="仿宋" w:eastAsia="仿宋"/>
          <w:sz w:val="32"/>
          <w:szCs w:val="32"/>
        </w:rPr>
        <w:t>万元，占</w:t>
      </w:r>
      <w:r>
        <w:rPr>
          <w:rFonts w:hint="eastAsia" w:ascii="仿宋" w:hAnsi="仿宋" w:eastAsia="仿宋"/>
          <w:sz w:val="32"/>
          <w:szCs w:val="32"/>
          <w:lang w:val="en-US" w:eastAsia="zh-CN"/>
        </w:rPr>
        <w:t>78.89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sz w:val="32"/>
          <w:szCs w:val="32"/>
          <w:lang w:val="en-US" w:eastAsia="zh-CN"/>
        </w:rPr>
        <w:t>1822.96万元，占2.61%</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8569.52</w:t>
      </w:r>
      <w:r>
        <w:rPr>
          <w:rFonts w:hint="eastAsia" w:ascii="仿宋" w:hAnsi="仿宋" w:eastAsia="仿宋"/>
          <w:sz w:val="32"/>
          <w:szCs w:val="32"/>
        </w:rPr>
        <w:t>万元，占</w:t>
      </w:r>
      <w:r>
        <w:rPr>
          <w:rFonts w:hint="eastAsia" w:ascii="仿宋" w:hAnsi="仿宋" w:eastAsia="仿宋"/>
          <w:sz w:val="32"/>
          <w:szCs w:val="32"/>
          <w:lang w:val="en-US" w:eastAsia="zh-CN"/>
        </w:rPr>
        <w:t>12.28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5</w:t>
      </w:r>
      <w:r>
        <w:rPr>
          <w:rFonts w:hint="default" w:ascii="仿宋" w:hAnsi="仿宋" w:eastAsia="仿宋"/>
          <w:sz w:val="32"/>
          <w:szCs w:val="32"/>
          <w:lang w:val="en-US" w:eastAsia="zh-CN"/>
        </w:rPr>
        <w:t>3</w:t>
      </w:r>
      <w:r>
        <w:rPr>
          <w:rFonts w:hint="eastAsia" w:ascii="仿宋" w:hAnsi="仿宋" w:eastAsia="仿宋"/>
          <w:sz w:val="32"/>
          <w:szCs w:val="32"/>
          <w:lang w:val="en-US" w:eastAsia="zh-CN"/>
        </w:rPr>
        <w:t>.23</w:t>
      </w:r>
      <w:r>
        <w:rPr>
          <w:rFonts w:hint="eastAsia" w:ascii="仿宋" w:hAnsi="仿宋" w:eastAsia="仿宋"/>
          <w:sz w:val="32"/>
          <w:szCs w:val="32"/>
        </w:rPr>
        <w:t>万元，占</w:t>
      </w:r>
      <w:r>
        <w:rPr>
          <w:rFonts w:hint="eastAsia" w:ascii="仿宋" w:hAnsi="仿宋" w:eastAsia="仿宋"/>
          <w:sz w:val="32"/>
          <w:szCs w:val="32"/>
          <w:lang w:val="en-US" w:eastAsia="zh-CN"/>
        </w:rPr>
        <w:t>0.08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4242.42</w:t>
      </w:r>
      <w:r>
        <w:rPr>
          <w:rFonts w:hint="eastAsia" w:ascii="仿宋" w:hAnsi="仿宋" w:eastAsia="仿宋"/>
          <w:sz w:val="32"/>
          <w:szCs w:val="32"/>
        </w:rPr>
        <w:t>万元，占</w:t>
      </w:r>
      <w:r>
        <w:rPr>
          <w:rFonts w:hint="eastAsia" w:ascii="仿宋" w:hAnsi="仿宋" w:eastAsia="仿宋"/>
          <w:sz w:val="32"/>
          <w:szCs w:val="32"/>
          <w:lang w:val="en-US" w:eastAsia="zh-CN"/>
        </w:rPr>
        <w:t>6.08</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pPr>
        <w:pStyle w:val="18"/>
        <w:rPr>
          <w:rFonts w:hint="eastAsia" w:ascii="仿宋" w:hAnsi="仿宋" w:eastAsia="仿宋"/>
          <w:sz w:val="32"/>
          <w:szCs w:val="32"/>
        </w:rPr>
      </w:pPr>
      <w:r>
        <w:rPr>
          <w:rFonts w:hint="eastAsia"/>
        </w:rPr>
        <w:drawing>
          <wp:inline distT="0" distB="0" distL="0" distR="0">
            <wp:extent cx="5274310" cy="3076575"/>
            <wp:effectExtent l="5080" t="4445" r="16510" b="5080"/>
            <wp:docPr id="12"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int="eastAsia" w:ascii="仿宋" w:hAnsi="仿宋" w:eastAsia="仿宋"/>
          <w:sz w:val="32"/>
          <w:szCs w:val="32"/>
        </w:rPr>
      </w:pPr>
    </w:p>
    <w:p>
      <w:pPr>
        <w:pStyle w:val="18"/>
        <w:rPr>
          <w:rFonts w:hint="eastAsia" w:ascii="仿宋" w:hAnsi="仿宋" w:eastAsia="仿宋"/>
          <w:sz w:val="32"/>
          <w:szCs w:val="32"/>
        </w:rPr>
      </w:pPr>
    </w:p>
    <w:p>
      <w:pPr>
        <w:spacing w:line="600" w:lineRule="exact"/>
        <w:rPr>
          <w:rFonts w:ascii="仿宋" w:hAnsi="仿宋" w:eastAsia="仿宋"/>
          <w:sz w:val="32"/>
          <w:szCs w:val="32"/>
        </w:rPr>
      </w:pPr>
    </w:p>
    <w:p>
      <w:pPr>
        <w:pStyle w:val="2"/>
      </w:pPr>
    </w:p>
    <w:p>
      <w:pPr>
        <w:spacing w:line="600" w:lineRule="exact"/>
        <w:ind w:firstLine="640"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0" w:firstLineChars="200"/>
        <w:outlineLvl w:val="2"/>
        <w:rPr>
          <w:rFonts w:ascii="仿宋" w:hAnsi="仿宋" w:eastAsia="仿宋"/>
          <w:sz w:val="32"/>
          <w:szCs w:val="32"/>
          <w:highlight w:val="none"/>
        </w:rPr>
      </w:pPr>
      <w:bookmarkStart w:id="35" w:name="_Toc15377213"/>
      <w:bookmarkStart w:id="36" w:name="_Toc15377444"/>
      <w:bookmarkStart w:id="37" w:name="_Toc15378460"/>
      <w:r>
        <w:rPr>
          <w:rFonts w:hint="eastAsia" w:ascii="仿宋" w:hAnsi="仿宋" w:eastAsia="仿宋"/>
          <w:b/>
          <w:sz w:val="32"/>
          <w:szCs w:val="32"/>
        </w:rPr>
        <w:t>2023年度一般公共预算支出决算数为</w:t>
      </w:r>
      <w:r>
        <w:rPr>
          <w:sz w:val="32"/>
          <w:szCs w:val="32"/>
          <w:highlight w:val="none"/>
        </w:rPr>
        <w:t>69800.72</w:t>
      </w:r>
      <w:r>
        <w:rPr>
          <w:rFonts w:hint="eastAsia" w:ascii="仿宋" w:hAnsi="仿宋" w:eastAsia="仿宋"/>
          <w:sz w:val="32"/>
          <w:szCs w:val="32"/>
          <w:highlight w:val="none"/>
        </w:rPr>
        <w:t>，</w:t>
      </w:r>
      <w:r>
        <w:rPr>
          <w:rStyle w:val="16"/>
          <w:rFonts w:hint="eastAsia" w:ascii="仿宋" w:hAnsi="仿宋" w:eastAsia="仿宋"/>
          <w:bCs/>
          <w:sz w:val="32"/>
          <w:szCs w:val="32"/>
          <w:highlight w:val="none"/>
        </w:rPr>
        <w:t>完</w:t>
      </w:r>
      <w:r>
        <w:rPr>
          <w:rStyle w:val="16"/>
          <w:rFonts w:hint="eastAsia" w:ascii="仿宋" w:hAnsi="仿宋" w:eastAsia="仿宋"/>
          <w:bCs/>
          <w:sz w:val="32"/>
          <w:szCs w:val="32"/>
        </w:rPr>
        <w:t>成预</w:t>
      </w:r>
      <w:r>
        <w:rPr>
          <w:rStyle w:val="16"/>
          <w:rFonts w:hint="eastAsia" w:ascii="仿宋" w:hAnsi="仿宋" w:eastAsia="仿宋"/>
          <w:bCs/>
          <w:sz w:val="32"/>
          <w:szCs w:val="32"/>
          <w:highlight w:val="none"/>
        </w:rPr>
        <w:t>算</w:t>
      </w:r>
      <w:r>
        <w:rPr>
          <w:rFonts w:hint="eastAsia" w:ascii="仿宋" w:hAnsi="仿宋" w:eastAsia="仿宋"/>
          <w:b/>
          <w:sz w:val="32"/>
          <w:szCs w:val="32"/>
          <w:lang w:val="en-US" w:eastAsia="zh-CN"/>
        </w:rPr>
        <w:t>100</w:t>
      </w:r>
      <w:r>
        <w:rPr>
          <w:rFonts w:hint="eastAsia" w:ascii="仿宋" w:hAnsi="仿宋" w:eastAsia="仿宋"/>
          <w:b/>
          <w:sz w:val="32"/>
          <w:szCs w:val="32"/>
        </w:rPr>
        <w:t>%。</w:t>
      </w:r>
      <w:r>
        <w:rPr>
          <w:rStyle w:val="16"/>
          <w:rFonts w:hint="eastAsia" w:ascii="仿宋" w:hAnsi="仿宋" w:eastAsia="仿宋"/>
          <w:bCs/>
          <w:sz w:val="32"/>
          <w:szCs w:val="32"/>
          <w:highlight w:val="none"/>
        </w:rPr>
        <w:t>其中：</w:t>
      </w:r>
      <w:bookmarkEnd w:id="35"/>
      <w:bookmarkEnd w:id="36"/>
      <w:bookmarkEnd w:id="37"/>
    </w:p>
    <w:p>
      <w:pPr>
        <w:numPr>
          <w:ilvl w:val="0"/>
          <w:numId w:val="0"/>
        </w:numPr>
        <w:spacing w:line="600" w:lineRule="exact"/>
        <w:ind w:firstLine="640" w:firstLineChars="200"/>
        <w:rPr>
          <w:rStyle w:val="16"/>
          <w:rFonts w:hint="eastAsia" w:ascii="仿宋" w:hAnsi="仿宋" w:eastAsia="仿宋"/>
          <w:b w:val="0"/>
          <w:bCs/>
          <w:sz w:val="32"/>
          <w:szCs w:val="32"/>
          <w:lang w:eastAsia="zh-CN"/>
        </w:rPr>
      </w:pPr>
      <w:r>
        <w:rPr>
          <w:rStyle w:val="16"/>
          <w:rFonts w:hint="eastAsia" w:ascii="仿宋" w:hAnsi="仿宋" w:eastAsia="仿宋"/>
          <w:bCs/>
          <w:sz w:val="32"/>
          <w:szCs w:val="32"/>
          <w:lang w:val="en-US" w:eastAsia="zh-CN"/>
        </w:rPr>
        <w:t>1.</w:t>
      </w:r>
      <w:r>
        <w:rPr>
          <w:rStyle w:val="16"/>
          <w:rFonts w:hint="eastAsia" w:ascii="仿宋" w:hAnsi="仿宋" w:eastAsia="仿宋"/>
          <w:bCs/>
          <w:sz w:val="32"/>
          <w:szCs w:val="32"/>
        </w:rPr>
        <w:t>一般公共服务（类）</w:t>
      </w:r>
      <w:r>
        <w:rPr>
          <w:rStyle w:val="16"/>
          <w:rFonts w:hint="eastAsia" w:ascii="仿宋" w:eastAsia="仿宋"/>
          <w:bCs/>
          <w:color w:val="auto"/>
          <w:sz w:val="32"/>
          <w:szCs w:val="32"/>
          <w:highlight w:val="none"/>
          <w:lang w:eastAsia="zh-CN"/>
        </w:rPr>
        <w:t>组织事务（</w:t>
      </w:r>
      <w:r>
        <w:rPr>
          <w:rStyle w:val="16"/>
          <w:rFonts w:hint="eastAsia" w:ascii="仿宋" w:eastAsia="仿宋"/>
          <w:bCs/>
          <w:color w:val="auto"/>
          <w:sz w:val="32"/>
          <w:szCs w:val="32"/>
          <w:highlight w:val="none"/>
        </w:rPr>
        <w:t>款）</w:t>
      </w:r>
      <w:r>
        <w:rPr>
          <w:rStyle w:val="16"/>
          <w:rFonts w:hint="eastAsia" w:ascii="仿宋" w:eastAsia="仿宋"/>
          <w:bCs/>
          <w:color w:val="auto"/>
          <w:sz w:val="32"/>
          <w:szCs w:val="32"/>
          <w:highlight w:val="none"/>
          <w:lang w:eastAsia="zh-CN"/>
        </w:rPr>
        <w:t>其他组织事务支出</w:t>
      </w:r>
      <w:r>
        <w:rPr>
          <w:rStyle w:val="16"/>
          <w:rFonts w:hint="eastAsia" w:ascii="仿宋" w:eastAsia="仿宋"/>
          <w:bCs/>
          <w:color w:val="auto"/>
          <w:sz w:val="32"/>
          <w:szCs w:val="32"/>
          <w:highlight w:val="none"/>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highlight w:val="none"/>
          <w:lang w:val="en-US" w:eastAsia="zh-CN"/>
        </w:rPr>
        <w:t>45.21</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pPr>
        <w:numPr>
          <w:ilvl w:val="0"/>
          <w:numId w:val="0"/>
        </w:numPr>
        <w:spacing w:line="600" w:lineRule="exact"/>
        <w:ind w:firstLine="640" w:firstLineChars="200"/>
        <w:rPr>
          <w:rFonts w:hint="eastAsia" w:eastAsia="仿宋"/>
          <w:lang w:eastAsia="zh-CN"/>
        </w:rPr>
      </w:pPr>
      <w:r>
        <w:rPr>
          <w:rStyle w:val="16"/>
          <w:rFonts w:hint="eastAsia" w:ascii="仿宋" w:hAnsi="仿宋" w:eastAsia="仿宋"/>
          <w:bCs/>
          <w:sz w:val="32"/>
          <w:szCs w:val="32"/>
          <w:lang w:val="en-US" w:eastAsia="zh-CN"/>
        </w:rPr>
        <w:t>2.</w:t>
      </w:r>
      <w:r>
        <w:rPr>
          <w:rFonts w:hint="eastAsia" w:ascii="仿宋" w:hAnsi="仿宋" w:eastAsia="仿宋"/>
          <w:b/>
          <w:sz w:val="32"/>
          <w:szCs w:val="32"/>
          <w:lang w:eastAsia="zh-CN"/>
        </w:rPr>
        <w:t>公共安全</w:t>
      </w:r>
      <w:r>
        <w:rPr>
          <w:rStyle w:val="16"/>
          <w:rFonts w:hint="eastAsia" w:ascii="仿宋" w:hAnsi="仿宋" w:eastAsia="仿宋"/>
          <w:bCs/>
          <w:sz w:val="32"/>
          <w:szCs w:val="32"/>
        </w:rPr>
        <w:t>（类）</w:t>
      </w:r>
      <w:r>
        <w:rPr>
          <w:rStyle w:val="16"/>
          <w:rFonts w:hint="eastAsia" w:ascii="仿宋" w:hAnsi="仿宋" w:eastAsia="仿宋"/>
          <w:bCs/>
          <w:sz w:val="32"/>
          <w:szCs w:val="32"/>
          <w:lang w:eastAsia="zh-CN"/>
        </w:rPr>
        <w:t>法院</w:t>
      </w:r>
      <w:r>
        <w:rPr>
          <w:rStyle w:val="16"/>
          <w:rFonts w:hint="eastAsia" w:ascii="仿宋" w:hAnsi="仿宋" w:eastAsia="仿宋"/>
          <w:bCs/>
          <w:sz w:val="32"/>
          <w:szCs w:val="32"/>
        </w:rPr>
        <w:t>（款）</w:t>
      </w:r>
      <w:r>
        <w:rPr>
          <w:rStyle w:val="16"/>
          <w:rFonts w:hint="eastAsia" w:ascii="仿宋" w:hAnsi="仿宋" w:eastAsia="仿宋"/>
          <w:bCs/>
          <w:sz w:val="32"/>
          <w:szCs w:val="32"/>
          <w:lang w:eastAsia="zh-CN"/>
        </w:rPr>
        <w:t>行政运行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0.12</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lang w:eastAsia="zh-CN"/>
        </w:rPr>
        <w:t>。</w:t>
      </w:r>
    </w:p>
    <w:p>
      <w:pPr>
        <w:spacing w:line="600" w:lineRule="exact"/>
        <w:ind w:firstLine="640"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3</w:t>
      </w:r>
      <w:r>
        <w:rPr>
          <w:rStyle w:val="16"/>
          <w:rFonts w:ascii="仿宋" w:hAnsi="仿宋" w:eastAsia="仿宋"/>
          <w:bCs/>
          <w:sz w:val="32"/>
          <w:szCs w:val="32"/>
        </w:rPr>
        <w:t>.</w:t>
      </w:r>
      <w:r>
        <w:rPr>
          <w:rStyle w:val="16"/>
          <w:rFonts w:hint="eastAsia" w:ascii="仿宋" w:hAnsi="仿宋" w:eastAsia="仿宋"/>
          <w:bCs/>
          <w:sz w:val="32"/>
          <w:szCs w:val="32"/>
        </w:rPr>
        <w:t>教育（类）</w:t>
      </w:r>
      <w:r>
        <w:rPr>
          <w:rStyle w:val="16"/>
          <w:rFonts w:hint="eastAsia" w:ascii="仿宋" w:hAnsi="仿宋" w:eastAsia="仿宋"/>
          <w:bCs/>
          <w:color w:val="000000"/>
          <w:sz w:val="32"/>
          <w:szCs w:val="32"/>
        </w:rPr>
        <w:t>教育管理事务（款）行政运行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1241.65</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ind w:firstLine="600"/>
        <w:rPr>
          <w:rStyle w:val="16"/>
          <w:rFonts w:hint="eastAsia" w:ascii="仿宋" w:eastAsia="仿宋"/>
          <w:b w:val="0"/>
          <w:bCs/>
          <w:color w:val="auto"/>
          <w:sz w:val="32"/>
          <w:szCs w:val="32"/>
          <w:highlight w:val="none"/>
        </w:rPr>
      </w:pPr>
      <w:r>
        <w:rPr>
          <w:rStyle w:val="16"/>
          <w:rFonts w:hint="eastAsia" w:ascii="仿宋" w:eastAsia="仿宋"/>
          <w:bCs/>
          <w:color w:val="auto"/>
          <w:sz w:val="32"/>
          <w:szCs w:val="32"/>
          <w:highlight w:val="none"/>
          <w:lang w:val="en-US" w:eastAsia="zh-CN"/>
        </w:rPr>
        <w:t>4</w:t>
      </w:r>
      <w:r>
        <w:rPr>
          <w:rStyle w:val="16"/>
          <w:rFonts w:ascii="仿宋" w:eastAsia="仿宋"/>
          <w:bCs/>
          <w:color w:val="auto"/>
          <w:sz w:val="32"/>
          <w:szCs w:val="32"/>
          <w:highlight w:val="none"/>
        </w:rPr>
        <w:t>.</w:t>
      </w:r>
      <w:r>
        <w:rPr>
          <w:rStyle w:val="16"/>
          <w:rFonts w:hint="eastAsia" w:ascii="仿宋" w:hAnsi="仿宋" w:eastAsia="仿宋"/>
          <w:bCs/>
          <w:color w:val="000000"/>
          <w:sz w:val="32"/>
          <w:szCs w:val="32"/>
        </w:rPr>
        <w:t>教育（类）教育管理事务（款）</w:t>
      </w:r>
      <w:r>
        <w:rPr>
          <w:rStyle w:val="16"/>
          <w:rFonts w:hint="eastAsia" w:ascii="仿宋" w:hAnsi="仿宋" w:eastAsia="仿宋"/>
          <w:bCs/>
          <w:color w:val="000000"/>
          <w:sz w:val="32"/>
          <w:szCs w:val="32"/>
          <w:lang w:eastAsia="zh-CN"/>
        </w:rPr>
        <w:t>其他教育管理事务支出</w:t>
      </w:r>
      <w:r>
        <w:rPr>
          <w:rStyle w:val="16"/>
          <w:rFonts w:hint="eastAsia" w:ascii="仿宋" w:hAnsi="仿宋" w:eastAsia="仿宋"/>
          <w:bCs/>
          <w:color w:val="000000"/>
          <w:sz w:val="32"/>
          <w:szCs w:val="32"/>
        </w:rPr>
        <w:t>（项）</w:t>
      </w:r>
      <w:r>
        <w:rPr>
          <w:rStyle w:val="16"/>
          <w:rFonts w:ascii="仿宋" w:eastAsia="仿宋"/>
          <w:bCs/>
          <w:color w:val="auto"/>
          <w:sz w:val="32"/>
          <w:szCs w:val="32"/>
          <w:highlight w:val="none"/>
        </w:rPr>
        <w:t>:</w:t>
      </w:r>
      <w:r>
        <w:rPr>
          <w:rStyle w:val="16"/>
          <w:rFonts w:ascii="仿宋" w:eastAsia="仿宋"/>
          <w:b w:val="0"/>
          <w:bCs/>
          <w:color w:val="auto"/>
          <w:sz w:val="32"/>
          <w:szCs w:val="32"/>
          <w:highlight w:val="none"/>
        </w:rPr>
        <w:t xml:space="preserve"> </w:t>
      </w:r>
      <w:r>
        <w:rPr>
          <w:rStyle w:val="16"/>
          <w:rFonts w:hint="eastAsia" w:ascii="仿宋" w:eastAsia="仿宋"/>
          <w:b w:val="0"/>
          <w:bCs/>
          <w:color w:val="auto"/>
          <w:sz w:val="32"/>
          <w:szCs w:val="32"/>
          <w:highlight w:val="none"/>
        </w:rPr>
        <w:t>支出决算为</w:t>
      </w:r>
      <w:r>
        <w:rPr>
          <w:rStyle w:val="16"/>
          <w:rFonts w:hint="eastAsia" w:ascii="仿宋" w:eastAsia="仿宋"/>
          <w:b w:val="0"/>
          <w:bCs/>
          <w:color w:val="auto"/>
          <w:sz w:val="32"/>
          <w:szCs w:val="32"/>
          <w:highlight w:val="none"/>
          <w:lang w:val="en-US" w:eastAsia="zh-CN"/>
        </w:rPr>
        <w:t>288.13</w:t>
      </w:r>
      <w:r>
        <w:rPr>
          <w:rStyle w:val="16"/>
          <w:rFonts w:hint="eastAsia" w:ascii="仿宋" w:eastAsia="仿宋"/>
          <w:b w:val="0"/>
          <w:bCs/>
          <w:color w:val="auto"/>
          <w:sz w:val="32"/>
          <w:szCs w:val="32"/>
          <w:highlight w:val="none"/>
        </w:rPr>
        <w:t>万元，完成预算</w:t>
      </w:r>
      <w:r>
        <w:rPr>
          <w:rStyle w:val="16"/>
          <w:rFonts w:hint="eastAsia" w:ascii="仿宋" w:eastAsia="仿宋"/>
          <w:b w:val="0"/>
          <w:bCs/>
          <w:color w:val="auto"/>
          <w:sz w:val="32"/>
          <w:szCs w:val="32"/>
          <w:highlight w:val="none"/>
          <w:lang w:val="en-US" w:eastAsia="zh-CN"/>
        </w:rPr>
        <w:t>100</w:t>
      </w:r>
      <w:r>
        <w:rPr>
          <w:rStyle w:val="16"/>
          <w:rFonts w:ascii="仿宋" w:eastAsia="仿宋"/>
          <w:b w:val="0"/>
          <w:bCs/>
          <w:color w:val="auto"/>
          <w:sz w:val="32"/>
          <w:szCs w:val="32"/>
          <w:highlight w:val="none"/>
        </w:rPr>
        <w:t>%</w:t>
      </w:r>
      <w:r>
        <w:rPr>
          <w:rStyle w:val="16"/>
          <w:rFonts w:hint="eastAsia" w:asci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5.</w:t>
      </w:r>
      <w:r>
        <w:rPr>
          <w:rStyle w:val="16"/>
          <w:rFonts w:hint="eastAsia" w:ascii="仿宋" w:hAnsi="仿宋" w:eastAsia="仿宋"/>
          <w:bCs/>
          <w:sz w:val="32"/>
          <w:szCs w:val="32"/>
        </w:rPr>
        <w:t>教育（类）普通教育（款）学前教育（项）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2696.49</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pPr>
      <w:r>
        <w:rPr>
          <w:rStyle w:val="16"/>
          <w:rFonts w:hint="eastAsia" w:ascii="仿宋" w:hAnsi="仿宋" w:eastAsia="仿宋"/>
          <w:bCs/>
          <w:sz w:val="32"/>
          <w:szCs w:val="32"/>
          <w:lang w:val="en-US" w:eastAsia="zh-CN"/>
        </w:rPr>
        <w:t>6</w:t>
      </w:r>
      <w:r>
        <w:rPr>
          <w:rStyle w:val="16"/>
          <w:rFonts w:ascii="仿宋" w:hAnsi="仿宋" w:eastAsia="仿宋"/>
          <w:bCs/>
          <w:sz w:val="32"/>
          <w:szCs w:val="32"/>
        </w:rPr>
        <w:t>.</w:t>
      </w:r>
      <w:r>
        <w:rPr>
          <w:rStyle w:val="16"/>
          <w:rFonts w:hint="eastAsia" w:ascii="仿宋" w:hAnsi="仿宋" w:eastAsia="仿宋"/>
          <w:bCs/>
          <w:sz w:val="32"/>
          <w:szCs w:val="32"/>
        </w:rPr>
        <w:t>教育（类）普通教育（款）</w:t>
      </w:r>
      <w:r>
        <w:rPr>
          <w:rStyle w:val="16"/>
          <w:rFonts w:hint="eastAsia" w:ascii="仿宋" w:hAnsi="仿宋" w:eastAsia="仿宋"/>
          <w:bCs/>
          <w:sz w:val="32"/>
          <w:szCs w:val="32"/>
          <w:lang w:eastAsia="zh-CN"/>
        </w:rPr>
        <w:t>小学</w:t>
      </w:r>
      <w:r>
        <w:rPr>
          <w:rStyle w:val="16"/>
          <w:rFonts w:hint="eastAsia" w:ascii="仿宋" w:hAnsi="仿宋" w:eastAsia="仿宋"/>
          <w:bCs/>
          <w:sz w:val="32"/>
          <w:szCs w:val="32"/>
        </w:rPr>
        <w:t>教育（项）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29.81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Fonts w:ascii="仿宋" w:hAnsi="仿宋" w:eastAsia="仿宋"/>
          <w:b/>
          <w:sz w:val="32"/>
          <w:szCs w:val="32"/>
        </w:rPr>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Style w:val="16"/>
          <w:rFonts w:hint="eastAsia" w:ascii="仿宋" w:hAnsi="仿宋" w:eastAsia="仿宋"/>
          <w:bCs/>
          <w:sz w:val="32"/>
          <w:szCs w:val="32"/>
        </w:rPr>
        <w:t>教育（类）普通教育（款）初中教育（项）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13372.27</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0" w:firstLineChars="200"/>
        <w:rPr>
          <w:rFonts w:ascii="仿宋" w:hAnsi="仿宋" w:eastAsia="仿宋"/>
          <w:b/>
          <w:sz w:val="32"/>
          <w:szCs w:val="32"/>
        </w:rPr>
      </w:pPr>
      <w:r>
        <w:rPr>
          <w:rStyle w:val="16"/>
          <w:rFonts w:hint="eastAsia" w:ascii="仿宋" w:hAnsi="仿宋" w:eastAsia="仿宋"/>
          <w:bCs/>
          <w:sz w:val="32"/>
          <w:szCs w:val="32"/>
          <w:lang w:val="en-US" w:eastAsia="zh-CN"/>
        </w:rPr>
        <w:t>8</w:t>
      </w:r>
      <w:r>
        <w:rPr>
          <w:rStyle w:val="16"/>
          <w:rFonts w:ascii="仿宋" w:hAnsi="仿宋" w:eastAsia="仿宋"/>
          <w:bCs/>
          <w:sz w:val="32"/>
          <w:szCs w:val="32"/>
        </w:rPr>
        <w:t>.</w:t>
      </w:r>
      <w:r>
        <w:rPr>
          <w:rStyle w:val="16"/>
          <w:rFonts w:hint="eastAsia" w:ascii="仿宋" w:hAnsi="仿宋" w:eastAsia="仿宋"/>
          <w:bCs/>
          <w:sz w:val="32"/>
          <w:szCs w:val="32"/>
        </w:rPr>
        <w:t>教育（类）普通教育（款）高中教育（项）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16452.22</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spacing w:before="93"/>
        <w:ind w:firstLine="640" w:firstLineChars="200"/>
        <w:rPr>
          <w:rStyle w:val="16"/>
          <w:rFonts w:hint="eastAsia" w:ascii="仿宋" w:eastAsia="仿宋"/>
          <w:b w:val="0"/>
          <w:bCs/>
          <w:color w:val="auto"/>
          <w:sz w:val="32"/>
          <w:szCs w:val="32"/>
          <w:highlight w:val="none"/>
        </w:rPr>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Style w:val="16"/>
          <w:rFonts w:hint="eastAsia" w:ascii="仿宋" w:hAnsi="仿宋" w:eastAsia="仿宋"/>
          <w:bCs/>
          <w:sz w:val="32"/>
          <w:szCs w:val="32"/>
        </w:rPr>
        <w:t>教育（类）普通教育（款）  其他普通教育支出（项）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17.55</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numPr>
          <w:ilvl w:val="0"/>
          <w:numId w:val="0"/>
        </w:numPr>
        <w:spacing w:line="600" w:lineRule="exact"/>
        <w:ind w:firstLine="642"/>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10.</w:t>
      </w:r>
      <w:r>
        <w:rPr>
          <w:rStyle w:val="16"/>
          <w:rFonts w:hint="eastAsia" w:ascii="仿宋" w:hAnsi="仿宋" w:eastAsia="仿宋"/>
          <w:bCs/>
          <w:color w:val="000000"/>
          <w:sz w:val="32"/>
          <w:szCs w:val="32"/>
        </w:rPr>
        <w:t>教育（类）</w:t>
      </w:r>
      <w:r>
        <w:rPr>
          <w:rStyle w:val="16"/>
          <w:rFonts w:hint="eastAsia" w:ascii="仿宋" w:hAnsi="仿宋" w:eastAsia="仿宋"/>
          <w:bCs/>
          <w:color w:val="000000"/>
          <w:sz w:val="32"/>
          <w:szCs w:val="32"/>
          <w:lang w:eastAsia="zh-CN"/>
        </w:rPr>
        <w:t>职业教育</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中等职业教育</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14044.72</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spacing w:before="93"/>
        <w:ind w:firstLine="640" w:firstLineChars="200"/>
        <w:rPr>
          <w:rStyle w:val="16"/>
          <w:rFonts w:ascii="仿宋" w:hAnsi="仿宋" w:eastAsia="仿宋"/>
          <w:b w:val="0"/>
          <w:bCs/>
          <w:sz w:val="32"/>
          <w:szCs w:val="32"/>
        </w:rPr>
      </w:pPr>
      <w:r>
        <w:rPr>
          <w:rStyle w:val="16"/>
          <w:rFonts w:hint="eastAsia" w:ascii="仿宋" w:hAnsi="仿宋" w:eastAsia="仿宋"/>
          <w:bCs/>
          <w:color w:val="000000"/>
          <w:sz w:val="32"/>
          <w:szCs w:val="32"/>
        </w:rPr>
        <w:t>1</w:t>
      </w:r>
      <w:r>
        <w:rPr>
          <w:rStyle w:val="16"/>
          <w:rFonts w:hint="eastAsia" w:ascii="仿宋" w:hAnsi="仿宋" w:eastAsia="仿宋"/>
          <w:bCs/>
          <w:color w:val="000000"/>
          <w:sz w:val="32"/>
          <w:szCs w:val="32"/>
          <w:lang w:val="en-US" w:eastAsia="zh-CN"/>
        </w:rPr>
        <w:t>1</w:t>
      </w:r>
      <w:r>
        <w:rPr>
          <w:rStyle w:val="16"/>
          <w:rFonts w:hint="eastAsia" w:ascii="仿宋" w:hAnsi="仿宋" w:eastAsia="仿宋"/>
          <w:bCs/>
          <w:color w:val="000000"/>
          <w:sz w:val="32"/>
          <w:szCs w:val="32"/>
        </w:rPr>
        <w:t>.教育（类）广播电视教育（款）广播电视学校（项）</w:t>
      </w:r>
      <w:r>
        <w:rPr>
          <w:rStyle w:val="16"/>
          <w:rFonts w:ascii="仿宋" w:hAnsi="仿宋" w:eastAsia="仿宋"/>
          <w:bCs/>
          <w:color w:val="000000"/>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Fonts w:hint="eastAsia" w:ascii="仿宋" w:hAnsi="仿宋" w:eastAsia="仿宋"/>
          <w:sz w:val="32"/>
          <w:szCs w:val="32"/>
          <w:lang w:val="en-US" w:eastAsia="zh-CN"/>
        </w:rPr>
        <w:t>809.77</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p>
    <w:p>
      <w:pPr>
        <w:pStyle w:val="2"/>
        <w:spacing w:before="93"/>
        <w:ind w:firstLine="640" w:firstLineChars="200"/>
        <w:rPr>
          <w:rFonts w:hint="eastAsia"/>
          <w:lang w:eastAsia="zh-CN"/>
        </w:rPr>
      </w:pPr>
      <w:r>
        <w:rPr>
          <w:rStyle w:val="16"/>
          <w:rFonts w:hint="eastAsia" w:ascii="仿宋" w:eastAsia="仿宋"/>
          <w:bCs/>
          <w:color w:val="000000"/>
          <w:sz w:val="32"/>
          <w:szCs w:val="32"/>
        </w:rPr>
        <w:t>1</w:t>
      </w:r>
      <w:r>
        <w:rPr>
          <w:rStyle w:val="16"/>
          <w:rFonts w:hint="eastAsia" w:ascii="仿宋" w:eastAsia="仿宋"/>
          <w:bCs/>
          <w:color w:val="000000"/>
          <w:sz w:val="32"/>
          <w:szCs w:val="32"/>
          <w:lang w:val="en-US" w:eastAsia="zh-CN"/>
        </w:rPr>
        <w:t>2</w:t>
      </w:r>
      <w:r>
        <w:rPr>
          <w:rStyle w:val="16"/>
          <w:rFonts w:hint="eastAsia" w:ascii="仿宋" w:eastAsia="仿宋"/>
          <w:bCs/>
          <w:color w:val="000000"/>
          <w:sz w:val="32"/>
          <w:szCs w:val="32"/>
        </w:rPr>
        <w:t>.教育（类）特殊教育（款）特殊学校教育（项）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933.37</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ind w:firstLine="600"/>
        <w:rPr>
          <w:rStyle w:val="16"/>
          <w:rFonts w:hint="eastAsia" w:ascii="仿宋" w:hAnsi="仿宋" w:eastAsia="仿宋"/>
          <w:b w:val="0"/>
          <w:bCs/>
          <w:color w:val="000000"/>
          <w:sz w:val="32"/>
          <w:szCs w:val="32"/>
          <w:lang w:eastAsia="zh-CN"/>
        </w:rPr>
      </w:pPr>
      <w:r>
        <w:rPr>
          <w:rStyle w:val="16"/>
          <w:rFonts w:hint="eastAsia" w:ascii="仿宋" w:hAnsi="仿宋" w:eastAsia="仿宋" w:cs="Times New Roman"/>
          <w:bCs/>
          <w:color w:val="000000"/>
          <w:kern w:val="2"/>
          <w:sz w:val="32"/>
          <w:szCs w:val="32"/>
          <w:lang w:val="en-US" w:eastAsia="zh-CN" w:bidi="ar-SA"/>
        </w:rPr>
        <w:t>13.</w:t>
      </w:r>
      <w:r>
        <w:rPr>
          <w:rStyle w:val="16"/>
          <w:rFonts w:hint="eastAsia" w:ascii="仿宋" w:hAnsi="仿宋" w:eastAsia="仿宋"/>
          <w:bCs/>
          <w:color w:val="000000"/>
          <w:sz w:val="32"/>
          <w:szCs w:val="32"/>
        </w:rPr>
        <w:t>教育（类）</w:t>
      </w:r>
      <w:r>
        <w:rPr>
          <w:rStyle w:val="16"/>
          <w:rFonts w:hint="eastAsia" w:ascii="仿宋" w:hAnsi="仿宋" w:eastAsia="仿宋"/>
          <w:bCs/>
          <w:color w:val="000000"/>
          <w:sz w:val="32"/>
          <w:szCs w:val="32"/>
          <w:lang w:eastAsia="zh-CN"/>
        </w:rPr>
        <w:t>进修及培训</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培训支出</w:t>
      </w:r>
      <w:r>
        <w:rPr>
          <w:rStyle w:val="16"/>
          <w:rFonts w:hint="eastAsia" w:ascii="仿宋" w:hAnsi="仿宋" w:eastAsia="仿宋"/>
          <w:bCs/>
          <w:color w:val="000000"/>
          <w:sz w:val="32"/>
          <w:szCs w:val="32"/>
        </w:rPr>
        <w:t>（项）</w:t>
      </w:r>
      <w:r>
        <w:rPr>
          <w:rStyle w:val="16"/>
          <w:rFonts w:hint="eastAsia" w:ascii="仿宋" w:hAnsi="仿宋" w:eastAsia="仿宋"/>
          <w:bCs/>
          <w:color w:val="000000"/>
          <w:sz w:val="32"/>
          <w:szCs w:val="32"/>
          <w:lang w:eastAsia="zh-CN"/>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82.17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ind w:firstLine="600"/>
        <w:rPr>
          <w:rStyle w:val="16"/>
          <w:rFonts w:hint="eastAsia" w:ascii="仿宋" w:hAnsi="仿宋" w:eastAsia="仿宋"/>
          <w:b w:val="0"/>
          <w:bCs/>
          <w:color w:val="000000"/>
          <w:sz w:val="32"/>
          <w:szCs w:val="32"/>
          <w:lang w:eastAsia="zh-CN"/>
        </w:rPr>
      </w:pPr>
      <w:r>
        <w:rPr>
          <w:rStyle w:val="16"/>
          <w:rFonts w:hint="eastAsia" w:ascii="仿宋" w:hAnsi="仿宋" w:eastAsia="仿宋" w:cs="Times New Roman"/>
          <w:bCs/>
          <w:color w:val="000000"/>
          <w:kern w:val="2"/>
          <w:sz w:val="32"/>
          <w:szCs w:val="32"/>
          <w:lang w:val="en-US" w:eastAsia="zh-CN" w:bidi="ar-SA"/>
        </w:rPr>
        <w:t>14.</w:t>
      </w:r>
      <w:r>
        <w:rPr>
          <w:rStyle w:val="16"/>
          <w:rFonts w:hint="eastAsia" w:ascii="仿宋" w:hAnsi="仿宋" w:eastAsia="仿宋"/>
          <w:bCs/>
          <w:color w:val="000000"/>
          <w:sz w:val="32"/>
          <w:szCs w:val="32"/>
        </w:rPr>
        <w:t>教育（类）教育附加安排的支出（款）其他教育费附加安排的支出（项）</w:t>
      </w:r>
      <w:r>
        <w:rPr>
          <w:rStyle w:val="16"/>
          <w:rFonts w:hint="eastAsia" w:ascii="仿宋" w:hAnsi="仿宋" w:eastAsia="仿宋"/>
          <w:bCs/>
          <w:color w:val="000000"/>
          <w:sz w:val="32"/>
          <w:szCs w:val="32"/>
          <w:lang w:eastAsia="zh-CN"/>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3642.87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ind w:firstLine="600"/>
        <w:rPr>
          <w:rStyle w:val="16"/>
          <w:rFonts w:hint="eastAsia" w:ascii="仿宋" w:hAnsi="仿宋" w:eastAsia="仿宋"/>
          <w:b w:val="0"/>
          <w:bCs/>
          <w:color w:val="000000"/>
          <w:sz w:val="32"/>
          <w:szCs w:val="32"/>
          <w:lang w:eastAsia="zh-CN"/>
        </w:rPr>
      </w:pPr>
      <w:r>
        <w:rPr>
          <w:rStyle w:val="16"/>
          <w:rFonts w:hint="eastAsia" w:ascii="仿宋" w:hAnsi="仿宋" w:eastAsia="仿宋" w:cs="Times New Roman"/>
          <w:bCs/>
          <w:color w:val="000000"/>
          <w:kern w:val="2"/>
          <w:sz w:val="32"/>
          <w:szCs w:val="32"/>
          <w:lang w:val="en-US" w:eastAsia="zh-CN" w:bidi="ar-SA"/>
        </w:rPr>
        <w:t>15.</w:t>
      </w:r>
      <w:r>
        <w:rPr>
          <w:rStyle w:val="16"/>
          <w:rFonts w:hint="eastAsia" w:ascii="仿宋" w:hAnsi="仿宋" w:eastAsia="仿宋"/>
          <w:bCs/>
          <w:color w:val="000000"/>
          <w:sz w:val="32"/>
          <w:szCs w:val="32"/>
        </w:rPr>
        <w:t>教育（类）其他教育支出（款）其他教育支出（项）</w:t>
      </w:r>
      <w:r>
        <w:rPr>
          <w:rStyle w:val="16"/>
          <w:rFonts w:hint="eastAsia" w:ascii="仿宋" w:hAnsi="仿宋" w:eastAsia="仿宋"/>
          <w:bCs/>
          <w:color w:val="000000"/>
          <w:sz w:val="32"/>
          <w:szCs w:val="32"/>
          <w:lang w:eastAsia="zh-CN"/>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1456.23</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0" w:firstLineChars="200"/>
        <w:rPr>
          <w:rStyle w:val="16"/>
          <w:rFonts w:hint="eastAsia" w:ascii="仿宋" w:hAnsi="仿宋" w:eastAsia="仿宋"/>
          <w:b w:val="0"/>
          <w:bCs/>
          <w:sz w:val="32"/>
          <w:szCs w:val="32"/>
        </w:rPr>
      </w:pPr>
      <w:r>
        <w:rPr>
          <w:rStyle w:val="16"/>
          <w:rFonts w:hint="eastAsia" w:ascii="仿宋" w:eastAsia="仿宋" w:hAnsiTheme="minorHAnsi" w:cstheme="minorBidi"/>
          <w:bCs/>
          <w:sz w:val="32"/>
          <w:szCs w:val="32"/>
        </w:rPr>
        <w:t>1</w:t>
      </w:r>
      <w:r>
        <w:rPr>
          <w:rStyle w:val="16"/>
          <w:rFonts w:hint="eastAsia" w:ascii="仿宋" w:eastAsia="仿宋" w:hAnsiTheme="minorHAnsi" w:cstheme="minorBidi"/>
          <w:bCs/>
          <w:sz w:val="32"/>
          <w:szCs w:val="32"/>
          <w:lang w:val="en-US" w:eastAsia="zh-CN"/>
        </w:rPr>
        <w:t>6</w:t>
      </w:r>
      <w:r>
        <w:rPr>
          <w:rStyle w:val="16"/>
          <w:rFonts w:hint="eastAsia" w:ascii="仿宋" w:hAnsi="仿宋" w:eastAsia="仿宋"/>
          <w:b w:val="0"/>
          <w:bCs/>
          <w:sz w:val="32"/>
          <w:szCs w:val="32"/>
        </w:rPr>
        <w:t>.</w:t>
      </w:r>
      <w:r>
        <w:rPr>
          <w:rStyle w:val="16"/>
          <w:rFonts w:hint="eastAsia" w:ascii="仿宋" w:hAnsi="仿宋" w:eastAsia="仿宋"/>
          <w:bCs/>
          <w:sz w:val="32"/>
          <w:szCs w:val="32"/>
        </w:rPr>
        <w:t>文化旅游体育与传媒（类）体育（款）体育场馆（项）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287.72</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ind w:firstLine="640" w:firstLineChars="200"/>
        <w:rPr>
          <w:rFonts w:hint="default" w:eastAsia="仿宋"/>
          <w:color w:val="FF0000"/>
          <w:highlight w:val="none"/>
          <w:lang w:val="en-US" w:eastAsia="zh-CN"/>
        </w:rPr>
      </w:pPr>
      <w:r>
        <w:rPr>
          <w:rStyle w:val="16"/>
          <w:rFonts w:hint="eastAsia" w:ascii="仿宋" w:eastAsia="仿宋"/>
          <w:bCs/>
          <w:sz w:val="32"/>
          <w:szCs w:val="32"/>
          <w:highlight w:val="none"/>
        </w:rPr>
        <w:t>1</w:t>
      </w:r>
      <w:r>
        <w:rPr>
          <w:rStyle w:val="16"/>
          <w:rFonts w:hint="eastAsia" w:ascii="仿宋" w:eastAsia="仿宋"/>
          <w:bCs/>
          <w:sz w:val="32"/>
          <w:szCs w:val="32"/>
          <w:highlight w:val="none"/>
          <w:lang w:val="en-US" w:eastAsia="zh-CN"/>
        </w:rPr>
        <w:t>7</w:t>
      </w:r>
      <w:r>
        <w:rPr>
          <w:rStyle w:val="16"/>
          <w:rFonts w:hint="eastAsia" w:ascii="仿宋" w:eastAsia="仿宋"/>
          <w:bCs/>
          <w:sz w:val="32"/>
          <w:szCs w:val="32"/>
          <w:highlight w:val="none"/>
        </w:rPr>
        <w:t>.文化旅游体育与传媒（类）体育（款）</w:t>
      </w:r>
      <w:r>
        <w:rPr>
          <w:rStyle w:val="16"/>
          <w:rFonts w:hint="eastAsia" w:ascii="仿宋" w:hAnsi="仿宋" w:eastAsia="仿宋"/>
          <w:bCs/>
          <w:color w:val="000000"/>
          <w:sz w:val="32"/>
          <w:szCs w:val="32"/>
          <w:highlight w:val="none"/>
          <w:lang w:eastAsia="zh-CN"/>
        </w:rPr>
        <w:t>群众体育</w:t>
      </w:r>
      <w:r>
        <w:rPr>
          <w:rStyle w:val="16"/>
          <w:rFonts w:hint="eastAsia" w:ascii="仿宋" w:eastAsia="仿宋"/>
          <w:bCs/>
          <w:sz w:val="32"/>
          <w:szCs w:val="32"/>
          <w:highlight w:val="none"/>
        </w:rPr>
        <w:t>（项）</w:t>
      </w:r>
      <w:r>
        <w:rPr>
          <w:rStyle w:val="16"/>
          <w:rFonts w:ascii="仿宋" w:eastAsia="仿宋"/>
          <w:bCs/>
          <w:sz w:val="32"/>
          <w:szCs w:val="32"/>
          <w:highlight w:val="none"/>
        </w:rPr>
        <w:t>:</w:t>
      </w:r>
      <w:r>
        <w:rPr>
          <w:rStyle w:val="16"/>
          <w:rFonts w:ascii="仿宋" w:eastAsia="仿宋"/>
          <w:b w:val="0"/>
          <w:bCs/>
          <w:sz w:val="32"/>
          <w:szCs w:val="32"/>
          <w:highlight w:val="none"/>
        </w:rPr>
        <w:t xml:space="preserve"> </w:t>
      </w:r>
      <w:r>
        <w:rPr>
          <w:rStyle w:val="16"/>
          <w:rFonts w:hint="eastAsia" w:ascii="仿宋" w:eastAsia="仿宋"/>
          <w:b w:val="0"/>
          <w:bCs/>
          <w:sz w:val="32"/>
          <w:szCs w:val="32"/>
          <w:highlight w:val="none"/>
        </w:rPr>
        <w:t>支出决算为2万元，完成预算100</w:t>
      </w:r>
      <w:r>
        <w:rPr>
          <w:rStyle w:val="16"/>
          <w:rFonts w:ascii="仿宋" w:eastAsia="仿宋"/>
          <w:b w:val="0"/>
          <w:bCs/>
          <w:sz w:val="32"/>
          <w:szCs w:val="32"/>
          <w:highlight w:val="none"/>
        </w:rPr>
        <w:t>%</w:t>
      </w:r>
      <w:r>
        <w:rPr>
          <w:rStyle w:val="16"/>
          <w:rFonts w:hint="eastAsia" w:ascii="仿宋" w:eastAsia="仿宋"/>
          <w:b w:val="0"/>
          <w:bCs/>
          <w:sz w:val="32"/>
          <w:szCs w:val="32"/>
          <w:highlight w:val="none"/>
        </w:rPr>
        <w:t>。</w:t>
      </w:r>
    </w:p>
    <w:p>
      <w:pPr>
        <w:spacing w:line="600" w:lineRule="exact"/>
        <w:ind w:firstLine="640" w:firstLineChars="200"/>
        <w:rPr>
          <w:rStyle w:val="16"/>
          <w:rFonts w:hint="default" w:ascii="仿宋" w:hAnsi="仿宋" w:eastAsia="仿宋"/>
          <w:b w:val="0"/>
          <w:bCs/>
          <w:color w:val="000000"/>
          <w:sz w:val="32"/>
          <w:szCs w:val="32"/>
          <w:lang w:val="en-US" w:eastAsia="zh-CN"/>
        </w:rPr>
      </w:pPr>
      <w:r>
        <w:rPr>
          <w:rStyle w:val="16"/>
          <w:rFonts w:hint="eastAsia" w:ascii="仿宋" w:eastAsia="仿宋"/>
          <w:bCs/>
          <w:sz w:val="32"/>
          <w:szCs w:val="32"/>
        </w:rPr>
        <w:t>18.文化旅游体育与传媒（类）体育（款）</w:t>
      </w:r>
      <w:r>
        <w:rPr>
          <w:rStyle w:val="16"/>
          <w:rFonts w:hint="eastAsia" w:ascii="仿宋" w:hAnsi="仿宋" w:eastAsia="仿宋"/>
          <w:bCs/>
          <w:color w:val="000000"/>
          <w:sz w:val="32"/>
          <w:szCs w:val="32"/>
        </w:rPr>
        <w:t>其他体育支出</w:t>
      </w:r>
      <w:r>
        <w:rPr>
          <w:rStyle w:val="16"/>
          <w:rFonts w:hint="eastAsia" w:ascii="仿宋" w:eastAsia="仿宋"/>
          <w:bCs/>
          <w:sz w:val="32"/>
          <w:szCs w:val="32"/>
        </w:rPr>
        <w:t>（项）</w:t>
      </w:r>
      <w:r>
        <w:rPr>
          <w:rStyle w:val="16"/>
          <w:rFonts w:ascii="仿宋" w:eastAsia="仿宋"/>
          <w:bCs/>
          <w:sz w:val="32"/>
          <w:szCs w:val="32"/>
        </w:rPr>
        <w:t>:</w:t>
      </w:r>
      <w:r>
        <w:rPr>
          <w:rStyle w:val="16"/>
          <w:rFonts w:ascii="仿宋" w:eastAsia="仿宋"/>
          <w:b w:val="0"/>
          <w:bCs/>
          <w:sz w:val="32"/>
          <w:szCs w:val="32"/>
        </w:rPr>
        <w:t xml:space="preserve"> </w:t>
      </w:r>
      <w:r>
        <w:rPr>
          <w:rStyle w:val="16"/>
          <w:rFonts w:hint="eastAsia" w:ascii="仿宋" w:eastAsia="仿宋"/>
          <w:b w:val="0"/>
          <w:bCs/>
          <w:sz w:val="32"/>
          <w:szCs w:val="32"/>
        </w:rPr>
        <w:t>支出决算为</w:t>
      </w:r>
      <w:r>
        <w:rPr>
          <w:rStyle w:val="16"/>
          <w:rFonts w:hint="eastAsia" w:ascii="仿宋" w:eastAsia="仿宋"/>
          <w:b w:val="0"/>
          <w:bCs/>
          <w:sz w:val="32"/>
          <w:szCs w:val="32"/>
          <w:lang w:val="en-US" w:eastAsia="zh-CN"/>
        </w:rPr>
        <w:t>1533.25</w:t>
      </w:r>
      <w:r>
        <w:rPr>
          <w:rStyle w:val="16"/>
          <w:rFonts w:hint="eastAsia" w:ascii="仿宋" w:eastAsia="仿宋"/>
          <w:b w:val="0"/>
          <w:bCs/>
          <w:sz w:val="32"/>
          <w:szCs w:val="32"/>
        </w:rPr>
        <w:t>万元，完成预算100</w:t>
      </w:r>
      <w:r>
        <w:rPr>
          <w:rStyle w:val="16"/>
          <w:rFonts w:ascii="仿宋" w:eastAsia="仿宋"/>
          <w:b w:val="0"/>
          <w:bCs/>
          <w:sz w:val="32"/>
          <w:szCs w:val="32"/>
        </w:rPr>
        <w:t>%</w:t>
      </w:r>
      <w:r>
        <w:rPr>
          <w:rStyle w:val="16"/>
          <w:rFonts w:hint="eastAsia" w:ascii="仿宋" w:eastAsia="仿宋"/>
          <w:b w:val="0"/>
          <w:bCs/>
          <w:sz w:val="32"/>
          <w:szCs w:val="32"/>
        </w:rPr>
        <w:t>。</w:t>
      </w:r>
    </w:p>
    <w:p>
      <w:pPr>
        <w:spacing w:line="600" w:lineRule="exact"/>
        <w:ind w:firstLine="640"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lang w:val="en-US" w:eastAsia="zh-CN"/>
        </w:rPr>
        <w:t>19.</w:t>
      </w:r>
      <w:r>
        <w:rPr>
          <w:rStyle w:val="16"/>
          <w:rFonts w:hint="eastAsia" w:ascii="仿宋" w:hAnsi="仿宋" w:eastAsia="仿宋"/>
          <w:bCs/>
          <w:color w:val="000000"/>
          <w:sz w:val="32"/>
          <w:szCs w:val="32"/>
        </w:rPr>
        <w:t>社会保障和就业（类）人力资源和社会保障管理事务（款）其他人力资源和社会保障管理事务支出（项）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249.89</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20.</w:t>
      </w:r>
      <w:r>
        <w:rPr>
          <w:rStyle w:val="16"/>
          <w:rFonts w:hint="eastAsia" w:ascii="仿宋" w:hAnsi="仿宋" w:eastAsia="仿宋"/>
          <w:bCs/>
          <w:color w:val="000000"/>
          <w:sz w:val="32"/>
          <w:szCs w:val="32"/>
        </w:rPr>
        <w:t>社会保障和就业（类）行政事业单位养老支出（款）行政单位离退休（项）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364.05</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ind w:firstLine="640" w:firstLineChars="200"/>
        <w:rPr>
          <w:rFonts w:hint="eastAsia" w:eastAsia="仿宋"/>
          <w:lang w:eastAsia="zh-CN"/>
        </w:rPr>
      </w:pPr>
      <w:r>
        <w:rPr>
          <w:rStyle w:val="16"/>
          <w:rFonts w:hint="eastAsia" w:ascii="仿宋" w:hAnsi="仿宋" w:eastAsia="仿宋"/>
          <w:bCs/>
          <w:color w:val="000000"/>
          <w:sz w:val="32"/>
          <w:szCs w:val="32"/>
        </w:rPr>
        <w:t>2</w:t>
      </w:r>
      <w:r>
        <w:rPr>
          <w:rStyle w:val="16"/>
          <w:rFonts w:hint="eastAsia" w:ascii="仿宋" w:hAnsi="仿宋" w:eastAsia="仿宋"/>
          <w:bCs/>
          <w:color w:val="000000"/>
          <w:sz w:val="32"/>
          <w:szCs w:val="32"/>
          <w:lang w:val="en-US" w:eastAsia="zh-CN"/>
        </w:rPr>
        <w:t>1</w:t>
      </w:r>
      <w:r>
        <w:rPr>
          <w:rStyle w:val="16"/>
          <w:rFonts w:hint="eastAsia" w:ascii="仿宋" w:hAnsi="仿宋" w:eastAsia="仿宋"/>
          <w:bCs/>
          <w:color w:val="000000"/>
          <w:sz w:val="32"/>
          <w:szCs w:val="32"/>
        </w:rPr>
        <w:t>.社会保障和就业（类）行政事业单位养老保险（款）事业单位离退休（项）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837.12</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ind w:firstLine="640"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22.</w:t>
      </w:r>
      <w:r>
        <w:rPr>
          <w:rStyle w:val="16"/>
          <w:rFonts w:hint="eastAsia" w:ascii="仿宋" w:hAnsi="仿宋" w:eastAsia="仿宋"/>
          <w:bCs/>
          <w:color w:val="000000"/>
          <w:sz w:val="32"/>
          <w:szCs w:val="32"/>
        </w:rPr>
        <w:t>社会保障和就业（类）行政事业单位养老支出（款）机关事业单位养老保险缴费支出（项）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6338.44</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ind w:firstLine="640"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23.</w:t>
      </w:r>
      <w:r>
        <w:rPr>
          <w:rStyle w:val="16"/>
          <w:rFonts w:hint="eastAsia" w:ascii="仿宋" w:hAnsi="仿宋" w:eastAsia="仿宋"/>
          <w:bCs/>
          <w:color w:val="000000"/>
          <w:sz w:val="32"/>
          <w:szCs w:val="32"/>
        </w:rPr>
        <w:t>社会保障和就业（类）行政事业单位养老支出（款）机关事业单位职业年金缴费支出（项）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465.92</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ind w:firstLine="640" w:firstLineChars="200"/>
        <w:rPr>
          <w:rStyle w:val="16"/>
          <w:rFonts w:hint="default" w:ascii="仿宋" w:hAnsi="仿宋" w:eastAsia="仿宋"/>
          <w:b w:val="0"/>
          <w:bCs/>
          <w:color w:val="000000"/>
          <w:sz w:val="32"/>
          <w:szCs w:val="32"/>
          <w:lang w:val="en-US" w:eastAsia="zh-CN"/>
        </w:rPr>
      </w:pPr>
      <w:r>
        <w:rPr>
          <w:rStyle w:val="16"/>
          <w:rFonts w:hint="eastAsia" w:ascii="仿宋" w:hAnsi="仿宋" w:eastAsia="仿宋" w:cstheme="minorBidi"/>
          <w:bCs/>
          <w:color w:val="000000"/>
          <w:sz w:val="32"/>
          <w:szCs w:val="32"/>
          <w:lang w:val="en-US" w:eastAsia="zh-CN"/>
        </w:rPr>
        <w:t>24.社</w:t>
      </w:r>
      <w:r>
        <w:rPr>
          <w:rStyle w:val="16"/>
          <w:rFonts w:hint="eastAsia" w:ascii="仿宋" w:hAnsi="仿宋" w:eastAsia="仿宋"/>
          <w:bCs/>
          <w:color w:val="000000"/>
          <w:sz w:val="32"/>
          <w:szCs w:val="32"/>
        </w:rPr>
        <w:t>会保障和就业（类）</w:t>
      </w:r>
      <w:r>
        <w:rPr>
          <w:rStyle w:val="16"/>
          <w:rFonts w:hint="eastAsia" w:ascii="仿宋" w:hAnsi="仿宋" w:eastAsia="仿宋"/>
          <w:bCs/>
          <w:color w:val="000000"/>
          <w:sz w:val="32"/>
          <w:szCs w:val="32"/>
          <w:lang w:eastAsia="zh-CN"/>
        </w:rPr>
        <w:t>就业补助</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其他就业补助支出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7.76</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0"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25.</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eastAsia="zh-CN"/>
        </w:rPr>
        <w:t>抚恤</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死亡抚恤（</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304.29</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ind w:firstLine="640"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26.</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eastAsia="zh-CN"/>
        </w:rPr>
        <w:t>社会福利</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儿童福利（</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ind w:firstLine="640"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27.</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eastAsia="zh-CN"/>
        </w:rPr>
        <w:t>其他</w:t>
      </w:r>
      <w:r>
        <w:rPr>
          <w:rStyle w:val="16"/>
          <w:rFonts w:hint="eastAsia" w:ascii="仿宋" w:hAnsi="仿宋" w:eastAsia="仿宋"/>
          <w:bCs/>
          <w:color w:val="000000"/>
          <w:sz w:val="32"/>
          <w:szCs w:val="32"/>
        </w:rPr>
        <w:t>社会保障和就业支出（款）</w:t>
      </w:r>
      <w:r>
        <w:rPr>
          <w:rStyle w:val="16"/>
          <w:rFonts w:hint="eastAsia" w:ascii="仿宋" w:hAnsi="仿宋" w:eastAsia="仿宋"/>
          <w:bCs/>
          <w:color w:val="000000"/>
          <w:sz w:val="32"/>
          <w:szCs w:val="32"/>
          <w:lang w:eastAsia="zh-CN"/>
        </w:rPr>
        <w:t>其他</w:t>
      </w:r>
      <w:r>
        <w:rPr>
          <w:rStyle w:val="16"/>
          <w:rFonts w:hint="eastAsia" w:ascii="仿宋" w:hAnsi="仿宋" w:eastAsia="仿宋"/>
          <w:bCs/>
          <w:color w:val="000000"/>
          <w:sz w:val="32"/>
          <w:szCs w:val="32"/>
        </w:rPr>
        <w:t>社会保障和就业支出（项）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1.04</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ind w:firstLine="640"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28.</w:t>
      </w:r>
      <w:r>
        <w:rPr>
          <w:rStyle w:val="16"/>
          <w:rFonts w:hint="eastAsia" w:ascii="仿宋" w:hAnsi="仿宋" w:eastAsia="仿宋"/>
          <w:bCs/>
          <w:color w:val="000000"/>
          <w:sz w:val="32"/>
          <w:szCs w:val="32"/>
          <w:lang w:eastAsia="zh-CN"/>
        </w:rPr>
        <w:t>卫生健康支出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公共卫生</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重大公共卫生服务</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ind w:firstLine="640"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29.</w:t>
      </w:r>
      <w:r>
        <w:rPr>
          <w:rStyle w:val="16"/>
          <w:rFonts w:hint="eastAsia" w:ascii="仿宋" w:hAnsi="仿宋" w:eastAsia="仿宋"/>
          <w:bCs/>
          <w:color w:val="000000"/>
          <w:sz w:val="32"/>
          <w:szCs w:val="32"/>
          <w:lang w:eastAsia="zh-CN"/>
        </w:rPr>
        <w:t>卫生健康支出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0.84</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ind w:firstLine="640"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30.</w:t>
      </w:r>
      <w:r>
        <w:rPr>
          <w:rStyle w:val="16"/>
          <w:rFonts w:hint="eastAsia" w:ascii="仿宋" w:hAnsi="仿宋" w:eastAsia="仿宋"/>
          <w:bCs/>
          <w:color w:val="000000"/>
          <w:sz w:val="32"/>
          <w:szCs w:val="32"/>
          <w:lang w:eastAsia="zh-CN"/>
        </w:rPr>
        <w:t>卫生健康支出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事业单位医疗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38.39</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spacing w:before="93"/>
        <w:ind w:firstLine="640" w:firstLineChars="200"/>
        <w:rPr>
          <w:rStyle w:val="16"/>
          <w:rFonts w:hint="eastAsia" w:ascii="仿宋" w:hAnsi="仿宋" w:eastAsia="仿宋"/>
          <w:b w:val="0"/>
          <w:bCs/>
          <w:color w:val="000000"/>
          <w:sz w:val="32"/>
          <w:szCs w:val="32"/>
          <w:lang w:eastAsia="zh-CN"/>
        </w:rPr>
      </w:pPr>
      <w:r>
        <w:rPr>
          <w:rFonts w:hint="eastAsia" w:ascii="仿宋" w:hAnsi="仿宋" w:eastAsia="仿宋"/>
          <w:b/>
          <w:bCs/>
          <w:color w:val="000000"/>
          <w:sz w:val="32"/>
          <w:szCs w:val="32"/>
          <w:lang w:val="en-US" w:eastAsia="zh-CN"/>
        </w:rPr>
        <w:t>31</w:t>
      </w:r>
      <w:r>
        <w:rPr>
          <w:rFonts w:hint="eastAsia" w:ascii="仿宋" w:hAnsi="仿宋" w:eastAsia="仿宋"/>
          <w:b/>
          <w:bCs/>
          <w:color w:val="000000"/>
          <w:sz w:val="32"/>
          <w:szCs w:val="32"/>
        </w:rPr>
        <w:t>.</w:t>
      </w:r>
      <w:r>
        <w:rPr>
          <w:rStyle w:val="16"/>
          <w:rFonts w:hint="eastAsia" w:ascii="仿宋" w:hAnsi="仿宋" w:eastAsia="仿宋"/>
          <w:bCs/>
          <w:color w:val="000000"/>
          <w:sz w:val="32"/>
          <w:szCs w:val="32"/>
        </w:rPr>
        <w:t>社会保障和就业（类）行政事业单位医疗（款）公务员医疗补助（项）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1.21</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pStyle w:val="2"/>
        <w:ind w:firstLine="640"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32.</w:t>
      </w:r>
      <w:r>
        <w:rPr>
          <w:rStyle w:val="16"/>
          <w:rFonts w:hint="eastAsia" w:ascii="仿宋" w:hAnsi="仿宋" w:eastAsia="仿宋"/>
          <w:bCs/>
          <w:color w:val="000000"/>
          <w:sz w:val="32"/>
          <w:szCs w:val="32"/>
          <w:lang w:eastAsia="zh-CN"/>
        </w:rPr>
        <w:t>卫生健康支出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其他行政事业单位医疗支出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4.97</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pStyle w:val="2"/>
        <w:ind w:firstLine="640" w:firstLineChars="200"/>
        <w:rPr>
          <w:rStyle w:val="16"/>
          <w:rFonts w:hint="eastAsia" w:ascii="仿宋" w:hAnsi="仿宋" w:eastAsia="仿宋"/>
          <w:b w:val="0"/>
          <w:bCs/>
          <w:color w:val="000000"/>
          <w:sz w:val="32"/>
          <w:szCs w:val="32"/>
          <w:lang w:eastAsia="zh-CN"/>
        </w:rPr>
      </w:pPr>
      <w:r>
        <w:rPr>
          <w:rStyle w:val="16"/>
          <w:rFonts w:hint="eastAsia" w:ascii="仿宋" w:hAnsi="仿宋" w:eastAsia="仿宋"/>
          <w:bCs/>
          <w:color w:val="000000"/>
          <w:sz w:val="32"/>
          <w:szCs w:val="32"/>
          <w:lang w:val="en-US" w:eastAsia="zh-CN"/>
        </w:rPr>
        <w:t>33.</w:t>
      </w:r>
      <w:r>
        <w:rPr>
          <w:rStyle w:val="16"/>
          <w:rFonts w:hint="eastAsia" w:ascii="仿宋" w:hAnsi="仿宋" w:eastAsia="仿宋"/>
          <w:bCs/>
          <w:color w:val="000000"/>
          <w:sz w:val="32"/>
          <w:szCs w:val="32"/>
          <w:lang w:eastAsia="zh-CN"/>
        </w:rPr>
        <w:t>卫生健康支出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其他卫生健康支出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其他卫生健康支出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4.82</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0" w:firstLineChars="200"/>
        <w:rPr>
          <w:rFonts w:ascii="仿宋" w:hAnsi="仿宋" w:eastAsia="仿宋"/>
          <w:b/>
          <w:sz w:val="32"/>
          <w:szCs w:val="32"/>
        </w:rPr>
      </w:pPr>
      <w:r>
        <w:rPr>
          <w:rFonts w:hint="eastAsia" w:ascii="仿宋" w:hAnsi="仿宋" w:eastAsia="仿宋"/>
          <w:b/>
          <w:bCs/>
          <w:color w:val="000000"/>
          <w:sz w:val="32"/>
          <w:szCs w:val="32"/>
          <w:lang w:val="en-US" w:eastAsia="zh-CN"/>
        </w:rPr>
        <w:t>34.</w:t>
      </w:r>
      <w:r>
        <w:rPr>
          <w:rFonts w:hint="eastAsia" w:ascii="仿宋" w:hAnsi="仿宋" w:eastAsia="仿宋"/>
          <w:b/>
          <w:bCs/>
          <w:color w:val="000000"/>
          <w:sz w:val="32"/>
          <w:szCs w:val="32"/>
        </w:rPr>
        <w:t>住房保障支出</w:t>
      </w:r>
      <w:r>
        <w:rPr>
          <w:rStyle w:val="16"/>
          <w:rFonts w:hint="eastAsia" w:ascii="仿宋" w:hAnsi="仿宋" w:eastAsia="仿宋"/>
          <w:bCs/>
          <w:color w:val="000000"/>
          <w:sz w:val="32"/>
          <w:szCs w:val="32"/>
        </w:rPr>
        <w:t>（类）住房改革支出（款）住房公积金（项）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4242.42</w:t>
      </w:r>
      <w:r>
        <w:rPr>
          <w:rStyle w:val="16"/>
          <w:rFonts w:hint="eastAsia" w:ascii="仿宋" w:hAnsi="仿宋" w:eastAsia="仿宋"/>
          <w:b w:val="0"/>
          <w:bCs/>
          <w:color w:val="000000"/>
          <w:sz w:val="32"/>
          <w:szCs w:val="32"/>
        </w:rPr>
        <w:t>万元，完成预算100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tabs>
          <w:tab w:val="right" w:pos="8306"/>
        </w:tabs>
        <w:spacing w:line="600" w:lineRule="exact"/>
        <w:ind w:firstLine="640"/>
        <w:outlineLvl w:val="1"/>
        <w:rPr>
          <w:rStyle w:val="28"/>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8"/>
      <w:bookmarkEnd w:id="39"/>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sz w:val="32"/>
          <w:szCs w:val="32"/>
        </w:rPr>
        <w:t>59752.29</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sz w:val="32"/>
          <w:szCs w:val="32"/>
        </w:rPr>
        <w:t>57075.92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sz w:val="32"/>
          <w:szCs w:val="32"/>
        </w:rPr>
        <w:t>2676.37</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40" w:name="_Toc15377215"/>
      <w:bookmarkStart w:id="41" w:name="_Toc15396609"/>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sz w:val="32"/>
          <w:szCs w:val="32"/>
        </w:rPr>
        <w:t>10.66</w:t>
      </w:r>
      <w:r>
        <w:rPr>
          <w:rFonts w:hint="eastAsia" w:ascii="仿宋" w:hAnsi="仿宋" w:eastAsia="仿宋"/>
          <w:sz w:val="32"/>
          <w:szCs w:val="32"/>
        </w:rPr>
        <w:t>万元，完成预算</w:t>
      </w:r>
      <w:r>
        <w:rPr>
          <w:sz w:val="32"/>
          <w:szCs w:val="32"/>
        </w:rPr>
        <w:t>68.84</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19.99</w:t>
      </w:r>
      <w:r>
        <w:rPr>
          <w:rFonts w:hint="eastAsia" w:ascii="仿宋" w:hAnsi="仿宋" w:eastAsia="仿宋"/>
          <w:sz w:val="32"/>
          <w:szCs w:val="32"/>
        </w:rPr>
        <w:t>万元，下降</w:t>
      </w:r>
      <w:r>
        <w:rPr>
          <w:rFonts w:hint="eastAsia" w:ascii="仿宋" w:hAnsi="仿宋" w:eastAsia="仿宋"/>
          <w:sz w:val="32"/>
          <w:szCs w:val="32"/>
          <w:lang w:val="en-US" w:eastAsia="zh-CN"/>
        </w:rPr>
        <w:t>65.22</w:t>
      </w:r>
      <w:r>
        <w:rPr>
          <w:rFonts w:hint="eastAsia" w:ascii="仿宋" w:hAnsi="仿宋" w:eastAsia="仿宋"/>
          <w:sz w:val="32"/>
          <w:szCs w:val="32"/>
        </w:rPr>
        <w:t>%。决算数小于预算数的主要原因是</w:t>
      </w:r>
      <w:r>
        <w:rPr>
          <w:rFonts w:hint="eastAsia" w:ascii="仿宋" w:eastAsia="仿宋"/>
          <w:sz w:val="32"/>
          <w:szCs w:val="32"/>
        </w:rPr>
        <w:t>市教育和体育局</w:t>
      </w:r>
      <w:r>
        <w:rPr>
          <w:rFonts w:hint="eastAsia" w:ascii="仿宋" w:eastAsia="仿宋"/>
          <w:sz w:val="32"/>
          <w:szCs w:val="32"/>
          <w:lang w:eastAsia="zh-CN"/>
        </w:rPr>
        <w:t>部门</w:t>
      </w:r>
      <w:r>
        <w:rPr>
          <w:rFonts w:hint="eastAsia" w:ascii="仿宋" w:eastAsia="仿宋"/>
          <w:sz w:val="32"/>
          <w:szCs w:val="32"/>
        </w:rPr>
        <w:t>严格执行中央八项规定和省、市十项规定以及《党政机关厉行节约反对浪费条例》等相关文件要求，厉行节约，反对浪费，严格控制公务接待和公务用车</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8.61</w:t>
      </w:r>
      <w:r>
        <w:rPr>
          <w:rFonts w:hint="eastAsia" w:ascii="仿宋" w:hAnsi="仿宋" w:eastAsia="仿宋"/>
          <w:sz w:val="32"/>
          <w:szCs w:val="32"/>
        </w:rPr>
        <w:t>万元，占</w:t>
      </w:r>
      <w:r>
        <w:rPr>
          <w:sz w:val="32"/>
          <w:szCs w:val="32"/>
        </w:rPr>
        <w:t>80.75</w:t>
      </w:r>
      <w:r>
        <w:rPr>
          <w:rFonts w:ascii="仿宋" w:hAnsi="仿宋" w:eastAsia="仿宋"/>
          <w:sz w:val="32"/>
          <w:szCs w:val="32"/>
        </w:rPr>
        <w:t>%</w:t>
      </w:r>
      <w:r>
        <w:rPr>
          <w:rFonts w:hint="eastAsia" w:ascii="仿宋" w:hAnsi="仿宋" w:eastAsia="仿宋"/>
          <w:sz w:val="32"/>
          <w:szCs w:val="32"/>
        </w:rPr>
        <w:t>；公务接待费支出决算</w:t>
      </w:r>
      <w:r>
        <w:rPr>
          <w:sz w:val="32"/>
          <w:szCs w:val="32"/>
        </w:rPr>
        <w:t>2.05</w:t>
      </w:r>
      <w:r>
        <w:rPr>
          <w:rFonts w:hint="eastAsia" w:ascii="仿宋" w:hAnsi="仿宋" w:eastAsia="仿宋"/>
          <w:sz w:val="32"/>
          <w:szCs w:val="32"/>
        </w:rPr>
        <w:t>万元，占</w:t>
      </w:r>
      <w:r>
        <w:rPr>
          <w:sz w:val="32"/>
          <w:szCs w:val="32"/>
        </w:rPr>
        <w:t>19.24</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rPr>
          <w:rFonts w:hint="eastAsia" w:ascii="仿宋" w:hAnsi="仿宋" w:eastAsia="仿宋"/>
          <w:sz w:val="32"/>
          <w:szCs w:val="32"/>
        </w:rPr>
      </w:pPr>
    </w:p>
    <w:p>
      <w:pPr>
        <w:pStyle w:val="2"/>
        <w:rPr>
          <w:rFonts w:hint="eastAsia" w:ascii="仿宋" w:hAnsi="仿宋" w:eastAsia="仿宋"/>
          <w:sz w:val="32"/>
          <w:szCs w:val="32"/>
        </w:rPr>
      </w:pPr>
      <w:r>
        <w:rPr>
          <w:rFonts w:hint="eastAsia"/>
        </w:rPr>
        <w:drawing>
          <wp:inline distT="0" distB="0" distL="0" distR="0">
            <wp:extent cx="5133975" cy="3076575"/>
            <wp:effectExtent l="5080" t="4445" r="4445" b="5080"/>
            <wp:docPr id="3"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rPr>
          <w:rFonts w:hint="eastAsia" w:ascii="仿宋" w:hAnsi="仿宋" w:eastAsia="仿宋"/>
          <w:sz w:val="32"/>
          <w:szCs w:val="32"/>
        </w:rPr>
      </w:pPr>
    </w:p>
    <w:p>
      <w:pPr>
        <w:numPr>
          <w:ilvl w:val="0"/>
          <w:numId w:val="3"/>
        </w:numPr>
        <w:spacing w:line="600" w:lineRule="exact"/>
        <w:ind w:firstLine="640"/>
        <w:rPr>
          <w:rFonts w:hint="eastAsia" w:ascii="仿宋_GB2312" w:eastAsia="仿宋_GB2312"/>
          <w:sz w:val="32"/>
          <w:szCs w:val="32"/>
        </w:rPr>
      </w:pP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人。因公出国（境）支出决算与202</w:t>
      </w:r>
      <w:r>
        <w:rPr>
          <w:rFonts w:hint="eastAsia" w:ascii="仿宋_GB2312" w:eastAsia="仿宋_GB2312"/>
          <w:sz w:val="32"/>
          <w:szCs w:val="32"/>
          <w:lang w:val="en-US" w:eastAsia="zh-CN"/>
        </w:rPr>
        <w:t>2</w:t>
      </w:r>
      <w:r>
        <w:rPr>
          <w:rFonts w:hint="eastAsia" w:ascii="仿宋_GB2312" w:eastAsia="仿宋_GB2312"/>
          <w:sz w:val="32"/>
          <w:szCs w:val="32"/>
        </w:rPr>
        <w:t>年持平</w:t>
      </w:r>
      <w:r>
        <w:rPr>
          <w:rFonts w:hint="eastAsia" w:ascii="仿宋_GB2312" w:eastAsia="仿宋_GB2312"/>
          <w:sz w:val="32"/>
          <w:szCs w:val="32"/>
          <w:lang w:eastAsia="zh-CN"/>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sz w:val="32"/>
          <w:szCs w:val="32"/>
        </w:rPr>
        <w:t>8.61</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83.95</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18.79</w:t>
      </w:r>
      <w:r>
        <w:rPr>
          <w:rFonts w:hint="eastAsia" w:ascii="仿宋_GB2312" w:eastAsia="仿宋_GB2312"/>
          <w:sz w:val="32"/>
          <w:szCs w:val="32"/>
        </w:rPr>
        <w:t>万元，下降</w:t>
      </w:r>
      <w:r>
        <w:rPr>
          <w:rFonts w:hint="eastAsia" w:ascii="仿宋_GB2312" w:eastAsia="仿宋_GB2312"/>
          <w:sz w:val="32"/>
          <w:szCs w:val="32"/>
          <w:lang w:val="en-US" w:eastAsia="zh-CN"/>
        </w:rPr>
        <w:t>68.58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学校的三公经费由教育收费开支，不在财政拨款支出统计范围内</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28</w:t>
      </w:r>
      <w:r>
        <w:rPr>
          <w:rFonts w:hint="eastAsia" w:ascii="仿宋_GB2312" w:eastAsia="仿宋_GB2312"/>
          <w:sz w:val="32"/>
          <w:szCs w:val="32"/>
        </w:rPr>
        <w:t>辆，其中：轿车</w:t>
      </w:r>
      <w:r>
        <w:rPr>
          <w:rFonts w:hint="eastAsia" w:ascii="仿宋_GB2312" w:eastAsia="仿宋_GB2312"/>
          <w:sz w:val="32"/>
          <w:szCs w:val="32"/>
          <w:lang w:val="en-US" w:eastAsia="zh-CN"/>
        </w:rPr>
        <w:t>15</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辆、载客汽车</w:t>
      </w:r>
      <w:r>
        <w:rPr>
          <w:rFonts w:hint="eastAsia" w:ascii="仿宋_GB2312" w:eastAsia="仿宋_GB2312"/>
          <w:sz w:val="32"/>
          <w:szCs w:val="32"/>
          <w:lang w:val="en-US" w:eastAsia="zh-CN"/>
        </w:rPr>
        <w:t>10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sz w:val="32"/>
          <w:szCs w:val="32"/>
        </w:rPr>
        <w:t>8.61</w:t>
      </w:r>
      <w:r>
        <w:rPr>
          <w:rFonts w:hint="eastAsia" w:ascii="仿宋_GB2312" w:eastAsia="仿宋_GB2312"/>
          <w:sz w:val="32"/>
          <w:szCs w:val="32"/>
        </w:rPr>
        <w:t>万元。主要用于教育教学管理、学校安全工作、教师培训、普通初中教育、教育督导、普通高中教育、职业教育、“9+3”工作、校安工程、学生营养改善计划、高寒山区温暖工程、农村薄弱学校改造以及单位日常公务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sz w:val="32"/>
          <w:szCs w:val="32"/>
        </w:rPr>
        <w:t>2.05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39.22%</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1.21</w:t>
      </w:r>
      <w:r>
        <w:rPr>
          <w:rFonts w:hint="eastAsia" w:ascii="仿宋_GB2312" w:eastAsia="仿宋_GB2312"/>
          <w:sz w:val="32"/>
          <w:szCs w:val="32"/>
        </w:rPr>
        <w:t>万元，下降</w:t>
      </w:r>
      <w:r>
        <w:rPr>
          <w:rFonts w:hint="eastAsia" w:ascii="仿宋_GB2312" w:eastAsia="仿宋_GB2312"/>
          <w:sz w:val="32"/>
          <w:szCs w:val="32"/>
          <w:lang w:val="en-US" w:eastAsia="zh-CN"/>
        </w:rPr>
        <w:t>37.12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学校的三公经费由教育收费开支，不在财政拨款支出统计范围内</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hint="eastAsia" w:ascii="Times New Roman" w:hAnsi="Times New Roman" w:eastAsia="宋体" w:cs="Times New Roman"/>
          <w:sz w:val="32"/>
          <w:szCs w:val="32"/>
          <w:lang w:val="en-US" w:eastAsia="zh-CN"/>
        </w:rPr>
        <w:t>2.05</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7</w:t>
      </w:r>
      <w:r>
        <w:rPr>
          <w:rFonts w:hint="eastAsia" w:ascii="仿宋_GB2312" w:eastAsia="仿宋_GB2312"/>
          <w:sz w:val="32"/>
          <w:szCs w:val="32"/>
        </w:rPr>
        <w:t>批次，</w:t>
      </w:r>
      <w:r>
        <w:rPr>
          <w:rFonts w:hint="eastAsia" w:ascii="仿宋_GB2312" w:eastAsia="仿宋_GB2312"/>
          <w:sz w:val="32"/>
          <w:szCs w:val="32"/>
          <w:lang w:val="en-US" w:eastAsia="zh-CN"/>
        </w:rPr>
        <w:t>43</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2.05</w:t>
      </w:r>
      <w:r>
        <w:rPr>
          <w:rFonts w:hint="eastAsia" w:ascii="仿宋_GB2312" w:eastAsia="仿宋_GB2312"/>
          <w:sz w:val="32"/>
          <w:szCs w:val="32"/>
        </w:rPr>
        <w:t>万元，具体内容包括：</w:t>
      </w:r>
    </w:p>
    <w:p>
      <w:pPr>
        <w:pStyle w:val="2"/>
        <w:ind w:firstLine="640" w:firstLineChars="200"/>
        <w:rPr>
          <w:rFonts w:hint="eastAsia"/>
          <w:sz w:val="32"/>
          <w:szCs w:val="32"/>
          <w:lang w:eastAsia="zh-CN"/>
        </w:rPr>
      </w:pPr>
      <w:r>
        <w:rPr>
          <w:rFonts w:hint="eastAsia"/>
          <w:sz w:val="32"/>
          <w:szCs w:val="32"/>
          <w:lang w:eastAsia="zh-CN"/>
        </w:rPr>
        <w:t>市教育和体育局</w:t>
      </w:r>
    </w:p>
    <w:p>
      <w:pPr>
        <w:spacing w:line="600" w:lineRule="exact"/>
        <w:ind w:firstLine="640"/>
        <w:rPr>
          <w:rFonts w:ascii="仿宋_GB2312" w:eastAsia="仿宋_GB2312"/>
          <w:sz w:val="32"/>
          <w:szCs w:val="32"/>
        </w:rPr>
      </w:pPr>
      <w:r>
        <w:rPr>
          <w:rFonts w:hint="eastAsia" w:ascii="仿宋_GB2312" w:eastAsia="仿宋_GB2312"/>
          <w:sz w:val="32"/>
          <w:szCs w:val="32"/>
        </w:rPr>
        <w:t>1.</w:t>
      </w:r>
      <w:r>
        <w:rPr>
          <w:rFonts w:hint="eastAsia"/>
        </w:rPr>
        <w:t xml:space="preserve"> </w:t>
      </w:r>
      <w:r>
        <w:rPr>
          <w:rFonts w:hint="eastAsia" w:ascii="仿宋_GB2312" w:eastAsia="仿宋_GB2312"/>
          <w:sz w:val="32"/>
          <w:szCs w:val="32"/>
        </w:rPr>
        <w:t>省体育场馆协会专家来攀调研接待费0.14万元；2.</w:t>
      </w:r>
      <w:r>
        <w:rPr>
          <w:rFonts w:hint="eastAsia"/>
        </w:rPr>
        <w:t xml:space="preserve"> </w:t>
      </w:r>
      <w:r>
        <w:rPr>
          <w:rFonts w:hint="eastAsia" w:ascii="仿宋_GB2312" w:eastAsia="仿宋_GB2312"/>
          <w:sz w:val="32"/>
          <w:szCs w:val="32"/>
        </w:rPr>
        <w:t>接待省体彩中心来攀调研工作餐0.08万元；3.省厅赴攀参加森林草原防灭火主题教育进校园活动启动仪式暨调研学校安全工作接待费0.11万元；4.普通高考备考和高考综合改革基础保障条件专项督察工作接待费0.13万元；5.省教育督导委员会来攀检查学生非正常死亡接待费0.11万元；6.省体育局来攀对全民健身场地设施建设及体育场馆开放服务项目开展绩效评估接待费0.12万元；7.接待省体育局来攀调研体育产业0.1万元；8.</w:t>
      </w:r>
      <w:r>
        <w:rPr>
          <w:rFonts w:hint="eastAsia"/>
        </w:rPr>
        <w:t xml:space="preserve"> </w:t>
      </w:r>
      <w:r>
        <w:rPr>
          <w:rFonts w:hint="eastAsia" w:ascii="仿宋_GB2312" w:eastAsia="仿宋_GB2312"/>
          <w:sz w:val="32"/>
          <w:szCs w:val="32"/>
        </w:rPr>
        <w:t>省招生考试委员会督查攀高考备考接待费0.16万元；9.</w:t>
      </w:r>
      <w:r>
        <w:rPr>
          <w:rFonts w:hint="eastAsia"/>
        </w:rPr>
        <w:t xml:space="preserve"> </w:t>
      </w:r>
      <w:r>
        <w:rPr>
          <w:rFonts w:hint="eastAsia" w:ascii="仿宋_GB2312" w:eastAsia="仿宋_GB2312"/>
          <w:sz w:val="32"/>
          <w:szCs w:val="32"/>
        </w:rPr>
        <w:t>西南石油到攀访问企业和选拔学生事宜接待费0.16万元；10.</w:t>
      </w:r>
      <w:r>
        <w:rPr>
          <w:rFonts w:hint="eastAsia"/>
        </w:rPr>
        <w:t xml:space="preserve"> </w:t>
      </w:r>
      <w:r>
        <w:rPr>
          <w:rFonts w:hint="eastAsia" w:ascii="仿宋_GB2312" w:eastAsia="仿宋_GB2312"/>
          <w:sz w:val="32"/>
          <w:szCs w:val="32"/>
        </w:rPr>
        <w:t>国家教育学院来攀洽谈事宜接待费0.1万元；11.</w:t>
      </w:r>
      <w:r>
        <w:rPr>
          <w:rFonts w:hint="eastAsia"/>
        </w:rPr>
        <w:t xml:space="preserve"> </w:t>
      </w:r>
      <w:r>
        <w:rPr>
          <w:rFonts w:hint="eastAsia" w:ascii="仿宋_GB2312" w:eastAsia="仿宋_GB2312"/>
          <w:sz w:val="32"/>
          <w:szCs w:val="32"/>
        </w:rPr>
        <w:t>省体育局来攀开展体育系统“防风险”隐患等接待费0.01万元。</w:t>
      </w:r>
    </w:p>
    <w:p>
      <w:pPr>
        <w:pStyle w:val="2"/>
        <w:numPr>
          <w:ilvl w:val="0"/>
          <w:numId w:val="0"/>
        </w:numPr>
        <w:ind w:firstLine="640"/>
        <w:rPr>
          <w:rFonts w:hint="eastAsia"/>
          <w:sz w:val="32"/>
          <w:szCs w:val="32"/>
          <w:lang w:val="en-US" w:eastAsia="zh-CN"/>
        </w:rPr>
      </w:pPr>
      <w:r>
        <w:rPr>
          <w:rFonts w:hint="eastAsia"/>
          <w:sz w:val="32"/>
          <w:szCs w:val="32"/>
          <w:lang w:val="en-US" w:eastAsia="zh-CN"/>
        </w:rPr>
        <w:t>攀枝花市体育场馆中心</w:t>
      </w:r>
    </w:p>
    <w:p>
      <w:pPr>
        <w:pStyle w:val="2"/>
        <w:numPr>
          <w:ilvl w:val="0"/>
          <w:numId w:val="0"/>
        </w:num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接待省体育局</w:t>
      </w:r>
      <w:r>
        <w:rPr>
          <w:rFonts w:hint="eastAsia" w:ascii="仿宋_GB2312" w:eastAsia="仿宋_GB2312"/>
          <w:color w:val="000000"/>
          <w:sz w:val="32"/>
          <w:szCs w:val="32"/>
          <w:lang w:val="en-US" w:eastAsia="zh-CN"/>
        </w:rPr>
        <w:t>检查组开展中央和省级资金支持地方体育发展绩效评价专项检查</w:t>
      </w:r>
      <w:r>
        <w:rPr>
          <w:rFonts w:hint="eastAsia" w:ascii="仿宋_GB2312" w:eastAsia="仿宋_GB2312"/>
          <w:color w:val="000000"/>
          <w:sz w:val="32"/>
          <w:szCs w:val="32"/>
        </w:rPr>
        <w:t>，接待金额0</w:t>
      </w:r>
      <w:r>
        <w:rPr>
          <w:rFonts w:ascii="仿宋_GB2312" w:eastAsia="仿宋_GB2312"/>
          <w:color w:val="000000"/>
          <w:sz w:val="32"/>
          <w:szCs w:val="32"/>
        </w:rPr>
        <w:t>.</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万元；</w:t>
      </w:r>
      <w:r>
        <w:rPr>
          <w:rFonts w:hint="eastAsia"/>
          <w:color w:val="000000"/>
          <w:sz w:val="32"/>
          <w:szCs w:val="32"/>
          <w:lang w:val="en-US" w:eastAsia="zh-CN"/>
        </w:rPr>
        <w:t>2.</w:t>
      </w:r>
      <w:r>
        <w:rPr>
          <w:rFonts w:hint="eastAsia" w:ascii="仿宋_GB2312" w:eastAsia="仿宋_GB2312"/>
          <w:color w:val="000000"/>
          <w:sz w:val="32"/>
          <w:szCs w:val="32"/>
        </w:rPr>
        <w:t>接待四川省体育局</w:t>
      </w:r>
      <w:r>
        <w:rPr>
          <w:rFonts w:hint="eastAsia" w:ascii="仿宋_GB2312" w:eastAsia="仿宋_GB2312"/>
          <w:color w:val="000000"/>
          <w:sz w:val="32"/>
          <w:szCs w:val="32"/>
          <w:lang w:val="en-US" w:eastAsia="zh-CN"/>
        </w:rPr>
        <w:t>第五检查组赴攀枝花开展体育系统“防风险”隐患治理安全检查</w:t>
      </w:r>
      <w:r>
        <w:rPr>
          <w:rFonts w:hint="eastAsia" w:ascii="仿宋_GB2312" w:eastAsia="仿宋_GB2312"/>
          <w:color w:val="000000"/>
          <w:sz w:val="32"/>
          <w:szCs w:val="32"/>
        </w:rPr>
        <w:t>，接待金额</w:t>
      </w:r>
      <w:r>
        <w:rPr>
          <w:rFonts w:hint="eastAsia" w:ascii="仿宋_GB2312" w:eastAsia="仿宋_GB2312"/>
          <w:color w:val="000000"/>
          <w:sz w:val="32"/>
          <w:szCs w:val="32"/>
          <w:lang w:val="en-US" w:eastAsia="zh-CN"/>
        </w:rPr>
        <w:t>0.16</w:t>
      </w:r>
      <w:r>
        <w:rPr>
          <w:rFonts w:hint="eastAsia" w:ascii="仿宋_GB2312" w:eastAsia="仿宋_GB2312"/>
          <w:color w:val="000000"/>
          <w:sz w:val="32"/>
          <w:szCs w:val="32"/>
        </w:rPr>
        <w:t>万元。</w:t>
      </w:r>
    </w:p>
    <w:p>
      <w:pPr>
        <w:pStyle w:val="2"/>
        <w:numPr>
          <w:ilvl w:val="0"/>
          <w:numId w:val="0"/>
        </w:numPr>
        <w:rPr>
          <w:rFonts w:hint="eastAsia"/>
          <w:color w:val="000000"/>
          <w:sz w:val="32"/>
          <w:szCs w:val="32"/>
          <w:lang w:val="en-US" w:eastAsia="zh-CN"/>
        </w:rPr>
      </w:pPr>
      <w:r>
        <w:rPr>
          <w:rFonts w:hint="eastAsia"/>
          <w:color w:val="000000"/>
          <w:sz w:val="32"/>
          <w:szCs w:val="32"/>
          <w:lang w:val="en-US" w:eastAsia="zh-CN"/>
        </w:rPr>
        <w:t xml:space="preserve">   攀枝花市教育科学研究所</w:t>
      </w:r>
    </w:p>
    <w:p>
      <w:pPr>
        <w:pStyle w:val="2"/>
        <w:numPr>
          <w:ilvl w:val="0"/>
          <w:numId w:val="0"/>
        </w:numPr>
        <w:rPr>
          <w:rFonts w:hint="eastAsia" w:ascii="仿宋_GB2312" w:eastAsia="仿宋_GB2312"/>
          <w:sz w:val="32"/>
          <w:szCs w:val="32"/>
        </w:rPr>
      </w:pPr>
      <w:r>
        <w:rPr>
          <w:rFonts w:hint="eastAsia"/>
          <w:color w:val="000000"/>
          <w:sz w:val="32"/>
          <w:szCs w:val="32"/>
          <w:lang w:val="en-US" w:eastAsia="zh-CN"/>
        </w:rPr>
        <w:t xml:space="preserve">   1.</w:t>
      </w:r>
      <w:r>
        <w:rPr>
          <w:rFonts w:hint="eastAsia" w:ascii="仿宋_GB2312" w:eastAsia="仿宋_GB2312"/>
          <w:sz w:val="32"/>
          <w:szCs w:val="32"/>
        </w:rPr>
        <w:t>4月接待省教育厅来攀开展教师培训</w:t>
      </w:r>
      <w:r>
        <w:rPr>
          <w:rFonts w:hint="eastAsia" w:ascii="仿宋_GB2312" w:eastAsia="仿宋_GB2312"/>
          <w:sz w:val="32"/>
          <w:szCs w:val="32"/>
          <w:lang w:val="en-US" w:eastAsia="zh-CN"/>
        </w:rPr>
        <w:t>0.17万</w:t>
      </w:r>
      <w:r>
        <w:rPr>
          <w:rFonts w:hint="eastAsia" w:ascii="仿宋_GB2312" w:eastAsia="仿宋_GB2312"/>
          <w:sz w:val="32"/>
          <w:szCs w:val="32"/>
        </w:rPr>
        <w:t>元</w:t>
      </w:r>
      <w:r>
        <w:rPr>
          <w:rFonts w:hint="eastAsia"/>
          <w:sz w:val="32"/>
          <w:szCs w:val="32"/>
          <w:lang w:eastAsia="zh-CN"/>
        </w:rPr>
        <w:t>；</w:t>
      </w:r>
      <w:r>
        <w:rPr>
          <w:rFonts w:hint="eastAsia"/>
          <w:sz w:val="32"/>
          <w:szCs w:val="32"/>
          <w:lang w:val="en-US" w:eastAsia="zh-CN"/>
        </w:rPr>
        <w:t>2.</w:t>
      </w:r>
      <w:r>
        <w:rPr>
          <w:rFonts w:hint="eastAsia" w:ascii="仿宋_GB2312" w:eastAsia="仿宋_GB2312"/>
          <w:sz w:val="32"/>
          <w:szCs w:val="32"/>
        </w:rPr>
        <w:t>12月省教科院莅攀考察教科研工作</w:t>
      </w:r>
      <w:r>
        <w:rPr>
          <w:rFonts w:hint="eastAsia" w:ascii="仿宋_GB2312" w:eastAsia="仿宋_GB2312"/>
          <w:sz w:val="32"/>
          <w:szCs w:val="32"/>
          <w:lang w:val="en-US" w:eastAsia="zh-CN"/>
        </w:rPr>
        <w:t>0.12万</w:t>
      </w:r>
      <w:r>
        <w:rPr>
          <w:rFonts w:hint="eastAsia" w:ascii="仿宋_GB2312" w:eastAsia="仿宋_GB2312"/>
          <w:sz w:val="32"/>
          <w:szCs w:val="32"/>
        </w:rPr>
        <w:t>元。</w:t>
      </w:r>
    </w:p>
    <w:p>
      <w:pPr>
        <w:pStyle w:val="2"/>
        <w:numPr>
          <w:ilvl w:val="0"/>
          <w:numId w:val="0"/>
        </w:numPr>
        <w:rPr>
          <w:rFonts w:hint="eastAsia" w:hAnsi="Times New Roman" w:cs="Times New Roman"/>
          <w:color w:val="000000"/>
          <w:sz w:val="32"/>
          <w:szCs w:val="32"/>
          <w:lang w:val="en-US" w:eastAsia="zh-CN"/>
        </w:rPr>
      </w:pPr>
      <w:r>
        <w:rPr>
          <w:rFonts w:hint="eastAsia"/>
          <w:sz w:val="32"/>
          <w:szCs w:val="32"/>
          <w:lang w:val="en-US" w:eastAsia="zh-CN"/>
        </w:rPr>
        <w:t xml:space="preserve">   </w:t>
      </w:r>
      <w:r>
        <w:rPr>
          <w:rFonts w:hint="eastAsia" w:hAnsi="Times New Roman" w:cs="Times New Roman"/>
          <w:color w:val="000000"/>
          <w:sz w:val="32"/>
          <w:szCs w:val="32"/>
          <w:lang w:val="en-US" w:eastAsia="zh-CN"/>
        </w:rPr>
        <w:t>攀枝花市电化教育（技术装备）中心</w:t>
      </w:r>
    </w:p>
    <w:p>
      <w:pPr>
        <w:pStyle w:val="2"/>
        <w:numPr>
          <w:ilvl w:val="0"/>
          <w:numId w:val="0"/>
        </w:numPr>
        <w:rPr>
          <w:rFonts w:hint="eastAsia" w:ascii="仿宋_GB2312" w:eastAsia="仿宋_GB2312"/>
          <w:sz w:val="32"/>
          <w:szCs w:val="32"/>
        </w:rPr>
      </w:pPr>
      <w:r>
        <w:rPr>
          <w:rFonts w:hint="eastAsia" w:hAnsi="Times New Roman" w:cs="Times New Roman"/>
          <w:color w:val="000000"/>
          <w:sz w:val="32"/>
          <w:szCs w:val="32"/>
          <w:lang w:val="en-US" w:eastAsia="zh-CN"/>
        </w:rPr>
        <w:t xml:space="preserve">   1.</w:t>
      </w:r>
      <w:r>
        <w:rPr>
          <w:rFonts w:hint="eastAsia" w:ascii="仿宋_GB2312" w:eastAsia="仿宋_GB2312"/>
          <w:sz w:val="32"/>
          <w:szCs w:val="32"/>
        </w:rPr>
        <w:t>2022年12月开展教育装备质量抽检监测</w:t>
      </w:r>
      <w:r>
        <w:rPr>
          <w:rFonts w:hint="eastAsia" w:ascii="仿宋_GB2312" w:eastAsia="仿宋_GB2312"/>
          <w:sz w:val="32"/>
          <w:szCs w:val="32"/>
          <w:lang w:val="en-US" w:eastAsia="zh-CN"/>
        </w:rPr>
        <w:t>0.12万</w:t>
      </w:r>
      <w:r>
        <w:rPr>
          <w:rFonts w:hint="eastAsia" w:ascii="仿宋_GB2312" w:eastAsia="仿宋_GB2312"/>
          <w:sz w:val="32"/>
          <w:szCs w:val="32"/>
        </w:rPr>
        <w:t>元</w:t>
      </w:r>
      <w:r>
        <w:rPr>
          <w:rFonts w:hint="eastAsia"/>
          <w:sz w:val="32"/>
          <w:szCs w:val="32"/>
          <w:lang w:eastAsia="zh-CN"/>
        </w:rPr>
        <w:t>；</w:t>
      </w:r>
      <w:r>
        <w:rPr>
          <w:rFonts w:hint="eastAsia"/>
          <w:sz w:val="32"/>
          <w:szCs w:val="32"/>
          <w:lang w:val="en-US" w:eastAsia="zh-CN"/>
        </w:rPr>
        <w:t>2.</w:t>
      </w:r>
      <w:r>
        <w:rPr>
          <w:rFonts w:hint="eastAsia" w:ascii="仿宋_GB2312" w:eastAsia="仿宋_GB2312"/>
          <w:sz w:val="32"/>
          <w:szCs w:val="32"/>
        </w:rPr>
        <w:t>2023年4月四川省教育厅办公室开展基础教育数字化转型专项调研</w:t>
      </w:r>
      <w:r>
        <w:rPr>
          <w:rFonts w:hint="eastAsia" w:ascii="仿宋_GB2312" w:eastAsia="仿宋_GB2312"/>
          <w:sz w:val="32"/>
          <w:szCs w:val="32"/>
          <w:lang w:val="en-US" w:eastAsia="zh-CN"/>
        </w:rPr>
        <w:t>0.08万</w:t>
      </w:r>
      <w:r>
        <w:rPr>
          <w:rFonts w:hint="eastAsia" w:ascii="仿宋_GB2312" w:eastAsia="仿宋_GB2312"/>
          <w:sz w:val="32"/>
          <w:szCs w:val="32"/>
        </w:rPr>
        <w:t>元。</w:t>
      </w:r>
    </w:p>
    <w:p>
      <w:pPr>
        <w:pStyle w:val="2"/>
        <w:numPr>
          <w:ilvl w:val="0"/>
          <w:numId w:val="0"/>
        </w:numPr>
        <w:rPr>
          <w:rFonts w:hint="eastAsia" w:hAnsi="Times New Roman" w:cs="Times New Roman"/>
          <w:color w:val="000000"/>
          <w:sz w:val="32"/>
          <w:szCs w:val="32"/>
          <w:lang w:val="en-US" w:eastAsia="zh-CN"/>
        </w:rPr>
      </w:pPr>
      <w:r>
        <w:rPr>
          <w:rFonts w:hint="eastAsia"/>
          <w:sz w:val="32"/>
          <w:szCs w:val="32"/>
          <w:lang w:val="en-US" w:eastAsia="zh-CN"/>
        </w:rPr>
        <w:t xml:space="preserve">   </w:t>
      </w:r>
      <w:r>
        <w:rPr>
          <w:rFonts w:hint="eastAsia" w:hAnsi="Times New Roman" w:cs="Times New Roman"/>
          <w:color w:val="000000"/>
          <w:sz w:val="32"/>
          <w:szCs w:val="32"/>
          <w:lang w:val="en-US" w:eastAsia="zh-CN"/>
        </w:rPr>
        <w:t>攀枝花市体育中学</w:t>
      </w:r>
    </w:p>
    <w:p>
      <w:pPr>
        <w:pStyle w:val="2"/>
        <w:numPr>
          <w:ilvl w:val="0"/>
          <w:numId w:val="0"/>
        </w:numPr>
        <w:rPr>
          <w:rFonts w:hint="default" w:hAnsi="Times New Roman" w:cs="Times New Roman"/>
          <w:color w:val="000000"/>
          <w:sz w:val="32"/>
          <w:szCs w:val="32"/>
          <w:lang w:val="en-US" w:eastAsia="zh-CN"/>
        </w:rPr>
      </w:pPr>
      <w:r>
        <w:rPr>
          <w:rFonts w:hint="eastAsia" w:hAnsi="Times New Roman" w:cs="Times New Roman"/>
          <w:color w:val="000000"/>
          <w:sz w:val="32"/>
          <w:szCs w:val="32"/>
          <w:lang w:val="en-US" w:eastAsia="zh-CN"/>
        </w:rPr>
        <w:t xml:space="preserve">   </w:t>
      </w:r>
      <w:r>
        <w:rPr>
          <w:rFonts w:hint="eastAsia" w:ascii="仿宋_GB2312" w:eastAsia="仿宋_GB2312"/>
          <w:sz w:val="32"/>
          <w:szCs w:val="32"/>
          <w:highlight w:val="none"/>
          <w:lang w:eastAsia="zh-CN"/>
        </w:rPr>
        <w:t>四川省举重队来攀调研接待费</w:t>
      </w:r>
      <w:r>
        <w:rPr>
          <w:rFonts w:hint="eastAsia" w:ascii="仿宋_GB2312" w:eastAsia="仿宋_GB2312"/>
          <w:sz w:val="32"/>
          <w:szCs w:val="32"/>
          <w:highlight w:val="none"/>
          <w:lang w:val="en-US" w:eastAsia="zh-CN"/>
        </w:rPr>
        <w:t>0.05万元。</w:t>
      </w:r>
    </w:p>
    <w:p>
      <w:pPr>
        <w:spacing w:line="600" w:lineRule="exact"/>
        <w:ind w:firstLine="640" w:firstLineChars="200"/>
        <w:rPr>
          <w:rFonts w:ascii="仿宋_GB2312" w:eastAsia="仿宋_GB2312"/>
          <w:sz w:val="32"/>
          <w:szCs w:val="32"/>
        </w:rPr>
      </w:pPr>
      <w:r>
        <w:rPr>
          <w:rFonts w:hint="eastAsia" w:ascii="仿宋" w:hAnsi="仿宋" w:eastAsia="仿宋"/>
          <w:b/>
          <w:sz w:val="32"/>
          <w:szCs w:val="32"/>
        </w:rPr>
        <w:t>外事接待支出</w:t>
      </w:r>
      <w:r>
        <w:rPr>
          <w:rFonts w:hint="eastAsia" w:ascii="Times New Roman" w:hAnsi="Times New Roman" w:eastAsia="宋体" w:cs="Times New Roman"/>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bookmarkStart w:id="44" w:name="_Toc15396610"/>
      <w:bookmarkStart w:id="45" w:name="_Toc15377218"/>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839.75</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8"/>
          <w:rFonts w:ascii="黑体" w:hAnsi="黑体" w:eastAsia="黑体"/>
          <w:b w:val="0"/>
        </w:rPr>
      </w:pPr>
      <w:bookmarkStart w:id="46" w:name="_Toc15396611"/>
      <w:bookmarkStart w:id="47" w:name="_Toc15377219"/>
      <w:r>
        <w:rPr>
          <w:rStyle w:val="28"/>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8"/>
          <w:rFonts w:ascii="黑体" w:hAnsi="黑体" w:eastAsia="黑体"/>
          <w:b w:val="0"/>
        </w:rPr>
      </w:pPr>
      <w:bookmarkStart w:id="48" w:name="_Toc15396612"/>
      <w:bookmarkStart w:id="49" w:name="_Toc15377221"/>
      <w:r>
        <w:rPr>
          <w:rStyle w:val="28"/>
          <w:rFonts w:hint="eastAsia" w:ascii="黑体" w:hAnsi="黑体" w:eastAsia="黑体"/>
          <w:b w:val="0"/>
        </w:rPr>
        <w:t>其他重要事项的情况说明</w:t>
      </w:r>
      <w:bookmarkEnd w:id="48"/>
      <w:bookmarkEnd w:id="49"/>
    </w:p>
    <w:p>
      <w:pPr>
        <w:spacing w:line="600" w:lineRule="exact"/>
        <w:ind w:firstLine="640"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ascii="仿宋_GB2312" w:hAnsi="Times New Roman" w:eastAsia="仿宋_GB2312" w:cs="Times New Roman"/>
          <w:sz w:val="32"/>
          <w:szCs w:val="32"/>
        </w:rPr>
        <w:t>四川省攀枝花市教育和体育局机关运</w:t>
      </w:r>
      <w:r>
        <w:rPr>
          <w:rFonts w:hint="eastAsia" w:ascii="仿宋_GB2312" w:eastAsia="仿宋_GB2312"/>
          <w:sz w:val="32"/>
          <w:szCs w:val="32"/>
        </w:rPr>
        <w:t>行经费支出</w:t>
      </w:r>
      <w:r>
        <w:rPr>
          <w:sz w:val="32"/>
          <w:szCs w:val="32"/>
        </w:rPr>
        <w:t>170.35</w:t>
      </w:r>
      <w:r>
        <w:rPr>
          <w:rFonts w:hint="eastAsia" w:ascii="仿宋_GB2312" w:eastAsia="仿宋_GB2312"/>
          <w:sz w:val="32"/>
          <w:szCs w:val="32"/>
        </w:rPr>
        <w:t>万元，比2022年度增加</w:t>
      </w:r>
      <w:r>
        <w:rPr>
          <w:rFonts w:hint="eastAsia" w:ascii="仿宋_GB2312" w:eastAsia="仿宋_GB2312"/>
          <w:sz w:val="32"/>
          <w:szCs w:val="32"/>
          <w:lang w:val="en-US" w:eastAsia="zh-CN"/>
        </w:rPr>
        <w:t>13.1</w:t>
      </w:r>
      <w:r>
        <w:rPr>
          <w:rFonts w:hint="eastAsia" w:ascii="仿宋_GB2312" w:eastAsia="仿宋_GB2312"/>
          <w:sz w:val="32"/>
          <w:szCs w:val="32"/>
        </w:rPr>
        <w:t>万元，增长</w:t>
      </w:r>
      <w:r>
        <w:rPr>
          <w:rFonts w:hint="eastAsia" w:ascii="仿宋_GB2312" w:eastAsia="仿宋_GB2312"/>
          <w:sz w:val="32"/>
          <w:szCs w:val="32"/>
          <w:lang w:val="en-US" w:eastAsia="zh-CN"/>
        </w:rPr>
        <w:t>8.33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增加了物业管理费公用支出</w:t>
      </w:r>
      <w:r>
        <w:rPr>
          <w:rFonts w:hint="eastAsia" w:ascii="仿宋_GB2312" w:eastAsia="仿宋_GB2312"/>
          <w:sz w:val="32"/>
          <w:szCs w:val="32"/>
        </w:rPr>
        <w:t>。</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ascii="仿宋_GB2312" w:hAnsi="Times New Roman" w:eastAsia="仿宋_GB2312" w:cs="Times New Roman"/>
          <w:sz w:val="32"/>
          <w:szCs w:val="32"/>
        </w:rPr>
        <w:t>四川省攀枝花市教育和体育局政府采购</w:t>
      </w:r>
      <w:r>
        <w:rPr>
          <w:rFonts w:hint="eastAsia" w:ascii="仿宋_GB2312" w:eastAsia="仿宋_GB2312"/>
          <w:sz w:val="32"/>
          <w:szCs w:val="32"/>
        </w:rPr>
        <w:t>支出总额</w:t>
      </w:r>
      <w:r>
        <w:rPr>
          <w:sz w:val="32"/>
          <w:szCs w:val="32"/>
        </w:rPr>
        <w:t>1496.79</w:t>
      </w:r>
      <w:r>
        <w:rPr>
          <w:rFonts w:hint="eastAsia" w:ascii="仿宋_GB2312" w:eastAsia="仿宋_GB2312"/>
          <w:sz w:val="32"/>
          <w:szCs w:val="32"/>
        </w:rPr>
        <w:t>万元，其中：政府采购货物支出</w:t>
      </w:r>
      <w:r>
        <w:rPr>
          <w:sz w:val="32"/>
          <w:szCs w:val="32"/>
        </w:rPr>
        <w:t>974.6</w:t>
      </w:r>
      <w:r>
        <w:rPr>
          <w:rFonts w:hint="eastAsia" w:ascii="仿宋_GB2312" w:eastAsia="仿宋_GB2312"/>
          <w:sz w:val="32"/>
          <w:szCs w:val="32"/>
        </w:rPr>
        <w:t>万元、政府采购工程支出</w:t>
      </w:r>
      <w:r>
        <w:rPr>
          <w:sz w:val="32"/>
          <w:szCs w:val="32"/>
        </w:rPr>
        <w:t>504.68</w:t>
      </w:r>
      <w:r>
        <w:rPr>
          <w:rFonts w:hint="eastAsia" w:ascii="仿宋_GB2312" w:eastAsia="仿宋_GB2312"/>
          <w:sz w:val="32"/>
          <w:szCs w:val="32"/>
        </w:rPr>
        <w:t>万元、政府采购服务支出</w:t>
      </w:r>
      <w:r>
        <w:rPr>
          <w:sz w:val="32"/>
          <w:szCs w:val="32"/>
        </w:rPr>
        <w:t>17.51</w:t>
      </w:r>
      <w:r>
        <w:rPr>
          <w:rFonts w:hint="eastAsia" w:ascii="仿宋_GB2312" w:eastAsia="仿宋_GB2312"/>
          <w:sz w:val="32"/>
          <w:szCs w:val="32"/>
        </w:rPr>
        <w:t>万元。主要用于</w:t>
      </w:r>
      <w:r>
        <w:rPr>
          <w:rFonts w:hint="eastAsia" w:ascii="仿宋_GB2312" w:eastAsia="仿宋_GB2312" w:cs="仿宋_GB2312"/>
          <w:color w:val="000000" w:themeColor="text1"/>
          <w:sz w:val="32"/>
          <w:szCs w:val="32"/>
          <w14:textFill>
            <w14:solidFill>
              <w14:schemeClr w14:val="tx1"/>
            </w14:solidFill>
          </w14:textFill>
        </w:rPr>
        <w:t>电脑、桌椅、广播器材、体育用品等用品采购，校园监控系统、</w:t>
      </w:r>
      <w:r>
        <w:rPr>
          <w:rFonts w:hint="eastAsia" w:ascii="仿宋_GB2312" w:eastAsia="仿宋_GB2312"/>
          <w:color w:val="000000" w:themeColor="text1"/>
          <w:sz w:val="32"/>
          <w:szCs w:val="32"/>
          <w14:textFill>
            <w14:solidFill>
              <w14:schemeClr w14:val="tx1"/>
            </w14:solidFill>
          </w14:textFill>
        </w:rPr>
        <w:t>电力线路</w:t>
      </w:r>
      <w:r>
        <w:rPr>
          <w:rFonts w:hint="eastAsia" w:ascii="仿宋_GB2312" w:eastAsia="仿宋_GB2312" w:cs="仿宋_GB2312"/>
          <w:color w:val="000000" w:themeColor="text1"/>
          <w:sz w:val="32"/>
          <w:szCs w:val="32"/>
          <w14:textFill>
            <w14:solidFill>
              <w14:schemeClr w14:val="tx1"/>
            </w14:solidFill>
          </w14:textFill>
        </w:rPr>
        <w:t>、改造工程、楼房修缮等服务和工程</w:t>
      </w:r>
      <w:r>
        <w:rPr>
          <w:rFonts w:hint="eastAsia" w:ascii="仿宋_GB2312" w:eastAsia="仿宋_GB2312"/>
          <w:sz w:val="32"/>
          <w:szCs w:val="32"/>
        </w:rPr>
        <w:t>。授予中小企业合同金额</w:t>
      </w:r>
      <w:r>
        <w:rPr>
          <w:sz w:val="32"/>
          <w:szCs w:val="32"/>
        </w:rPr>
        <w:t>1402.86</w:t>
      </w:r>
      <w:r>
        <w:rPr>
          <w:rFonts w:hint="eastAsia" w:ascii="仿宋_GB2312" w:eastAsia="仿宋_GB2312"/>
          <w:sz w:val="32"/>
          <w:szCs w:val="32"/>
        </w:rPr>
        <w:t>万元，占政府采购支出总额的</w:t>
      </w:r>
      <w:r>
        <w:rPr>
          <w:sz w:val="32"/>
          <w:szCs w:val="32"/>
        </w:rPr>
        <w:t>93.72</w:t>
      </w:r>
      <w:r>
        <w:rPr>
          <w:rFonts w:ascii="仿宋_GB2312" w:eastAsia="仿宋_GB2312"/>
          <w:sz w:val="32"/>
          <w:szCs w:val="32"/>
        </w:rPr>
        <w:t>%</w:t>
      </w:r>
      <w:r>
        <w:rPr>
          <w:rFonts w:hint="eastAsia" w:ascii="仿宋_GB2312" w:eastAsia="仿宋_GB2312"/>
          <w:sz w:val="32"/>
          <w:szCs w:val="32"/>
        </w:rPr>
        <w:t>，其中：授予小微企业合同金额</w:t>
      </w:r>
      <w:r>
        <w:rPr>
          <w:sz w:val="32"/>
          <w:szCs w:val="32"/>
        </w:rPr>
        <w:t>1034.65</w:t>
      </w:r>
      <w:r>
        <w:rPr>
          <w:rFonts w:hint="eastAsia" w:ascii="仿宋_GB2312" w:eastAsia="仿宋_GB2312"/>
          <w:sz w:val="32"/>
          <w:szCs w:val="32"/>
        </w:rPr>
        <w:t>万元，占政府采购支出总额的</w:t>
      </w:r>
      <w:r>
        <w:rPr>
          <w:sz w:val="32"/>
          <w:szCs w:val="32"/>
        </w:rPr>
        <w:t>69.12</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Times New Roman" w:eastAsia="仿宋_GB2312" w:cs="Times New Roman"/>
          <w:sz w:val="32"/>
          <w:szCs w:val="32"/>
        </w:rPr>
        <w:t>四川省攀枝花市教育和体育局</w:t>
      </w:r>
      <w:r>
        <w:rPr>
          <w:rFonts w:hint="eastAsia" w:ascii="仿宋_GB2312" w:eastAsia="仿宋_GB2312"/>
          <w:sz w:val="32"/>
          <w:szCs w:val="32"/>
        </w:rPr>
        <w:t>共有车辆</w:t>
      </w:r>
      <w:r>
        <w:rPr>
          <w:rFonts w:ascii="仿宋_GB2312" w:eastAsia="仿宋_GB2312"/>
          <w:sz w:val="32"/>
          <w:szCs w:val="32"/>
        </w:rPr>
        <w:t>4</w:t>
      </w:r>
      <w:r>
        <w:rPr>
          <w:rFonts w:hint="eastAsia" w:ascii="仿宋_GB2312" w:eastAsia="仿宋_GB2312"/>
          <w:sz w:val="32"/>
          <w:szCs w:val="32"/>
          <w:lang w:val="en-US" w:eastAsia="zh-CN"/>
        </w:rPr>
        <w:t>7</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46</w:t>
      </w:r>
      <w:r>
        <w:rPr>
          <w:rFonts w:hint="eastAsia" w:ascii="仿宋_GB2312" w:eastAsia="仿宋_GB2312"/>
          <w:sz w:val="32"/>
          <w:szCs w:val="32"/>
        </w:rPr>
        <w:t>辆，其他用车主要是用于</w:t>
      </w:r>
      <w:r>
        <w:rPr>
          <w:rFonts w:hint="eastAsia" w:ascii="仿宋_GB2312" w:eastAsia="仿宋_GB2312" w:cs="仿宋_GB2312"/>
          <w:sz w:val="32"/>
          <w:szCs w:val="32"/>
        </w:rPr>
        <w:t>事业单位日常公务使用，汽车专业教育教学和通勤</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sz w:val="32"/>
          <w:szCs w:val="32"/>
        </w:rPr>
        <w:t>1</w:t>
      </w:r>
      <w:r>
        <w:rPr>
          <w:rFonts w:hint="eastAsia" w:ascii="仿宋_GB2312" w:eastAsia="仿宋_GB2312"/>
          <w:sz w:val="32"/>
          <w:szCs w:val="32"/>
        </w:rPr>
        <w:t>台（套）。</w:t>
      </w:r>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根据预算绩效管理要求，本部门在2023年度预算编制阶段，组织对普通高中教育补助经费项目、援藏援彝干部人才补助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全民健身补短板工程等12个项目开展了预算事前绩效评估，对</w:t>
      </w: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个项目开展绩效监控。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组织对2023年度一般公共预算、政府性基金预算、国有资本经营预算、社会保险基金预算以及资本资产、债券资金等全面开展绩效自评，形成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攀枝花市教育和体育局</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eastAsia="zh-CN"/>
        </w:rPr>
        <w:t>扶持和规范民办教育发展专项</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攀枝花市教育和体育局</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分，绩效自评综述：</w:t>
      </w:r>
      <w:r>
        <w:rPr>
          <w:rFonts w:eastAsia="仿宋_GB2312"/>
          <w:sz w:val="32"/>
          <w:szCs w:val="32"/>
        </w:rPr>
        <w:t>一是基础教育水平稳步攀升</w:t>
      </w:r>
      <w:r>
        <w:rPr>
          <w:rFonts w:hint="eastAsia" w:eastAsia="仿宋_GB2312"/>
          <w:sz w:val="32"/>
          <w:szCs w:val="32"/>
          <w:lang w:eastAsia="zh-CN"/>
        </w:rPr>
        <w:t>，</w:t>
      </w:r>
      <w:r>
        <w:rPr>
          <w:rFonts w:eastAsia="仿宋_GB2312"/>
          <w:sz w:val="32"/>
          <w:szCs w:val="32"/>
        </w:rPr>
        <w:t>二是职业教育水平持续优化</w:t>
      </w:r>
      <w:r>
        <w:rPr>
          <w:rFonts w:hint="eastAsia" w:eastAsia="仿宋_GB2312"/>
          <w:sz w:val="32"/>
          <w:szCs w:val="32"/>
          <w:lang w:eastAsia="zh-CN"/>
        </w:rPr>
        <w:t>，</w:t>
      </w:r>
      <w:r>
        <w:rPr>
          <w:rFonts w:eastAsia="仿宋_GB2312"/>
          <w:sz w:val="32"/>
          <w:szCs w:val="32"/>
        </w:rPr>
        <w:t>三是教师队伍建设不断加强</w:t>
      </w:r>
      <w:r>
        <w:rPr>
          <w:rFonts w:hint="eastAsia" w:eastAsia="仿宋_GB2312"/>
          <w:sz w:val="32"/>
          <w:szCs w:val="32"/>
          <w:lang w:eastAsia="zh-CN"/>
        </w:rPr>
        <w:t>，</w:t>
      </w:r>
      <w:r>
        <w:rPr>
          <w:rFonts w:eastAsia="仿宋_GB2312"/>
          <w:sz w:val="32"/>
          <w:szCs w:val="32"/>
        </w:rPr>
        <w:t>四是教育保障能力显著提高</w:t>
      </w:r>
      <w:r>
        <w:rPr>
          <w:rFonts w:hint="eastAsia" w:eastAsia="仿宋_GB2312"/>
          <w:sz w:val="32"/>
          <w:szCs w:val="32"/>
          <w:lang w:eastAsia="zh-CN"/>
        </w:rPr>
        <w:t>，</w:t>
      </w:r>
      <w:r>
        <w:rPr>
          <w:rFonts w:eastAsia="仿宋_GB2312"/>
          <w:sz w:val="32"/>
          <w:szCs w:val="32"/>
        </w:rPr>
        <w:t>五是竞技体育取得新成绩</w:t>
      </w:r>
      <w:r>
        <w:rPr>
          <w:rFonts w:hint="eastAsia" w:eastAsia="仿宋_GB2312"/>
          <w:sz w:val="32"/>
          <w:szCs w:val="32"/>
          <w:lang w:eastAsia="zh-CN"/>
        </w:rPr>
        <w:t>，</w:t>
      </w:r>
      <w:r>
        <w:rPr>
          <w:rFonts w:eastAsia="仿宋_GB2312"/>
          <w:sz w:val="32"/>
          <w:szCs w:val="32"/>
        </w:rPr>
        <w:t>体育产业呈现新气象</w:t>
      </w:r>
      <w:r>
        <w:rPr>
          <w:rFonts w:hint="eastAsia" w:ascii="仿宋_GB2312" w:hAnsi="仿宋_GB2312" w:eastAsia="仿宋_GB2312" w:cs="仿宋_GB2312"/>
          <w:sz w:val="32"/>
          <w:szCs w:val="32"/>
        </w:rPr>
        <w:t>；部分学生资助补助经费专项预算项目绩效自评得分为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对农村、涉农专业和家庭经济困难来说，既减轻学生家庭经济负担，还解除了学生经济上的后顾之忧，能让学生不会因经济问题而辍学或失学，更能安心学习。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从长远来看，农村、涉农专业和家庭经济困难学生在免学费基础上，再实施“补助生活费、免住宿和书本等杂费”政策，对促进民族地区教育公正，发展民族地区经济，改善民族地区学生家庭活生生水平，帮助学生家庭脱贫致富均有重大意义。也能让民族同胞感受到党和政府的关怀，有利促进民族大团结、大发展。</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助力脱贫攻坚、乡村振兴。减轻贫困家庭减轻教育支出，通过教育阻断贫困代际传递。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绩效自评报告详见附件。</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jc w:val="center"/>
      </w:pPr>
      <w:r>
        <w:rPr>
          <w:rFonts w:hint="eastAsia"/>
        </w:rPr>
        <w:t>第三部分 名词解释</w:t>
      </w:r>
    </w:p>
    <w:p/>
    <w:p>
      <w:pPr>
        <w:widowControl/>
        <w:spacing w:line="560" w:lineRule="exact"/>
        <w:ind w:firstLine="66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其他收入：指单位取得的除上述收入以外的各项收入。主要是利息收入、除财政外其他相关单位拨款等。</w:t>
      </w:r>
      <w:r>
        <w:rPr>
          <w:rFonts w:ascii="仿宋_GB2312" w:eastAsia="仿宋_GB2312" w:cs="仿宋_GB2312"/>
          <w:sz w:val="32"/>
          <w:szCs w:val="32"/>
        </w:rPr>
        <w:t xml:space="preserve"> </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年初结转和结余：指以前年度尚未完成、结转到本年按有关规定继续使用的资金。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年末结转和结余：指单位按有关规定结转到下年或以后年度继续使用的资金。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一般公共服务（类）发展与改革事务（款）战略规划与实施（项）：指反应拟定并组织实施国民经济和社会发展战略、中长期规划和年度计划，实施宏观管理与调控等方面的支出。一般公共服务（类）组织事务（款）其他组织事务支出（项）：指其他用于中国共产党组织部门的事业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教育（类）教育管理事务（款）行政运行（项）：指反映行政单位（包括实行公务员管理的事业单位）教育方面的基本支出。教育（类）教育管理事务（款）一般行政管理事务（项）：指反映行政单位（包括实行公务员管理的事业单位）未单独设置项级科目的其他项目支出。教育（类）教育管理事务（款）其他教育管理事务支出（项）：指其他用于教育管理事务方面的支出。教育（类）普通教育（款）学前教育（项）：指各部门举办的学前教育支出。教育（类）普通教育（款）初中教育（项）指</w:t>
      </w:r>
      <w:r>
        <w:rPr>
          <w:rFonts w:ascii="仿宋_GB2312" w:eastAsia="仿宋_GB2312" w:cs="仿宋_GB2312"/>
          <w:sz w:val="32"/>
          <w:szCs w:val="32"/>
        </w:rPr>
        <w:t xml:space="preserve">: </w:t>
      </w:r>
      <w:r>
        <w:rPr>
          <w:rFonts w:hint="eastAsia" w:ascii="仿宋_GB2312" w:eastAsia="仿宋_GB2312" w:cs="仿宋_GB2312"/>
          <w:sz w:val="32"/>
          <w:szCs w:val="32"/>
        </w:rPr>
        <w:t>教育类普通教育款初中教育支出项。教育（类）普通教育（款）高中教育（项）：反映各部门举办的高级中学教育支出。政府各部门对社会中介组织等举办的高级中学的资助，如捐赠、补贴等，也在本科目中反映。教育（类）普通教育（款）其他普通教育支出（项）：其他用于普通教育方面的支出。教育支出（类）职业教育（款）中专教育（项）：反映各部门中等专业学校的支出。教育支出（类）职业教育（款）其他职业教育支出（项）：指其他用于职业教育方面的支出。教育支出（类）广播电视教育（款）广播电视学校（项）：反映各部门举办广播电视学校的支出。教育（类）特殊教育（款）特殊学校教育（项）：反映举办盲童学校、聋哑学校、智力落后儿童学校、其他生理缺陷儿童学校的支出。教育（类）特殊教育（款）其他特殊教育支出（项）：反映除举办盲童学校、聋哑学校、智力落后儿童学校、其他生理缺陷儿童学校及工读学校外其他用于特殊教育方面的支出。教育（类）教育附加安排的支出（款）其他教育附加安排的支出（项）</w:t>
      </w:r>
      <w:r>
        <w:rPr>
          <w:rFonts w:ascii="仿宋_GB2312" w:eastAsia="仿宋_GB2312" w:cs="仿宋_GB2312"/>
          <w:sz w:val="32"/>
          <w:szCs w:val="32"/>
        </w:rPr>
        <w:t>:</w:t>
      </w:r>
      <w:r>
        <w:rPr>
          <w:rFonts w:hint="eastAsia" w:ascii="仿宋_GB2312" w:eastAsia="仿宋_GB2312" w:cs="仿宋_GB2312"/>
          <w:sz w:val="32"/>
          <w:szCs w:val="32"/>
        </w:rPr>
        <w:t>反映除农村中小学校舍建设、农村中小学教学设施、城市中小学校舍建设、城市中小学教学设施、中等职业学校教学设施以外的教育费附加支出。教育（类）其他教育支出（款）其他教育支出（项）：其他用于教育方面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文化体育与传媒（类）体育（款）行政运行（项）：指反映行政单位（包括实行公务员管理的事业单位）体育方面的基本支出。文化体育与传媒（类）体育（款）一般行政管理事务（项）：指反映行政单位（包括实行公务员管理的事业单位）未单独设置项级科目的其他项目支出。文化体育与传媒（类）体育（款）体育竞赛（项）：反映综合性运动会及单项体育比赛支出。文化体育与传媒（类）体育（款）体育训练（项）：反映各级体育运动队训练补助及器材购置等方面的支出。文化体育与传媒（类）体育（款）体育场馆（项）：指反映体育场馆建设及维护等方面的支出。文化体育与传媒（类）体育（款）群众体育（项）：反映业余体校和全民健身等群众体育活动方面的支出。文化体育与传媒（类）体育（款）其他体育支出（项）：指反映除上述项目以外的其他体育方面的支出。文化体育与传媒（类）其他文化体育与传媒支出（款）其他文化体育与传媒支出（项）：指反映除上述项目以外的其他文化体育与传媒方面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社会保障和就业（类）人力资源和社会保障管理事务（款）其他人力资源和社会保障管理事务支出（项）</w:t>
      </w:r>
      <w:r>
        <w:rPr>
          <w:rFonts w:ascii="仿宋_GB2312" w:eastAsia="仿宋_GB2312" w:cs="仿宋_GB2312"/>
          <w:sz w:val="32"/>
          <w:szCs w:val="32"/>
        </w:rPr>
        <w:t>:</w:t>
      </w:r>
      <w:r>
        <w:rPr>
          <w:rFonts w:hint="eastAsia" w:ascii="仿宋_GB2312" w:eastAsia="仿宋_GB2312" w:cs="仿宋_GB2312"/>
          <w:sz w:val="32"/>
          <w:szCs w:val="32"/>
        </w:rPr>
        <w:t>其他用于人力资源和社会保障管理事务方面的支出。社会保障和就业（类）行政事业单位离退休（款）未归口管理的行政事业单位离退休（项）</w:t>
      </w:r>
      <w:r>
        <w:rPr>
          <w:rFonts w:ascii="仿宋_GB2312" w:eastAsia="仿宋_GB2312" w:cs="仿宋_GB2312"/>
          <w:sz w:val="32"/>
          <w:szCs w:val="32"/>
        </w:rPr>
        <w:t>:</w:t>
      </w:r>
      <w:r>
        <w:rPr>
          <w:rFonts w:hint="eastAsia" w:ascii="仿宋_GB2312" w:eastAsia="仿宋_GB2312" w:cs="仿宋_GB2312"/>
          <w:sz w:val="32"/>
          <w:szCs w:val="32"/>
        </w:rPr>
        <w:t>反映未实行归口管理的行政单位（包括实行公务员管理的事业单位）开支的离退休支出。社会保障和就业（类）行政事业单位离退休（款）机关事业单位基本养老保险缴费支出（项）：反映机关事业单位实施养老保险制度由单位缴纳的基本养老保险费支出。社会保障和就业（类）抚恤（款）死亡抚恤（项）：反映按规定用于烈士和牺牲、病故人员家属的一次性和定期抚恤金以及丧葬补助费。社会保障和就业（类）社会福利（款）儿童福利（项）：反映对儿童提供福利服务方面的支出。社会保障和就业（类）残疾人事业（款）残疾人就业和扶贫（项）：反映残疾人联合会用于残疾人就业和扶贫等方面的工作。</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医疗卫生与计划生育支出（类）公共卫生（款）重大公共卫生专项（项）：反映重大疾病预防控制等重大公共卫生服务项目支出。医疗卫生与计划生育支出（类）医疗保障（款）其他医疗保障支出（项）：其他用于医疗保障方面的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城乡社区支出（类）国有土地使用权出让收入及对应专项债务收入安排的支出（款）城市建设支出（项）：反映土地出让收入用于完善国有土地使用功能的配套设施建设和城市基础设施建设支出。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住房保障（类）保障性安居工程支出（款）公共租赁住房（项）：反映用于新建、改建、购买、租赁公共租赁住房支出。住房保障（类）住房改革支出（款）住房公积金（项）：指反映行政事业单位按人力资源和社会保障部、财政部规定的基本工资和津贴补贴以及规定比列为职工缴纳的住房公积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其他支出（类）彩票公益金及对应专项债务收入安排的支出（款）用于体育事业的彩票公益金支出（项）：反映用于体育事业的彩票公益金支出。</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年末结转和结余指单位按有关规定结转到下年或以后年度继续使用的资金。</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基本支出：指为保障机构正常运转、完成日常工作任务而发生的人员支出和公用支出。</w:t>
      </w:r>
    </w:p>
    <w:p>
      <w:pPr>
        <w:widowControl/>
        <w:spacing w:line="560" w:lineRule="exact"/>
        <w:ind w:firstLine="660"/>
        <w:rPr>
          <w:rFonts w:ascii="仿宋_GB2312" w:eastAsia="仿宋_GB2312" w:cs="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项目支出：指在基本支出之外为完成特定行政任务和事业发展目标所发生的支出。</w:t>
      </w:r>
      <w:r>
        <w:rPr>
          <w:rFonts w:ascii="仿宋_GB2312" w:eastAsia="仿宋_GB2312" w:cs="仿宋_GB2312"/>
          <w:sz w:val="32"/>
          <w:szCs w:val="32"/>
        </w:rPr>
        <w:t xml:space="preserve"> </w:t>
      </w:r>
    </w:p>
    <w:p>
      <w:pPr>
        <w:widowControl/>
        <w:spacing w:line="560" w:lineRule="exact"/>
        <w:ind w:firstLine="660"/>
        <w:rPr>
          <w:rFonts w:ascii="仿宋_GB2312" w:eastAsia="仿宋_GB2312"/>
          <w:sz w:val="32"/>
          <w:szCs w:val="32"/>
        </w:rPr>
      </w:pPr>
      <w:r>
        <w:rPr>
          <w:rFonts w:ascii="仿宋_GB2312" w:eastAsia="仿宋_GB2312" w:cs="仿宋_GB2312"/>
          <w:sz w:val="32"/>
          <w:szCs w:val="32"/>
        </w:rPr>
        <w:t>16.</w:t>
      </w:r>
      <w:r>
        <w:rPr>
          <w:rFonts w:ascii="仿宋_GB2312" w:eastAsia="仿宋_GB2312"/>
          <w:sz w:val="32"/>
          <w:szCs w:val="32"/>
        </w:rPr>
        <w:t>“</w:t>
      </w:r>
      <w:r>
        <w:rPr>
          <w:rFonts w:hint="eastAsia" w:ascii="仿宋_GB2312" w:eastAsia="仿宋_GB2312" w:cs="仿宋_GB2312"/>
          <w:sz w:val="32"/>
          <w:szCs w:val="32"/>
        </w:rPr>
        <w:t>三公</w:t>
      </w:r>
      <w:r>
        <w:rPr>
          <w:rFonts w:ascii="仿宋_GB2312" w:eastAsia="仿宋_GB2312"/>
          <w:sz w:val="32"/>
          <w:szCs w:val="32"/>
        </w:rPr>
        <w:t>”</w:t>
      </w:r>
      <w:r>
        <w:rPr>
          <w:rFonts w:hint="eastAsia" w:ascii="仿宋_GB2312" w:eastAsia="仿宋_GB2312" w:cs="仿宋_GB2312"/>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widowControl/>
        <w:spacing w:line="560" w:lineRule="exact"/>
        <w:ind w:firstLine="660"/>
        <w:rPr>
          <w:rFonts w:ascii="仿宋" w:hAnsi="仿宋" w:eastAsia="仿宋"/>
          <w:b/>
          <w:sz w:val="32"/>
          <w:szCs w:val="32"/>
        </w:rPr>
      </w:pPr>
      <w:r>
        <w:rPr>
          <w:rFonts w:ascii="仿宋_GB2312" w:eastAsia="仿宋_GB2312" w:cs="仿宋_GB2312"/>
          <w:sz w:val="32"/>
          <w:szCs w:val="32"/>
        </w:rPr>
        <w:t>17.</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200"/>
      </w:pPr>
    </w:p>
    <w:p>
      <w:pPr>
        <w:pStyle w:val="4"/>
        <w:jc w:val="both"/>
        <w:rPr>
          <w:rFonts w:hint="eastAsia" w:ascii="黑体" w:hAnsi="黑体" w:eastAsia="黑体"/>
          <w:b w:val="0"/>
        </w:rPr>
      </w:pPr>
    </w:p>
    <w:p>
      <w:pPr>
        <w:rPr>
          <w:rFonts w:hint="eastAsia"/>
        </w:rPr>
      </w:pPr>
    </w:p>
    <w:p>
      <w:pPr>
        <w:pStyle w:val="2"/>
        <w:rPr>
          <w:rFonts w:hint="eastAsia"/>
        </w:rPr>
      </w:pPr>
    </w:p>
    <w:p>
      <w:pPr>
        <w:pStyle w:val="4"/>
        <w:jc w:val="center"/>
        <w:rPr>
          <w:rFonts w:ascii="黑体" w:hAnsi="黑体" w:eastAsia="黑体"/>
          <w:b w:val="0"/>
        </w:rPr>
      </w:pPr>
      <w:r>
        <w:rPr>
          <w:rFonts w:hint="eastAsia" w:ascii="黑体" w:hAnsi="黑体" w:eastAsia="黑体"/>
          <w:b w:val="0"/>
        </w:rPr>
        <w:t>第四部分 附件</w:t>
      </w:r>
    </w:p>
    <w:p/>
    <w:p>
      <w:pPr>
        <w:rPr>
          <w:rFonts w:ascii="黑体" w:hAnsi="黑体" w:eastAsia="黑体"/>
          <w:sz w:val="32"/>
          <w:szCs w:val="32"/>
        </w:rPr>
      </w:pPr>
      <w:r>
        <w:rPr>
          <w:rFonts w:hint="eastAsia" w:ascii="黑体" w:hAnsi="黑体" w:eastAsia="黑体"/>
          <w:sz w:val="32"/>
          <w:szCs w:val="32"/>
        </w:rPr>
        <w:t>附件1</w:t>
      </w:r>
    </w:p>
    <w:p>
      <w:pPr>
        <w:pStyle w:val="2"/>
        <w:rPr>
          <w:lang w:val="zh-CN"/>
        </w:rPr>
      </w:pPr>
    </w:p>
    <w:p>
      <w:pPr>
        <w:widowControl/>
        <w:spacing w:line="580" w:lineRule="exact"/>
        <w:contextualSpacing/>
        <w:jc w:val="center"/>
        <w:rPr>
          <w:rFonts w:hint="eastAsia" w:eastAsia="宋体"/>
          <w:b/>
          <w:sz w:val="44"/>
          <w:szCs w:val="44"/>
          <w:shd w:val="clear" w:color="auto" w:fill="FFFFFF"/>
          <w:lang w:eastAsia="zh-CN"/>
        </w:rPr>
      </w:pPr>
      <w:r>
        <w:rPr>
          <w:rFonts w:hint="eastAsia" w:eastAsia="宋体"/>
          <w:b/>
          <w:sz w:val="44"/>
          <w:szCs w:val="44"/>
          <w:shd w:val="clear" w:color="auto" w:fill="FFFFFF"/>
          <w:lang w:eastAsia="zh-CN"/>
        </w:rPr>
        <w:t>攀枝花市教育和体育局</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2023年市级部门整体支出</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绩效评价报告</w:t>
      </w:r>
    </w:p>
    <w:p>
      <w:pPr>
        <w:widowControl/>
        <w:spacing w:line="580" w:lineRule="exact"/>
        <w:contextualSpacing/>
        <w:jc w:val="center"/>
        <w:rPr>
          <w:szCs w:val="32"/>
          <w:shd w:val="clear" w:color="auto" w:fill="FFFFFF"/>
        </w:rPr>
      </w:pP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spacing w:line="56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rPr>
        <w:t>一、</w:t>
      </w:r>
      <w:r>
        <w:rPr>
          <w:rFonts w:hint="eastAsia" w:ascii="仿宋_GB2312" w:eastAsia="仿宋_GB2312" w:cs="仿宋_GB2312"/>
          <w:sz w:val="32"/>
          <w:szCs w:val="32"/>
          <w:lang w:val="zh-CN"/>
        </w:rPr>
        <w:t>部门（单位）概况</w:t>
      </w:r>
    </w:p>
    <w:p>
      <w:pPr>
        <w:widowControl/>
        <w:spacing w:line="56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lang w:val="zh-CN"/>
        </w:rPr>
        <w:t>（一）机构组成。</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攀枝花市教育和体育局</w:t>
      </w:r>
      <w:r>
        <w:rPr>
          <w:rFonts w:hint="eastAsia" w:ascii="仿宋_GB2312" w:eastAsia="仿宋_GB2312" w:cs="仿宋_GB2312"/>
          <w:sz w:val="32"/>
          <w:szCs w:val="32"/>
          <w:lang w:eastAsia="zh-CN"/>
        </w:rPr>
        <w:t>部门</w:t>
      </w:r>
      <w:r>
        <w:rPr>
          <w:rFonts w:hint="eastAsia" w:ascii="仿宋_GB2312" w:eastAsia="仿宋_GB2312" w:cs="仿宋_GB2312"/>
          <w:sz w:val="32"/>
          <w:szCs w:val="32"/>
        </w:rPr>
        <w:t>独立核算单位</w:t>
      </w:r>
      <w:r>
        <w:rPr>
          <w:rFonts w:hint="eastAsia" w:ascii="仿宋_GB2312" w:eastAsia="仿宋_GB2312" w:cs="仿宋_GB2312"/>
          <w:sz w:val="32"/>
          <w:szCs w:val="32"/>
          <w:lang w:eastAsia="zh-CN"/>
        </w:rPr>
        <w:t>共计</w:t>
      </w:r>
      <w:r>
        <w:rPr>
          <w:rFonts w:hint="eastAsia" w:ascii="仿宋_GB2312" w:eastAsia="仿宋_GB2312" w:cs="仿宋_GB2312"/>
          <w:sz w:val="32"/>
          <w:szCs w:val="32"/>
        </w:rPr>
        <w:t>18个（含本级），其中行政单位1个(本级)，参照公务员法管理的事业单位0个，其他事业单位17个。主要包括：攀枝花市外国语学校，攀枝花市第二初级中学，攀枝花市第三高级中学校，攀枝花市第七高级中学校，攀枝花市实验学校，攀枝花市经贸旅游学校，攀枝花市建筑工程学校，攀枝花开放大学，攀枝花市特殊教育学校，攀枝花市实验幼儿园，攀枝花市教育考试院，攀枝花市教育科学研究所，攀枝花市电化教育（技术装备）中心，攀枝花市学校后勤服务保障中心，攀枝花市体育中学，攀枝花市体育场馆中心，攀枝花市社会体育指导中心。</w:t>
      </w:r>
    </w:p>
    <w:p>
      <w:pPr>
        <w:widowControl/>
        <w:spacing w:line="56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lang w:val="zh-CN"/>
        </w:rPr>
        <w:t>机构职能。</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1.贯彻执行国家和省有关教育体育工作的方针、政策和法律、法规，研究制定有关贯彻意见并组织实施。</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2.拟订全市教育体育体制改革政策和教育体育事业发展规划；负责各级各类教育体育的统筹规划和协调管理；指导各级各类学校教育教学改革；负责中小学布局结构调整；负责多元化体育服务体系建设，推进体育公共服务和体育体制改革；负责全市教育体育系统基本信息的统计、分析、发布工作；负责组织和指导全市教育体育信息化建设工作。</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3.负责义务教育的指导与协调，推进全市义务教育均衡发展和促进教育公平。指导普通高中教育、学前教育和特殊教育工作。推进基础教育教学改革，全面实施素质教育。</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4.指导基础教育、中等职业教育和成人教育学校开展思想政治、德育、体育卫生与艺术教育、国防教育、心理健康教育、安全和稳定工作。</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5.指导职业教育发展与改革，组织实施民族地区免费中等职业教育工作。完成省里下达的藏（彝）区学生“9+3”免费职业教育任务。</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6.综合管理全市成人教育和广播电视教育及扫除青壮年文盲工作，协调普通高等教育发展。</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7.负责全市教育督导工作。负责组织对中等及以下各级各类教育、广播电视教育以及扫除青壮年文盲工作的督导检查和评估考核工作；开展基础教育发展水平和质量监测工作。</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8.负责本部门教育体育经费的统筹管理。会同有关部门制定筹措教育体育经费、拨款、基建投资的政策和措施，协助有关部门做好教育体育拨款的筹集、拨付工作；监督全市教育体育经费的筹措和使用情况；指导国（境）外教育体育援助、贷款和合作项目的执行。负责普通高校生源地信用助学贷款工作，完善贫困学生资助管理体系。</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9.指导少数民族教育工作，协调对少数民族地区的教育援助。</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10.统筹规划、综合管理全市民办教育，规范民办教育办学秩序，促进民办教育事业健康发展。</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11.负责全市中小学校教师队伍建设和教育体育系统干部队伍建设工作；组织和指导县（区）域内义务教育学校校长教师交流轮岗工作，推进义务教育教师“县管校用”管理制度改革。</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12.负责并指导教育基础设施建设，完善中小学校校舍维修改造长效机制，负责并指导学校现代信息技术教育和推进现代教育信息化建设，进一步改善学校办学条件。负责推进农村薄弱学校建设，加强项目建设管理，推动校舍档案和信息系统建设，促进校舍安全管理的规范化、信息化。</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13.贯彻执行国家语言文字的方针政策，拟订语言文字工作中长期规划和工作计划，指导普通话推广和普通话师资培训工作，承担市语言文字工作委员会的具体工作。</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14.指导教育体育系统对外交流与合作，负责全市中小学出国留学人员和教育体育系统来攀外籍教师、教练、专家及留学人员的有关管理工作。</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15.管理、指导大中专招生和自学考试工作；制定中小学和中等职业学校招生计划并组织实施。</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16.统筹规划全市群众体育发展。负责推行全民健身计划，监督实施国家体育锻炼标准，承担全市国民体质监测和社会体育指导工作队伍制度建设；指导公共体育设施的建设，负责对公共体育设施的管理。</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17.统筹规划全市竞技体育发展。指导体育训练、体育竞赛和运动员队伍建设；组织和统筹参加省级以上综合运动会，负责组织协调市级综合性运动会的竞赛工作，协调运动员社会保障工作。</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18.统筹规划全市青少年体育发展。指导和管理学校体育工作；制定全市学校体育、青少年业余训练的规划和工作意见，并负责组织实施、督促和检查。</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19.指导全市学校后勤改革和体育产业发展，负责全市学校后勤和体育产业管理。拟定全市体育产业发展政策、措施，规范体育服务管理，推动体育标准化建设；协助管理全市体育彩票市场。</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20.指导教育体育科研、技术攻关及成果推广工作；负责组织、监督全市体育运动中的反兴奋剂工作。</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21.负责指导、检查、督促全市学校安全管理工作。</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22.承担市政府公布的有关行政审批事项。</w:t>
      </w:r>
    </w:p>
    <w:p>
      <w:pPr>
        <w:widowControl/>
        <w:spacing w:line="56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rPr>
        <w:t>23.承办市政府交办的其他事项。</w:t>
      </w:r>
    </w:p>
    <w:p>
      <w:pPr>
        <w:widowControl/>
        <w:spacing w:line="560" w:lineRule="exact"/>
        <w:ind w:firstLine="66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（三）人员概况。</w:t>
      </w:r>
    </w:p>
    <w:p>
      <w:pPr>
        <w:widowControl/>
        <w:spacing w:line="560" w:lineRule="exact"/>
        <w:ind w:firstLine="660"/>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eastAsia="zh-CN"/>
        </w:rPr>
        <w:t>市本级教体系统</w:t>
      </w:r>
      <w:r>
        <w:rPr>
          <w:rFonts w:hint="eastAsia" w:ascii="仿宋_GB2312" w:eastAsia="仿宋_GB2312" w:cs="仿宋_GB2312"/>
          <w:sz w:val="32"/>
          <w:szCs w:val="32"/>
          <w:highlight w:val="none"/>
        </w:rPr>
        <w:t>编制人</w:t>
      </w:r>
      <w:r>
        <w:rPr>
          <w:rFonts w:hint="eastAsia" w:ascii="仿宋_GB2312" w:eastAsia="仿宋_GB2312" w:cs="仿宋_GB2312"/>
          <w:sz w:val="32"/>
          <w:szCs w:val="32"/>
          <w:highlight w:val="none"/>
          <w:lang w:eastAsia="zh-CN"/>
        </w:rPr>
        <w:t>员</w:t>
      </w:r>
      <w:r>
        <w:rPr>
          <w:rFonts w:hint="eastAsia" w:ascii="仿宋_GB2312" w:eastAsia="仿宋_GB2312" w:cs="仿宋_GB2312"/>
          <w:sz w:val="32"/>
          <w:szCs w:val="32"/>
          <w:highlight w:val="none"/>
        </w:rPr>
        <w:t>总数</w:t>
      </w:r>
      <w:r>
        <w:rPr>
          <w:rFonts w:hint="eastAsia" w:ascii="仿宋_GB2312" w:eastAsia="仿宋_GB2312" w:cs="仿宋_GB2312"/>
          <w:sz w:val="32"/>
          <w:szCs w:val="32"/>
          <w:highlight w:val="none"/>
          <w:lang w:val="en-US" w:eastAsia="zh-CN"/>
        </w:rPr>
        <w:t>28</w:t>
      </w:r>
      <w:r>
        <w:rPr>
          <w:rFonts w:hint="default"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lang w:val="en-US" w:eastAsia="zh-CN"/>
        </w:rPr>
        <w:t>9</w:t>
      </w:r>
      <w:r>
        <w:rPr>
          <w:rFonts w:hint="eastAsia" w:ascii="仿宋_GB2312" w:eastAsia="仿宋_GB2312" w:cs="仿宋_GB2312"/>
          <w:sz w:val="32"/>
          <w:szCs w:val="32"/>
          <w:highlight w:val="none"/>
        </w:rPr>
        <w:t>名。其中</w:t>
      </w:r>
      <w:r>
        <w:rPr>
          <w:rFonts w:hint="eastAsia" w:ascii="仿宋_GB2312" w:eastAsia="仿宋_GB2312" w:cs="仿宋_GB2312"/>
          <w:sz w:val="32"/>
          <w:szCs w:val="32"/>
          <w:highlight w:val="none"/>
          <w:lang w:eastAsia="zh-CN"/>
        </w:rPr>
        <w:t>：行政编制</w:t>
      </w:r>
      <w:r>
        <w:rPr>
          <w:rFonts w:hint="eastAsia" w:ascii="仿宋_GB2312" w:eastAsia="仿宋_GB2312" w:cs="仿宋_GB2312"/>
          <w:sz w:val="32"/>
          <w:szCs w:val="32"/>
          <w:highlight w:val="none"/>
          <w:lang w:val="en-US" w:eastAsia="zh-CN"/>
        </w:rPr>
        <w:t>52人，事业编制2756人，工勤编制11人。</w:t>
      </w:r>
    </w:p>
    <w:p>
      <w:pPr>
        <w:widowControl/>
        <w:spacing w:line="56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rPr>
        <w:t>年年末实有在职人员</w:t>
      </w:r>
      <w:r>
        <w:rPr>
          <w:rFonts w:hint="eastAsia" w:ascii="仿宋_GB2312" w:eastAsia="仿宋_GB2312" w:cs="仿宋_GB2312"/>
          <w:sz w:val="32"/>
          <w:szCs w:val="32"/>
          <w:highlight w:val="none"/>
          <w:lang w:val="en-US" w:eastAsia="zh-CN"/>
        </w:rPr>
        <w:t>2555</w:t>
      </w:r>
      <w:r>
        <w:rPr>
          <w:rFonts w:hint="eastAsia" w:ascii="仿宋_GB2312" w:eastAsia="仿宋_GB2312" w:cs="仿宋_GB2312"/>
          <w:sz w:val="32"/>
          <w:szCs w:val="32"/>
          <w:highlight w:val="none"/>
        </w:rPr>
        <w:t>人，其中：行政</w:t>
      </w:r>
      <w:r>
        <w:rPr>
          <w:rFonts w:hint="eastAsia" w:ascii="仿宋_GB2312" w:eastAsia="仿宋_GB2312" w:cs="仿宋_GB2312"/>
          <w:sz w:val="32"/>
          <w:szCs w:val="32"/>
        </w:rPr>
        <w:t>人员</w:t>
      </w:r>
      <w:r>
        <w:rPr>
          <w:rFonts w:hint="eastAsia" w:ascii="仿宋_GB2312" w:eastAsia="仿宋_GB2312" w:cs="仿宋_GB2312"/>
          <w:sz w:val="32"/>
          <w:szCs w:val="32"/>
          <w:lang w:val="en-US" w:eastAsia="zh-CN"/>
        </w:rPr>
        <w:t>49</w:t>
      </w:r>
      <w:r>
        <w:rPr>
          <w:rFonts w:hint="eastAsia" w:ascii="仿宋_GB2312" w:eastAsia="仿宋_GB2312" w:cs="仿宋_GB2312"/>
          <w:sz w:val="32"/>
          <w:szCs w:val="32"/>
        </w:rPr>
        <w:t>人（含纪检监察组3人），</w:t>
      </w:r>
      <w:r>
        <w:rPr>
          <w:rFonts w:hint="eastAsia" w:ascii="仿宋_GB2312" w:eastAsia="仿宋_GB2312" w:cs="仿宋_GB2312"/>
          <w:sz w:val="32"/>
          <w:szCs w:val="32"/>
          <w:lang w:eastAsia="zh-CN"/>
        </w:rPr>
        <w:t>事业人员</w:t>
      </w:r>
      <w:r>
        <w:rPr>
          <w:rFonts w:hint="eastAsia" w:ascii="仿宋_GB2312" w:eastAsia="仿宋_GB2312" w:cs="仿宋_GB2312"/>
          <w:sz w:val="32"/>
          <w:szCs w:val="32"/>
          <w:lang w:val="en-US" w:eastAsia="zh-CN"/>
        </w:rPr>
        <w:t>2466</w:t>
      </w:r>
      <w:r>
        <w:rPr>
          <w:rFonts w:hint="eastAsia" w:ascii="仿宋_GB2312" w:eastAsia="仿宋_GB2312" w:cs="仿宋_GB2312"/>
          <w:sz w:val="32"/>
          <w:szCs w:val="32"/>
          <w:lang w:eastAsia="zh-CN"/>
        </w:rPr>
        <w:t>人，工勤人员</w:t>
      </w:r>
      <w:r>
        <w:rPr>
          <w:rFonts w:hint="eastAsia" w:ascii="仿宋_GB2312" w:eastAsia="仿宋_GB2312" w:cs="仿宋_GB2312"/>
          <w:sz w:val="32"/>
          <w:szCs w:val="32"/>
          <w:lang w:val="en-US" w:eastAsia="zh-CN"/>
        </w:rPr>
        <w:t>7</w:t>
      </w:r>
      <w:r>
        <w:rPr>
          <w:rFonts w:hint="eastAsia" w:ascii="仿宋_GB2312" w:eastAsia="仿宋_GB2312" w:cs="仿宋_GB2312"/>
          <w:sz w:val="32"/>
          <w:szCs w:val="32"/>
          <w:lang w:eastAsia="zh-CN"/>
        </w:rPr>
        <w:t>人，</w:t>
      </w:r>
      <w:r>
        <w:rPr>
          <w:rFonts w:hint="eastAsia" w:ascii="仿宋_GB2312" w:eastAsia="仿宋_GB2312" w:cs="仿宋_GB2312"/>
          <w:sz w:val="32"/>
          <w:szCs w:val="32"/>
        </w:rPr>
        <w:t>86号文聘用人员</w:t>
      </w:r>
      <w:r>
        <w:rPr>
          <w:rFonts w:hint="eastAsia" w:ascii="仿宋_GB2312" w:eastAsia="仿宋_GB2312" w:cs="仿宋_GB2312"/>
          <w:sz w:val="32"/>
          <w:szCs w:val="32"/>
          <w:lang w:val="en-US" w:eastAsia="zh-CN"/>
        </w:rPr>
        <w:t>33</w:t>
      </w:r>
      <w:r>
        <w:rPr>
          <w:rFonts w:hint="eastAsia" w:ascii="仿宋_GB2312" w:eastAsia="仿宋_GB2312" w:cs="仿宋_GB2312"/>
          <w:sz w:val="32"/>
          <w:szCs w:val="32"/>
        </w:rPr>
        <w:t>人。202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年年末实有</w:t>
      </w:r>
      <w:r>
        <w:rPr>
          <w:rFonts w:hint="eastAsia" w:ascii="仿宋_GB2312" w:eastAsia="仿宋_GB2312" w:cs="仿宋_GB2312"/>
          <w:sz w:val="32"/>
          <w:szCs w:val="32"/>
          <w:lang w:eastAsia="zh-CN"/>
        </w:rPr>
        <w:t>离</w:t>
      </w:r>
      <w:r>
        <w:rPr>
          <w:rFonts w:hint="eastAsia" w:ascii="仿宋_GB2312" w:eastAsia="仿宋_GB2312" w:cs="仿宋_GB2312"/>
          <w:sz w:val="32"/>
          <w:szCs w:val="32"/>
        </w:rPr>
        <w:t>退休人员</w:t>
      </w:r>
      <w:r>
        <w:rPr>
          <w:rFonts w:hint="eastAsia" w:ascii="仿宋_GB2312" w:eastAsia="仿宋_GB2312" w:cs="仿宋_GB2312"/>
          <w:sz w:val="32"/>
          <w:szCs w:val="32"/>
          <w:lang w:val="en-US" w:eastAsia="zh-CN"/>
        </w:rPr>
        <w:t>1488</w:t>
      </w:r>
      <w:r>
        <w:rPr>
          <w:rFonts w:hint="eastAsia" w:ascii="仿宋_GB2312" w:eastAsia="仿宋_GB2312" w:cs="仿宋_GB2312"/>
          <w:sz w:val="32"/>
          <w:szCs w:val="32"/>
        </w:rPr>
        <w:t>人。</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二、部门财政资金收支情况</w:t>
      </w:r>
    </w:p>
    <w:p>
      <w:pPr>
        <w:widowControl/>
        <w:spacing w:line="56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lang w:val="zh-CN"/>
        </w:rPr>
        <w:t>（一）部门财政资金收入情况。</w:t>
      </w:r>
    </w:p>
    <w:p>
      <w:pPr>
        <w:widowControl/>
        <w:spacing w:line="560" w:lineRule="exact"/>
        <w:ind w:firstLine="660"/>
        <w:rPr>
          <w:rFonts w:hint="eastAsia" w:ascii="仿宋_GB2312" w:eastAsia="仿宋_GB2312" w:cs="仿宋_GB2312"/>
          <w:sz w:val="32"/>
          <w:szCs w:val="32"/>
          <w:highlight w:val="none"/>
          <w:lang w:val="zh-CN" w:eastAsia="zh-CN"/>
        </w:rPr>
      </w:pPr>
      <w:r>
        <w:rPr>
          <w:rFonts w:hint="eastAsia"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rPr>
        <w:t>年本年收入合</w:t>
      </w:r>
      <w:r>
        <w:rPr>
          <w:rFonts w:hint="eastAsia" w:ascii="仿宋_GB2312" w:eastAsia="仿宋_GB2312" w:cs="仿宋_GB2312"/>
          <w:color w:val="auto"/>
          <w:sz w:val="32"/>
          <w:szCs w:val="32"/>
          <w:highlight w:val="none"/>
        </w:rPr>
        <w:t>计</w:t>
      </w:r>
      <w:r>
        <w:rPr>
          <w:rFonts w:hint="eastAsia" w:ascii="仿宋_GB2312" w:eastAsia="仿宋_GB2312" w:cs="仿宋_GB2312"/>
          <w:color w:val="auto"/>
          <w:sz w:val="32"/>
          <w:szCs w:val="32"/>
          <w:highlight w:val="none"/>
          <w:lang w:val="en-US" w:eastAsia="zh-CN"/>
        </w:rPr>
        <w:t>70640.46万</w:t>
      </w:r>
      <w:r>
        <w:rPr>
          <w:rFonts w:hint="eastAsia" w:ascii="仿宋_GB2312" w:eastAsia="仿宋_GB2312" w:cs="仿宋_GB2312"/>
          <w:color w:val="auto"/>
          <w:sz w:val="32"/>
          <w:szCs w:val="32"/>
          <w:highlight w:val="none"/>
        </w:rPr>
        <w:t>元，其中：一般公共预算财政拨款收入6</w:t>
      </w:r>
      <w:r>
        <w:rPr>
          <w:rFonts w:hint="eastAsia" w:ascii="仿宋_GB2312" w:eastAsia="仿宋_GB2312" w:cs="仿宋_GB2312"/>
          <w:color w:val="auto"/>
          <w:sz w:val="32"/>
          <w:szCs w:val="32"/>
          <w:highlight w:val="none"/>
          <w:lang w:val="en-US" w:eastAsia="zh-CN"/>
        </w:rPr>
        <w:t>9800.72</w:t>
      </w:r>
      <w:r>
        <w:rPr>
          <w:rFonts w:hint="eastAsia" w:ascii="仿宋_GB2312" w:eastAsia="仿宋_GB2312" w:cs="仿宋_GB2312"/>
          <w:color w:val="auto"/>
          <w:sz w:val="32"/>
          <w:szCs w:val="32"/>
          <w:highlight w:val="none"/>
        </w:rPr>
        <w:t>万元，占</w:t>
      </w:r>
      <w:r>
        <w:rPr>
          <w:rFonts w:hint="eastAsia" w:ascii="仿宋_GB2312" w:eastAsia="仿宋_GB2312" w:cs="仿宋_GB2312"/>
          <w:color w:val="auto"/>
          <w:sz w:val="32"/>
          <w:szCs w:val="32"/>
          <w:highlight w:val="none"/>
          <w:lang w:val="en-US" w:eastAsia="zh-CN"/>
        </w:rPr>
        <w:t>98.81</w:t>
      </w:r>
      <w:r>
        <w:rPr>
          <w:rFonts w:hint="eastAsia" w:ascii="仿宋_GB2312" w:eastAsia="仿宋_GB2312" w:cs="仿宋_GB2312"/>
          <w:color w:val="auto"/>
          <w:sz w:val="32"/>
          <w:szCs w:val="32"/>
          <w:highlight w:val="none"/>
        </w:rPr>
        <w:t>%；政府性基金预算财政拨款收入</w:t>
      </w:r>
      <w:r>
        <w:rPr>
          <w:rFonts w:hint="eastAsia" w:ascii="仿宋_GB2312" w:eastAsia="仿宋_GB2312" w:cs="仿宋_GB2312"/>
          <w:color w:val="auto"/>
          <w:sz w:val="32"/>
          <w:szCs w:val="32"/>
          <w:highlight w:val="none"/>
          <w:lang w:val="en-US" w:eastAsia="zh-CN"/>
        </w:rPr>
        <w:t>839.74万</w:t>
      </w:r>
      <w:r>
        <w:rPr>
          <w:rFonts w:hint="eastAsia" w:ascii="仿宋_GB2312" w:eastAsia="仿宋_GB2312" w:cs="仿宋_GB2312"/>
          <w:sz w:val="32"/>
          <w:szCs w:val="32"/>
          <w:highlight w:val="none"/>
        </w:rPr>
        <w:t>元，占</w:t>
      </w:r>
      <w:r>
        <w:rPr>
          <w:rFonts w:hint="eastAsia" w:ascii="仿宋_GB2312" w:eastAsia="仿宋_GB2312" w:cs="仿宋_GB2312"/>
          <w:sz w:val="32"/>
          <w:szCs w:val="32"/>
          <w:highlight w:val="none"/>
          <w:lang w:val="en-US" w:eastAsia="zh-CN"/>
        </w:rPr>
        <w:t>1.19</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w:t>
      </w:r>
    </w:p>
    <w:p>
      <w:pPr>
        <w:widowControl/>
        <w:spacing w:line="560" w:lineRule="exact"/>
        <w:ind w:firstLine="66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（二）部门财政资金支出情况。</w:t>
      </w:r>
    </w:p>
    <w:p>
      <w:pPr>
        <w:widowControl/>
        <w:spacing w:line="560" w:lineRule="exact"/>
        <w:ind w:firstLine="660"/>
        <w:rPr>
          <w:rFonts w:hint="eastAsia" w:ascii="仿宋_GB2312" w:eastAsia="仿宋_GB2312" w:cs="仿宋_GB2312"/>
          <w:sz w:val="32"/>
          <w:szCs w:val="32"/>
          <w:highlight w:val="none"/>
          <w:lang w:val="zh-CN" w:eastAsia="zh-CN"/>
        </w:rPr>
      </w:pPr>
      <w:r>
        <w:rPr>
          <w:rFonts w:hint="eastAsia" w:ascii="仿宋_GB2312" w:eastAsia="仿宋_GB2312" w:cs="仿宋_GB2312"/>
          <w:sz w:val="32"/>
          <w:szCs w:val="32"/>
          <w:highlight w:val="none"/>
          <w:lang w:val="en-US" w:eastAsia="zh-CN"/>
        </w:rPr>
        <w:t>2023年本年支出合计70640.46万元，其中：基本支出59501.07万元，占84.23%；项目支出11139.</w:t>
      </w:r>
      <w:r>
        <w:rPr>
          <w:rFonts w:hint="default" w:ascii="仿宋_GB2312" w:eastAsia="仿宋_GB2312" w:cs="仿宋_GB2312"/>
          <w:sz w:val="32"/>
          <w:szCs w:val="32"/>
          <w:highlight w:val="none"/>
          <w:lang w:val="en-US" w:eastAsia="zh-CN"/>
        </w:rPr>
        <w:t>39</w:t>
      </w:r>
      <w:r>
        <w:rPr>
          <w:rFonts w:hint="eastAsia" w:ascii="仿宋_GB2312" w:eastAsia="仿宋_GB2312" w:cs="仿宋_GB2312"/>
          <w:sz w:val="32"/>
          <w:szCs w:val="32"/>
          <w:highlight w:val="none"/>
          <w:lang w:val="en-US" w:eastAsia="zh-CN"/>
        </w:rPr>
        <w:t>万元，占15.77%。</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部门整体预算绩效管理情况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（一）部门预算项目绩效管理。</w:t>
      </w:r>
    </w:p>
    <w:p>
      <w:pPr>
        <w:widowControl/>
        <w:spacing w:line="560" w:lineRule="exact"/>
        <w:ind w:firstLine="660"/>
        <w:rPr>
          <w:rFonts w:hint="default" w:ascii="仿宋_GB2312" w:eastAsia="仿宋_GB2312" w:cs="仿宋_GB2312"/>
          <w:sz w:val="32"/>
          <w:szCs w:val="32"/>
          <w:lang w:val="en-US" w:eastAsia="zh-CN"/>
        </w:rPr>
      </w:pPr>
      <w:r>
        <w:rPr>
          <w:rFonts w:hint="default" w:ascii="仿宋_GB2312" w:eastAsia="仿宋_GB2312" w:cs="仿宋_GB2312"/>
          <w:sz w:val="32"/>
          <w:szCs w:val="32"/>
          <w:lang w:val="en-US" w:eastAsia="zh-CN"/>
        </w:rPr>
        <w:t>1.目标制定</w:t>
      </w:r>
    </w:p>
    <w:p>
      <w:pPr>
        <w:widowControl/>
        <w:spacing w:line="560" w:lineRule="exact"/>
        <w:ind w:firstLine="660"/>
        <w:rPr>
          <w:rFonts w:hint="default" w:ascii="仿宋_GB2312" w:eastAsia="仿宋_GB2312" w:cs="仿宋_GB2312"/>
          <w:sz w:val="32"/>
          <w:szCs w:val="32"/>
          <w:lang w:val="en-US" w:eastAsia="zh-CN"/>
        </w:rPr>
      </w:pPr>
      <w:r>
        <w:rPr>
          <w:rFonts w:hint="default" w:ascii="仿宋_GB2312" w:eastAsia="仿宋_GB2312" w:cs="仿宋_GB2312"/>
          <w:sz w:val="32"/>
          <w:szCs w:val="32"/>
          <w:lang w:val="en-US" w:eastAsia="zh-CN"/>
        </w:rPr>
        <w:t>我</w:t>
      </w:r>
      <w:r>
        <w:rPr>
          <w:rFonts w:hint="eastAsia" w:ascii="仿宋_GB2312" w:eastAsia="仿宋_GB2312" w:cs="仿宋_GB2312"/>
          <w:sz w:val="32"/>
          <w:szCs w:val="32"/>
          <w:lang w:val="en-US" w:eastAsia="zh-CN"/>
        </w:rPr>
        <w:t>局</w:t>
      </w:r>
      <w:r>
        <w:rPr>
          <w:rFonts w:hint="default" w:ascii="仿宋_GB2312" w:eastAsia="仿宋_GB2312" w:cs="仿宋_GB2312"/>
          <w:sz w:val="32"/>
          <w:szCs w:val="32"/>
          <w:lang w:val="en-US" w:eastAsia="zh-CN"/>
        </w:rPr>
        <w:t>严格按照市级部门预算编制通知有关要求编制预算,制定了基本支出、项目支出和整体支出的绩效目标管理,绩效目标编制要素完整,绩效指标进行了细化、量化,部门绩效目标纳入部门党组会集体决策范围。</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2.目标实现</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人员类项目主要包括全年在编在岗人员的基本工资、公务员和参照公务员管理的事业人员的国家规定的津贴补贴、基础绩效奖，事业人员绩效工资，退休人员部分补贴、生活补助、医疗费补助定额定期发放、在编在职人员五险一金定额定期扣缴。2023年人员经费年初预算安排 54057.06 万元,年中各项人员经费追加下达 2767.64 万元，主要原因:一是在编职工人数增加，按要求进行增人增资;二是发放市属财政全额保障事业单位在编在职人员 2022年度绩效奖;三是补发基本工资调标部分;四是兑现离退休人员 2022年度生活补助；五是发放退休一次性补贴。以上支出依法依规按月或按年定期发放，全年支出控制、执行进度、预算完成 100%，年末人员类资金无结余，无违规情况。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运转类项目主要是维持单位基本运转的各类商品服务，包括水电费、三公经费、差旅费、办公费等。2023年日常公用经费支出年初预算1620.62万元，年中支出追加1055.75万元，支出数2676.37万元，机关落实过紧日子的要求，按期支付日常公用经费，鼓励使用公务卡结算，严控会务、培训、差旅等公务事项审批，加强内部控制管理，推行无纸化办公，开展能耗分析，节约水电费，各项公用经费得到了大幅压减,“三公经费”结余年末统一收回，控制较好。公用经费控制率超100%，年末运转类资金无结余，无违规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特定目标类项目主要有老体协工作经费、老年人运动会经费、市级挂职干部补助、扶持和规范民办教育发展专项经费、老年体育活动中心经费等项目。我局均衡安排各个项目资金的执行进度，贯彻落实过紧日子的要求，年末项目资金全部统一收回，没有财政结余资金，预算控制较好。</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3.支出控制</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树牢过“紧日子”思想，严格控制和压缩一般性支出，从严控制“三公”经费，优先保障“三保”支出，集中财力办大事。严格把控部门公用经费及非定额公用支出。</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4.及时处置</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我局开展绩效监控发现部门预算项目或专项预算项目绩效目标实现存在偏差或不具备实施条件需调整项目、调整资金等，均按要求报财政部门备案。同时</w:t>
      </w:r>
      <w:r>
        <w:rPr>
          <w:rFonts w:hint="eastAsia" w:ascii="仿宋_GB2312" w:eastAsia="仿宋_GB2312" w:cs="仿宋_GB2312"/>
          <w:sz w:val="32"/>
          <w:szCs w:val="32"/>
          <w:lang w:val="zh-CN"/>
        </w:rPr>
        <w:t>按要求严格预算执行管理，提高部门预算执行进度，执行中期绩效监控，及时调整预算；严格执行“三公经费”预算。严格按照规定的项目、标准、征收方式执收非税收入；及时足额将非税收入缴入财政。政府采购实施计划与政府采购预算一致；政府采购执行的实施计划与备案的实施计划一致。及时将所属单位国有资产纳入系统管理，资产变动情况及时录入系统，落实人员负责管理系统；在规定时间内完成资产清查任务，资产清查结果与财政组织复核的结果一致。</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5.执行进度</w:t>
      </w:r>
    </w:p>
    <w:p>
      <w:pPr>
        <w:widowControl/>
        <w:spacing w:line="560" w:lineRule="exact"/>
        <w:ind w:firstLine="66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我局预算执行进度按年初预算、工作计划,以确保重难点、刚性工作为前提，执行进度有序推进。预算执行进度在8月事中绩效监控时市教体系统总进度为59 %。</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6.预算完成情况</w:t>
      </w:r>
    </w:p>
    <w:p>
      <w:pPr>
        <w:widowControl/>
        <w:spacing w:line="56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lang w:val="zh-CN"/>
        </w:rPr>
        <w:t>我局部门预算项目年终预算执行情况较好，执行数为</w:t>
      </w:r>
      <w:r>
        <w:rPr>
          <w:rFonts w:hint="eastAsia" w:ascii="仿宋_GB2312" w:eastAsia="仿宋_GB2312" w:cs="仿宋_GB2312"/>
          <w:sz w:val="32"/>
          <w:szCs w:val="32"/>
          <w:lang w:val="en-US" w:eastAsia="zh-CN"/>
        </w:rPr>
        <w:t>70640.46万元，</w:t>
      </w:r>
      <w:r>
        <w:rPr>
          <w:rFonts w:hint="eastAsia" w:ascii="仿宋_GB2312" w:eastAsia="仿宋_GB2312" w:cs="仿宋_GB2312"/>
          <w:sz w:val="32"/>
          <w:szCs w:val="32"/>
          <w:lang w:val="zh-CN"/>
        </w:rPr>
        <w:t>当年无结余资金。</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7.资金结余率</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2023年我局预算项目资金无低效和无效资金。</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8.违规纪录</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我局在部门整体预算绩效管理方面无违纪违规问题 。</w:t>
      </w:r>
    </w:p>
    <w:p>
      <w:pPr>
        <w:widowControl/>
        <w:spacing w:line="56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lang w:val="zh-CN"/>
        </w:rPr>
        <w:t>（二）结果应用情况。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1.内部应用</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绩效自评结果主要用于业务科室对专项工作检验，发现项目绩效评价工作中的不足和做得好的地方，用于改进工作和指导制订下一个项目绩效评价中的年度指标。同时将 2023 年度部门预算整体绩效自评结果作为下年度改进和提高资金使用效益的依据,提高预算编制质量,加快政府采购进度,提高资金使用效率。</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2.自评公开</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2023年2月3日在局门户网站公开“攀枝花市教育和体育局2023年部门预算编制说明”，绩效目标随同预算公开。</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2023年9月15日在局门户网站公开“2022年度四川省攀枝花市教育和体育局部门决算”，支出绩效自评表随同决算公开。</w:t>
      </w:r>
    </w:p>
    <w:p>
      <w:pPr>
        <w:widowControl/>
        <w:spacing w:line="560" w:lineRule="exact"/>
        <w:ind w:firstLine="66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3.问题整改</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2023年5月4日至5月24日,市审计局对我局2022年度预算执行和其他财政收支情况进行了审计,并反馈了机关财务相关问题3个。市教育和体育局通过整改落实审计局反馈的问题和意见,进一步规范了预算执行。</w:t>
      </w:r>
    </w:p>
    <w:p>
      <w:pPr>
        <w:widowControl/>
        <w:spacing w:line="560" w:lineRule="exact"/>
        <w:ind w:firstLine="66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4.应用反馈</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接受全局监督,并针对资金使用量大的部门,特别是各级专项资金,按照资金性质,重点督促使用部门结合专项资金绩效管理指标,完善绩效结果应用。</w:t>
      </w:r>
    </w:p>
    <w:p>
      <w:pPr>
        <w:widowControl/>
        <w:spacing w:line="560" w:lineRule="exact"/>
        <w:ind w:firstLine="660"/>
        <w:rPr>
          <w:rFonts w:hint="eastAsia" w:ascii="仿宋_GB2312" w:eastAsia="仿宋_GB2312" w:cs="仿宋_GB2312"/>
          <w:sz w:val="32"/>
          <w:szCs w:val="32"/>
          <w:lang w:val="zh-CN"/>
        </w:rPr>
      </w:pPr>
      <w:r>
        <w:rPr>
          <w:rFonts w:hint="eastAsia" w:ascii="仿宋_GB2312" w:eastAsia="仿宋_GB2312" w:cs="仿宋_GB2312"/>
          <w:sz w:val="32"/>
          <w:szCs w:val="32"/>
          <w:lang w:val="zh-CN"/>
        </w:rPr>
        <w:t>（三）自评质量。</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我局认真地进行资料收集、填写自评数据得分表,自查得分较为客观,全年无超预算、无预算支出，形成了详实的自评报告,并按照要求在文件规定时间之前按时完成自评工作,确保真实、客观、准确地反映部门财政资金绩效情况。</w:t>
      </w:r>
    </w:p>
    <w:p>
      <w:pPr>
        <w:widowControl/>
        <w:spacing w:line="560" w:lineRule="exact"/>
        <w:ind w:firstLine="660"/>
        <w:rPr>
          <w:rFonts w:hint="eastAsia" w:ascii="仿宋_GB2312" w:eastAsia="仿宋_GB2312" w:cs="仿宋_GB2312"/>
          <w:sz w:val="32"/>
          <w:szCs w:val="32"/>
        </w:rPr>
      </w:pPr>
      <w:r>
        <w:rPr>
          <w:rFonts w:hint="eastAsia" w:ascii="仿宋_GB2312" w:eastAsia="仿宋_GB2312" w:cs="仿宋_GB2312"/>
          <w:sz w:val="32"/>
          <w:szCs w:val="32"/>
        </w:rPr>
        <w:t>四、评价结论及建议</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（一）评价结论。</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2023年，攀枝花市教育和体育局认真做好年度财政资金的预算编制工作，做到应编尽编。在资金使用和管理方面，进一步强化资金统筹，优化资金结构，明确开支范围，细化资金用途，确保部门职责任务顺利完成。全年基本支出保证了部门的正常运行和日常工作的正常开展，达到预期绩效目标。</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（二）存在问题</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全面实施预算绩效管理以来，对提高资金效率起到了积极促进作用，但在实际执行中，仍存在一些问题：</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一是预算编制精细化存在差距。</w:t>
      </w:r>
      <w:r>
        <w:rPr>
          <w:rFonts w:hint="eastAsia" w:ascii="仿宋_GB2312" w:eastAsia="仿宋_GB2312" w:cs="仿宋_GB2312"/>
          <w:sz w:val="32"/>
          <w:szCs w:val="32"/>
          <w:lang w:val="zh-CN" w:eastAsia="zh-CN"/>
        </w:rPr>
        <w:t>由于预算编制细化、量化绩效目标受时间因素、各行业政策及工作计划的影响难以达到100%准确。应</w:t>
      </w:r>
      <w:r>
        <w:rPr>
          <w:rFonts w:hint="eastAsia" w:ascii="仿宋_GB2312" w:eastAsia="仿宋_GB2312" w:cs="仿宋_GB2312"/>
          <w:sz w:val="32"/>
          <w:szCs w:val="32"/>
          <w:lang w:val="en-US" w:eastAsia="zh-CN"/>
        </w:rPr>
        <w:t>进一步强化各业务科室、事业单位预算管理意识，严格按照预算编制文件规定科学精细编制预算。二是年初预算数与调整预算数差距较大,2023年度大部分项目资金预算未纳入年初预算批复，项目经费只能通过年中追加。三是已下达项目资金实施困难。由于经济持续下行、财政库款紧张，2023年市级财政对项目经费的支出严加控制，年度项目应付未付的款项较多。</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（三）改进建议</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val="zh-CN" w:eastAsia="zh-CN"/>
        </w:rPr>
        <w:t>加强预算编制，按照《中华人民共和国预算法》及其实施条例的相关规定，综合上一年的预算执行情况和本年度收支预测，科学、合理地编制本年度预算，并严格执行预算。</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加强业务培训，提高评价水平。部门整体绩效评价工作是一项长期性的工作，专业性强，工作量大，建议财政部门进一步加强开展部门领导及经办人员相关的政策、业务工作培训，组织开展部门之间、单位之间的经验交流，切实推进绩效评价工作的开展；预算财务分析常态化，定期做好预算支出财务分析，做好部门整体支出预算评价工作。</w:t>
      </w:r>
    </w:p>
    <w:p>
      <w:pPr>
        <w:ind w:firstLine="640" w:firstLineChars="200"/>
        <w:rPr>
          <w:rFonts w:eastAsia="仿宋_GB2312"/>
          <w:sz w:val="32"/>
          <w:szCs w:val="32"/>
          <w:lang w:val="zh-CN"/>
        </w:rPr>
      </w:pPr>
    </w:p>
    <w:p>
      <w:pPr>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p/>
    <w:p/>
    <w:p>
      <w:pPr>
        <w:pStyle w:val="2"/>
      </w:pPr>
    </w:p>
    <w:p>
      <w:pPr>
        <w:pStyle w:val="3"/>
      </w:pPr>
    </w:p>
    <w:p>
      <w:pPr>
        <w:pStyle w:val="3"/>
      </w:pPr>
    </w:p>
    <w:p>
      <w:pPr>
        <w:pStyle w:val="3"/>
      </w:pPr>
    </w:p>
    <w:p>
      <w:pPr>
        <w:pStyle w:val="3"/>
      </w:pPr>
    </w:p>
    <w:p>
      <w:pPr>
        <w:pStyle w:val="3"/>
      </w:pPr>
    </w:p>
    <w:p>
      <w:pPr>
        <w:pStyle w:val="3"/>
      </w:pPr>
    </w:p>
    <w:p>
      <w:pPr>
        <w:pStyle w:val="3"/>
      </w:pPr>
    </w:p>
    <w:p>
      <w:pPr>
        <w:rPr>
          <w:rFonts w:ascii="黑体" w:hAnsi="黑体" w:eastAsia="黑体"/>
          <w:sz w:val="32"/>
          <w:szCs w:val="32"/>
        </w:rPr>
      </w:pPr>
      <w:r>
        <w:rPr>
          <w:rFonts w:hint="eastAsia" w:ascii="黑体" w:hAnsi="黑体" w:eastAsia="黑体"/>
          <w:sz w:val="32"/>
          <w:szCs w:val="32"/>
        </w:rPr>
        <w:t>附件2</w:t>
      </w:r>
    </w:p>
    <w:p>
      <w:pPr>
        <w:pStyle w:val="33"/>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33"/>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（部分学生资助经费中职</w:t>
      </w:r>
      <w:r>
        <w:rPr>
          <w:rFonts w:hint="eastAsia" w:ascii="仿宋_GB2312" w:hAnsi="宋体" w:eastAsia="仿宋_GB2312"/>
          <w:color w:val="auto"/>
          <w:kern w:val="2"/>
          <w:sz w:val="32"/>
          <w:szCs w:val="32"/>
          <w:lang w:val="en-US" w:eastAsia="zh-CN"/>
        </w:rPr>
        <w:t>资金</w:t>
      </w:r>
      <w:r>
        <w:rPr>
          <w:rFonts w:hint="eastAsia" w:ascii="仿宋_GB2312" w:hAnsi="宋体" w:eastAsia="仿宋_GB2312"/>
          <w:color w:val="auto"/>
          <w:kern w:val="2"/>
          <w:sz w:val="32"/>
          <w:szCs w:val="32"/>
        </w:rPr>
        <w:t>）</w:t>
      </w:r>
    </w:p>
    <w:p>
      <w:pPr>
        <w:pStyle w:val="33"/>
        <w:spacing w:line="560" w:lineRule="exact"/>
        <w:ind w:firstLine="640"/>
        <w:jc w:val="center"/>
        <w:rPr>
          <w:rFonts w:ascii="宋体" w:hAnsi="宋体"/>
          <w:color w:val="auto"/>
          <w:kern w:val="2"/>
          <w:sz w:val="32"/>
          <w:szCs w:val="32"/>
        </w:rPr>
      </w:pP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val="zh-CN" w:eastAsia="zh-CN"/>
        </w:rPr>
        <w:t>项目概况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项目资金申报及批复情况。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学校按照</w:t>
      </w:r>
      <w:r>
        <w:rPr>
          <w:rFonts w:hint="eastAsia" w:ascii="仿宋_GB2312" w:eastAsia="仿宋_GB2312" w:cs="仿宋_GB2312"/>
          <w:sz w:val="32"/>
          <w:szCs w:val="32"/>
          <w:lang w:val="zh-CN" w:eastAsia="zh-CN"/>
        </w:rPr>
        <w:t>专项经费预算</w:t>
      </w:r>
      <w:r>
        <w:rPr>
          <w:rFonts w:hint="eastAsia" w:ascii="仿宋_GB2312" w:eastAsia="仿宋_GB2312" w:cs="仿宋_GB2312"/>
          <w:sz w:val="32"/>
          <w:szCs w:val="32"/>
          <w:lang w:val="en-US" w:eastAsia="zh-CN"/>
        </w:rPr>
        <w:t>及资金用途等要求，</w:t>
      </w:r>
      <w:r>
        <w:rPr>
          <w:rFonts w:hint="eastAsia" w:ascii="仿宋_GB2312" w:eastAsia="仿宋_GB2312" w:cs="仿宋_GB2312"/>
          <w:sz w:val="32"/>
          <w:szCs w:val="32"/>
          <w:lang w:val="zh-CN" w:eastAsia="zh-CN"/>
        </w:rPr>
        <w:t>学校</w:t>
      </w:r>
      <w:r>
        <w:rPr>
          <w:rFonts w:hint="eastAsia" w:ascii="仿宋_GB2312" w:eastAsia="仿宋_GB2312" w:cs="仿宋_GB2312"/>
          <w:sz w:val="32"/>
          <w:szCs w:val="32"/>
          <w:lang w:val="en-US" w:eastAsia="zh-CN"/>
        </w:rPr>
        <w:t>根据实际需求，认真编制项目资金使用方案和项目预期成效情况表，经学校研究后，</w:t>
      </w:r>
      <w:r>
        <w:rPr>
          <w:rFonts w:hint="eastAsia" w:ascii="仿宋_GB2312" w:eastAsia="仿宋_GB2312" w:cs="仿宋_GB2312"/>
          <w:sz w:val="32"/>
          <w:szCs w:val="32"/>
          <w:lang w:val="zh-CN" w:eastAsia="zh-CN"/>
        </w:rPr>
        <w:t>上报</w:t>
      </w:r>
      <w:r>
        <w:rPr>
          <w:rFonts w:hint="eastAsia" w:ascii="仿宋_GB2312" w:eastAsia="仿宋_GB2312" w:cs="仿宋_GB2312"/>
          <w:sz w:val="32"/>
          <w:szCs w:val="32"/>
          <w:lang w:val="en-US" w:eastAsia="zh-CN"/>
        </w:rPr>
        <w:t>攀枝花市教育和体育</w:t>
      </w:r>
      <w:r>
        <w:rPr>
          <w:rFonts w:hint="eastAsia" w:ascii="仿宋_GB2312" w:eastAsia="仿宋_GB2312" w:cs="仿宋_GB2312"/>
          <w:sz w:val="32"/>
          <w:szCs w:val="32"/>
          <w:lang w:val="zh-CN" w:eastAsia="zh-CN"/>
        </w:rPr>
        <w:t>局审批，</w:t>
      </w:r>
      <w:r>
        <w:rPr>
          <w:rFonts w:hint="eastAsia" w:ascii="仿宋_GB2312" w:eastAsia="仿宋_GB2312" w:cs="仿宋_GB2312"/>
          <w:sz w:val="32"/>
          <w:szCs w:val="32"/>
          <w:lang w:val="en-US" w:eastAsia="zh-CN"/>
        </w:rPr>
        <w:t>经批准后按计划实施。在实施过程中严格按照审批项目执行，未对申报项目进行调整。</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项目绩效目标。</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目标1：对农村、涉农专业和家庭经济困难来说，既减轻学生家庭经济负担，还解除了学生经济上的后顾之忧，能让学生不会因经济问题而辍学或失学，更能安心学习。</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目标2：从长远来看，农村、涉农专业和家庭经济困难学生在免学费基础上，再实施“补助生活费、免住宿和书本等杂费”政策，对促进民族地区教育公正，发展民族地区经济，改善民族地区学生家庭活生生水平，帮助学生家庭脱贫致富均有重大意义。也能让民族同胞感受到党和政府的关怀，有利促进民族大团结、大发展。</w:t>
      </w:r>
    </w:p>
    <w:p>
      <w:pPr>
        <w:widowControl/>
        <w:spacing w:line="560" w:lineRule="exact"/>
        <w:ind w:firstLine="66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目标3：助力脱贫攻坚、乡村振兴。减轻贫困家庭减轻教育支出，通过教育阻断贫困代际传递。</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（三）项目资金申报相符性。</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根据专项经费预算，学校审核上报</w:t>
      </w:r>
      <w:r>
        <w:rPr>
          <w:rFonts w:hint="eastAsia" w:ascii="仿宋_GB2312" w:eastAsia="仿宋_GB2312" w:cs="仿宋_GB2312"/>
          <w:sz w:val="32"/>
          <w:szCs w:val="32"/>
          <w:lang w:val="en-US" w:eastAsia="zh-CN"/>
        </w:rPr>
        <w:t>攀枝花市教育和体育</w:t>
      </w:r>
      <w:r>
        <w:rPr>
          <w:rFonts w:hint="eastAsia" w:ascii="仿宋_GB2312" w:eastAsia="仿宋_GB2312" w:cs="仿宋_GB2312"/>
          <w:sz w:val="32"/>
          <w:szCs w:val="32"/>
          <w:lang w:val="zh-CN" w:eastAsia="zh-CN"/>
        </w:rPr>
        <w:t>局审批，认为申报内容与实际内容相吻合，申报目标可行。</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二、项目实施及管理情况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ab/>
      </w:r>
      <w:r>
        <w:rPr>
          <w:rFonts w:hint="eastAsia" w:ascii="仿宋_GB2312" w:eastAsia="仿宋_GB2312" w:cs="仿宋_GB2312"/>
          <w:sz w:val="32"/>
          <w:szCs w:val="32"/>
          <w:lang w:val="zh-CN" w:eastAsia="zh-CN"/>
        </w:rPr>
        <w:t>（一）资金计划、到位及使用情况。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1．资金计划及到位。</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 xml:space="preserve">2022年结余资金6.46万元；根据攀财资教【2023】12号文 </w:t>
      </w:r>
      <w:r>
        <w:rPr>
          <w:rFonts w:hint="default" w:ascii="仿宋_GB2312" w:eastAsia="仿宋_GB2312" w:cs="仿宋_GB2312"/>
          <w:sz w:val="32"/>
          <w:szCs w:val="32"/>
          <w:lang w:val="en-US" w:eastAsia="zh-CN"/>
        </w:rPr>
        <w:t>2023</w:t>
      </w:r>
      <w:r>
        <w:rPr>
          <w:rFonts w:hint="eastAsia" w:ascii="仿宋_GB2312" w:eastAsia="仿宋_GB2312" w:cs="仿宋_GB2312"/>
          <w:sz w:val="32"/>
          <w:szCs w:val="32"/>
          <w:lang w:val="en-US" w:eastAsia="zh-CN"/>
        </w:rPr>
        <w:t xml:space="preserve">年3月9日收到部分学生资助补助经费中职资金702.07万元，其中中央资金527.73万元，省级资金174.34万元。根据攀财资教【2023】73号文 </w:t>
      </w:r>
      <w:r>
        <w:rPr>
          <w:rFonts w:hint="default" w:ascii="仿宋_GB2312" w:eastAsia="仿宋_GB2312" w:cs="仿宋_GB2312"/>
          <w:sz w:val="32"/>
          <w:szCs w:val="32"/>
          <w:lang w:val="en-US" w:eastAsia="zh-CN"/>
        </w:rPr>
        <w:t>2023</w:t>
      </w:r>
      <w:r>
        <w:rPr>
          <w:rFonts w:hint="eastAsia" w:ascii="仿宋_GB2312" w:eastAsia="仿宋_GB2312" w:cs="仿宋_GB2312"/>
          <w:sz w:val="32"/>
          <w:szCs w:val="32"/>
          <w:lang w:val="en-US" w:eastAsia="zh-CN"/>
        </w:rPr>
        <w:t>年9月18</w:t>
      </w:r>
      <w:r>
        <w:rPr>
          <w:rFonts w:hint="default" w:ascii="仿宋_GB2312" w:eastAsia="仿宋_GB2312" w:cs="仿宋_GB2312"/>
          <w:sz w:val="32"/>
          <w:szCs w:val="32"/>
          <w:lang w:val="en-US" w:eastAsia="zh-CN"/>
        </w:rPr>
        <w:t xml:space="preserve"> </w:t>
      </w:r>
      <w:r>
        <w:rPr>
          <w:rFonts w:hint="eastAsia" w:ascii="仿宋_GB2312" w:eastAsia="仿宋_GB2312" w:cs="仿宋_GB2312"/>
          <w:sz w:val="32"/>
          <w:szCs w:val="32"/>
          <w:lang w:val="en-US" w:eastAsia="zh-CN"/>
        </w:rPr>
        <w:t>日收到部分学生资助补助经费资金56.56万元，其中中央资金70.77万元，收回省级资金14.21万元。</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2．资金使用。</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截至2023年12月31日该项目资金支出663.22万元，资金执行86.69%。学校根据实际需求和教学质量提升目标科学合理地编制预算，并严格按照预算执行。无超预算、挪用或滥用资金的现象。资金下达后迅速分解并下达到各部门，确保各部门照既定计划执行。每一笔资金的拨付都应基于批准的预算执行，未经预算审批的资金不得擅自支出。预算执行过程中的调整也需经过规范流程审批后方可实施。资金拨付前，需要完整的申请、审核、审批等程序，并确保各类单据齐全、手续完备，符合内部控制的要求。资金拨付后，及时准确地入账，确保账实相符，各项收支有据可查。对于涉及重大事项或公众利益的资金拨付，应当按照规定进行公开披露，接受内外部监督。</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（二）项目财务管理情况。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财务室负责落实示中等职业教育发展专项资金收支计划，负责总预算及年度预算的编制、资金筹措等工作；对经费支出进行审核、报销、记录；及时提供相关财务信息，及时向上级相关部门报送各类报表，并严格执行国家有关财经法律法规的规定，确保专项资金年度使用计划按期完成。建设项目专项资金均在学校年度预算、决算中反映。</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在资金的管理上，严格相关财务管理规定执行，专款专用，配置了专门的财务人员，进行“项目账”管理。</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项目专项资金购置形成的固定资产，均纳入学校固定资产的统一管理，合理使用，认真维护。</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（三）项目组织实施情况。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项目政府采购组织管理架构：在</w:t>
      </w:r>
      <w:bookmarkStart w:id="53" w:name="_Hlk71736260"/>
      <w:r>
        <w:rPr>
          <w:rFonts w:hint="eastAsia" w:ascii="仿宋_GB2312" w:eastAsia="仿宋_GB2312" w:cs="仿宋_GB2312"/>
          <w:sz w:val="32"/>
          <w:szCs w:val="32"/>
          <w:lang w:val="en-US" w:eastAsia="zh-CN"/>
        </w:rPr>
        <w:t>学校招标采购工作</w:t>
      </w:r>
      <w:bookmarkEnd w:id="53"/>
      <w:r>
        <w:rPr>
          <w:rFonts w:hint="eastAsia" w:ascii="仿宋_GB2312" w:eastAsia="仿宋_GB2312" w:cs="仿宋_GB2312"/>
          <w:sz w:val="32"/>
          <w:szCs w:val="32"/>
          <w:lang w:val="en-US" w:eastAsia="zh-CN"/>
        </w:rPr>
        <w:t>领导小组领导下实施采购。政府采购实施流程：1.根据已批复的年初政府采购预算，按《政府采购年度计划备案表》的计划时间向市财政局提交</w:t>
      </w:r>
      <w:bookmarkStart w:id="54" w:name="_Hlk71735658"/>
      <w:r>
        <w:rPr>
          <w:rFonts w:hint="eastAsia" w:ascii="仿宋_GB2312" w:eastAsia="仿宋_GB2312" w:cs="仿宋_GB2312"/>
          <w:sz w:val="32"/>
          <w:szCs w:val="32"/>
          <w:lang w:val="en-US" w:eastAsia="zh-CN"/>
        </w:rPr>
        <w:t>项目《政府采购计划申报表》</w:t>
      </w:r>
      <w:bookmarkEnd w:id="54"/>
      <w:r>
        <w:rPr>
          <w:rFonts w:hint="eastAsia" w:ascii="仿宋_GB2312" w:eastAsia="仿宋_GB2312" w:cs="仿宋_GB2312"/>
          <w:sz w:val="32"/>
          <w:szCs w:val="32"/>
          <w:lang w:val="en-US" w:eastAsia="zh-CN"/>
        </w:rPr>
        <w:t>。2.项目《政府采购计划申报表》经市财政局审批后，按《政府采购法》规定委托代理机构组织招标采购。3.与成交商签订政府采购合同。4.成立临时项目履约验收组，验收通过后签署验收报告。5.按合同约定的付款方式支付采购款项。监管措施：由学校招标采购工作监督小组监管采购全过程。执行的相关管理制度《中华人民共和国政府采购法》及其实施条例、四川省财政厅印发的《关于四川省政府集中采购目录及标准》的通知等、攀枝花市教育和体育局印发的《关于规范采购和工程建设管理的意见》等、本校关于采购工作管理的制度性文件。项目采购公示：由代理机构将项目采购公告、结果公告等发布于四川省政府采购网。</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三、项目绩效情况</w:t>
      </w:r>
      <w:r>
        <w:rPr>
          <w:rFonts w:hint="eastAsia" w:ascii="仿宋_GB2312" w:eastAsia="仿宋_GB2312" w:cs="仿宋_GB2312"/>
          <w:sz w:val="32"/>
          <w:szCs w:val="32"/>
          <w:lang w:val="zh-CN" w:eastAsia="zh-CN"/>
        </w:rPr>
        <w:tab/>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（一）项目完成情况。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数量指标设置农村、涉农专业和家庭经济困难学生在校人数≥4000人，实际完成指标值4305人，完成率100%；设置农村、涉农专业和家庭经济困难学生招生人数指标值≥1200人，实际完成指标值1531人，完成率100%。</w:t>
      </w:r>
    </w:p>
    <w:p>
      <w:pPr>
        <w:widowControl/>
        <w:spacing w:line="560" w:lineRule="exact"/>
        <w:ind w:firstLine="66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质量指标设置农村、涉农专业和家庭经济困难学生高考上线率指标值≥85%，实际完成指标值91.28%，完成率100%；设置农村、涉农专业和家庭经济困难学生毕业生率指标值≥80%，实际完成指标值84.36%，完成率100%；设置农村、涉农专业和家庭经济困难学生辍学率指标值≤10%，实际完成指标值3.48%，完成率100%。</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（二）项目效益情况。</w:t>
      </w:r>
    </w:p>
    <w:p>
      <w:pPr>
        <w:widowControl/>
        <w:spacing w:line="560" w:lineRule="exact"/>
        <w:ind w:firstLine="66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社会效益指标设置农村、涉农专业和家庭经济困难学生就业率指标值≥90%，实际完成指标值98%，完成率100%；农村、涉农专业和家庭经济困难学生专业对口就业率指标值≥60%，实际完成指标值63%，完成率100%。</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满意度指标设置农村、涉农专业和家庭经济困难学生对资助政策满意度等于100%，实际完成指标值100%，完成率100%。设置农村、涉农专业和家庭经济困难学生对学校执行资助政策满意度等于100%，实际完成指标值100%，完成率100%。</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四、问题及建议</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（一）存在的问题。</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无</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（二）相关建议。</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无</w:t>
      </w:r>
    </w:p>
    <w:p>
      <w:pPr>
        <w:pStyle w:val="4"/>
        <w:jc w:val="center"/>
        <w:rPr>
          <w:rFonts w:hint="eastAsia" w:ascii="Times New Roman" w:hAnsi="Times New Roman" w:eastAsia="方正小标宋简体" w:cs="Times New Roman"/>
          <w:b w:val="0"/>
          <w:bCs w:val="0"/>
          <w:color w:val="auto"/>
          <w:kern w:val="2"/>
          <w:sz w:val="40"/>
          <w:szCs w:val="40"/>
          <w:lang w:val="zh-CN" w:eastAsia="zh-CN" w:bidi="ar-SA"/>
        </w:rPr>
      </w:pPr>
      <w:r>
        <w:rPr>
          <w:rFonts w:hint="eastAsia" w:ascii="Times New Roman" w:hAnsi="Times New Roman" w:eastAsia="方正小标宋简体" w:cs="Times New Roman"/>
          <w:b w:val="0"/>
          <w:bCs w:val="0"/>
          <w:color w:val="auto"/>
          <w:kern w:val="2"/>
          <w:sz w:val="40"/>
          <w:szCs w:val="40"/>
          <w:lang w:val="zh-CN" w:eastAsia="zh-CN" w:bidi="ar-SA"/>
        </w:rPr>
        <w:t>攀枝花市实验幼儿园项目支出绩效自评报告</w:t>
      </w:r>
    </w:p>
    <w:p>
      <w:pPr>
        <w:pStyle w:val="33"/>
        <w:spacing w:line="600" w:lineRule="exact"/>
        <w:jc w:val="center"/>
        <w:rPr>
          <w:rFonts w:ascii="Times New Roman" w:hAnsi="Times New Roman" w:eastAsia="方正小标宋简体"/>
          <w:color w:val="auto"/>
          <w:kern w:val="2"/>
          <w:sz w:val="40"/>
          <w:szCs w:val="40"/>
        </w:rPr>
      </w:pPr>
      <w:r>
        <w:rPr>
          <w:rFonts w:hint="eastAsia" w:ascii="Times New Roman" w:hAnsi="Times New Roman" w:eastAsia="方正小标宋简体"/>
          <w:color w:val="auto"/>
          <w:kern w:val="2"/>
          <w:sz w:val="40"/>
          <w:szCs w:val="40"/>
          <w:lang w:eastAsia="zh-CN"/>
        </w:rPr>
        <w:t>（</w:t>
      </w:r>
      <w:r>
        <w:rPr>
          <w:rFonts w:hint="eastAsia" w:ascii="方正小标宋简体" w:hAnsi="宋体" w:eastAsia="方正小标宋简体"/>
          <w:sz w:val="44"/>
          <w:szCs w:val="44"/>
          <w:lang w:eastAsia="zh-CN"/>
        </w:rPr>
        <w:t>2022年中央省级学前教育发展专项资金）</w:t>
      </w:r>
    </w:p>
    <w:p>
      <w:pPr>
        <w:pStyle w:val="33"/>
        <w:spacing w:line="600" w:lineRule="exact"/>
        <w:ind w:firstLine="640"/>
        <w:jc w:val="center"/>
        <w:rPr>
          <w:rFonts w:ascii="Times New Roman" w:hAnsi="Times New Roman"/>
          <w:color w:val="auto"/>
          <w:kern w:val="2"/>
          <w:sz w:val="32"/>
          <w:szCs w:val="32"/>
        </w:rPr>
      </w:pP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val="zh-CN" w:eastAsia="zh-CN"/>
        </w:rPr>
        <w:t>项目概况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（一）项目基本情况。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攀枝花市实验幼儿园是教育和体育局直属幼儿园，四川省省级示范幼儿园。在市教育和体育局的领导下,全面贯彻党的教育方针、政策，以《幼儿园工作规程》和《幼儿园教育指导纲要》、《3——6岁儿童学习与发展指南》为依据，承担 3-6岁幼儿的教育和保育工作。</w:t>
      </w:r>
      <w:r>
        <w:rPr>
          <w:rFonts w:hint="eastAsia" w:ascii="仿宋_GB2312" w:eastAsia="仿宋_GB2312" w:cs="仿宋_GB2312"/>
          <w:sz w:val="32"/>
          <w:szCs w:val="32"/>
          <w:lang w:val="en-US" w:eastAsia="zh-CN"/>
        </w:rPr>
        <w:t>为</w:t>
      </w:r>
      <w:r>
        <w:rPr>
          <w:rFonts w:hint="eastAsia" w:ascii="仿宋_GB2312" w:eastAsia="仿宋_GB2312" w:cs="仿宋_GB2312"/>
          <w:sz w:val="32"/>
          <w:szCs w:val="32"/>
          <w:lang w:val="zh-CN" w:eastAsia="zh-CN"/>
        </w:rPr>
        <w:t>完成智慧幼儿园管理系统采购保障正常运行，保障网络安全，实现多媒体教学，保证科技城园区装修工程完成，改善办学环境，</w:t>
      </w:r>
      <w:r>
        <w:rPr>
          <w:rFonts w:hint="eastAsia" w:ascii="仿宋_GB2312" w:eastAsia="仿宋_GB2312" w:cs="仿宋_GB2312"/>
          <w:sz w:val="32"/>
          <w:szCs w:val="32"/>
          <w:lang w:val="en-US" w:eastAsia="zh-CN"/>
        </w:rPr>
        <w:t>申报了</w:t>
      </w:r>
      <w:r>
        <w:rPr>
          <w:rFonts w:hint="eastAsia" w:ascii="仿宋_GB2312" w:eastAsia="仿宋_GB2312" w:cs="仿宋_GB2312"/>
          <w:sz w:val="32"/>
          <w:szCs w:val="32"/>
          <w:lang w:val="zh-CN" w:eastAsia="zh-CN"/>
        </w:rPr>
        <w:t>2022年中央省级学前教育发展专项资金</w:t>
      </w:r>
      <w:r>
        <w:rPr>
          <w:rFonts w:hint="eastAsia" w:ascii="仿宋_GB2312" w:eastAsia="仿宋_GB2312" w:cs="仿宋_GB2312"/>
          <w:sz w:val="32"/>
          <w:szCs w:val="32"/>
          <w:lang w:val="en-US" w:eastAsia="zh-CN"/>
        </w:rPr>
        <w:t>500万</w:t>
      </w:r>
      <w:r>
        <w:rPr>
          <w:rFonts w:hint="eastAsia" w:ascii="仿宋_GB2312" w:eastAsia="仿宋_GB2312" w:cs="仿宋_GB2312"/>
          <w:sz w:val="32"/>
          <w:szCs w:val="32"/>
          <w:lang w:val="zh-CN" w:eastAsia="zh-CN"/>
        </w:rPr>
        <w:t>，</w:t>
      </w:r>
      <w:r>
        <w:rPr>
          <w:rFonts w:hint="eastAsia" w:ascii="仿宋_GB2312" w:eastAsia="仿宋_GB2312" w:cs="仿宋_GB2312"/>
          <w:sz w:val="32"/>
          <w:szCs w:val="32"/>
          <w:lang w:val="en-US" w:eastAsia="zh-CN"/>
        </w:rPr>
        <w:t>按照攀枝花市财政局的批复攀财资教[2022]17号，2022年批复了500万元，</w:t>
      </w:r>
      <w:r>
        <w:rPr>
          <w:rFonts w:hint="eastAsia" w:ascii="仿宋_GB2312" w:eastAsia="仿宋_GB2312" w:cs="仿宋_GB2312"/>
          <w:sz w:val="32"/>
          <w:szCs w:val="32"/>
          <w:lang w:val="zh-CN" w:eastAsia="zh-CN"/>
        </w:rPr>
        <w:t>符合资金管理办法等相关规定。</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（二）项目绩效目标。</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该项目主要用于扩大普惠性学前教育学位资源，管理能力和水平有新的提升，教育教学质量和社会满意度逐步提升，教育资源呈现多元化，合理政府采购，改善办学环境，实现家园同频共振，构建和谐家园关系，形成共育新合力。该项目</w:t>
      </w:r>
      <w:r>
        <w:rPr>
          <w:rFonts w:hint="eastAsia" w:ascii="仿宋_GB2312" w:eastAsia="仿宋_GB2312" w:cs="仿宋_GB2312"/>
          <w:sz w:val="32"/>
          <w:szCs w:val="32"/>
          <w:lang w:val="zh-CN" w:eastAsia="zh-CN"/>
        </w:rPr>
        <w:t>申报内容与具体实施内容相符，申报目标合理可行</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（三）项目自评步骤及方法。</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为高质量、高标准完成该项目，我园高度重视，以相关文件和相关规定为依据，具体负责本项目的质量管理、施工进度管理、工期控制及工程投资的控制管理，协同监理尽最大努力督促施工单位严格按设计要求，规范施工、文明施工、安全施工，确保工程施工质量、进度及安全，同时认真履行党风廉政建设各项规定。</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二、项目资金申报及使用情况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（一）项目资金申报及批复情况。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该项目申报了</w:t>
      </w:r>
      <w:r>
        <w:rPr>
          <w:rFonts w:hint="eastAsia" w:ascii="仿宋_GB2312" w:eastAsia="仿宋_GB2312" w:cs="仿宋_GB2312"/>
          <w:sz w:val="32"/>
          <w:szCs w:val="32"/>
          <w:lang w:val="zh-CN" w:eastAsia="zh-CN"/>
        </w:rPr>
        <w:t>2022年中央省级学前教育发展专项资金</w:t>
      </w:r>
      <w:r>
        <w:rPr>
          <w:rFonts w:hint="eastAsia" w:ascii="仿宋_GB2312" w:eastAsia="仿宋_GB2312" w:cs="仿宋_GB2312"/>
          <w:sz w:val="32"/>
          <w:szCs w:val="32"/>
          <w:lang w:val="en-US" w:eastAsia="zh-CN"/>
        </w:rPr>
        <w:t>500万</w:t>
      </w:r>
      <w:r>
        <w:rPr>
          <w:rFonts w:hint="eastAsia" w:ascii="仿宋_GB2312" w:eastAsia="仿宋_GB2312" w:cs="仿宋_GB2312"/>
          <w:sz w:val="32"/>
          <w:szCs w:val="32"/>
          <w:lang w:val="zh-CN" w:eastAsia="zh-CN"/>
        </w:rPr>
        <w:t>，</w:t>
      </w:r>
      <w:r>
        <w:rPr>
          <w:rFonts w:hint="eastAsia" w:ascii="仿宋_GB2312" w:eastAsia="仿宋_GB2312" w:cs="仿宋_GB2312"/>
          <w:sz w:val="32"/>
          <w:szCs w:val="32"/>
          <w:lang w:val="en-US" w:eastAsia="zh-CN"/>
        </w:rPr>
        <w:t>按照攀枝花市财政局的批复攀财资教[2022]17号，2022年批复了500万元，</w:t>
      </w:r>
      <w:r>
        <w:rPr>
          <w:rFonts w:hint="eastAsia" w:ascii="仿宋_GB2312" w:eastAsia="仿宋_GB2312" w:cs="仿宋_GB2312"/>
          <w:sz w:val="32"/>
          <w:szCs w:val="32"/>
          <w:lang w:val="zh-CN" w:eastAsia="zh-CN"/>
        </w:rPr>
        <w:t>符合资金管理办法等相关规定。</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（二）资金计划、到位及使用情况（可用表格形式反映）。</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1．资金计划。该项目</w:t>
      </w:r>
      <w:r>
        <w:rPr>
          <w:rFonts w:hint="eastAsia" w:ascii="仿宋_GB2312" w:eastAsia="仿宋_GB2312" w:cs="仿宋_GB2312"/>
          <w:sz w:val="32"/>
          <w:szCs w:val="32"/>
          <w:lang w:val="en-US" w:eastAsia="zh-CN"/>
        </w:rPr>
        <w:t>为中央资金。</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2．资金到位。</w:t>
      </w:r>
      <w:r>
        <w:rPr>
          <w:rFonts w:hint="eastAsia" w:ascii="仿宋_GB2312" w:eastAsia="仿宋_GB2312" w:cs="仿宋_GB2312"/>
          <w:sz w:val="32"/>
          <w:szCs w:val="32"/>
          <w:lang w:val="en-US" w:eastAsia="zh-CN"/>
        </w:rPr>
        <w:t>预算安排资金500万元，实际到位资金500万元，资金到位率100%，到位及时率100%。</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3．资金使用。</w:t>
      </w:r>
      <w:r>
        <w:rPr>
          <w:rFonts w:hint="eastAsia" w:ascii="仿宋_GB2312" w:eastAsia="仿宋_GB2312" w:cs="仿宋_GB2312"/>
          <w:sz w:val="32"/>
          <w:szCs w:val="32"/>
          <w:lang w:val="en-US" w:eastAsia="zh-CN"/>
        </w:rPr>
        <w:t>预算数为500万，其中2022年实际支出执行数为99.86万，2023年实际支出执行数为400.14万，是因为项目涉及工程内容较多，跨度时间长，2022年暂未完工，部分资金于2023年完成支付。2023年</w:t>
      </w:r>
      <w:r>
        <w:rPr>
          <w:rFonts w:hint="eastAsia" w:ascii="仿宋_GB2312" w:eastAsia="仿宋_GB2312" w:cs="仿宋_GB2312"/>
          <w:sz w:val="32"/>
          <w:szCs w:val="32"/>
          <w:lang w:val="zh-CN" w:eastAsia="zh-CN"/>
        </w:rPr>
        <w:t>资金开支范围</w:t>
      </w:r>
      <w:r>
        <w:rPr>
          <w:rFonts w:hint="eastAsia" w:ascii="仿宋_GB2312" w:eastAsia="仿宋_GB2312" w:cs="仿宋_GB2312"/>
          <w:sz w:val="32"/>
          <w:szCs w:val="32"/>
          <w:lang w:val="en-US" w:eastAsia="zh-CN"/>
        </w:rPr>
        <w:t>包含办公费6.51万，维修（护）费21.23万，委托业务费2.5万，办公设备购置310.38万，专用设备购置59.51万，支付进度100%，其中使用该项目资金通过政府采购金额共计23.08万，台式电脑7.38万，笔记本电脑6.38万，空调机3.97万，多功能一体机1.09万，复印纸4.26万。该项目支付依据合规合法,</w:t>
      </w:r>
      <w:r>
        <w:rPr>
          <w:rFonts w:hint="eastAsia" w:ascii="仿宋_GB2312" w:eastAsia="仿宋_GB2312" w:cs="仿宋_GB2312"/>
          <w:sz w:val="32"/>
          <w:szCs w:val="32"/>
          <w:lang w:val="zh-CN" w:eastAsia="zh-CN"/>
        </w:rPr>
        <w:t>资金支付与预算相符。</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（三）项目财务管理情况。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项目实施单位财务管理制度健全，严格执行财务管理制度，账务处理及时，会计核算规范。</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三、项目实施及管理情况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结合项目组织实施管理办法，重点围绕以下内容进行分析评价，并对自评中发现的问题分析说明。</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（一）项目组织架构及实施流程。</w:t>
      </w:r>
      <w:r>
        <w:rPr>
          <w:rFonts w:hint="eastAsia" w:ascii="仿宋_GB2312" w:eastAsia="仿宋_GB2312" w:cs="仿宋_GB2312"/>
          <w:sz w:val="32"/>
          <w:szCs w:val="32"/>
          <w:lang w:val="en-US" w:eastAsia="zh-CN"/>
        </w:rPr>
        <w:t>项目</w:t>
      </w:r>
      <w:r>
        <w:rPr>
          <w:rFonts w:hint="default" w:ascii="仿宋_GB2312" w:eastAsia="仿宋_GB2312" w:cs="仿宋_GB2312"/>
          <w:sz w:val="32"/>
          <w:szCs w:val="32"/>
          <w:lang w:val="en-US" w:eastAsia="zh-CN"/>
        </w:rPr>
        <w:t>制定并严格执行了</w:t>
      </w:r>
      <w:r>
        <w:rPr>
          <w:rFonts w:hint="eastAsia" w:ascii="仿宋_GB2312" w:eastAsia="仿宋_GB2312" w:cs="仿宋_GB2312"/>
          <w:sz w:val="32"/>
          <w:szCs w:val="32"/>
          <w:lang w:val="en-US" w:eastAsia="zh-CN"/>
        </w:rPr>
        <w:t>项目标准，与供应商</w:t>
      </w:r>
      <w:r>
        <w:rPr>
          <w:rFonts w:hint="default" w:ascii="仿宋_GB2312" w:eastAsia="仿宋_GB2312" w:cs="仿宋_GB2312"/>
          <w:sz w:val="32"/>
          <w:szCs w:val="32"/>
          <w:lang w:val="en-US" w:eastAsia="zh-CN"/>
        </w:rPr>
        <w:t>单位签订了相关</w:t>
      </w:r>
      <w:r>
        <w:rPr>
          <w:rFonts w:hint="eastAsia" w:ascii="仿宋_GB2312" w:eastAsia="仿宋_GB2312" w:cs="仿宋_GB2312"/>
          <w:sz w:val="32"/>
          <w:szCs w:val="32"/>
          <w:lang w:val="en-US" w:eastAsia="zh-CN"/>
        </w:rPr>
        <w:t>项目</w:t>
      </w:r>
      <w:r>
        <w:rPr>
          <w:rFonts w:hint="default" w:ascii="仿宋_GB2312" w:eastAsia="仿宋_GB2312" w:cs="仿宋_GB2312"/>
          <w:sz w:val="32"/>
          <w:szCs w:val="32"/>
          <w:lang w:val="en-US" w:eastAsia="zh-CN"/>
        </w:rPr>
        <w:t>合同。</w:t>
      </w:r>
      <w:r>
        <w:rPr>
          <w:rFonts w:hint="eastAsia" w:ascii="仿宋_GB2312" w:eastAsia="仿宋_GB2312" w:cs="仿宋_GB2312"/>
          <w:sz w:val="32"/>
          <w:szCs w:val="32"/>
          <w:lang w:val="en-US" w:eastAsia="zh-CN"/>
        </w:rPr>
        <w:t>同时</w:t>
      </w:r>
      <w:r>
        <w:rPr>
          <w:rFonts w:hint="default" w:ascii="仿宋_GB2312" w:eastAsia="仿宋_GB2312" w:cs="仿宋_GB2312"/>
          <w:sz w:val="32"/>
          <w:szCs w:val="32"/>
          <w:lang w:val="en-US" w:eastAsia="zh-CN"/>
        </w:rPr>
        <w:t>严格资金管理</w:t>
      </w:r>
      <w:r>
        <w:rPr>
          <w:rFonts w:hint="eastAsia" w:ascii="仿宋_GB2312" w:eastAsia="仿宋_GB2312" w:cs="仿宋_GB2312"/>
          <w:sz w:val="32"/>
          <w:szCs w:val="32"/>
          <w:lang w:val="en-US" w:eastAsia="zh-CN"/>
        </w:rPr>
        <w:t>，</w:t>
      </w:r>
      <w:r>
        <w:rPr>
          <w:rFonts w:hint="default" w:ascii="仿宋_GB2312" w:eastAsia="仿宋_GB2312" w:cs="仿宋_GB2312"/>
          <w:sz w:val="32"/>
          <w:szCs w:val="32"/>
          <w:lang w:val="en-US" w:eastAsia="zh-CN"/>
        </w:rPr>
        <w:t>做到了资金使用规范、透明、专款专用，无挪用、挤占、截留建设资金现象，项目资金实行报账制，报账凭施工单位申请及工程量清单、监理单位审核后出具的支付证书及发票报账，入账手续齐全</w:t>
      </w:r>
      <w:r>
        <w:rPr>
          <w:rFonts w:hint="eastAsia" w:ascii="仿宋_GB2312" w:eastAsia="仿宋_GB2312" w:cs="仿宋_GB2312"/>
          <w:sz w:val="32"/>
          <w:szCs w:val="32"/>
          <w:lang w:val="en-US" w:eastAsia="zh-CN"/>
        </w:rPr>
        <w:t>。</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（二）项目管理情况。项目实施单位</w:t>
      </w:r>
      <w:r>
        <w:rPr>
          <w:rFonts w:hint="eastAsia" w:ascii="仿宋_GB2312" w:eastAsia="仿宋_GB2312" w:cs="仿宋_GB2312"/>
          <w:sz w:val="32"/>
          <w:szCs w:val="32"/>
          <w:lang w:val="en-US" w:eastAsia="zh-CN"/>
        </w:rPr>
        <w:t>按规定</w:t>
      </w:r>
      <w:r>
        <w:rPr>
          <w:rFonts w:hint="eastAsia" w:ascii="仿宋_GB2312" w:eastAsia="仿宋_GB2312" w:cs="仿宋_GB2312"/>
          <w:sz w:val="32"/>
          <w:szCs w:val="32"/>
          <w:lang w:val="zh-CN" w:eastAsia="zh-CN"/>
        </w:rPr>
        <w:t>执行相关法律法规及项目管理制度，</w:t>
      </w:r>
      <w:r>
        <w:rPr>
          <w:rFonts w:hint="eastAsia" w:ascii="仿宋_GB2312" w:eastAsia="仿宋_GB2312" w:cs="仿宋_GB2312"/>
          <w:sz w:val="32"/>
          <w:szCs w:val="32"/>
          <w:lang w:val="en-US" w:eastAsia="zh-CN"/>
        </w:rPr>
        <w:t>按规范</w:t>
      </w:r>
      <w:r>
        <w:rPr>
          <w:rFonts w:hint="eastAsia" w:ascii="仿宋_GB2312" w:eastAsia="仿宋_GB2312" w:cs="仿宋_GB2312"/>
          <w:sz w:val="32"/>
          <w:szCs w:val="32"/>
          <w:lang w:val="zh-CN" w:eastAsia="zh-CN"/>
        </w:rPr>
        <w:t>招投标、政府采购，</w:t>
      </w:r>
      <w:r>
        <w:rPr>
          <w:rFonts w:hint="eastAsia" w:ascii="仿宋_GB2312" w:eastAsia="仿宋_GB2312" w:cs="仿宋_GB2312"/>
          <w:sz w:val="32"/>
          <w:szCs w:val="32"/>
          <w:lang w:val="en-US" w:eastAsia="zh-CN"/>
        </w:rPr>
        <w:t>并对</w:t>
      </w:r>
      <w:r>
        <w:rPr>
          <w:rFonts w:hint="eastAsia" w:ascii="仿宋_GB2312" w:eastAsia="仿宋_GB2312" w:cs="仿宋_GB2312"/>
          <w:sz w:val="32"/>
          <w:szCs w:val="32"/>
          <w:lang w:val="zh-CN" w:eastAsia="zh-CN"/>
        </w:rPr>
        <w:t>项目</w:t>
      </w:r>
      <w:r>
        <w:rPr>
          <w:rFonts w:hint="eastAsia" w:ascii="仿宋_GB2312" w:eastAsia="仿宋_GB2312" w:cs="仿宋_GB2312"/>
          <w:sz w:val="32"/>
          <w:szCs w:val="32"/>
          <w:lang w:val="en-US" w:eastAsia="zh-CN"/>
        </w:rPr>
        <w:t>及时</w:t>
      </w:r>
      <w:r>
        <w:rPr>
          <w:rFonts w:hint="eastAsia" w:ascii="仿宋_GB2312" w:eastAsia="仿宋_GB2312" w:cs="仿宋_GB2312"/>
          <w:sz w:val="32"/>
          <w:szCs w:val="32"/>
          <w:lang w:val="zh-CN" w:eastAsia="zh-CN"/>
        </w:rPr>
        <w:t>公示。</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（三）项目监管情况。</w:t>
      </w:r>
      <w:r>
        <w:rPr>
          <w:rFonts w:hint="default" w:ascii="仿宋_GB2312" w:eastAsia="仿宋_GB2312" w:cs="仿宋_GB2312"/>
          <w:sz w:val="32"/>
          <w:szCs w:val="32"/>
          <w:lang w:val="en-US" w:eastAsia="zh-CN"/>
        </w:rPr>
        <w:t>规范项目档案管理，安排专人进行项目档案管理，按照项目申报审批文件、项目开工准备阶段文件、项目施工阶段文件、建设单位管理文件分类搜集整理了项目相关的文字、数据资料，建立了明晰详实的项目档案。</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四、项目绩效情况</w:t>
      </w:r>
      <w:r>
        <w:rPr>
          <w:rFonts w:hint="eastAsia" w:ascii="仿宋_GB2312" w:eastAsia="仿宋_GB2312" w:cs="仿宋_GB2312"/>
          <w:sz w:val="32"/>
          <w:szCs w:val="32"/>
          <w:lang w:val="zh-CN" w:eastAsia="zh-CN"/>
        </w:rPr>
        <w:tab/>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（一）项目完成情况。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本学年，全园共有大、中、小班33个，在园幼儿共计1124人，教职工总数为194人，</w:t>
      </w:r>
      <w:r>
        <w:rPr>
          <w:rFonts w:hint="eastAsia" w:ascii="仿宋_GB2312" w:eastAsia="仿宋_GB2312" w:cs="仿宋_GB2312"/>
          <w:sz w:val="32"/>
          <w:szCs w:val="32"/>
          <w:lang w:val="en-US" w:eastAsia="zh-CN"/>
        </w:rPr>
        <w:t>其中正式在编职工138人。推动了科技城园区建设工程项目实施，为科幼铺设幼儿运动地板、建设功能室、12个班定制了教学设施设备、新增7台教学钢琴及新添置7个班的教玩具设备等，通过政府采购了办公台式电脑15台，笔记本电脑10台，空调机5台，多功能一体机5台，复印纸一批，为促进教学研究为教师教学活动提供了专业化数字化平台，完成了幼儿园网络、录播教室等设施设备的建设，建成标准化录播教室1个、简易录播教室2个，实现有线网络班班通、无线网络全覆盖，网络主干达1000兆，夯实了教育新基建，提升学校影响力，推动学校发展，按进度完成各项业务，无违规记录，各项指标值均能达到，各项成本控制较好，项目资金100%执行完成，资金无结余，绩效效果明显。</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（二）项目效益情况。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该项目资金旨在为幼儿提供更好的服务，在经济效益方面，让社会适龄幼儿竟可能的享受优质学前教育服务；在社会效益方面积极引导地方扩大普惠性学前教育资源；在生态效益方面，引导地方提高学前教育普惠保障水平，提升影响力；在可持续效益方面，让学前教育事业持续健康发展；在服务对象满意度方面，幼儿满意，在园度过“玩美”的童年；家长满意，认可“玩美教育，奠定人生”的理念，构建“玩美”课程，让幼儿得到了全面发展；社会满意，形成独具特色的文化治园，文化育人的格局，开展的保教工作，为家长服务，促进了幼儿和谐发展。</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五、评价结论及建议</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（一）评价结论。</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该项目按进度完成各项业务，无违规记录，各项指标值均能达到，各项成本控制较好，项目资金100%执行完成，资金无结余，绩效效果明显。</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（二）存在的问题。</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工程项目涉及内容较多，跨度时间长，造成专项资金的支付进度缓慢。</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（三）相关建议。</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建议通过培训提高基层会计人员的专业水平，提高专业技能水平，更好的开展单位财务工作，以便于按照计划的项目进度分阶段细化预算，避免项目建设初期支出少，后期突击支出的风险，同时加大对项目的督促力度，加紧完工，同时要求项目各方严格按照规定做好项目结算、验收等工作，同时完善项目进度资金申请材料，以加快资金支出进度。</w:t>
      </w:r>
    </w:p>
    <w:p>
      <w:pPr>
        <w:pStyle w:val="4"/>
        <w:jc w:val="center"/>
        <w:rPr>
          <w:rFonts w:hint="eastAsia" w:ascii="黑体" w:hAnsi="黑体" w:eastAsia="黑体"/>
        </w:rPr>
      </w:pPr>
    </w:p>
    <w:p>
      <w:pPr>
        <w:rPr>
          <w:rFonts w:hint="eastAsia" w:ascii="黑体" w:hAnsi="黑体" w:eastAsia="黑体"/>
        </w:rPr>
      </w:pPr>
    </w:p>
    <w:p>
      <w:pPr>
        <w:pStyle w:val="33"/>
        <w:spacing w:line="560" w:lineRule="exact"/>
        <w:jc w:val="center"/>
        <w:rPr>
          <w:rFonts w:ascii="方正小标宋简体" w:hAnsi="宋体" w:eastAsia="方正小标宋简体"/>
          <w:sz w:val="44"/>
          <w:szCs w:val="44"/>
          <w:lang w:val="en-US"/>
        </w:rPr>
      </w:pPr>
      <w:r>
        <w:rPr>
          <w:rFonts w:hint="eastAsia" w:ascii="方正小标宋简体" w:hAnsi="宋体" w:eastAsia="方正小标宋简体"/>
          <w:sz w:val="44"/>
          <w:szCs w:val="44"/>
          <w:lang w:val="en-US"/>
        </w:rPr>
        <w:t>攀枝花市体育中学</w:t>
      </w:r>
    </w:p>
    <w:p>
      <w:pPr>
        <w:pStyle w:val="33"/>
        <w:spacing w:line="560" w:lineRule="exact"/>
        <w:jc w:val="center"/>
        <w:rPr>
          <w:rFonts w:hint="eastAsia" w:ascii="方正小标宋简体" w:hAnsi="宋体" w:eastAsia="方正小标宋简体"/>
          <w:sz w:val="44"/>
          <w:szCs w:val="44"/>
          <w:lang w:val="en-US"/>
        </w:rPr>
      </w:pPr>
      <w:r>
        <w:rPr>
          <w:rFonts w:hint="eastAsia" w:ascii="方正小标宋简体" w:hAnsi="宋体" w:eastAsia="方正小标宋简体"/>
          <w:sz w:val="44"/>
          <w:szCs w:val="44"/>
          <w:lang w:val="en-US"/>
        </w:rPr>
        <w:t>国家高水平后备人才基地建设经费</w:t>
      </w:r>
    </w:p>
    <w:p>
      <w:pPr>
        <w:pStyle w:val="33"/>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33"/>
        <w:spacing w:line="600" w:lineRule="exact"/>
        <w:ind w:firstLine="640"/>
        <w:jc w:val="center"/>
        <w:rPr>
          <w:rFonts w:ascii="Times New Roman" w:hAnsi="Times New Roman"/>
          <w:color w:val="auto"/>
          <w:kern w:val="2"/>
          <w:sz w:val="32"/>
          <w:szCs w:val="32"/>
        </w:rPr>
      </w:pP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一、</w:t>
      </w:r>
      <w:r>
        <w:rPr>
          <w:rFonts w:hint="eastAsia" w:ascii="仿宋_GB2312" w:eastAsia="仿宋_GB2312" w:cs="仿宋_GB2312"/>
          <w:sz w:val="32"/>
          <w:szCs w:val="32"/>
          <w:lang w:val="zh-CN" w:eastAsia="zh-CN"/>
        </w:rPr>
        <w:t>项目概况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（一）项目基本情况。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攀枝花市体育中学是攀枝花市唯一一所集文化教学、体育训练和食宿生活“三集中”的体育特色学校，也是全国高水平和省级体育后备人才基地之一。遵照国家体育总局“国家后备人才基地”的要求和省体育局的工作要求，我校大力发展国家后备人才基地梯队建设；其主要职责是：培养选拔输送体育后备人才，负责运动员义务教育阶段的文化教学，组织参加全国、全省各级各类体育竞赛。</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（一）项目资金申报及批复情况。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经攀枝花市财政局同意，攀枝花市体育中学专项资金由财政部门预算安排，申报国家高水平后备人才基地建设经费26.68万元用于支持后备人才基地建设等工作，2023年收到市财政拨款26.68万元用于后备人才基地建设等。</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（二）项目绩效目标。</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培养选拔输送体育后备人才，负责运动员义务教育阶段的文化教学，组织参加全国、全省各级各类体育竞赛。</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（三）项目资金申报相符性。</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根据“国家高水平体育后备人才基地”认定办法第四章命名与奖励第十五条：凡经统评认定达到“基地”认定条件并经过公示没有异议的体育学校，由国家体育总局统一命名为新周期的“国家高水平体育后备人才基地”。第十六条：凡被认定为“基地”的体育学校，国家体育总局将在新周期对其进行适当资金投入。第十七条：资金投入主要用于“基地”学校改善训练、科研、教学等办学条件。</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（二）项目绩效目标。</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1、产出指标</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产出数量指标：我单位先后被评为学校先后被评为“国家高水平体育后备人才基地”、“国家举重高水平后备人才基地”、“国家垒球后备人才训练基地”、“四川省高水平体育后备人才基地”、“四川省青少年篮球后备人才基地”、“中国棒球协会青少年后备人才培养基地”等。</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（2）产出质量指标：“基地”明年预计向上级高水平运动队输送138名优秀运动员参与训练，在基地建设上受到上级单位高度评价。</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（3）产出时效指标：每学年定期维护训练场馆、增添训练设备、设施；邀请高水平运动队；完成时间2023年12月31日。</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（4）产出成本指标：用于后备人才基地建设、招生选材等25.11万元。</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2、效果指标</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（1）社会效益指标：作为社会大众观察体育运动的发展动态，促进教体融合深度。</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（2）生态效益指标：助力国家高水平体育后备人才培养，确保国家竞技体育可持续发展。</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（3）可持续影响指标：“基地”教学、训练、科研康复理疗等设备设施的改善更有利于发挥其功能，效益更加明显；推动我国体育事业蓬勃发展。</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（三）项目自评步骤及方法。</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科学运用比较法、绩效逻辑分析法、因素分析法、问卷调查法等评价方法，开展项目自评工作。评价组收集项目文件资料、细化评价指标、设计调查问卷、抽选项目实施地点实地查勘和开展收益群体问卷调查工作。具体步骤如下：</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1、结合单位绩效自评报告，了解项目资金的基本情况，听取项目实施情况介绍；</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现场调查取证，现场查看项目实施情况，核查项目资金收、支账目及会计凭证，检查项目决议、制度建设、公示等相关文件资料，抽查典型案件取证记录，为整个评价指标体系评分收集基础资料，填制项目基础数据表；</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3、引入政府绩效管理原理，对项目从决策、管理、绩效等方面，结合该项目的具体情况，汇同项目实施单位，建立符合项目实际情况的绩效评价指标体系；</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4、根据项目覆盖范围，项目的实施覆盖收益者，开展收益群体的满意度问卷调查；</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5、对资金使用效益评分，分析、效验项目资金的使用是否实现绩效目标；</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6、经过定量和定性分析形成评价结论，经过复核和交换意见后，形成绩效评价报告；</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二、项目资金申报及使用情况</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（一）项目资金申报及批复情况。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该国家高水平后备人才基地建设经费纳入财政预算，年度期间追加预算。</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（二）资金计划、到位及使用情况（可用表格形式反映）。</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1.资金计划</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2023年申报国家高水平后备人才基地建设经费计划26.68万元，经费来源为财政拨款，年度期间追加预算26.68万元。</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2.资金到位</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2023年2月23日、27日及7月31日共收到攀枝花市财政局下达资金26.68万元，到位率100%。</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3.资金使用</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该项目资金预算26.68万元，完成支付25.11万元，执行率94.12%。</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（三）项目财务管理情况。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该单位财务管理制度齐全，各个流程严格执行相关财务管理制度，账务处理执行最新的政府会计准则、制度。</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三、项目实施及管理情况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该项目主要用于后备人才基地建设、招生选材等，专款专用，并建立相应组织监管机构。</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1、项目决策依据</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为备战四川省第十五届运动会，完成我市下达的金牌目标任务。</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2、项目决策程序</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由上级主管部门，市教育和体育局下达的金牌目标任务，因此备战省十五届运动会完成金牌目标属于我校工作职能范围。</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3、组织机构</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成立项目实施小组，组长为校长、书记，副组长为副书记、副校长，成员为学校中层干部。</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4、制度建设</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为规范本单位财务工作，加强会计核算与内部监督，提高财政资金使用效益，我单位依据《会计法》和上级相关部门有关财务制度规定，以上级主管单位财务制度为指导，结合本单位业务工作特点，制定并完善了包括内部财务控制、财务、公开、重点支出管理、会计报销、资产管理，现金及账户管理等财务管理制度。</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5、不确定因素和风险控制措施</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使用运动经费前，在预算管理上：执行事前预算评审，事后进行结算评审，保证预算支出的有效性；在体育器材购置时，严格遵循招标投标手续；在项目验收上聘请监理；在外出参赛时，制定《运动队参赛方案》、《安全预案》、《应急预案》，做到有规有矩、有章有程。如遇突发事件或不可抗力因素引起的突发情况，立即启动应急预案，上报上级单位，妥善处理。</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en-US" w:eastAsia="zh-CN"/>
        </w:rPr>
        <w:t>四、项目绩效情况</w:t>
      </w:r>
      <w:r>
        <w:rPr>
          <w:rFonts w:hint="eastAsia" w:ascii="仿宋_GB2312" w:eastAsia="仿宋_GB2312" w:cs="仿宋_GB2312"/>
          <w:sz w:val="32"/>
          <w:szCs w:val="32"/>
          <w:lang w:val="zh-CN" w:eastAsia="zh-CN"/>
        </w:rPr>
        <w:tab/>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（一）项目完成情况。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该项目资金用于运动队后备人才建设，用于预算执行事中绩效重点监控及2023年重点绩效评价工作，截止2023年12月31日，所有绩效目标均已完成。</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（二）项目效益情况。</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该项目实施后，社会效应具有较高影响力，同时经济效益、可持续影响力都具有较大的贡献，有力的提升了城市的影响力，项目收益群众满意度高达95%以上。</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五、评价结论及建议</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（一）评价结论。</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经综合分析，该项目决策严密，立项程序合规，绩效目标明确、可行、合理，且符合市政府决策和宏观规划，项目支出用途明确，建立了资金专项管理办法，项目资金实际使用方向与计划一致，资金使用合规，项目采购及管理程序规范，实施了监管，具有一定社会效益、经济效益及可持续性影响力，受益群众满意度高。</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（二）存在的问题。</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项目的事前评估与项目的绩效评估未能事前、事中衔接，指标设置还不够科学，部门与部门之间协调还不够紧密，绩效指标还需进一步完善</w:t>
      </w:r>
      <w:r>
        <w:rPr>
          <w:rFonts w:hint="eastAsia" w:ascii="仿宋_GB2312" w:eastAsia="仿宋_GB2312" w:cs="仿宋_GB2312"/>
          <w:sz w:val="32"/>
          <w:szCs w:val="32"/>
          <w:lang w:val="en-US" w:eastAsia="zh-CN"/>
        </w:rPr>
        <w:tab/>
      </w:r>
      <w:r>
        <w:rPr>
          <w:rFonts w:hint="eastAsia" w:ascii="仿宋_GB2312" w:eastAsia="仿宋_GB2312" w:cs="仿宋_GB2312"/>
          <w:sz w:val="32"/>
          <w:szCs w:val="32"/>
          <w:lang w:val="en-US" w:eastAsia="zh-CN"/>
        </w:rPr>
        <w:t>。</w:t>
      </w:r>
    </w:p>
    <w:p>
      <w:pPr>
        <w:widowControl/>
        <w:spacing w:line="560" w:lineRule="exact"/>
        <w:ind w:firstLine="660"/>
        <w:rPr>
          <w:rFonts w:hint="eastAsia" w:ascii="仿宋_GB2312" w:eastAsia="仿宋_GB2312" w:cs="仿宋_GB2312"/>
          <w:sz w:val="32"/>
          <w:szCs w:val="32"/>
          <w:lang w:val="zh-CN" w:eastAsia="zh-CN"/>
        </w:rPr>
      </w:pPr>
      <w:r>
        <w:rPr>
          <w:rFonts w:hint="eastAsia" w:ascii="仿宋_GB2312" w:eastAsia="仿宋_GB2312" w:cs="仿宋_GB2312"/>
          <w:sz w:val="32"/>
          <w:szCs w:val="32"/>
          <w:lang w:val="zh-CN" w:eastAsia="zh-CN"/>
        </w:rPr>
        <w:t>（三）相关建议。</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为保证财政资金的使用效率，建议财政的绩效事前评估与预算协调推进，加强财政预算的事前绩效评估，同时针对单位的具体情况，保证单位的运转经费（含基本和项目），这样才能保证单位绩效评估的有效性。</w:t>
      </w:r>
    </w:p>
    <w:p>
      <w:pPr>
        <w:widowControl/>
        <w:spacing w:line="560" w:lineRule="exact"/>
        <w:ind w:firstLine="66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夯实基础，提高绩效目标编制和自评质量。明确整体绩效目标编制要点，结合单位实际及部门重点工作任务确定中长期工作目标和年度工作目标，按照细化量化的原则，参考项目支出绩效目标编制要求，将年度工作目标任务分解为职责履行（产出）和履职效能（效益）指标，并参考各类标准、往年目标完成情况或绩效评价结果，合理设置指标值。同时，加强部门预算整体绩效管理业务培训，借助第三方机构的专业力量，对部门编制整体绩效目标提供辅导，建立“共性+个性”部门整体目标指标库，推动目标编制更加规范合理。</w:t>
      </w:r>
    </w:p>
    <w:p>
      <w:pPr>
        <w:pStyle w:val="2"/>
        <w:rPr>
          <w:rFonts w:hint="eastAsia"/>
        </w:rPr>
      </w:pPr>
    </w:p>
    <w:p>
      <w:pPr>
        <w:pStyle w:val="4"/>
        <w:jc w:val="center"/>
        <w:rPr>
          <w:rFonts w:hint="eastAsia" w:ascii="黑体" w:hAnsi="黑体" w:eastAsia="黑体"/>
        </w:rPr>
      </w:pPr>
    </w:p>
    <w:p>
      <w:pPr>
        <w:rPr>
          <w:rFonts w:hint="eastAsia" w:ascii="黑体" w:hAnsi="黑体" w:eastAsia="黑体"/>
        </w:rPr>
      </w:pPr>
    </w:p>
    <w:p>
      <w:pPr>
        <w:pStyle w:val="2"/>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pStyle w:val="3"/>
        <w:rPr>
          <w:rFonts w:hint="eastAsia" w:ascii="黑体" w:hAnsi="黑体" w:eastAsia="黑体"/>
        </w:rPr>
      </w:pPr>
    </w:p>
    <w:p>
      <w:pPr>
        <w:rPr>
          <w:rFonts w:hint="eastAsia"/>
        </w:rPr>
      </w:pPr>
    </w:p>
    <w:p>
      <w:pPr>
        <w:pStyle w:val="4"/>
        <w:jc w:val="center"/>
        <w:rPr>
          <w:rFonts w:ascii="黑体" w:hAnsi="黑体" w:eastAsia="黑体"/>
        </w:rPr>
      </w:pPr>
      <w:r>
        <w:rPr>
          <w:rFonts w:hint="eastAsia" w:ascii="黑体" w:hAnsi="黑体" w:eastAsia="黑体"/>
        </w:rPr>
        <w:t>第五部分 附表</w:t>
      </w:r>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hint="eastAsia" w:ascii="仿宋" w:hAnsi="仿宋" w:eastAsia="仿宋"/>
          <w:sz w:val="32"/>
          <w:szCs w:val="32"/>
          <w:lang w:eastAsia="zh-CN"/>
        </w:rPr>
      </w:pPr>
      <w:r>
        <w:rPr>
          <w:rFonts w:hint="eastAsia" w:ascii="仿宋" w:hAnsi="仿宋" w:eastAsia="仿宋"/>
          <w:sz w:val="32"/>
          <w:szCs w:val="32"/>
        </w:rPr>
        <w:t>十一、国有资本经营预算财政拨款收入支出决算表</w:t>
      </w:r>
      <w:r>
        <w:rPr>
          <w:rFonts w:hint="eastAsia" w:ascii="仿宋" w:hAnsi="仿宋" w:eastAsia="仿宋"/>
          <w:sz w:val="32"/>
          <w:szCs w:val="32"/>
          <w:lang w:eastAsia="zh-CN"/>
        </w:rPr>
        <w:t>（本表无数据）</w:t>
      </w:r>
    </w:p>
    <w:p>
      <w:pPr>
        <w:rPr>
          <w:rFonts w:hint="eastAsia" w:ascii="仿宋" w:hAnsi="仿宋" w:eastAsia="仿宋"/>
          <w:sz w:val="32"/>
          <w:szCs w:val="32"/>
          <w:lang w:eastAsia="zh-CN"/>
        </w:rPr>
      </w:pPr>
      <w:r>
        <w:rPr>
          <w:rFonts w:hint="eastAsia" w:ascii="仿宋" w:hAnsi="仿宋" w:eastAsia="仿宋"/>
          <w:sz w:val="32"/>
          <w:szCs w:val="32"/>
        </w:rPr>
        <w:t>十二、国有资本经营预算财政拨款支出决算表</w:t>
      </w:r>
      <w:r>
        <w:rPr>
          <w:rFonts w:hint="eastAsia" w:ascii="仿宋" w:hAnsi="仿宋" w:eastAsia="仿宋"/>
          <w:sz w:val="32"/>
          <w:szCs w:val="32"/>
          <w:lang w:eastAsia="zh-CN"/>
        </w:rPr>
        <w:t>（本表无数据）</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3FF7AE"/>
    <w:multiLevelType w:val="singleLevel"/>
    <w:tmpl w:val="DE3FF7AE"/>
    <w:lvl w:ilvl="0" w:tentative="0">
      <w:start w:val="1"/>
      <w:numFmt w:val="chineseCounting"/>
      <w:suff w:val="nothing"/>
      <w:lvlText w:val="%1、"/>
      <w:lvlJc w:val="left"/>
      <w:rPr>
        <w:rFonts w:hint="eastAsia"/>
      </w:rPr>
    </w:lvl>
  </w:abstractNum>
  <w:abstractNum w:abstractNumId="2">
    <w:nsid w:val="FF4B2253"/>
    <w:multiLevelType w:val="singleLevel"/>
    <w:tmpl w:val="FF4B2253"/>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YWVkOGIwNmJhYTdjMjk3MTcxOWZlNmY5NTgwMDA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49D8"/>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BE8440E"/>
    <w:rsid w:val="1D155CEE"/>
    <w:rsid w:val="1DFBC4B3"/>
    <w:rsid w:val="1E740ACF"/>
    <w:rsid w:val="1F19C781"/>
    <w:rsid w:val="1F33FCE5"/>
    <w:rsid w:val="1F7F7398"/>
    <w:rsid w:val="1FD2DB6F"/>
    <w:rsid w:val="1FF35744"/>
    <w:rsid w:val="1FF6BC77"/>
    <w:rsid w:val="1FF6DC98"/>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BB6C32"/>
    <w:rsid w:val="39E7B272"/>
    <w:rsid w:val="39F7642F"/>
    <w:rsid w:val="39FF7B37"/>
    <w:rsid w:val="3AB79AF3"/>
    <w:rsid w:val="3AFDCB77"/>
    <w:rsid w:val="3B7EF35A"/>
    <w:rsid w:val="3B9FDB6C"/>
    <w:rsid w:val="3BF5BC2F"/>
    <w:rsid w:val="3BF7C23A"/>
    <w:rsid w:val="3BFF223E"/>
    <w:rsid w:val="3C6EC0A1"/>
    <w:rsid w:val="3C7C920A"/>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58582"/>
    <w:rsid w:val="4FAB812F"/>
    <w:rsid w:val="4FE9BD67"/>
    <w:rsid w:val="4FEE4C07"/>
    <w:rsid w:val="4FFB052F"/>
    <w:rsid w:val="537E6D0A"/>
    <w:rsid w:val="537FBEC8"/>
    <w:rsid w:val="53AB6B88"/>
    <w:rsid w:val="53F74C96"/>
    <w:rsid w:val="5583522D"/>
    <w:rsid w:val="55FF985E"/>
    <w:rsid w:val="57BD3DD4"/>
    <w:rsid w:val="57F9CD1E"/>
    <w:rsid w:val="5AF92295"/>
    <w:rsid w:val="5AF9D8E9"/>
    <w:rsid w:val="5BDD38BD"/>
    <w:rsid w:val="5BDD79E6"/>
    <w:rsid w:val="5BEFC772"/>
    <w:rsid w:val="5BF81187"/>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7EE9EA"/>
    <w:rsid w:val="63B23AA5"/>
    <w:rsid w:val="647F5392"/>
    <w:rsid w:val="64E322C4"/>
    <w:rsid w:val="64FE352A"/>
    <w:rsid w:val="65FB93B9"/>
    <w:rsid w:val="6633C463"/>
    <w:rsid w:val="67D55B77"/>
    <w:rsid w:val="67EE7F84"/>
    <w:rsid w:val="67F73D27"/>
    <w:rsid w:val="686F5F53"/>
    <w:rsid w:val="6AF79042"/>
    <w:rsid w:val="6AFFCEAF"/>
    <w:rsid w:val="6B96E9E6"/>
    <w:rsid w:val="6BCE57B5"/>
    <w:rsid w:val="6BFEA4DB"/>
    <w:rsid w:val="6BFFB662"/>
    <w:rsid w:val="6C4A05C8"/>
    <w:rsid w:val="6CFF4FB8"/>
    <w:rsid w:val="6D6BD6E0"/>
    <w:rsid w:val="6D77E73C"/>
    <w:rsid w:val="6DBF5E93"/>
    <w:rsid w:val="6DFF077E"/>
    <w:rsid w:val="6E347D4B"/>
    <w:rsid w:val="6E7E3605"/>
    <w:rsid w:val="6E7F3597"/>
    <w:rsid w:val="6E7FDCC7"/>
    <w:rsid w:val="6ED6A62E"/>
    <w:rsid w:val="6EE00B15"/>
    <w:rsid w:val="6EE737B2"/>
    <w:rsid w:val="6EEB2329"/>
    <w:rsid w:val="6EECE67A"/>
    <w:rsid w:val="6F6F90A8"/>
    <w:rsid w:val="6F6FB3EB"/>
    <w:rsid w:val="6F8731EA"/>
    <w:rsid w:val="6FBC2ADD"/>
    <w:rsid w:val="6FCC286B"/>
    <w:rsid w:val="6FD57C00"/>
    <w:rsid w:val="6FEFFFD8"/>
    <w:rsid w:val="6FF5CC65"/>
    <w:rsid w:val="6FFB47EC"/>
    <w:rsid w:val="6FFF034A"/>
    <w:rsid w:val="712A28F1"/>
    <w:rsid w:val="715C0E4B"/>
    <w:rsid w:val="71FFD401"/>
    <w:rsid w:val="72233669"/>
    <w:rsid w:val="72734D90"/>
    <w:rsid w:val="7332FE48"/>
    <w:rsid w:val="737D1410"/>
    <w:rsid w:val="73AD73D5"/>
    <w:rsid w:val="73B6EB34"/>
    <w:rsid w:val="73FA497D"/>
    <w:rsid w:val="744731E5"/>
    <w:rsid w:val="74BBD01D"/>
    <w:rsid w:val="74ED5379"/>
    <w:rsid w:val="75DEEEC2"/>
    <w:rsid w:val="75FB1D3F"/>
    <w:rsid w:val="767F479D"/>
    <w:rsid w:val="76CBF961"/>
    <w:rsid w:val="76E3355F"/>
    <w:rsid w:val="76F3D336"/>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163F"/>
    <w:rsid w:val="79D73EBF"/>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82AAB"/>
    <w:rsid w:val="7D7EC23E"/>
    <w:rsid w:val="7D7F8A13"/>
    <w:rsid w:val="7DBBCB01"/>
    <w:rsid w:val="7DC765D0"/>
    <w:rsid w:val="7DCDE098"/>
    <w:rsid w:val="7DDB0EE0"/>
    <w:rsid w:val="7DFE0C46"/>
    <w:rsid w:val="7DFF15A8"/>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BEB75"/>
    <w:rsid w:val="7FFD14DE"/>
    <w:rsid w:val="7FFF4008"/>
    <w:rsid w:val="7FFFF783"/>
    <w:rsid w:val="93F70A9E"/>
    <w:rsid w:val="997D060E"/>
    <w:rsid w:val="99FF2014"/>
    <w:rsid w:val="9E59F895"/>
    <w:rsid w:val="9E7DEDC1"/>
    <w:rsid w:val="9EDD072C"/>
    <w:rsid w:val="9EEF2B0D"/>
    <w:rsid w:val="9FF6F2A6"/>
    <w:rsid w:val="9FFE4AD9"/>
    <w:rsid w:val="9FFF61B9"/>
    <w:rsid w:val="A6DD0D7F"/>
    <w:rsid w:val="A7955197"/>
    <w:rsid w:val="A7FE5E0E"/>
    <w:rsid w:val="AAE56826"/>
    <w:rsid w:val="ADC6F725"/>
    <w:rsid w:val="AEABD175"/>
    <w:rsid w:val="AF0FFA84"/>
    <w:rsid w:val="AF9F0A5E"/>
    <w:rsid w:val="AFEF7964"/>
    <w:rsid w:val="B27A6F28"/>
    <w:rsid w:val="B35F0D5A"/>
    <w:rsid w:val="B3F7F693"/>
    <w:rsid w:val="B3FBBB6C"/>
    <w:rsid w:val="B5FFE407"/>
    <w:rsid w:val="B7CF06AB"/>
    <w:rsid w:val="B7CFA926"/>
    <w:rsid w:val="B7E06D9E"/>
    <w:rsid w:val="B7F8786B"/>
    <w:rsid w:val="B9EF5647"/>
    <w:rsid w:val="BABB6AA1"/>
    <w:rsid w:val="BAF785D6"/>
    <w:rsid w:val="BAFCD398"/>
    <w:rsid w:val="BAFFDA0F"/>
    <w:rsid w:val="BB2F4199"/>
    <w:rsid w:val="BBFBD24E"/>
    <w:rsid w:val="BD079C78"/>
    <w:rsid w:val="BD2DD278"/>
    <w:rsid w:val="BD733540"/>
    <w:rsid w:val="BDF7970E"/>
    <w:rsid w:val="BDFE68BD"/>
    <w:rsid w:val="BE6FC990"/>
    <w:rsid w:val="BE8FAF83"/>
    <w:rsid w:val="BEBE9537"/>
    <w:rsid w:val="BEFF0D62"/>
    <w:rsid w:val="BEFF90EF"/>
    <w:rsid w:val="BF3735D5"/>
    <w:rsid w:val="BF5AA2E1"/>
    <w:rsid w:val="BF7F09AC"/>
    <w:rsid w:val="BFB3380D"/>
    <w:rsid w:val="BFB7E7A2"/>
    <w:rsid w:val="BFC2F103"/>
    <w:rsid w:val="BFD475C3"/>
    <w:rsid w:val="BFDE5EA6"/>
    <w:rsid w:val="BFEF99E9"/>
    <w:rsid w:val="BFF9E564"/>
    <w:rsid w:val="BFFAE342"/>
    <w:rsid w:val="BFFF3A69"/>
    <w:rsid w:val="C7BFEF9C"/>
    <w:rsid w:val="C8BD8F25"/>
    <w:rsid w:val="C94DA72E"/>
    <w:rsid w:val="CBEEAA00"/>
    <w:rsid w:val="CC7E9ECE"/>
    <w:rsid w:val="CDBFF9FF"/>
    <w:rsid w:val="CDF78664"/>
    <w:rsid w:val="CE3FF57E"/>
    <w:rsid w:val="CF3AB4AC"/>
    <w:rsid w:val="CF6FC6F3"/>
    <w:rsid w:val="CFD3D3D7"/>
    <w:rsid w:val="CFDF1009"/>
    <w:rsid w:val="D3BD6504"/>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BDFA122"/>
    <w:rsid w:val="ECFED1BC"/>
    <w:rsid w:val="ED1D69BB"/>
    <w:rsid w:val="ED2C2584"/>
    <w:rsid w:val="ED7FD312"/>
    <w:rsid w:val="EDBE03E0"/>
    <w:rsid w:val="EDD1A84A"/>
    <w:rsid w:val="EDF3BBDD"/>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6F4EAC9"/>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BFF900D"/>
    <w:rsid w:val="FC833EBB"/>
    <w:rsid w:val="FCFE0B49"/>
    <w:rsid w:val="FD4B388D"/>
    <w:rsid w:val="FD77A83C"/>
    <w:rsid w:val="FD7FFE2B"/>
    <w:rsid w:val="FDADA43D"/>
    <w:rsid w:val="FDBDC432"/>
    <w:rsid w:val="FDEB412A"/>
    <w:rsid w:val="FDEE196B"/>
    <w:rsid w:val="FDEF50BC"/>
    <w:rsid w:val="FDFD5EC3"/>
    <w:rsid w:val="FDFE6575"/>
    <w:rsid w:val="FE5D55DE"/>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AB5C43"/>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99"/>
    <w:pPr>
      <w:spacing w:beforeLines="30"/>
    </w:pPr>
    <w:rPr>
      <w:rFonts w:ascii="仿宋_GB2312" w:eastAsia="仿宋_GB2312"/>
      <w:kern w:val="0"/>
      <w:sz w:val="30"/>
    </w:rPr>
  </w:style>
  <w:style w:type="paragraph" w:styleId="3">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3"/>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4"/>
    <w:qFormat/>
    <w:uiPriority w:val="9"/>
    <w:rPr>
      <w:rFonts w:ascii="Times New Roman" w:hAnsi="Times New Roman"/>
      <w:b/>
      <w:bCs/>
      <w:kern w:val="44"/>
      <w:sz w:val="44"/>
      <w:szCs w:val="44"/>
    </w:rPr>
  </w:style>
  <w:style w:type="character" w:customStyle="1" w:styleId="28">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character" w:customStyle="1" w:styleId="31">
    <w:name w:val="标题 3 Char"/>
    <w:basedOn w:val="15"/>
    <w:link w:val="6"/>
    <w:qFormat/>
    <w:uiPriority w:val="9"/>
    <w:rPr>
      <w:rFonts w:ascii="Times New Roman" w:hAnsi="Times New Roman"/>
      <w:b/>
      <w:bCs/>
      <w:kern w:val="2"/>
      <w:sz w:val="32"/>
      <w:szCs w:val="32"/>
    </w:rPr>
  </w:style>
  <w:style w:type="paragraph" w:customStyle="1" w:styleId="32">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70948.2</c:v>
                </c:pt>
                <c:pt idx="1">
                  <c:v>77313.05</c:v>
                </c:pt>
              </c:numCache>
            </c:numRef>
          </c:val>
        </c:ser>
        <c:ser>
          <c:idx val="1"/>
          <c:order val="1"/>
          <c:tx>
            <c:strRef>
              <c:f>Sheet1!$C$1</c:f>
              <c:strCache>
                <c:ptCount val="1"/>
                <c:pt idx="0">
                  <c:v>支出</c:v>
                </c:pt>
              </c:strCache>
            </c:strRef>
          </c:tx>
          <c:invertIfNegative val="0"/>
          <c:dLbls>
            <c:delete val="1"/>
          </c:dLbls>
          <c:cat>
            <c:strRef>
              <c:f>Sheet1!$A$2:$A$3</c:f>
              <c:strCache>
                <c:ptCount val="2"/>
                <c:pt idx="0">
                  <c:v>2022年</c:v>
                </c:pt>
                <c:pt idx="1">
                  <c:v>2023年</c:v>
                </c:pt>
              </c:strCache>
            </c:strRef>
          </c:cat>
          <c:val>
            <c:numRef>
              <c:f>Sheet1!$C$2:$C$3</c:f>
              <c:numCache>
                <c:formatCode>General</c:formatCode>
                <c:ptCount val="2"/>
                <c:pt idx="0">
                  <c:v>70948.2</c:v>
                </c:pt>
                <c:pt idx="1">
                  <c:v>77313.05</c:v>
                </c:pt>
              </c:numCache>
            </c:numRef>
          </c:val>
        </c:ser>
        <c:dLbls>
          <c:showLegendKey val="0"/>
          <c:showVal val="0"/>
          <c:showCatName val="0"/>
          <c:showSerName val="0"/>
          <c:showPercent val="0"/>
          <c:showBubbleSize val="0"/>
        </c:dLbls>
        <c:gapWidth val="150"/>
        <c:axId val="61114624"/>
        <c:axId val="61120896"/>
      </c:barChart>
      <c:catAx>
        <c:axId val="611146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120896"/>
        <c:crosses val="autoZero"/>
        <c:auto val="1"/>
        <c:lblAlgn val="ctr"/>
        <c:lblOffset val="100"/>
        <c:noMultiLvlLbl val="0"/>
      </c:catAx>
      <c:valAx>
        <c:axId val="61120896"/>
        <c:scaling>
          <c:orientation val="minMax"/>
          <c:max val="80000"/>
          <c:min val="70000"/>
        </c:scaling>
        <c:delete val="0"/>
        <c:axPos val="l"/>
        <c:majorGridlines/>
        <c:minorGridlines/>
        <c:numFmt formatCode="General" sourceLinked="1"/>
        <c:majorTickMark val="out"/>
        <c:minorTickMark val="none"/>
        <c:tickLblPos val="nextTo"/>
        <c:spPr>
          <a:noFill/>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11462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各项收入占比</c:v>
                </c:pt>
              </c:strCache>
            </c:strRef>
          </c:tx>
          <c:explosion val="25"/>
          <c:dPt>
            <c:idx val="0"/>
            <c:bubble3D val="0"/>
          </c:dPt>
          <c:dPt>
            <c:idx val="1"/>
            <c:bubble3D val="0"/>
          </c:dPt>
          <c:dPt>
            <c:idx val="2"/>
            <c:bubble3D val="0"/>
          </c:dPt>
          <c:dPt>
            <c:idx val="3"/>
            <c:bubble3D val="0"/>
          </c:dPt>
          <c:dLbls>
            <c:dLbl>
              <c:idx val="1"/>
              <c:layout>
                <c:manualLayout>
                  <c:x val="-0.156516117121955"/>
                  <c:y val="-0.010137074286793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01474312220931"/>
                  <c:y val="0.0078229330798487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70614923654711"/>
                  <c:y val="-0.03424490697766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一般公共预算财政拨款收入</c:v>
                </c:pt>
                <c:pt idx="1">
                  <c:v>政府性基金预算财政拨款收入</c:v>
                </c:pt>
                <c:pt idx="2">
                  <c:v>其他收入</c:v>
                </c:pt>
                <c:pt idx="3">
                  <c:v>事业收入</c:v>
                </c:pt>
              </c:strCache>
            </c:strRef>
          </c:cat>
          <c:val>
            <c:numRef>
              <c:f>Sheet1!$B$2:$B$5</c:f>
              <c:numCache>
                <c:formatCode>General</c:formatCode>
                <c:ptCount val="4"/>
                <c:pt idx="0">
                  <c:v>69800.72</c:v>
                </c:pt>
                <c:pt idx="1">
                  <c:v>839.75</c:v>
                </c:pt>
                <c:pt idx="2">
                  <c:v>2901.18</c:v>
                </c:pt>
                <c:pt idx="3">
                  <c:v>3497.17</c:v>
                </c:pt>
              </c:numCache>
            </c:numRef>
          </c:val>
        </c:ser>
        <c:dLbls>
          <c:showLegendKey val="0"/>
          <c:showVal val="0"/>
          <c:showCatName val="0"/>
          <c:showSerName val="0"/>
          <c:showPercent val="1"/>
          <c:showBubbleSize val="0"/>
          <c:showLeaderLines val="1"/>
        </c:dLbls>
        <c:firstSliceAng val="15"/>
      </c:pieChart>
      <c:spPr>
        <a:noFill/>
        <a:ln w="25400">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各项支出占比</c:v>
                </c:pt>
              </c:strCache>
            </c:strRef>
          </c:tx>
          <c:explosion val="25"/>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63852.32</c:v>
                </c:pt>
                <c:pt idx="1">
                  <c:v>12632.29</c:v>
                </c:pt>
              </c:numCache>
            </c:numRef>
          </c:val>
        </c:ser>
        <c:dLbls>
          <c:showLegendKey val="0"/>
          <c:showVal val="0"/>
          <c:showCatName val="0"/>
          <c:showSerName val="0"/>
          <c:showPercent val="1"/>
          <c:showBubbleSize val="0"/>
          <c:showLeaderLines val="1"/>
        </c:dLbls>
        <c:firstSliceAng val="15"/>
      </c:pieChart>
      <c:spPr>
        <a:noFill/>
        <a:ln w="25400">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2022年财政拨款收支</c:v>
                </c:pt>
                <c:pt idx="1">
                  <c:v>2023年财政拨款收支</c:v>
                </c:pt>
              </c:strCache>
            </c:strRef>
          </c:cat>
          <c:val>
            <c:numRef>
              <c:f>Sheet1!$B$2:$B$3</c:f>
              <c:numCache>
                <c:formatCode>General</c:formatCode>
                <c:ptCount val="2"/>
                <c:pt idx="0">
                  <c:v>65900.24</c:v>
                </c:pt>
                <c:pt idx="1">
                  <c:v>70663.83</c:v>
                </c:pt>
              </c:numCache>
            </c:numRef>
          </c:val>
        </c:ser>
        <c:ser>
          <c:idx val="1"/>
          <c:order val="1"/>
          <c:tx>
            <c:strRef>
              <c:f>Sheet1!$C$1</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2022年财政拨款收支</c:v>
                </c:pt>
                <c:pt idx="1">
                  <c:v>2023年财政拨款收支</c:v>
                </c:pt>
              </c:strCache>
            </c:strRef>
          </c:cat>
          <c:val>
            <c:numRef>
              <c:f>Sheet1!$C$2:$C$3</c:f>
              <c:numCache>
                <c:formatCode>General</c:formatCode>
                <c:ptCount val="2"/>
              </c:numCache>
            </c:numRef>
          </c:val>
        </c:ser>
        <c:ser>
          <c:idx val="2"/>
          <c:order val="2"/>
          <c:tx>
            <c:strRef>
              <c:f>Sheet1!$D$1</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2022年财政拨款收支</c:v>
                </c:pt>
                <c:pt idx="1">
                  <c:v>2023年财政拨款收支</c:v>
                </c:pt>
              </c:strCache>
            </c:strRef>
          </c:cat>
          <c:val>
            <c:numRef>
              <c:f>Sheet1!$D$2:$D$3</c:f>
              <c:numCache>
                <c:formatCode>General</c:formatCode>
                <c:ptCount val="2"/>
              </c:numCache>
            </c:numRef>
          </c:val>
        </c:ser>
        <c:dLbls>
          <c:showLegendKey val="0"/>
          <c:showVal val="1"/>
          <c:showCatName val="0"/>
          <c:showSerName val="0"/>
          <c:showPercent val="0"/>
          <c:showBubbleSize val="0"/>
        </c:dLbls>
        <c:gapWidth val="180"/>
        <c:axId val="109363968"/>
        <c:axId val="124956672"/>
      </c:barChart>
      <c:catAx>
        <c:axId val="1093639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956672"/>
        <c:crosses val="autoZero"/>
        <c:auto val="1"/>
        <c:lblAlgn val="ctr"/>
        <c:lblOffset val="100"/>
        <c:noMultiLvlLbl val="0"/>
      </c:catAx>
      <c:valAx>
        <c:axId val="124956672"/>
        <c:scaling>
          <c:orientation val="minMax"/>
          <c:max val="71000"/>
          <c:min val="65000"/>
        </c:scaling>
        <c:delete val="0"/>
        <c:axPos val="l"/>
        <c:majorGridlines>
          <c:spPr>
            <a:ln w="9525" cap="flat" cmpd="sng" algn="ct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olid"/>
              <a:round/>
            </a:ln>
          </c:spPr>
        </c:majorGridlines>
        <c:min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363968"/>
        <c:crosses val="autoZero"/>
        <c:crossBetween val="between"/>
        <c:majorUnit val="500"/>
        <c:minorUnit val="20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Sheet1!$A$2:$A$3</c:f>
              <c:strCache>
                <c:ptCount val="2"/>
                <c:pt idx="0">
                  <c:v>2022年一般公共预算财政拨款支出</c:v>
                </c:pt>
                <c:pt idx="1">
                  <c:v>2023年一般公共预算财政拨款支出</c:v>
                </c:pt>
              </c:strCache>
            </c:strRef>
          </c:cat>
          <c:val>
            <c:numRef>
              <c:f>Sheet1!$B$2:$B$3</c:f>
              <c:numCache>
                <c:formatCode>General</c:formatCode>
                <c:ptCount val="2"/>
                <c:pt idx="0">
                  <c:v>65020.2</c:v>
                </c:pt>
                <c:pt idx="1">
                  <c:v>69800.72</c:v>
                </c:pt>
              </c:numCache>
            </c:numRef>
          </c:val>
        </c:ser>
        <c:dLbls>
          <c:showLegendKey val="0"/>
          <c:showVal val="1"/>
          <c:showCatName val="0"/>
          <c:showSerName val="0"/>
          <c:showPercent val="0"/>
          <c:showBubbleSize val="0"/>
        </c:dLbls>
        <c:gapWidth val="150"/>
        <c:overlap val="100"/>
        <c:axId val="145163008"/>
        <c:axId val="145164544"/>
      </c:barChart>
      <c:catAx>
        <c:axId val="145163008"/>
        <c:scaling>
          <c:orientation val="minMax"/>
        </c:scaling>
        <c:delete val="0"/>
        <c:axPos val="b"/>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164544"/>
        <c:crosses val="autoZero"/>
        <c:auto val="1"/>
        <c:lblAlgn val="ctr"/>
        <c:lblOffset val="100"/>
        <c:noMultiLvlLbl val="0"/>
      </c:catAx>
      <c:valAx>
        <c:axId val="145164544"/>
        <c:scaling>
          <c:orientation val="minMax"/>
          <c:max val="70000"/>
          <c:min val="60000"/>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163008"/>
        <c:crosses val="autoZero"/>
        <c:crossBetween val="between"/>
      </c:valAx>
      <c:spPr>
        <a:solidFill>
          <a:schemeClr val="bg1"/>
        </a:solid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6265350349145"/>
          <c:y val="0.0061919504643962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75"/>
      <c:rotY val="15"/>
      <c:depthPercent val="100"/>
      <c:rAngAx val="0"/>
      <c:perspective val="30"/>
    </c:view3D>
    <c:floor>
      <c:thickness val="0"/>
    </c:floor>
    <c:sideWall>
      <c:thickness val="0"/>
      <c:spPr>
        <a:noFill/>
        <a:ln>
          <a:noFill/>
        </a:ln>
        <a:effectLst/>
      </c:spPr>
    </c:sideWall>
    <c:backWall>
      <c:thickness val="0"/>
      <c:spPr>
        <a:noFill/>
        <a:ln>
          <a:noFill/>
        </a:ln>
        <a:effectLst/>
      </c:spPr>
    </c:backWall>
    <c:plotArea>
      <c:layout>
        <c:manualLayout>
          <c:layoutTarget val="inner"/>
          <c:xMode val="edge"/>
          <c:yMode val="edge"/>
          <c:x val="0.0385263664820612"/>
          <c:y val="0.179153766769866"/>
          <c:w val="0.674971133664879"/>
          <c:h val="0.775438596491228"/>
        </c:manualLayout>
      </c:layout>
      <c:pie3DChart>
        <c:varyColors val="1"/>
        <c:ser>
          <c:idx val="0"/>
          <c:order val="0"/>
          <c:tx>
            <c:strRef>
              <c:f>Sheet1!$B$1</c:f>
              <c:strCache>
                <c:ptCount val="1"/>
                <c:pt idx="0">
                  <c:v>一般公共预算财政拨款支出结构情况</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Lbls>
            <c:dLbl>
              <c:idx val="2"/>
              <c:layout>
                <c:manualLayout>
                  <c:x val="-0.149891644594269"/>
                  <c:y val="-0.01857585139318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0888514326993"/>
                  <c:y val="-0.0061919504643962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04743558873104"/>
                  <c:y val="0.08978328173374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84902480134842"/>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1738502287503"/>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Sheet1!$A$2:$A$8</c:f>
              <c:strCache>
                <c:ptCount val="7"/>
                <c:pt idx="0">
                  <c:v>教育支出</c:v>
                </c:pt>
                <c:pt idx="1">
                  <c:v>社会保障和就业支出</c:v>
                </c:pt>
                <c:pt idx="2">
                  <c:v>住房保障支出</c:v>
                </c:pt>
                <c:pt idx="3">
                  <c:v>文化旅游体育与传媒支出</c:v>
                </c:pt>
                <c:pt idx="4">
                  <c:v>一般公共服务支出</c:v>
                </c:pt>
                <c:pt idx="5">
                  <c:v>公共安全支出</c:v>
                </c:pt>
                <c:pt idx="6">
                  <c:v>卫生健康支出</c:v>
                </c:pt>
              </c:strCache>
            </c:strRef>
          </c:cat>
          <c:val>
            <c:numRef>
              <c:f>Sheet1!$B$2:$B$8</c:f>
              <c:numCache>
                <c:formatCode>General</c:formatCode>
                <c:ptCount val="7"/>
                <c:pt idx="0">
                  <c:v>55067.26</c:v>
                </c:pt>
                <c:pt idx="1">
                  <c:v>8569.52</c:v>
                </c:pt>
                <c:pt idx="2">
                  <c:v>4242.42</c:v>
                </c:pt>
                <c:pt idx="3">
                  <c:v>1822.96</c:v>
                </c:pt>
                <c:pt idx="4">
                  <c:v>45.21</c:v>
                </c:pt>
                <c:pt idx="5">
                  <c:v>0.12</c:v>
                </c:pt>
                <c:pt idx="6">
                  <c:v>53.23</c:v>
                </c:pt>
              </c:numCache>
            </c:numRef>
          </c:val>
        </c:ser>
        <c:ser>
          <c:idx val="1"/>
          <c:order val="1"/>
          <c:tx>
            <c:strRef>
              <c:f>Sheet1!$C$1</c:f>
              <c:strCache>
                <c:ptCount val="1"/>
                <c:pt idx="0">
                  <c:v>列1</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教育支出</c:v>
                </c:pt>
                <c:pt idx="1">
                  <c:v>社会保障和就业支出</c:v>
                </c:pt>
                <c:pt idx="2">
                  <c:v>住房保障支出</c:v>
                </c:pt>
                <c:pt idx="3">
                  <c:v>文化旅游体育与传媒支出</c:v>
                </c:pt>
                <c:pt idx="4">
                  <c:v>一般公共服务支出</c:v>
                </c:pt>
                <c:pt idx="5">
                  <c:v>公共安全支出</c:v>
                </c:pt>
                <c:pt idx="6">
                  <c:v>卫生健康支出</c:v>
                </c:pt>
              </c:strCache>
            </c:strRef>
          </c:cat>
          <c:val>
            <c:numRef>
              <c:f>Sheet1!$C$2:$C$8</c:f>
              <c:numCache>
                <c:formatCode>0.00%</c:formatCode>
                <c:ptCount val="7"/>
                <c:pt idx="0">
                  <c:v>0.78892108849307</c:v>
                </c:pt>
                <c:pt idx="1">
                  <c:v>0.12277122642861</c:v>
                </c:pt>
                <c:pt idx="2">
                  <c:v>0.0607790292134522</c:v>
                </c:pt>
                <c:pt idx="3">
                  <c:v>0.0261166360461611</c:v>
                </c:pt>
                <c:pt idx="4">
                  <c:v>0.000647701055232668</c:v>
                </c:pt>
                <c:pt idx="5" c:formatCode="General">
                  <c:v>0</c:v>
                </c:pt>
                <c:pt idx="6">
                  <c:v>0.000762599583499998</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“三公”经费财政拨款决算具体情况</c:v>
                </c:pt>
              </c:strCache>
            </c:strRef>
          </c:tx>
          <c:explosion val="25"/>
          <c:dPt>
            <c:idx val="0"/>
            <c:bubble3D val="0"/>
          </c:dPt>
          <c:dPt>
            <c:idx val="1"/>
            <c:bubble3D val="0"/>
          </c:dPt>
          <c:dPt>
            <c:idx val="2"/>
            <c:bubble3D val="0"/>
          </c:dPt>
          <c:dLbls>
            <c:dLbl>
              <c:idx val="1"/>
              <c:layout>
                <c:manualLayout>
                  <c:x val="0.0879845601447006"/>
                  <c:y val="-0.007594538117718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61292736406649"/>
                  <c:y val="0.01378649177071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因公出国（境）费用</c:v>
                </c:pt>
                <c:pt idx="1">
                  <c:v>公务用车购置及运行维护费</c:v>
                </c:pt>
                <c:pt idx="2">
                  <c:v>公务接待费支出</c:v>
                </c:pt>
              </c:strCache>
            </c:strRef>
          </c:cat>
          <c:val>
            <c:numRef>
              <c:f>Sheet1!$B$2:$B$4</c:f>
              <c:numCache>
                <c:formatCode>General</c:formatCode>
                <c:ptCount val="3"/>
                <c:pt idx="0">
                  <c:v>0</c:v>
                </c:pt>
                <c:pt idx="1">
                  <c:v>8.61</c:v>
                </c:pt>
                <c:pt idx="2">
                  <c:v>2.05</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55</Pages>
  <Words>22368</Words>
  <Characters>23974</Characters>
  <Lines>62</Lines>
  <Paragraphs>17</Paragraphs>
  <TotalTime>140</TotalTime>
  <ScaleCrop>false</ScaleCrop>
  <LinksUpToDate>false</LinksUpToDate>
  <CharactersWithSpaces>24083</CharactersWithSpaces>
  <Application>WPS Office_11.8.2.10953_F1E327BC-269C-435d-A152-05C5408002CA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2024-09-10T23:02:00Z</dcterms:created>
  <dc:creator>曹颖</dc:creator>
  <cp:lastModifiedBy>user</cp:lastModifiedBy>
  <cp:lastPrinted>2023-08-05T02:35:00Z</cp:lastPrinted>
  <dcterms:modified xsi:type="dcterms:W3CDTF">2024-09-18T09:37:50Z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B145F97D508840269674F9EE2976AFC4_12</vt:lpwstr>
  </property>
</Properties>
</file>