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E9" w:rsidRDefault="001722E9" w:rsidP="001722E9">
      <w:pPr>
        <w:spacing w:line="600" w:lineRule="exact"/>
        <w:jc w:val="center"/>
        <w:outlineLvl w:val="0"/>
        <w:rPr>
          <w:rFonts w:ascii="方正小标宋简体" w:eastAsia="方正小标宋简体" w:hAnsi="宋体"/>
          <w:sz w:val="72"/>
          <w:szCs w:val="72"/>
        </w:rPr>
      </w:pPr>
      <w:bookmarkStart w:id="0" w:name="_Toc15306267"/>
    </w:p>
    <w:p w:rsidR="001722E9" w:rsidRDefault="001722E9" w:rsidP="001722E9">
      <w:pPr>
        <w:spacing w:line="600" w:lineRule="exact"/>
        <w:jc w:val="center"/>
        <w:outlineLvl w:val="0"/>
        <w:rPr>
          <w:rFonts w:ascii="方正小标宋简体" w:eastAsia="方正小标宋简体" w:hAnsi="宋体"/>
          <w:sz w:val="72"/>
          <w:szCs w:val="72"/>
        </w:rPr>
      </w:pPr>
    </w:p>
    <w:p w:rsidR="001722E9" w:rsidRDefault="001722E9" w:rsidP="001722E9">
      <w:pPr>
        <w:spacing w:line="600" w:lineRule="exact"/>
        <w:jc w:val="center"/>
        <w:outlineLvl w:val="0"/>
        <w:rPr>
          <w:rFonts w:ascii="方正小标宋简体" w:eastAsia="方正小标宋简体" w:hAnsi="宋体"/>
          <w:sz w:val="72"/>
          <w:szCs w:val="72"/>
        </w:rPr>
      </w:pPr>
    </w:p>
    <w:p w:rsidR="001722E9" w:rsidRDefault="001722E9" w:rsidP="001722E9">
      <w:pPr>
        <w:spacing w:line="600" w:lineRule="exact"/>
        <w:jc w:val="center"/>
        <w:outlineLvl w:val="0"/>
        <w:rPr>
          <w:rFonts w:ascii="方正小标宋简体" w:eastAsia="方正小标宋简体" w:hAnsi="宋体"/>
          <w:sz w:val="72"/>
          <w:szCs w:val="72"/>
        </w:rPr>
      </w:pPr>
    </w:p>
    <w:p w:rsidR="001722E9" w:rsidRDefault="001722E9" w:rsidP="001722E9">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193"/>
      <w:bookmarkStart w:id="2" w:name="_Toc15378441"/>
      <w:bookmarkStart w:id="3" w:name="_Toc15396597"/>
      <w:bookmarkStart w:id="4" w:name="_Toc15396475"/>
      <w:bookmarkStart w:id="5" w:name="_Toc15377425"/>
      <w:r>
        <w:rPr>
          <w:rFonts w:ascii="方正小标宋简体" w:eastAsia="方正小标宋简体" w:hAnsi="方正小标宋简体" w:cs="方正小标宋简体" w:hint="eastAsia"/>
          <w:sz w:val="72"/>
          <w:szCs w:val="72"/>
        </w:rPr>
        <w:t>2021年度</w:t>
      </w:r>
      <w:bookmarkEnd w:id="1"/>
      <w:bookmarkEnd w:id="2"/>
      <w:bookmarkEnd w:id="3"/>
      <w:bookmarkEnd w:id="4"/>
      <w:bookmarkEnd w:id="5"/>
    </w:p>
    <w:p w:rsidR="001722E9" w:rsidRDefault="001722E9" w:rsidP="001722E9">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598"/>
      <w:bookmarkStart w:id="7" w:name="_Toc15377426"/>
      <w:bookmarkStart w:id="8" w:name="_Toc15396476"/>
      <w:bookmarkStart w:id="9" w:name="_Toc15378442"/>
      <w:bookmarkStart w:id="10" w:name="_Toc15377194"/>
      <w:r>
        <w:rPr>
          <w:rFonts w:ascii="方正小标宋简体" w:eastAsia="方正小标宋简体" w:hAnsi="方正小标宋简体" w:cs="方正小标宋简体" w:hint="eastAsia"/>
          <w:sz w:val="72"/>
          <w:szCs w:val="72"/>
        </w:rPr>
        <w:t>四川省</w:t>
      </w:r>
      <w:bookmarkStart w:id="11" w:name="_Toc15306268"/>
      <w:bookmarkEnd w:id="0"/>
      <w:r>
        <w:rPr>
          <w:rFonts w:ascii="方正小标宋简体" w:eastAsia="方正小标宋简体" w:hAnsi="方正小标宋简体" w:cs="方正小标宋简体" w:hint="eastAsia"/>
          <w:sz w:val="72"/>
          <w:szCs w:val="72"/>
        </w:rPr>
        <w:t>攀枝花市第三高级中学校单位决算</w:t>
      </w:r>
      <w:bookmarkEnd w:id="6"/>
      <w:bookmarkEnd w:id="7"/>
      <w:bookmarkEnd w:id="8"/>
      <w:bookmarkEnd w:id="9"/>
      <w:bookmarkEnd w:id="10"/>
      <w:bookmarkEnd w:id="11"/>
    </w:p>
    <w:p w:rsidR="001722E9" w:rsidRDefault="001722E9" w:rsidP="001722E9">
      <w:pPr>
        <w:widowControl/>
        <w:jc w:val="center"/>
        <w:rPr>
          <w:rFonts w:ascii="黑体" w:eastAsia="黑体" w:hAnsi="黑体"/>
          <w:sz w:val="48"/>
          <w:szCs w:val="48"/>
        </w:rPr>
      </w:pPr>
      <w:r>
        <w:rPr>
          <w:rFonts w:ascii="方正小标宋简体" w:eastAsia="方正小标宋简体" w:hAnsi="宋体"/>
          <w:sz w:val="36"/>
          <w:szCs w:val="36"/>
        </w:rPr>
        <w:br w:type="page"/>
      </w:r>
      <w:r w:rsidR="000A32BC">
        <w:rPr>
          <w:rFonts w:ascii="方正小标宋简体" w:eastAsia="方正小标宋简体" w:hAnsi="宋体" w:hint="eastAsia"/>
          <w:sz w:val="36"/>
          <w:szCs w:val="36"/>
        </w:rPr>
        <w:lastRenderedPageBreak/>
        <w:tab/>
      </w:r>
      <w:r w:rsidR="000A32BC">
        <w:rPr>
          <w:rFonts w:ascii="方正小标宋简体" w:eastAsia="方正小标宋简体" w:hAnsi="宋体" w:hint="eastAsia"/>
          <w:sz w:val="36"/>
          <w:szCs w:val="36"/>
        </w:rPr>
        <w:tab/>
      </w:r>
      <w:r>
        <w:rPr>
          <w:rFonts w:ascii="黑体" w:eastAsia="黑体" w:hAnsi="黑体" w:hint="eastAsia"/>
          <w:sz w:val="48"/>
          <w:szCs w:val="48"/>
        </w:rPr>
        <w:t>目录</w:t>
      </w:r>
    </w:p>
    <w:p w:rsidR="001722E9" w:rsidRDefault="001722E9" w:rsidP="001722E9">
      <w:pPr>
        <w:widowControl/>
        <w:jc w:val="center"/>
        <w:rPr>
          <w:rFonts w:ascii="黑体" w:eastAsia="黑体" w:hAnsi="黑体" w:cstheme="minorBidi"/>
          <w:sz w:val="28"/>
          <w:szCs w:val="28"/>
        </w:rPr>
      </w:pPr>
    </w:p>
    <w:p w:rsidR="001722E9" w:rsidRDefault="001722E9" w:rsidP="001722E9">
      <w:pPr>
        <w:pStyle w:val="10"/>
      </w:pPr>
      <w:r>
        <w:rPr>
          <w:rFonts w:hint="eastAsia"/>
        </w:rPr>
        <w:t>公开时间：2022年9月9日</w:t>
      </w:r>
    </w:p>
    <w:p w:rsidR="001722E9" w:rsidRDefault="001722E9" w:rsidP="001722E9"/>
    <w:p w:rsidR="001722E9" w:rsidRDefault="001722E9" w:rsidP="001722E9">
      <w:pPr>
        <w:pStyle w:val="10"/>
        <w:adjustRightInd w:val="0"/>
        <w:snapToGrid w:val="0"/>
        <w:spacing w:before="0" w:line="440" w:lineRule="exact"/>
        <w:jc w:val="left"/>
        <w:rPr>
          <w:rFonts w:cstheme="minorBidi"/>
          <w:sz w:val="24"/>
          <w:szCs w:val="24"/>
        </w:rPr>
      </w:pPr>
      <w:r>
        <w:rPr>
          <w:rFonts w:hint="eastAsia"/>
          <w:sz w:val="24"/>
        </w:rPr>
        <w:t>第一部分单位概况</w:t>
      </w:r>
      <w:r>
        <w:rPr>
          <w:sz w:val="24"/>
          <w:szCs w:val="24"/>
        </w:rPr>
        <w:tab/>
      </w:r>
      <w:r w:rsidR="00330332">
        <w:rPr>
          <w:rFonts w:hint="eastAsia"/>
          <w:sz w:val="24"/>
          <w:szCs w:val="24"/>
        </w:rPr>
        <w:t>4</w:t>
      </w:r>
      <w:r w:rsidRPr="009C7F08">
        <w:rPr>
          <w:rFonts w:hint="eastAsia"/>
          <w:sz w:val="24"/>
          <w:szCs w:val="24"/>
        </w:rPr>
        <w:t>-</w:t>
      </w:r>
      <w:r w:rsidR="00330332">
        <w:rPr>
          <w:rFonts w:hint="eastAsia"/>
          <w:sz w:val="24"/>
          <w:szCs w:val="24"/>
        </w:rPr>
        <w:t>10</w:t>
      </w:r>
    </w:p>
    <w:p w:rsidR="001722E9" w:rsidRDefault="001722E9" w:rsidP="001722E9">
      <w:pPr>
        <w:pStyle w:val="20"/>
        <w:adjustRightInd w:val="0"/>
        <w:snapToGrid w:val="0"/>
        <w:spacing w:line="440" w:lineRule="exact"/>
        <w:jc w:val="left"/>
        <w:rPr>
          <w:sz w:val="24"/>
        </w:rPr>
      </w:pPr>
      <w:r>
        <w:rPr>
          <w:rFonts w:hint="eastAsia"/>
          <w:sz w:val="24"/>
        </w:rPr>
        <w:t>一、职能简介</w:t>
      </w:r>
      <w:r>
        <w:rPr>
          <w:sz w:val="24"/>
        </w:rPr>
        <w:tab/>
      </w:r>
      <w:r w:rsidR="00330332">
        <w:rPr>
          <w:rFonts w:hint="eastAsia"/>
          <w:sz w:val="24"/>
        </w:rPr>
        <w:t>4-5</w:t>
      </w:r>
    </w:p>
    <w:p w:rsidR="001722E9" w:rsidRDefault="001722E9" w:rsidP="001722E9">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二、2021年重点工作完成情况</w:t>
      </w:r>
      <w:r>
        <w:rPr>
          <w:sz w:val="24"/>
        </w:rPr>
        <w:tab/>
      </w:r>
      <w:r w:rsidR="00330332">
        <w:rPr>
          <w:rFonts w:hint="eastAsia"/>
          <w:sz w:val="24"/>
        </w:rPr>
        <w:t>6</w:t>
      </w:r>
      <w:r w:rsidRPr="009C7F08">
        <w:rPr>
          <w:rFonts w:hint="eastAsia"/>
          <w:sz w:val="24"/>
        </w:rPr>
        <w:t>-</w:t>
      </w:r>
      <w:r w:rsidR="00330332">
        <w:rPr>
          <w:rFonts w:hint="eastAsia"/>
          <w:sz w:val="24"/>
        </w:rPr>
        <w:t>10</w:t>
      </w:r>
    </w:p>
    <w:p w:rsidR="001722E9" w:rsidRDefault="001722E9" w:rsidP="001722E9">
      <w:pPr>
        <w:pStyle w:val="10"/>
        <w:adjustRightInd w:val="0"/>
        <w:snapToGrid w:val="0"/>
        <w:spacing w:before="0" w:line="440" w:lineRule="exact"/>
        <w:jc w:val="left"/>
        <w:rPr>
          <w:sz w:val="24"/>
          <w:szCs w:val="24"/>
        </w:rPr>
      </w:pPr>
      <w:r>
        <w:rPr>
          <w:rFonts w:hint="eastAsia"/>
          <w:sz w:val="24"/>
        </w:rPr>
        <w:t>第二部分 2021年度单位决算情况说明</w:t>
      </w:r>
      <w:r>
        <w:rPr>
          <w:sz w:val="24"/>
          <w:szCs w:val="24"/>
        </w:rPr>
        <w:tab/>
      </w:r>
      <w:r w:rsidR="00330332">
        <w:rPr>
          <w:rFonts w:hint="eastAsia"/>
          <w:sz w:val="24"/>
          <w:szCs w:val="24"/>
        </w:rPr>
        <w:t>11</w:t>
      </w:r>
      <w:r w:rsidRPr="009C7F08">
        <w:rPr>
          <w:rFonts w:hint="eastAsia"/>
          <w:sz w:val="24"/>
          <w:szCs w:val="24"/>
        </w:rPr>
        <w:t>-</w:t>
      </w:r>
      <w:r w:rsidR="00330332">
        <w:rPr>
          <w:rFonts w:hint="eastAsia"/>
          <w:sz w:val="24"/>
          <w:szCs w:val="24"/>
        </w:rPr>
        <w:t>20</w:t>
      </w:r>
    </w:p>
    <w:p w:rsidR="001722E9" w:rsidRDefault="001722E9" w:rsidP="001722E9">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Pr>
          <w:sz w:val="24"/>
        </w:rPr>
        <w:tab/>
      </w:r>
      <w:r w:rsidR="00330332">
        <w:rPr>
          <w:rFonts w:hint="eastAsia"/>
          <w:sz w:val="24"/>
        </w:rPr>
        <w:t>11</w:t>
      </w:r>
    </w:p>
    <w:p w:rsidR="001722E9" w:rsidRDefault="001722E9" w:rsidP="001722E9">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Pr>
          <w:sz w:val="24"/>
        </w:rPr>
        <w:tab/>
      </w:r>
      <w:r w:rsidR="00111F90">
        <w:rPr>
          <w:rFonts w:hint="eastAsia"/>
          <w:sz w:val="24"/>
        </w:rPr>
        <w:t>11</w:t>
      </w:r>
      <w:r w:rsidRPr="009C7F08">
        <w:rPr>
          <w:rFonts w:hint="eastAsia"/>
          <w:sz w:val="24"/>
        </w:rPr>
        <w:t>-</w:t>
      </w:r>
      <w:r w:rsidR="00111F90">
        <w:rPr>
          <w:rFonts w:hint="eastAsia"/>
          <w:sz w:val="24"/>
        </w:rPr>
        <w:t>12</w:t>
      </w:r>
    </w:p>
    <w:p w:rsidR="001722E9" w:rsidRDefault="001722E9" w:rsidP="001722E9">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Pr>
          <w:sz w:val="24"/>
        </w:rPr>
        <w:tab/>
      </w:r>
      <w:r w:rsidR="00111F90">
        <w:rPr>
          <w:rFonts w:hint="eastAsia"/>
          <w:sz w:val="24"/>
        </w:rPr>
        <w:t>12</w:t>
      </w:r>
      <w:r w:rsidRPr="009C7F08">
        <w:rPr>
          <w:rFonts w:hint="eastAsia"/>
          <w:sz w:val="24"/>
        </w:rPr>
        <w:t>-</w:t>
      </w:r>
      <w:r w:rsidR="00111F90">
        <w:rPr>
          <w:rFonts w:hint="eastAsia"/>
          <w:sz w:val="24"/>
        </w:rPr>
        <w:t>13</w:t>
      </w:r>
    </w:p>
    <w:p w:rsidR="001722E9" w:rsidRDefault="001722E9" w:rsidP="001722E9">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Pr>
          <w:sz w:val="24"/>
        </w:rPr>
        <w:tab/>
      </w:r>
      <w:r w:rsidR="00111F90">
        <w:rPr>
          <w:rFonts w:hint="eastAsia"/>
          <w:sz w:val="24"/>
        </w:rPr>
        <w:t>14</w:t>
      </w:r>
    </w:p>
    <w:p w:rsidR="001722E9" w:rsidRDefault="001722E9" w:rsidP="001722E9">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Pr>
          <w:sz w:val="24"/>
        </w:rPr>
        <w:tab/>
      </w:r>
      <w:r w:rsidR="00111F90">
        <w:rPr>
          <w:rFonts w:hint="eastAsia"/>
          <w:sz w:val="24"/>
        </w:rPr>
        <w:t>14</w:t>
      </w:r>
      <w:r w:rsidRPr="009C7F08">
        <w:rPr>
          <w:rFonts w:hint="eastAsia"/>
          <w:sz w:val="24"/>
        </w:rPr>
        <w:t>-</w:t>
      </w:r>
      <w:r w:rsidR="00111F90">
        <w:rPr>
          <w:rFonts w:hint="eastAsia"/>
          <w:sz w:val="24"/>
        </w:rPr>
        <w:t>16</w:t>
      </w:r>
    </w:p>
    <w:p w:rsidR="001722E9" w:rsidRDefault="001722E9" w:rsidP="001722E9">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Pr>
          <w:sz w:val="24"/>
        </w:rPr>
        <w:tab/>
      </w:r>
      <w:r w:rsidR="00111F90">
        <w:rPr>
          <w:rFonts w:hint="eastAsia"/>
          <w:sz w:val="24"/>
        </w:rPr>
        <w:t>16</w:t>
      </w:r>
    </w:p>
    <w:p w:rsidR="001722E9" w:rsidRDefault="001722E9" w:rsidP="001722E9">
      <w:pPr>
        <w:pStyle w:val="20"/>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r>
        <w:rPr>
          <w:sz w:val="24"/>
        </w:rPr>
        <w:tab/>
      </w:r>
      <w:r w:rsidR="00111F90">
        <w:rPr>
          <w:rFonts w:hint="eastAsia"/>
          <w:sz w:val="24"/>
        </w:rPr>
        <w:t>16</w:t>
      </w:r>
      <w:r w:rsidRPr="009C7F08">
        <w:rPr>
          <w:rFonts w:hint="eastAsia"/>
          <w:sz w:val="24"/>
        </w:rPr>
        <w:t>-</w:t>
      </w:r>
      <w:r w:rsidR="00111F90">
        <w:rPr>
          <w:rFonts w:hint="eastAsia"/>
          <w:sz w:val="24"/>
        </w:rPr>
        <w:t>18</w:t>
      </w:r>
    </w:p>
    <w:p w:rsidR="001722E9" w:rsidRDefault="001722E9" w:rsidP="001722E9">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Pr>
          <w:sz w:val="24"/>
        </w:rPr>
        <w:tab/>
      </w:r>
      <w:r w:rsidR="00707065">
        <w:rPr>
          <w:rFonts w:hint="eastAsia"/>
          <w:sz w:val="24"/>
        </w:rPr>
        <w:t>18</w:t>
      </w:r>
    </w:p>
    <w:p w:rsidR="001722E9" w:rsidRDefault="001722E9" w:rsidP="001722E9">
      <w:pPr>
        <w:pStyle w:val="20"/>
        <w:adjustRightInd w:val="0"/>
        <w:snapToGrid w:val="0"/>
        <w:spacing w:line="440" w:lineRule="exact"/>
        <w:jc w:val="left"/>
        <w:rPr>
          <w:sz w:val="24"/>
        </w:rPr>
      </w:pPr>
      <w:r>
        <w:rPr>
          <w:rFonts w:hint="eastAsia"/>
          <w:sz w:val="24"/>
        </w:rPr>
        <w:t>九、国有资本经营预算支出决算情况说明</w:t>
      </w:r>
      <w:r>
        <w:rPr>
          <w:sz w:val="24"/>
        </w:rPr>
        <w:tab/>
      </w:r>
      <w:r w:rsidR="00707065">
        <w:rPr>
          <w:rFonts w:hint="eastAsia"/>
          <w:sz w:val="24"/>
        </w:rPr>
        <w:t>18-</w:t>
      </w:r>
      <w:r w:rsidR="00111F90">
        <w:rPr>
          <w:rFonts w:hint="eastAsia"/>
          <w:sz w:val="24"/>
        </w:rPr>
        <w:t>19</w:t>
      </w:r>
    </w:p>
    <w:p w:rsidR="001722E9" w:rsidRDefault="001722E9" w:rsidP="001722E9">
      <w:pPr>
        <w:pStyle w:val="20"/>
        <w:adjustRightInd w:val="0"/>
        <w:snapToGrid w:val="0"/>
        <w:spacing w:line="440" w:lineRule="exact"/>
        <w:jc w:val="left"/>
        <w:rPr>
          <w:sz w:val="24"/>
        </w:rPr>
      </w:pPr>
      <w:r>
        <w:rPr>
          <w:rFonts w:hint="eastAsia"/>
          <w:sz w:val="24"/>
        </w:rPr>
        <w:t>十、其他重要事项的情况说明</w:t>
      </w:r>
      <w:r>
        <w:rPr>
          <w:sz w:val="24"/>
        </w:rPr>
        <w:tab/>
      </w:r>
      <w:r w:rsidR="00111F90">
        <w:rPr>
          <w:rFonts w:hint="eastAsia"/>
          <w:sz w:val="24"/>
        </w:rPr>
        <w:t>19-20</w:t>
      </w:r>
    </w:p>
    <w:p w:rsidR="001722E9" w:rsidRDefault="001722E9" w:rsidP="001722E9">
      <w:pPr>
        <w:pStyle w:val="10"/>
        <w:adjustRightInd w:val="0"/>
        <w:snapToGrid w:val="0"/>
        <w:spacing w:before="0" w:line="440" w:lineRule="exact"/>
        <w:jc w:val="left"/>
        <w:rPr>
          <w:rFonts w:cstheme="minorBidi"/>
          <w:sz w:val="24"/>
          <w:szCs w:val="24"/>
        </w:rPr>
      </w:pPr>
      <w:r>
        <w:rPr>
          <w:rFonts w:hint="eastAsia"/>
          <w:sz w:val="24"/>
        </w:rPr>
        <w:t>第三部分名词解释</w:t>
      </w:r>
      <w:r>
        <w:rPr>
          <w:sz w:val="24"/>
          <w:szCs w:val="24"/>
        </w:rPr>
        <w:tab/>
      </w:r>
      <w:r w:rsidR="00707065">
        <w:rPr>
          <w:rFonts w:hint="eastAsia"/>
          <w:sz w:val="24"/>
          <w:szCs w:val="24"/>
        </w:rPr>
        <w:t>21</w:t>
      </w:r>
      <w:r w:rsidRPr="009C7F08">
        <w:rPr>
          <w:rFonts w:hint="eastAsia"/>
          <w:sz w:val="24"/>
          <w:szCs w:val="24"/>
        </w:rPr>
        <w:t>-</w:t>
      </w:r>
      <w:r w:rsidR="00707065">
        <w:rPr>
          <w:rFonts w:hint="eastAsia"/>
          <w:sz w:val="24"/>
          <w:szCs w:val="24"/>
        </w:rPr>
        <w:t>23</w:t>
      </w:r>
    </w:p>
    <w:p w:rsidR="001722E9" w:rsidRDefault="001722E9" w:rsidP="001722E9">
      <w:pPr>
        <w:pStyle w:val="10"/>
        <w:adjustRightInd w:val="0"/>
        <w:snapToGrid w:val="0"/>
        <w:spacing w:before="0" w:line="440" w:lineRule="exact"/>
        <w:jc w:val="left"/>
        <w:rPr>
          <w:rFonts w:cstheme="minorBidi"/>
          <w:sz w:val="24"/>
          <w:szCs w:val="24"/>
        </w:rPr>
      </w:pPr>
      <w:r>
        <w:rPr>
          <w:rFonts w:hint="eastAsia"/>
          <w:sz w:val="24"/>
        </w:rPr>
        <w:t>第四部分附件</w:t>
      </w:r>
      <w:r>
        <w:rPr>
          <w:sz w:val="24"/>
          <w:szCs w:val="24"/>
        </w:rPr>
        <w:tab/>
      </w:r>
      <w:r w:rsidR="00707065">
        <w:rPr>
          <w:rFonts w:hint="eastAsia"/>
          <w:sz w:val="24"/>
          <w:szCs w:val="24"/>
        </w:rPr>
        <w:t>24</w:t>
      </w:r>
    </w:p>
    <w:p w:rsidR="001722E9" w:rsidRDefault="001722E9" w:rsidP="001722E9">
      <w:pPr>
        <w:pStyle w:val="10"/>
        <w:adjustRightInd w:val="0"/>
        <w:snapToGrid w:val="0"/>
        <w:spacing w:before="0" w:line="440" w:lineRule="exact"/>
        <w:jc w:val="left"/>
        <w:rPr>
          <w:rFonts w:cstheme="minorBidi"/>
          <w:sz w:val="24"/>
          <w:szCs w:val="24"/>
        </w:rPr>
      </w:pPr>
      <w:r>
        <w:rPr>
          <w:rFonts w:hint="eastAsia"/>
          <w:sz w:val="24"/>
        </w:rPr>
        <w:t>第五部分附表</w:t>
      </w:r>
      <w:r>
        <w:rPr>
          <w:sz w:val="24"/>
          <w:szCs w:val="24"/>
        </w:rPr>
        <w:tab/>
      </w:r>
      <w:r w:rsidR="00707065">
        <w:rPr>
          <w:rFonts w:hint="eastAsia"/>
          <w:sz w:val="24"/>
          <w:szCs w:val="24"/>
        </w:rPr>
        <w:t>25</w:t>
      </w:r>
    </w:p>
    <w:p w:rsidR="001722E9" w:rsidRDefault="001722E9" w:rsidP="001722E9">
      <w:pPr>
        <w:pStyle w:val="20"/>
        <w:adjustRightInd w:val="0"/>
        <w:snapToGrid w:val="0"/>
        <w:spacing w:line="440" w:lineRule="exact"/>
        <w:jc w:val="left"/>
        <w:rPr>
          <w:sz w:val="24"/>
        </w:rPr>
      </w:pPr>
      <w:r>
        <w:rPr>
          <w:rFonts w:hint="eastAsia"/>
          <w:sz w:val="24"/>
        </w:rPr>
        <w:t>一、收入支出决算总表</w:t>
      </w:r>
      <w:r>
        <w:rPr>
          <w:sz w:val="24"/>
        </w:rPr>
        <w:tab/>
      </w:r>
      <w:r w:rsidR="00707065">
        <w:rPr>
          <w:rFonts w:hint="eastAsia"/>
          <w:sz w:val="24"/>
        </w:rPr>
        <w:t>25</w:t>
      </w:r>
    </w:p>
    <w:p w:rsidR="001722E9" w:rsidRDefault="001722E9" w:rsidP="001722E9">
      <w:pPr>
        <w:pStyle w:val="20"/>
        <w:adjustRightInd w:val="0"/>
        <w:snapToGrid w:val="0"/>
        <w:spacing w:line="440" w:lineRule="exact"/>
        <w:jc w:val="left"/>
        <w:rPr>
          <w:sz w:val="24"/>
        </w:rPr>
      </w:pPr>
      <w:r>
        <w:rPr>
          <w:rFonts w:hint="eastAsia"/>
          <w:sz w:val="24"/>
        </w:rPr>
        <w:t>二、收入决算表</w:t>
      </w:r>
      <w:r>
        <w:rPr>
          <w:sz w:val="24"/>
        </w:rPr>
        <w:tab/>
      </w:r>
      <w:r w:rsidR="00707065">
        <w:rPr>
          <w:rFonts w:hint="eastAsia"/>
          <w:sz w:val="24"/>
        </w:rPr>
        <w:t>25</w:t>
      </w:r>
    </w:p>
    <w:p w:rsidR="001722E9" w:rsidRDefault="001722E9" w:rsidP="001722E9">
      <w:pPr>
        <w:pStyle w:val="20"/>
        <w:adjustRightInd w:val="0"/>
        <w:snapToGrid w:val="0"/>
        <w:spacing w:line="440" w:lineRule="exact"/>
        <w:jc w:val="left"/>
        <w:rPr>
          <w:sz w:val="24"/>
        </w:rPr>
      </w:pPr>
      <w:r>
        <w:rPr>
          <w:rFonts w:hint="eastAsia"/>
          <w:sz w:val="24"/>
        </w:rPr>
        <w:t>三、支出决算表</w:t>
      </w:r>
      <w:r>
        <w:rPr>
          <w:sz w:val="24"/>
        </w:rPr>
        <w:tab/>
      </w:r>
      <w:r w:rsidR="00707065">
        <w:rPr>
          <w:rFonts w:hint="eastAsia"/>
          <w:sz w:val="24"/>
        </w:rPr>
        <w:t>25</w:t>
      </w:r>
    </w:p>
    <w:p w:rsidR="001722E9" w:rsidRDefault="001722E9" w:rsidP="001722E9">
      <w:pPr>
        <w:pStyle w:val="20"/>
        <w:adjustRightInd w:val="0"/>
        <w:snapToGrid w:val="0"/>
        <w:spacing w:line="440" w:lineRule="exact"/>
        <w:jc w:val="left"/>
        <w:rPr>
          <w:sz w:val="24"/>
        </w:rPr>
      </w:pPr>
      <w:r>
        <w:rPr>
          <w:rFonts w:hint="eastAsia"/>
          <w:sz w:val="24"/>
        </w:rPr>
        <w:t>四、财政拨款收入支出决算总表</w:t>
      </w:r>
      <w:r>
        <w:rPr>
          <w:sz w:val="24"/>
        </w:rPr>
        <w:tab/>
      </w:r>
      <w:r w:rsidR="00707065">
        <w:rPr>
          <w:rFonts w:hint="eastAsia"/>
          <w:sz w:val="24"/>
        </w:rPr>
        <w:t>25</w:t>
      </w:r>
    </w:p>
    <w:p w:rsidR="001722E9" w:rsidRDefault="001722E9" w:rsidP="001722E9">
      <w:pPr>
        <w:pStyle w:val="20"/>
        <w:adjustRightInd w:val="0"/>
        <w:snapToGrid w:val="0"/>
        <w:spacing w:line="440" w:lineRule="exact"/>
        <w:jc w:val="left"/>
        <w:rPr>
          <w:sz w:val="24"/>
        </w:rPr>
      </w:pPr>
      <w:r>
        <w:rPr>
          <w:rFonts w:hint="eastAsia"/>
          <w:sz w:val="24"/>
        </w:rPr>
        <w:t>五、财政拨款支出决算明细表</w:t>
      </w:r>
      <w:r>
        <w:rPr>
          <w:sz w:val="24"/>
        </w:rPr>
        <w:tab/>
      </w:r>
      <w:r w:rsidR="00707065">
        <w:rPr>
          <w:rFonts w:hint="eastAsia"/>
          <w:sz w:val="24"/>
        </w:rPr>
        <w:t>25</w:t>
      </w:r>
    </w:p>
    <w:p w:rsidR="001722E9" w:rsidRDefault="001722E9" w:rsidP="001722E9">
      <w:pPr>
        <w:pStyle w:val="20"/>
        <w:adjustRightInd w:val="0"/>
        <w:snapToGrid w:val="0"/>
        <w:spacing w:line="440" w:lineRule="exact"/>
        <w:jc w:val="left"/>
        <w:rPr>
          <w:sz w:val="24"/>
        </w:rPr>
      </w:pPr>
      <w:r>
        <w:rPr>
          <w:rFonts w:hint="eastAsia"/>
          <w:sz w:val="24"/>
        </w:rPr>
        <w:t>六、一般公共预算财政拨款支出决算表</w:t>
      </w:r>
      <w:r>
        <w:rPr>
          <w:sz w:val="24"/>
        </w:rPr>
        <w:tab/>
      </w:r>
      <w:r w:rsidR="00707065">
        <w:rPr>
          <w:rFonts w:hint="eastAsia"/>
          <w:sz w:val="24"/>
        </w:rPr>
        <w:t>25</w:t>
      </w:r>
    </w:p>
    <w:p w:rsidR="001722E9" w:rsidRDefault="001722E9" w:rsidP="001722E9">
      <w:pPr>
        <w:pStyle w:val="20"/>
        <w:adjustRightInd w:val="0"/>
        <w:snapToGrid w:val="0"/>
        <w:spacing w:line="440" w:lineRule="exact"/>
        <w:jc w:val="left"/>
        <w:rPr>
          <w:sz w:val="24"/>
        </w:rPr>
      </w:pPr>
      <w:r>
        <w:rPr>
          <w:rFonts w:hint="eastAsia"/>
          <w:sz w:val="24"/>
        </w:rPr>
        <w:t>七、一般公共预算财政拨款支出决算明细表</w:t>
      </w:r>
      <w:r>
        <w:rPr>
          <w:sz w:val="24"/>
        </w:rPr>
        <w:tab/>
      </w:r>
      <w:r w:rsidR="00707065">
        <w:rPr>
          <w:rFonts w:hint="eastAsia"/>
          <w:sz w:val="24"/>
        </w:rPr>
        <w:t>25</w:t>
      </w:r>
    </w:p>
    <w:p w:rsidR="001722E9" w:rsidRDefault="001722E9" w:rsidP="001722E9">
      <w:pPr>
        <w:pStyle w:val="20"/>
        <w:adjustRightInd w:val="0"/>
        <w:snapToGrid w:val="0"/>
        <w:spacing w:line="440" w:lineRule="exact"/>
        <w:jc w:val="left"/>
        <w:rPr>
          <w:sz w:val="24"/>
        </w:rPr>
      </w:pPr>
      <w:r>
        <w:rPr>
          <w:rFonts w:hint="eastAsia"/>
          <w:sz w:val="24"/>
        </w:rPr>
        <w:t>八、一般公共预算财政拨款基本支出决算表</w:t>
      </w:r>
      <w:r>
        <w:rPr>
          <w:sz w:val="24"/>
        </w:rPr>
        <w:tab/>
      </w:r>
      <w:r w:rsidR="00707065">
        <w:rPr>
          <w:rFonts w:hint="eastAsia"/>
          <w:sz w:val="24"/>
        </w:rPr>
        <w:t>25</w:t>
      </w:r>
    </w:p>
    <w:p w:rsidR="001722E9" w:rsidRDefault="001722E9" w:rsidP="001722E9">
      <w:pPr>
        <w:pStyle w:val="20"/>
        <w:adjustRightInd w:val="0"/>
        <w:snapToGrid w:val="0"/>
        <w:spacing w:line="440" w:lineRule="exact"/>
        <w:jc w:val="left"/>
        <w:rPr>
          <w:sz w:val="24"/>
        </w:rPr>
      </w:pPr>
      <w:r>
        <w:rPr>
          <w:rFonts w:hint="eastAsia"/>
          <w:sz w:val="24"/>
        </w:rPr>
        <w:t>九、一般公共预算财政拨款项目支出决算表</w:t>
      </w:r>
      <w:r>
        <w:rPr>
          <w:sz w:val="24"/>
        </w:rPr>
        <w:tab/>
      </w:r>
      <w:r w:rsidR="00707065">
        <w:rPr>
          <w:rFonts w:hint="eastAsia"/>
          <w:sz w:val="24"/>
        </w:rPr>
        <w:t>25</w:t>
      </w:r>
    </w:p>
    <w:p w:rsidR="001722E9" w:rsidRDefault="001722E9" w:rsidP="001722E9">
      <w:pPr>
        <w:pStyle w:val="20"/>
        <w:adjustRightInd w:val="0"/>
        <w:snapToGrid w:val="0"/>
        <w:spacing w:line="440" w:lineRule="exact"/>
        <w:jc w:val="left"/>
        <w:rPr>
          <w:sz w:val="24"/>
        </w:rPr>
      </w:pPr>
      <w:r>
        <w:rPr>
          <w:rFonts w:hint="eastAsia"/>
          <w:sz w:val="24"/>
        </w:rPr>
        <w:lastRenderedPageBreak/>
        <w:t>十、一般公共预算财政拨款“三公”经费支出决算表</w:t>
      </w:r>
      <w:r>
        <w:rPr>
          <w:sz w:val="24"/>
        </w:rPr>
        <w:tab/>
      </w:r>
      <w:r w:rsidR="00707065">
        <w:rPr>
          <w:rFonts w:hint="eastAsia"/>
          <w:sz w:val="24"/>
        </w:rPr>
        <w:t>25</w:t>
      </w:r>
    </w:p>
    <w:p w:rsidR="001722E9" w:rsidRDefault="001722E9" w:rsidP="001722E9">
      <w:pPr>
        <w:pStyle w:val="20"/>
        <w:adjustRightInd w:val="0"/>
        <w:snapToGrid w:val="0"/>
        <w:spacing w:line="440" w:lineRule="exact"/>
        <w:jc w:val="left"/>
        <w:rPr>
          <w:sz w:val="24"/>
        </w:rPr>
      </w:pPr>
      <w:r>
        <w:rPr>
          <w:rFonts w:hint="eastAsia"/>
          <w:sz w:val="24"/>
        </w:rPr>
        <w:t>十一、政府性基金预算财政拨款收入支出决算表</w:t>
      </w:r>
      <w:r>
        <w:rPr>
          <w:sz w:val="24"/>
        </w:rPr>
        <w:tab/>
      </w:r>
      <w:r w:rsidR="00707065">
        <w:rPr>
          <w:rFonts w:hint="eastAsia"/>
          <w:sz w:val="24"/>
        </w:rPr>
        <w:t>25</w:t>
      </w:r>
    </w:p>
    <w:p w:rsidR="001722E9" w:rsidRDefault="001722E9" w:rsidP="001722E9">
      <w:pPr>
        <w:pStyle w:val="20"/>
        <w:adjustRightInd w:val="0"/>
        <w:snapToGrid w:val="0"/>
        <w:spacing w:line="440" w:lineRule="exact"/>
        <w:jc w:val="left"/>
        <w:rPr>
          <w:sz w:val="24"/>
        </w:rPr>
      </w:pPr>
      <w:r>
        <w:rPr>
          <w:rFonts w:hint="eastAsia"/>
          <w:sz w:val="24"/>
        </w:rPr>
        <w:t>十二、政府性基金预算财政拨款“三公”经费支出决算表</w:t>
      </w:r>
      <w:r>
        <w:rPr>
          <w:sz w:val="24"/>
        </w:rPr>
        <w:tab/>
      </w:r>
      <w:r w:rsidR="00707065">
        <w:rPr>
          <w:rFonts w:hint="eastAsia"/>
          <w:sz w:val="24"/>
        </w:rPr>
        <w:t>25</w:t>
      </w:r>
    </w:p>
    <w:p w:rsidR="001722E9" w:rsidRDefault="001722E9" w:rsidP="001722E9">
      <w:pPr>
        <w:pStyle w:val="20"/>
        <w:adjustRightInd w:val="0"/>
        <w:snapToGrid w:val="0"/>
        <w:spacing w:line="440" w:lineRule="exact"/>
        <w:jc w:val="left"/>
        <w:rPr>
          <w:sz w:val="24"/>
        </w:rPr>
      </w:pPr>
      <w:r>
        <w:rPr>
          <w:rFonts w:hint="eastAsia"/>
          <w:sz w:val="24"/>
        </w:rPr>
        <w:t>十三、国有资本经营预算财政拨款收入支出决算表</w:t>
      </w:r>
      <w:r>
        <w:rPr>
          <w:sz w:val="24"/>
        </w:rPr>
        <w:tab/>
      </w:r>
      <w:r w:rsidR="00707065">
        <w:rPr>
          <w:rFonts w:hint="eastAsia"/>
          <w:sz w:val="24"/>
        </w:rPr>
        <w:t>25</w:t>
      </w:r>
    </w:p>
    <w:p w:rsidR="001722E9" w:rsidRDefault="001722E9" w:rsidP="001722E9">
      <w:pPr>
        <w:pStyle w:val="20"/>
        <w:adjustRightInd w:val="0"/>
        <w:snapToGrid w:val="0"/>
        <w:spacing w:line="440" w:lineRule="exact"/>
        <w:jc w:val="left"/>
        <w:rPr>
          <w:sz w:val="24"/>
        </w:rPr>
      </w:pPr>
      <w:r>
        <w:rPr>
          <w:rFonts w:hint="eastAsia"/>
          <w:sz w:val="24"/>
        </w:rPr>
        <w:t>十四、国有资本经营预算财政拨款支出决算表</w:t>
      </w:r>
      <w:r>
        <w:rPr>
          <w:sz w:val="24"/>
        </w:rPr>
        <w:tab/>
      </w:r>
      <w:r w:rsidR="00707065">
        <w:rPr>
          <w:rFonts w:hint="eastAsia"/>
          <w:sz w:val="24"/>
        </w:rPr>
        <w:t>25</w:t>
      </w:r>
    </w:p>
    <w:p w:rsidR="001722E9" w:rsidRDefault="001722E9" w:rsidP="001722E9">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1722E9" w:rsidRDefault="001722E9" w:rsidP="001722E9">
      <w:pPr>
        <w:pStyle w:val="1"/>
        <w:jc w:val="center"/>
        <w:rPr>
          <w:rStyle w:val="1Char"/>
          <w:rFonts w:ascii="黑体" w:eastAsia="黑体" w:hAnsi="黑体"/>
        </w:rPr>
      </w:pPr>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3"/>
    </w:p>
    <w:p w:rsidR="001722E9" w:rsidRDefault="001722E9" w:rsidP="001722E9">
      <w:pPr>
        <w:widowControl/>
        <w:jc w:val="left"/>
        <w:rPr>
          <w:rFonts w:ascii="黑体" w:eastAsia="黑体"/>
          <w:sz w:val="32"/>
          <w:szCs w:val="32"/>
        </w:rPr>
      </w:pPr>
    </w:p>
    <w:p w:rsidR="001722E9" w:rsidRDefault="001722E9" w:rsidP="001722E9">
      <w:pPr>
        <w:pStyle w:val="2"/>
        <w:rPr>
          <w:rStyle w:val="2Char"/>
          <w:rFonts w:ascii="黑体" w:eastAsia="黑体" w:hAnsi="黑体"/>
        </w:rPr>
      </w:pPr>
      <w:bookmarkStart w:id="14" w:name="_Toc15396600"/>
      <w:bookmarkStart w:id="15" w:name="_Toc15377197"/>
      <w:r>
        <w:rPr>
          <w:rStyle w:val="2Char"/>
          <w:rFonts w:ascii="黑体" w:eastAsia="黑体" w:hAnsi="黑体" w:hint="eastAsia"/>
        </w:rPr>
        <w:t>一、职能简介</w:t>
      </w:r>
    </w:p>
    <w:p w:rsidR="001722E9" w:rsidRDefault="001722E9" w:rsidP="001722E9">
      <w:pPr>
        <w:spacing w:line="560" w:lineRule="exact"/>
        <w:ind w:firstLineChars="200" w:firstLine="660"/>
        <w:rPr>
          <w:rFonts w:ascii="方正仿宋_GB2312" w:eastAsia="方正仿宋_GB2312" w:hAnsi="方正仿宋_GB2312" w:cs="方正仿宋_GB2312"/>
          <w:color w:val="000000"/>
          <w:kern w:val="0"/>
          <w:sz w:val="33"/>
          <w:szCs w:val="33"/>
        </w:rPr>
      </w:pPr>
      <w:r>
        <w:rPr>
          <w:rFonts w:ascii="方正仿宋_GB2312" w:eastAsia="方正仿宋_GB2312" w:hAnsi="方正仿宋_GB2312" w:cs="方正仿宋_GB2312" w:hint="eastAsia"/>
          <w:color w:val="000000"/>
          <w:kern w:val="0"/>
          <w:sz w:val="33"/>
          <w:szCs w:val="33"/>
        </w:rPr>
        <w:t>攀枝花市第三高级中学校为市教育和体育局直属高中，从事高中学历教育。学校始建于1978</w:t>
      </w:r>
      <w:r w:rsidR="000A32BC">
        <w:rPr>
          <w:rFonts w:ascii="方正仿宋_GB2312" w:eastAsia="方正仿宋_GB2312" w:hAnsi="方正仿宋_GB2312" w:cs="方正仿宋_GB2312" w:hint="eastAsia"/>
          <w:color w:val="000000"/>
          <w:kern w:val="0"/>
          <w:sz w:val="33"/>
          <w:szCs w:val="33"/>
        </w:rPr>
        <w:t>年,</w:t>
      </w:r>
      <w:r>
        <w:rPr>
          <w:rFonts w:ascii="方正仿宋_GB2312" w:eastAsia="方正仿宋_GB2312" w:hAnsi="方正仿宋_GB2312" w:cs="方正仿宋_GB2312" w:hint="eastAsia"/>
          <w:color w:val="000000"/>
          <w:kern w:val="0"/>
          <w:sz w:val="33"/>
          <w:szCs w:val="33"/>
        </w:rPr>
        <w:t>1982年学校被评为四川省首批办好的省重点中学之一，2002年学校被评为四川省国家级示范性高中之一，2013年学校被确认为四川省一级示范性普通高中。</w:t>
      </w:r>
      <w:r w:rsidR="00FB571F">
        <w:rPr>
          <w:rFonts w:ascii="方正仿宋_GB2312" w:eastAsia="方正仿宋_GB2312" w:hAnsi="方正仿宋_GB2312" w:cs="方正仿宋_GB2312" w:hint="eastAsia"/>
          <w:color w:val="000000"/>
          <w:kern w:val="0"/>
          <w:sz w:val="33"/>
          <w:szCs w:val="33"/>
        </w:rPr>
        <w:t>我校内部机构设置及职能如下：</w:t>
      </w:r>
    </w:p>
    <w:p w:rsidR="00330332" w:rsidRPr="00330332" w:rsidRDefault="00FB571F" w:rsidP="00330332">
      <w:pPr>
        <w:spacing w:line="500" w:lineRule="exact"/>
        <w:ind w:firstLineChars="200" w:firstLine="420"/>
        <w:rPr>
          <w:rFonts w:ascii="方正仿宋_GB2312" w:eastAsia="方正仿宋_GB2312" w:hAnsi="方正仿宋_GB2312" w:cs="方正仿宋_GB2312"/>
          <w:color w:val="000000"/>
          <w:kern w:val="0"/>
          <w:sz w:val="33"/>
          <w:szCs w:val="33"/>
        </w:rPr>
      </w:pPr>
      <w:r>
        <w:rPr>
          <w:rFonts w:hint="eastAsia"/>
        </w:rPr>
        <w:t xml:space="preserve">   </w:t>
      </w:r>
      <w:r w:rsidR="00330332" w:rsidRPr="00330332">
        <w:rPr>
          <w:rFonts w:ascii="方正仿宋_GB2312" w:eastAsia="方正仿宋_GB2312" w:hAnsi="方正仿宋_GB2312" w:cs="方正仿宋_GB2312" w:hint="eastAsia"/>
          <w:color w:val="000000"/>
          <w:kern w:val="0"/>
          <w:sz w:val="33"/>
          <w:szCs w:val="33"/>
        </w:rPr>
        <w:t>办公室（含党办）：主要负责学校党、政、工及上级下达的大型活动。具体为：党组织建设、干部培养管理、统战工作、精神文明建设、“四好”班子建设、党风廉政建设及依法治校等工作；文书、人事档案管理；劳资人事管理；职称评聘、评优推先、年度考核管理；车辆管理；报刊收发；财务管理；大型接待工作；校务公开、职工维权、中小型职工文体活动等</w:t>
      </w:r>
      <w:r w:rsidR="00707065">
        <w:rPr>
          <w:rFonts w:ascii="方正仿宋_GB2312" w:eastAsia="方正仿宋_GB2312" w:hAnsi="方正仿宋_GB2312" w:cs="方正仿宋_GB2312" w:hint="eastAsia"/>
          <w:color w:val="000000"/>
          <w:kern w:val="0"/>
          <w:sz w:val="33"/>
          <w:szCs w:val="33"/>
        </w:rPr>
        <w:t>工会工作</w:t>
      </w:r>
      <w:r w:rsidR="00330332" w:rsidRPr="00330332">
        <w:rPr>
          <w:rFonts w:ascii="方正仿宋_GB2312" w:eastAsia="方正仿宋_GB2312" w:hAnsi="方正仿宋_GB2312" w:cs="方正仿宋_GB2312" w:hint="eastAsia"/>
          <w:color w:val="000000"/>
          <w:kern w:val="0"/>
          <w:sz w:val="33"/>
          <w:szCs w:val="33"/>
        </w:rPr>
        <w:t>。</w:t>
      </w:r>
    </w:p>
    <w:p w:rsidR="00330332" w:rsidRPr="00330332" w:rsidRDefault="00330332" w:rsidP="00330332">
      <w:pPr>
        <w:spacing w:line="500" w:lineRule="exact"/>
        <w:ind w:firstLineChars="200" w:firstLine="660"/>
        <w:rPr>
          <w:rFonts w:ascii="方正仿宋_GB2312" w:eastAsia="方正仿宋_GB2312" w:hAnsi="方正仿宋_GB2312" w:cs="方正仿宋_GB2312"/>
          <w:color w:val="000000"/>
          <w:kern w:val="0"/>
          <w:sz w:val="33"/>
          <w:szCs w:val="33"/>
        </w:rPr>
      </w:pPr>
      <w:r>
        <w:rPr>
          <w:rFonts w:ascii="方正仿宋_GB2312" w:eastAsia="方正仿宋_GB2312" w:hAnsi="方正仿宋_GB2312" w:cs="方正仿宋_GB2312" w:hint="eastAsia"/>
          <w:color w:val="000000"/>
          <w:kern w:val="0"/>
          <w:sz w:val="33"/>
          <w:szCs w:val="33"/>
        </w:rPr>
        <w:t>教务科</w:t>
      </w:r>
      <w:r w:rsidRPr="00330332">
        <w:rPr>
          <w:rFonts w:ascii="方正仿宋_GB2312" w:eastAsia="方正仿宋_GB2312" w:hAnsi="方正仿宋_GB2312" w:cs="方正仿宋_GB2312" w:hint="eastAsia"/>
          <w:color w:val="000000"/>
          <w:kern w:val="0"/>
          <w:sz w:val="33"/>
          <w:szCs w:val="33"/>
        </w:rPr>
        <w:t>：教学常规管理；学生学籍管理；招生及考务工作；教师队伍建设；教师继续教育培训；体育、图书、实验室场馆管理；图书、教辅资料征订和使用等管理工作。</w:t>
      </w:r>
    </w:p>
    <w:p w:rsidR="00330332" w:rsidRPr="00330332" w:rsidRDefault="00330332" w:rsidP="00330332">
      <w:pPr>
        <w:spacing w:line="500" w:lineRule="exact"/>
        <w:ind w:firstLineChars="200" w:firstLine="660"/>
        <w:rPr>
          <w:rFonts w:ascii="方正仿宋_GB2312" w:eastAsia="方正仿宋_GB2312" w:hAnsi="方正仿宋_GB2312" w:cs="方正仿宋_GB2312"/>
          <w:color w:val="000000"/>
          <w:kern w:val="0"/>
          <w:sz w:val="33"/>
          <w:szCs w:val="33"/>
        </w:rPr>
      </w:pPr>
      <w:r>
        <w:rPr>
          <w:rFonts w:ascii="方正仿宋_GB2312" w:eastAsia="方正仿宋_GB2312" w:hAnsi="方正仿宋_GB2312" w:cs="方正仿宋_GB2312" w:hint="eastAsia"/>
          <w:color w:val="000000"/>
          <w:kern w:val="0"/>
          <w:sz w:val="33"/>
          <w:szCs w:val="33"/>
        </w:rPr>
        <w:t>德育科</w:t>
      </w:r>
      <w:r w:rsidR="00707065">
        <w:rPr>
          <w:rFonts w:ascii="方正仿宋_GB2312" w:eastAsia="方正仿宋_GB2312" w:hAnsi="方正仿宋_GB2312" w:cs="方正仿宋_GB2312" w:hint="eastAsia"/>
          <w:color w:val="000000"/>
          <w:kern w:val="0"/>
          <w:sz w:val="33"/>
          <w:szCs w:val="33"/>
        </w:rPr>
        <w:t>（含团委）</w:t>
      </w:r>
      <w:r w:rsidRPr="00330332">
        <w:rPr>
          <w:rFonts w:ascii="方正仿宋_GB2312" w:eastAsia="方正仿宋_GB2312" w:hAnsi="方正仿宋_GB2312" w:cs="方正仿宋_GB2312" w:hint="eastAsia"/>
          <w:color w:val="000000"/>
          <w:kern w:val="0"/>
          <w:sz w:val="33"/>
          <w:szCs w:val="33"/>
        </w:rPr>
        <w:t>：学生思想政治教育，学生文明行为习惯、校风、学风的培养；班主任队伍建设；学生干部队伍建设；学生宿舍管理；德育宣传和爱国主义教育工作；组织开展学生重大德育活动；学校校园环境卫生工作。</w:t>
      </w:r>
    </w:p>
    <w:p w:rsidR="00330332" w:rsidRPr="00330332" w:rsidRDefault="00330332" w:rsidP="00330332">
      <w:pPr>
        <w:spacing w:line="500" w:lineRule="exact"/>
        <w:ind w:firstLineChars="168" w:firstLine="554"/>
        <w:rPr>
          <w:rFonts w:ascii="方正仿宋_GB2312" w:eastAsia="方正仿宋_GB2312" w:hAnsi="方正仿宋_GB2312" w:cs="方正仿宋_GB2312"/>
          <w:color w:val="000000"/>
          <w:kern w:val="0"/>
          <w:sz w:val="33"/>
          <w:szCs w:val="33"/>
        </w:rPr>
      </w:pPr>
      <w:r w:rsidRPr="00330332">
        <w:rPr>
          <w:rFonts w:ascii="方正仿宋_GB2312" w:eastAsia="方正仿宋_GB2312" w:hAnsi="方正仿宋_GB2312" w:cs="方正仿宋_GB2312" w:hint="eastAsia"/>
          <w:color w:val="000000"/>
          <w:kern w:val="0"/>
          <w:sz w:val="33"/>
          <w:szCs w:val="33"/>
        </w:rPr>
        <w:t>在学校党委的领导和指导下，组织学校共青团员开展好各项共青团活动；根据团员青年的需求，组织开展各种</w:t>
      </w:r>
      <w:r w:rsidRPr="00330332">
        <w:rPr>
          <w:rFonts w:ascii="方正仿宋_GB2312" w:eastAsia="方正仿宋_GB2312" w:hAnsi="方正仿宋_GB2312" w:cs="方正仿宋_GB2312" w:hint="eastAsia"/>
          <w:color w:val="000000"/>
          <w:kern w:val="0"/>
          <w:sz w:val="33"/>
          <w:szCs w:val="33"/>
        </w:rPr>
        <w:lastRenderedPageBreak/>
        <w:t>知识和技能的学习活动；指导学生会开展学生“自治”工作；配合学校德育处做好学生日常德育教育工作。</w:t>
      </w:r>
    </w:p>
    <w:p w:rsidR="00330332" w:rsidRPr="00330332" w:rsidRDefault="00330332" w:rsidP="00330332">
      <w:pPr>
        <w:spacing w:line="500" w:lineRule="exact"/>
        <w:ind w:firstLineChars="200" w:firstLine="660"/>
        <w:rPr>
          <w:rFonts w:ascii="方正仿宋_GB2312" w:eastAsia="方正仿宋_GB2312" w:hAnsi="方正仿宋_GB2312" w:cs="方正仿宋_GB2312"/>
          <w:color w:val="000000"/>
          <w:kern w:val="0"/>
          <w:sz w:val="33"/>
          <w:szCs w:val="33"/>
        </w:rPr>
      </w:pPr>
      <w:r>
        <w:rPr>
          <w:rFonts w:ascii="方正仿宋_GB2312" w:eastAsia="方正仿宋_GB2312" w:hAnsi="方正仿宋_GB2312" w:cs="方正仿宋_GB2312" w:hint="eastAsia"/>
          <w:color w:val="000000"/>
          <w:kern w:val="0"/>
          <w:sz w:val="33"/>
          <w:szCs w:val="33"/>
        </w:rPr>
        <w:t>总务科</w:t>
      </w:r>
      <w:r w:rsidRPr="00330332">
        <w:rPr>
          <w:rFonts w:ascii="方正仿宋_GB2312" w:eastAsia="方正仿宋_GB2312" w:hAnsi="方正仿宋_GB2312" w:cs="方正仿宋_GB2312" w:hint="eastAsia"/>
          <w:color w:val="000000"/>
          <w:kern w:val="0"/>
          <w:sz w:val="33"/>
          <w:szCs w:val="33"/>
        </w:rPr>
        <w:t>：</w:t>
      </w:r>
      <w:r w:rsidR="00707065">
        <w:rPr>
          <w:rFonts w:ascii="方正仿宋_GB2312" w:eastAsia="方正仿宋_GB2312" w:hAnsi="方正仿宋_GB2312" w:cs="方正仿宋_GB2312" w:hint="eastAsia"/>
          <w:color w:val="000000"/>
          <w:kern w:val="0"/>
          <w:sz w:val="33"/>
          <w:szCs w:val="33"/>
        </w:rPr>
        <w:t>学校财务、</w:t>
      </w:r>
      <w:r w:rsidRPr="00330332">
        <w:rPr>
          <w:rFonts w:ascii="方正仿宋_GB2312" w:eastAsia="方正仿宋_GB2312" w:hAnsi="方正仿宋_GB2312" w:cs="方正仿宋_GB2312" w:hint="eastAsia"/>
          <w:color w:val="000000"/>
          <w:kern w:val="0"/>
          <w:sz w:val="33"/>
          <w:szCs w:val="33"/>
        </w:rPr>
        <w:t>校园设备、设施运行、使用管理、维护，确保学校各项工作的顺利进行；校园建设及基础实施建设管理；绿化、卫生、医务室管理工作；学生食堂</w:t>
      </w:r>
      <w:r w:rsidR="00707065">
        <w:rPr>
          <w:rFonts w:ascii="方正仿宋_GB2312" w:eastAsia="方正仿宋_GB2312" w:hAnsi="方正仿宋_GB2312" w:cs="方正仿宋_GB2312" w:hint="eastAsia"/>
          <w:color w:val="000000"/>
          <w:kern w:val="0"/>
          <w:sz w:val="33"/>
          <w:szCs w:val="33"/>
        </w:rPr>
        <w:t>管理。</w:t>
      </w:r>
    </w:p>
    <w:p w:rsidR="00330332" w:rsidRPr="00330332" w:rsidRDefault="00330332" w:rsidP="00330332">
      <w:pPr>
        <w:spacing w:line="500" w:lineRule="exact"/>
        <w:ind w:firstLineChars="200" w:firstLine="660"/>
        <w:rPr>
          <w:rFonts w:ascii="方正仿宋_GB2312" w:eastAsia="方正仿宋_GB2312" w:hAnsi="方正仿宋_GB2312" w:cs="方正仿宋_GB2312"/>
          <w:color w:val="000000"/>
          <w:kern w:val="0"/>
          <w:sz w:val="33"/>
          <w:szCs w:val="33"/>
        </w:rPr>
      </w:pPr>
      <w:r>
        <w:rPr>
          <w:rFonts w:ascii="方正仿宋_GB2312" w:eastAsia="方正仿宋_GB2312" w:hAnsi="方正仿宋_GB2312" w:cs="方正仿宋_GB2312" w:hint="eastAsia"/>
          <w:color w:val="000000"/>
          <w:kern w:val="0"/>
          <w:sz w:val="33"/>
          <w:szCs w:val="33"/>
        </w:rPr>
        <w:t>现代技术教育科</w:t>
      </w:r>
      <w:r w:rsidRPr="00330332">
        <w:rPr>
          <w:rFonts w:ascii="方正仿宋_GB2312" w:eastAsia="方正仿宋_GB2312" w:hAnsi="方正仿宋_GB2312" w:cs="方正仿宋_GB2312" w:hint="eastAsia"/>
          <w:color w:val="000000"/>
          <w:kern w:val="0"/>
          <w:sz w:val="33"/>
          <w:szCs w:val="33"/>
        </w:rPr>
        <w:t>：现代化教育教学设备设施的应用和管理；校园网络系统规划设计、建设的管理和维护；全校教职工信息化应用水平培训；年级和处室信息化建设等工作。</w:t>
      </w:r>
    </w:p>
    <w:p w:rsidR="00330332" w:rsidRPr="00330332" w:rsidRDefault="00707065" w:rsidP="00330332">
      <w:pPr>
        <w:spacing w:line="500" w:lineRule="exact"/>
        <w:ind w:firstLineChars="200" w:firstLine="660"/>
        <w:rPr>
          <w:rFonts w:ascii="方正仿宋_GB2312" w:eastAsia="方正仿宋_GB2312" w:hAnsi="方正仿宋_GB2312" w:cs="方正仿宋_GB2312"/>
          <w:color w:val="000000"/>
          <w:kern w:val="0"/>
          <w:sz w:val="33"/>
          <w:szCs w:val="33"/>
        </w:rPr>
      </w:pPr>
      <w:r>
        <w:rPr>
          <w:rFonts w:ascii="方正仿宋_GB2312" w:eastAsia="方正仿宋_GB2312" w:hAnsi="方正仿宋_GB2312" w:cs="方正仿宋_GB2312" w:hint="eastAsia"/>
          <w:color w:val="000000"/>
          <w:kern w:val="0"/>
          <w:sz w:val="33"/>
          <w:szCs w:val="33"/>
        </w:rPr>
        <w:t>安管</w:t>
      </w:r>
      <w:r w:rsidR="00330332" w:rsidRPr="00330332">
        <w:rPr>
          <w:rFonts w:ascii="方正仿宋_GB2312" w:eastAsia="方正仿宋_GB2312" w:hAnsi="方正仿宋_GB2312" w:cs="方正仿宋_GB2312" w:hint="eastAsia"/>
          <w:color w:val="000000"/>
          <w:kern w:val="0"/>
          <w:sz w:val="33"/>
          <w:szCs w:val="33"/>
        </w:rPr>
        <w:t>科：负责学校内部安全防范工作；社会治安的综合治理；保安岗位工作人员管理及培训；学校的安全检查，排除一切安全隐患；依法治校工作；师生法制安全教育、宣传工作。</w:t>
      </w:r>
    </w:p>
    <w:p w:rsidR="001722E9" w:rsidRPr="00111F90" w:rsidRDefault="00330332" w:rsidP="00111F90">
      <w:pPr>
        <w:spacing w:line="500" w:lineRule="exact"/>
        <w:ind w:firstLineChars="200" w:firstLine="660"/>
        <w:rPr>
          <w:rFonts w:ascii="方正仿宋_GB2312" w:eastAsia="方正仿宋_GB2312" w:hAnsi="方正仿宋_GB2312" w:cs="方正仿宋_GB2312"/>
          <w:color w:val="000000"/>
          <w:kern w:val="0"/>
          <w:sz w:val="33"/>
          <w:szCs w:val="33"/>
        </w:rPr>
      </w:pPr>
      <w:r>
        <w:rPr>
          <w:rFonts w:ascii="方正仿宋_GB2312" w:eastAsia="方正仿宋_GB2312" w:hAnsi="方正仿宋_GB2312" w:cs="方正仿宋_GB2312" w:hint="eastAsia"/>
          <w:color w:val="000000"/>
          <w:kern w:val="0"/>
          <w:sz w:val="33"/>
          <w:szCs w:val="33"/>
        </w:rPr>
        <w:t>年级</w:t>
      </w:r>
      <w:r w:rsidRPr="00330332">
        <w:rPr>
          <w:rFonts w:ascii="方正仿宋_GB2312" w:eastAsia="方正仿宋_GB2312" w:hAnsi="方正仿宋_GB2312" w:cs="方正仿宋_GB2312" w:hint="eastAsia"/>
          <w:color w:val="000000"/>
          <w:kern w:val="0"/>
          <w:sz w:val="33"/>
          <w:szCs w:val="33"/>
        </w:rPr>
        <w:t>：负责各年级学生教育教学和德育常</w:t>
      </w:r>
      <w:r>
        <w:rPr>
          <w:rFonts w:ascii="方正仿宋_GB2312" w:eastAsia="方正仿宋_GB2312" w:hAnsi="方正仿宋_GB2312" w:cs="方正仿宋_GB2312" w:hint="eastAsia"/>
          <w:color w:val="000000"/>
          <w:kern w:val="0"/>
          <w:sz w:val="33"/>
          <w:szCs w:val="33"/>
        </w:rPr>
        <w:t>规管理；实施和推进分层教学目标；年级教师、班主任队伍建设和管理。</w:t>
      </w:r>
    </w:p>
    <w:p w:rsidR="001722E9" w:rsidRDefault="001722E9" w:rsidP="001722E9">
      <w:pPr>
        <w:pStyle w:val="2"/>
        <w:rPr>
          <w:rFonts w:ascii="黑体" w:eastAsia="黑体" w:hAnsi="黑体"/>
          <w:b w:val="0"/>
        </w:rPr>
      </w:pPr>
      <w:r>
        <w:rPr>
          <w:rFonts w:ascii="黑体" w:eastAsia="黑体" w:hAnsi="黑体" w:hint="eastAsia"/>
          <w:b w:val="0"/>
        </w:rPr>
        <w:t>二、2021年重点工作</w:t>
      </w:r>
      <w:bookmarkEnd w:id="14"/>
      <w:bookmarkEnd w:id="15"/>
      <w:r>
        <w:rPr>
          <w:rFonts w:ascii="黑体" w:eastAsia="黑体" w:hAnsi="黑体" w:hint="eastAsia"/>
          <w:b w:val="0"/>
        </w:rPr>
        <w:t>完成情况</w:t>
      </w:r>
    </w:p>
    <w:p w:rsidR="001722E9" w:rsidRPr="00CD7741" w:rsidRDefault="001722E9" w:rsidP="001722E9">
      <w:pPr>
        <w:spacing w:line="576" w:lineRule="exact"/>
        <w:rPr>
          <w:rFonts w:ascii="仿宋_GB2312" w:eastAsia="仿宋_GB2312" w:hAnsi="仿宋_GB2312" w:cs="仿宋_GB2312"/>
          <w:b/>
          <w:bCs/>
          <w:sz w:val="33"/>
          <w:szCs w:val="33"/>
        </w:rPr>
      </w:pPr>
      <w:r w:rsidRPr="00CD7741">
        <w:rPr>
          <w:rFonts w:ascii="仿宋_GB2312" w:eastAsia="仿宋_GB2312" w:hAnsi="仿宋_GB2312" w:cs="仿宋_GB2312" w:hint="eastAsia"/>
          <w:b/>
          <w:bCs/>
          <w:sz w:val="33"/>
          <w:szCs w:val="33"/>
        </w:rPr>
        <w:t>（一）党建引领学校发展，迈步“十四五”新征程</w:t>
      </w:r>
    </w:p>
    <w:p w:rsidR="001722E9" w:rsidRDefault="001722E9" w:rsidP="001722E9">
      <w:pPr>
        <w:spacing w:line="576" w:lineRule="exact"/>
        <w:ind w:firstLineChars="200" w:firstLine="663"/>
        <w:rPr>
          <w:rFonts w:ascii="仿宋_GB2312" w:eastAsia="仿宋_GB2312" w:hAnsi="仿宋_GB2312" w:cs="仿宋_GB2312"/>
          <w:sz w:val="33"/>
          <w:szCs w:val="33"/>
        </w:rPr>
      </w:pPr>
      <w:r>
        <w:rPr>
          <w:rFonts w:ascii="仿宋_GB2312" w:eastAsia="仿宋_GB2312" w:hAnsi="仿宋_GB2312" w:cs="仿宋_GB2312" w:hint="eastAsia"/>
          <w:b/>
          <w:bCs/>
          <w:sz w:val="33"/>
          <w:szCs w:val="33"/>
        </w:rPr>
        <w:t>一是全面从严治党布“新”局。</w:t>
      </w:r>
      <w:r>
        <w:rPr>
          <w:rFonts w:ascii="仿宋_GB2312" w:eastAsia="仿宋_GB2312" w:hAnsi="仿宋_GB2312" w:cs="仿宋_GB2312" w:hint="eastAsia"/>
          <w:sz w:val="33"/>
          <w:szCs w:val="33"/>
        </w:rPr>
        <w:t>校党委将党的建设摆在首位，落实市委第十二轮巡察整改，促进学校中心工作，推动党建工作全面有序开展，2021年党建工作圆满完成。</w:t>
      </w:r>
    </w:p>
    <w:p w:rsidR="001722E9" w:rsidRDefault="001722E9" w:rsidP="001722E9">
      <w:pPr>
        <w:spacing w:line="576" w:lineRule="exact"/>
        <w:ind w:firstLineChars="200" w:firstLine="663"/>
        <w:rPr>
          <w:rFonts w:ascii="仿宋_GB2312" w:eastAsia="仿宋_GB2312" w:hAnsi="仿宋_GB2312" w:cs="仿宋_GB2312"/>
          <w:sz w:val="33"/>
          <w:szCs w:val="33"/>
        </w:rPr>
      </w:pPr>
      <w:r>
        <w:rPr>
          <w:rFonts w:ascii="仿宋_GB2312" w:eastAsia="仿宋_GB2312" w:hAnsi="仿宋_GB2312" w:cs="仿宋_GB2312" w:hint="eastAsia"/>
          <w:b/>
          <w:bCs/>
          <w:sz w:val="33"/>
          <w:szCs w:val="33"/>
        </w:rPr>
        <w:t>二是党史学习教育出“新”招。</w:t>
      </w:r>
      <w:r>
        <w:rPr>
          <w:rFonts w:ascii="仿宋_GB2312" w:eastAsia="仿宋_GB2312" w:hAnsi="仿宋_GB2312" w:cs="仿宋_GB2312" w:hint="eastAsia"/>
          <w:sz w:val="33"/>
          <w:szCs w:val="33"/>
        </w:rPr>
        <w:t>结合《攀枝花市第三高级中学校党委党史学习教育方案》，组织专家、领导干部、文史哲教师、青年教师、学生多层次地讲党史，形成党史</w:t>
      </w:r>
      <w:r>
        <w:rPr>
          <w:rFonts w:ascii="仿宋_GB2312" w:eastAsia="仿宋_GB2312" w:hAnsi="仿宋_GB2312" w:cs="仿宋_GB2312" w:hint="eastAsia"/>
          <w:sz w:val="33"/>
          <w:szCs w:val="33"/>
        </w:rPr>
        <w:lastRenderedPageBreak/>
        <w:t>学习100篇征文，开展重大时间节点纪念活动、国旗下学党史、“我有话向党说”女教职工演讲比赛、师生100篇书画摄影作品展和文艺演出、1000人师生构图100年建党主题摄影等丰富多彩的活动，全方位、多层次、多角度推动党史学习教育走深走实。</w:t>
      </w:r>
    </w:p>
    <w:p w:rsidR="001722E9" w:rsidRDefault="001722E9" w:rsidP="001722E9">
      <w:pPr>
        <w:spacing w:line="576" w:lineRule="exact"/>
        <w:ind w:firstLineChars="200" w:firstLine="663"/>
        <w:rPr>
          <w:rFonts w:ascii="仿宋_GB2312" w:eastAsia="仿宋_GB2312" w:hAnsi="仿宋_GB2312" w:cs="仿宋_GB2312"/>
          <w:sz w:val="33"/>
          <w:szCs w:val="33"/>
        </w:rPr>
      </w:pPr>
      <w:r>
        <w:rPr>
          <w:rFonts w:ascii="仿宋_GB2312" w:eastAsia="仿宋_GB2312" w:hAnsi="仿宋_GB2312" w:cs="仿宋_GB2312" w:hint="eastAsia"/>
          <w:b/>
          <w:bCs/>
          <w:sz w:val="33"/>
          <w:szCs w:val="33"/>
        </w:rPr>
        <w:t>三是群团工作辟“新”路。</w:t>
      </w:r>
      <w:r>
        <w:rPr>
          <w:rFonts w:ascii="仿宋_GB2312" w:eastAsia="仿宋_GB2312" w:hAnsi="仿宋_GB2312" w:cs="仿宋_GB2312" w:hint="eastAsia"/>
          <w:sz w:val="33"/>
          <w:szCs w:val="33"/>
        </w:rPr>
        <w:t>学校群团工作中心统筹安排工会、妇联、共青团、统一战线等工作，组织统一战线民主党派开展主题学习10次，召开教代会3次，组织开展青年团校、业余党校、党史教育、志愿服务等活动近200次，依托官方网站、微信公众号、抖音、川工之家APP等新媒体平台，开展各类推文48期90余篇，用宣传媒介树起群团工作一面旗。强化工、青、妇服务职能，服务教职工近1300人次，丰富活动载体，织密群团工作一张网。校工会获评“攀枝花市厂务公开民主管理示范单位”称号。</w:t>
      </w:r>
    </w:p>
    <w:p w:rsidR="001722E9" w:rsidRDefault="001722E9" w:rsidP="001722E9">
      <w:pPr>
        <w:spacing w:line="576" w:lineRule="exact"/>
        <w:rPr>
          <w:rFonts w:ascii="仿宋_GB2312" w:eastAsia="仿宋_GB2312" w:hAnsi="仿宋_GB2312" w:cs="仿宋_GB2312"/>
          <w:sz w:val="33"/>
          <w:szCs w:val="33"/>
        </w:rPr>
      </w:pPr>
      <w:r>
        <w:rPr>
          <w:rFonts w:ascii="仿宋_GB2312" w:eastAsia="仿宋_GB2312" w:hAnsi="仿宋_GB2312" w:cs="仿宋_GB2312" w:hint="eastAsia"/>
          <w:b/>
          <w:bCs/>
          <w:sz w:val="33"/>
          <w:szCs w:val="33"/>
        </w:rPr>
        <w:t xml:space="preserve">    四是意识形态工作写“新”篇。</w:t>
      </w:r>
      <w:r>
        <w:rPr>
          <w:rFonts w:ascii="仿宋_GB2312" w:eastAsia="仿宋_GB2312" w:hAnsi="仿宋_GB2312" w:cs="仿宋_GB2312" w:hint="eastAsia"/>
          <w:sz w:val="33"/>
          <w:szCs w:val="33"/>
        </w:rPr>
        <w:t>校党委以“大思政观”引领意识形态工作建设，整全课堂教学与思想政治教育的融合，在教育教学、全面育人中筑牢防线；每季度定期开展意识形态研判，文史哲学科教师编制的《中国精神教育读本》校本教材，成为引导学生系统学习党史、提升自身政治站位意识和意识形态的指南；充分利用微班会、升旗仪式中、“党建带团建”活动开展意识形态教育，树立学生正确三观。</w:t>
      </w:r>
    </w:p>
    <w:p w:rsidR="001722E9" w:rsidRPr="00CD7741" w:rsidRDefault="001722E9" w:rsidP="001722E9">
      <w:pPr>
        <w:spacing w:line="576" w:lineRule="exact"/>
        <w:rPr>
          <w:rFonts w:ascii="仿宋_GB2312" w:eastAsia="仿宋_GB2312" w:hAnsi="仿宋_GB2312" w:cs="仿宋_GB2312"/>
          <w:b/>
          <w:bCs/>
          <w:sz w:val="33"/>
          <w:szCs w:val="33"/>
        </w:rPr>
      </w:pPr>
      <w:r w:rsidRPr="00CD7741">
        <w:rPr>
          <w:rFonts w:ascii="仿宋_GB2312" w:eastAsia="仿宋_GB2312" w:hAnsi="仿宋_GB2312" w:cs="仿宋_GB2312" w:hint="eastAsia"/>
          <w:b/>
          <w:bCs/>
          <w:sz w:val="33"/>
          <w:szCs w:val="33"/>
        </w:rPr>
        <w:t>（二）教体“融合”发展，强化“五育”并举，围绕区域教育中心城市建设精准发力</w:t>
      </w:r>
    </w:p>
    <w:p w:rsidR="001722E9" w:rsidRDefault="001722E9" w:rsidP="001722E9">
      <w:pPr>
        <w:spacing w:line="576" w:lineRule="exact"/>
        <w:ind w:firstLineChars="200" w:firstLine="663"/>
        <w:rPr>
          <w:rFonts w:ascii="仿宋_GB2312" w:eastAsia="仿宋_GB2312" w:hAnsi="仿宋_GB2312" w:cs="仿宋_GB2312"/>
          <w:sz w:val="33"/>
          <w:szCs w:val="33"/>
        </w:rPr>
      </w:pPr>
      <w:r>
        <w:rPr>
          <w:rFonts w:ascii="仿宋_GB2312" w:eastAsia="仿宋_GB2312" w:hAnsi="仿宋_GB2312" w:cs="仿宋_GB2312" w:hint="eastAsia"/>
          <w:b/>
          <w:color w:val="000000" w:themeColor="text1"/>
          <w:sz w:val="33"/>
          <w:szCs w:val="33"/>
        </w:rPr>
        <w:lastRenderedPageBreak/>
        <w:t>一是德育实效充分凸显。</w:t>
      </w:r>
      <w:r>
        <w:rPr>
          <w:rFonts w:ascii="仿宋_GB2312" w:eastAsia="仿宋_GB2312" w:hAnsi="仿宋_GB2312" w:cs="仿宋_GB2312" w:hint="eastAsia"/>
          <w:sz w:val="33"/>
          <w:szCs w:val="33"/>
        </w:rPr>
        <w:t>学校落实整全育人方针，围绕“立德树人”根本任务，强化“三全”德育工作思路，创新“近、小、实、亲”德育工作方法，夯实育人之基。学校定期开展对班主任的技能培训，探索覆盖全体新入职教师的班主任导师制工作，强化队伍建设；定期开展生活老师、学生干部队伍的培训和管理，推进“自治管理”一体化建设；开展成体系的“校本德育课程”，丰富德育活动内容，以经典阅读和国学文化艺术节等活动为主要抓手，丰富育人载体，开展生涯规划、职业体验等教育，主力学生全面发展。2021年学校团委获评攀枝花市“五四红旗团委”，4名教师获评市直属学校优秀团干部，20余名学生、4个班集体受到市级表彰，40余名学生参加市级以上比赛获奖。</w:t>
      </w:r>
    </w:p>
    <w:p w:rsidR="001722E9" w:rsidRDefault="001722E9" w:rsidP="001722E9">
      <w:pPr>
        <w:spacing w:line="576" w:lineRule="exact"/>
        <w:ind w:firstLineChars="200" w:firstLine="663"/>
        <w:rPr>
          <w:rFonts w:ascii="仿宋_GB2312" w:eastAsia="仿宋_GB2312" w:hAnsi="仿宋_GB2312" w:cs="仿宋_GB2312"/>
          <w:sz w:val="33"/>
          <w:szCs w:val="33"/>
        </w:rPr>
      </w:pPr>
      <w:r>
        <w:rPr>
          <w:rFonts w:ascii="仿宋_GB2312" w:eastAsia="仿宋_GB2312" w:hAnsi="仿宋_GB2312" w:cs="仿宋_GB2312" w:hint="eastAsia"/>
          <w:b/>
          <w:sz w:val="33"/>
          <w:szCs w:val="33"/>
        </w:rPr>
        <w:t>二是智育水平稳步提升，</w:t>
      </w:r>
      <w:r>
        <w:rPr>
          <w:rFonts w:ascii="仿宋_GB2312" w:eastAsia="仿宋_GB2312" w:hAnsi="仿宋_GB2312" w:cs="仿宋_GB2312" w:hint="eastAsia"/>
          <w:sz w:val="33"/>
          <w:szCs w:val="33"/>
        </w:rPr>
        <w:t>学校狠抓“两类课堂”改革实践，推进治理体系和治理能力建设，坚持开展教师示范课献课、“教坛新秀”大比武等交流展示活动，提升教师专业素质；坚持“捆绑式”教学质量考核，狠抓“五项管理”中的作业管理，确保减负不减质。2021年高一、高二年级在各次市统考中始终保持全市领先，2021届高考保持高位求进，一本完成713人，C9高校、双一流高校录取率保持全市领先。2021年成功举办“四川省高中物理学科优质课比赛”，1名教师获“省一等奖”；参加四川省历史学科优质课比赛1名教师获得“省二等奖”。</w:t>
      </w:r>
    </w:p>
    <w:p w:rsidR="001722E9" w:rsidRDefault="001722E9" w:rsidP="001722E9">
      <w:pPr>
        <w:spacing w:line="576" w:lineRule="exact"/>
        <w:ind w:firstLineChars="200" w:firstLine="663"/>
        <w:rPr>
          <w:rFonts w:ascii="仿宋_GB2312" w:eastAsia="仿宋_GB2312" w:hAnsi="仿宋_GB2312" w:cs="仿宋_GB2312"/>
          <w:sz w:val="33"/>
          <w:szCs w:val="33"/>
        </w:rPr>
      </w:pPr>
      <w:r>
        <w:rPr>
          <w:rFonts w:ascii="仿宋_GB2312" w:eastAsia="仿宋_GB2312" w:hAnsi="仿宋_GB2312" w:cs="仿宋_GB2312" w:hint="eastAsia"/>
          <w:b/>
          <w:sz w:val="33"/>
          <w:szCs w:val="33"/>
        </w:rPr>
        <w:t>三是体育质量长足进步。</w:t>
      </w:r>
      <w:r>
        <w:rPr>
          <w:rFonts w:ascii="仿宋_GB2312" w:eastAsia="仿宋_GB2312" w:hAnsi="仿宋_GB2312" w:cs="仿宋_GB2312" w:hint="eastAsia"/>
          <w:sz w:val="33"/>
          <w:szCs w:val="33"/>
        </w:rPr>
        <w:t>学校坚持抓好体育常规，以</w:t>
      </w:r>
      <w:r>
        <w:rPr>
          <w:rFonts w:ascii="仿宋_GB2312" w:eastAsia="仿宋_GB2312" w:hAnsi="仿宋_GB2312" w:cs="仿宋_GB2312" w:hint="eastAsia"/>
          <w:sz w:val="33"/>
          <w:szCs w:val="33"/>
        </w:rPr>
        <w:lastRenderedPageBreak/>
        <w:t>赛促教，强健体魄，成功举办“攀枝花市第三高级中学校第43届体育节”，师生在各级各类比赛中取得佳绩。四川省第二届贡嘎杯男足荣获雅安赛区第二名、男篮荣获贡赛区第四名、女排闯进高中组总决赛，2021年攀枝花市青少年篮球锦标赛男篮夺得冠军。2021年省级重点课题《普通高中校园足球活动实践研究》荣获四川省教育科研课题阶段成果评选三等奖。</w:t>
      </w:r>
    </w:p>
    <w:p w:rsidR="001722E9" w:rsidRDefault="001722E9" w:rsidP="001722E9">
      <w:pPr>
        <w:spacing w:line="576" w:lineRule="exact"/>
        <w:ind w:firstLineChars="200" w:firstLine="663"/>
        <w:rPr>
          <w:rFonts w:ascii="仿宋_GB2312" w:eastAsia="仿宋_GB2312" w:hAnsi="仿宋_GB2312" w:cs="仿宋_GB2312"/>
          <w:sz w:val="33"/>
          <w:szCs w:val="33"/>
        </w:rPr>
      </w:pPr>
      <w:r>
        <w:rPr>
          <w:rFonts w:ascii="仿宋_GB2312" w:eastAsia="仿宋_GB2312" w:hAnsi="仿宋_GB2312" w:cs="仿宋_GB2312" w:hint="eastAsia"/>
          <w:b/>
          <w:bCs/>
          <w:sz w:val="33"/>
          <w:szCs w:val="33"/>
        </w:rPr>
        <w:t>四是美育水平全面提升，</w:t>
      </w:r>
      <w:r>
        <w:rPr>
          <w:rFonts w:ascii="仿宋_GB2312" w:eastAsia="仿宋_GB2312" w:hAnsi="仿宋_GB2312" w:cs="仿宋_GB2312" w:hint="eastAsia"/>
          <w:sz w:val="33"/>
          <w:szCs w:val="33"/>
        </w:rPr>
        <w:t>学校将美育作为立德树人的重要载体，完善课程设置，把课堂作为提高学生艺术素养的主渠道，在做好艺术教学的同时加强对艺术特长生的专业辅导。学生参加攀枝花市2021年中华经典诵读写系列活动，其中美术类学生3人获得二等奖，2人获得三等奖，1名教师荣获“优秀指导老师奖”。学生参加两次全市艺术活动展演，在合唱和器乐节目上分别取得了全市第一、第二的好成绩。</w:t>
      </w:r>
    </w:p>
    <w:p w:rsidR="001722E9" w:rsidRDefault="001722E9" w:rsidP="001722E9">
      <w:pPr>
        <w:spacing w:line="576" w:lineRule="exact"/>
        <w:ind w:firstLineChars="200" w:firstLine="663"/>
        <w:rPr>
          <w:rFonts w:ascii="仿宋_GB2312" w:eastAsia="仿宋_GB2312" w:hAnsi="仿宋_GB2312" w:cs="仿宋_GB2312"/>
          <w:sz w:val="33"/>
          <w:szCs w:val="33"/>
        </w:rPr>
      </w:pPr>
      <w:r>
        <w:rPr>
          <w:rFonts w:ascii="仿宋_GB2312" w:eastAsia="仿宋_GB2312" w:hAnsi="仿宋_GB2312" w:cs="仿宋_GB2312" w:hint="eastAsia"/>
          <w:b/>
          <w:sz w:val="33"/>
          <w:szCs w:val="33"/>
        </w:rPr>
        <w:t>五是劳动教育长足发展，</w:t>
      </w:r>
      <w:r>
        <w:rPr>
          <w:rFonts w:ascii="仿宋_GB2312" w:eastAsia="仿宋_GB2312" w:hAnsi="仿宋_GB2312" w:cs="仿宋_GB2312" w:hint="eastAsia"/>
          <w:sz w:val="33"/>
          <w:szCs w:val="33"/>
        </w:rPr>
        <w:t>学校通过开展校内卫生保洁、内务评比等活动让学生将劳动本领内化为生活习惯，同时开展 “农事体验”活动，以学生劳动体验案例原型出版了《校本劳动教育教材》，劳动教育呈现新的亮点。</w:t>
      </w:r>
    </w:p>
    <w:p w:rsidR="001722E9" w:rsidRDefault="001722E9" w:rsidP="001722E9">
      <w:pPr>
        <w:spacing w:line="576" w:lineRule="exact"/>
        <w:rPr>
          <w:rFonts w:ascii="仿宋_GB2312" w:eastAsia="仿宋_GB2312" w:hAnsi="仿宋_GB2312" w:cs="仿宋_GB2312"/>
          <w:sz w:val="33"/>
          <w:szCs w:val="33"/>
        </w:rPr>
      </w:pPr>
      <w:r>
        <w:rPr>
          <w:rFonts w:ascii="仿宋_GB2312" w:eastAsia="仿宋_GB2312" w:hAnsi="仿宋_GB2312" w:cs="仿宋_GB2312" w:hint="eastAsia"/>
          <w:b/>
          <w:bCs/>
          <w:sz w:val="33"/>
          <w:szCs w:val="33"/>
        </w:rPr>
        <w:t>（三）融入新发展格局，办学品牌辐射里进一步增强。</w:t>
      </w:r>
    </w:p>
    <w:p w:rsidR="001722E9" w:rsidRDefault="001722E9" w:rsidP="001722E9">
      <w:pPr>
        <w:spacing w:line="576" w:lineRule="exact"/>
        <w:ind w:firstLineChars="200" w:firstLine="663"/>
        <w:rPr>
          <w:rFonts w:ascii="仿宋_GB2312" w:eastAsia="仿宋_GB2312" w:hAnsi="仿宋_GB2312" w:cs="仿宋_GB2312"/>
          <w:b/>
          <w:bCs/>
          <w:color w:val="000000" w:themeColor="text1"/>
          <w:sz w:val="33"/>
          <w:szCs w:val="33"/>
        </w:rPr>
      </w:pPr>
      <w:r w:rsidRPr="006150E4">
        <w:rPr>
          <w:rFonts w:ascii="仿宋_GB2312" w:eastAsia="仿宋_GB2312" w:hAnsi="仿宋_GB2312" w:cs="仿宋_GB2312" w:hint="eastAsia"/>
          <w:b/>
          <w:bCs/>
          <w:sz w:val="33"/>
          <w:szCs w:val="33"/>
        </w:rPr>
        <w:t>一是注重成果转化，形成区域示范。学校先后成功承</w:t>
      </w:r>
      <w:r>
        <w:rPr>
          <w:rFonts w:ascii="仿宋_GB2312" w:eastAsia="仿宋_GB2312" w:hAnsi="仿宋_GB2312" w:cs="仿宋_GB2312" w:hint="eastAsia"/>
          <w:sz w:val="33"/>
          <w:szCs w:val="33"/>
        </w:rPr>
        <w:t>办国家级、省、市级等各级各类教育研修活动50余次，教师承担各类公开课、示范课198人次，主讲培训讲座126人次，学校携手四川大学、西南大学达成拔尖创新人才培</w:t>
      </w:r>
      <w:r>
        <w:rPr>
          <w:rFonts w:ascii="仿宋_GB2312" w:eastAsia="仿宋_GB2312" w:hAnsi="仿宋_GB2312" w:cs="仿宋_GB2312" w:hint="eastAsia"/>
          <w:sz w:val="33"/>
          <w:szCs w:val="33"/>
        </w:rPr>
        <w:lastRenderedPageBreak/>
        <w:t>养战略，先后和云南华坪一中、会理一中、木里中学、盐源中学、盐边中学等学校合作教研，进行资源共享，送教帮扶，形成区域示范效应。2021年成功举办了攀枝花市语文、数学、英语、物理、政治、历史、体育等7个学科“名师课堂展评活动”，其中四川省教书育人名师、正高级教师苏细华老师主讲专家讲座《读出小说语言的别样味道》和市级骨干教师杨晓兰老师主讲课堂教学案例《祝福》的课程视频和文本资料被教育部2021年“国培计划”远程培训项目录用。</w:t>
      </w:r>
    </w:p>
    <w:p w:rsidR="001722E9" w:rsidRDefault="001722E9" w:rsidP="001722E9">
      <w:pPr>
        <w:spacing w:line="576" w:lineRule="exact"/>
        <w:ind w:firstLineChars="200" w:firstLine="663"/>
        <w:rPr>
          <w:rFonts w:ascii="仿宋_GB2312" w:eastAsia="仿宋_GB2312" w:hAnsi="仿宋_GB2312" w:cs="仿宋_GB2312"/>
          <w:sz w:val="33"/>
          <w:szCs w:val="33"/>
        </w:rPr>
      </w:pPr>
      <w:r>
        <w:rPr>
          <w:rFonts w:ascii="仿宋_GB2312" w:eastAsia="仿宋_GB2312" w:hAnsi="仿宋_GB2312" w:cs="仿宋_GB2312" w:hint="eastAsia"/>
          <w:b/>
          <w:bCs/>
          <w:color w:val="000000" w:themeColor="text1"/>
          <w:sz w:val="33"/>
          <w:szCs w:val="33"/>
        </w:rPr>
        <w:t>二是名师团队引领，提升核心竞争力。</w:t>
      </w:r>
      <w:r>
        <w:rPr>
          <w:rFonts w:ascii="仿宋_GB2312" w:eastAsia="仿宋_GB2312" w:hAnsi="仿宋_GB2312" w:cs="仿宋_GB2312" w:hint="eastAsia"/>
          <w:sz w:val="33"/>
          <w:szCs w:val="33"/>
        </w:rPr>
        <w:t>学校以“自我反思、同伴互助和专业引领”三个核心要素和名师工作室为抓手，发挥攀枝花市第三高级中学校的研修优势，形成区域示范。学校正高级教师冯荣波数学名师工作室团队主体策划，2021年4月攀枝花市高中数学“微专题设计与教学”研讨会在攀枝花市第三高级中学校举办，“国培计划”优秀首席专家、四川省高考数学研究专家赵思林到会主持，滇西南、攀西数学界20余家学校及教科所专家参会，学术碰撞影响深远。学校正高级教师方志林生物省级名师工作室团队先后在木里、会理、华坪等地开展学术交流、送教送培，进一步巩固了成果巩固。</w:t>
      </w:r>
    </w:p>
    <w:p w:rsidR="001722E9" w:rsidRDefault="001722E9" w:rsidP="000A32BC">
      <w:pPr>
        <w:pStyle w:val="a8"/>
        <w:shd w:val="clear" w:color="auto" w:fill="FFFFFF"/>
        <w:spacing w:before="0" w:beforeAutospacing="0" w:after="0" w:afterAutospacing="0" w:line="576" w:lineRule="exact"/>
        <w:ind w:firstLineChars="200" w:firstLine="663"/>
        <w:rPr>
          <w:rFonts w:ascii="仿宋_GB2312" w:eastAsia="仿宋_GB2312" w:hAnsi="仿宋_GB2312" w:cs="仿宋_GB2312"/>
          <w:sz w:val="33"/>
          <w:szCs w:val="33"/>
        </w:rPr>
      </w:pPr>
      <w:r>
        <w:rPr>
          <w:rFonts w:ascii="仿宋_GB2312" w:eastAsia="仿宋_GB2312" w:hAnsi="仿宋_GB2312" w:cs="仿宋_GB2312" w:hint="eastAsia"/>
          <w:b/>
          <w:bCs/>
          <w:kern w:val="2"/>
          <w:sz w:val="33"/>
          <w:szCs w:val="33"/>
        </w:rPr>
        <w:t>三是</w:t>
      </w:r>
      <w:r>
        <w:rPr>
          <w:rFonts w:ascii="仿宋_GB2312" w:eastAsia="仿宋_GB2312" w:hAnsi="仿宋_GB2312" w:cs="仿宋_GB2312" w:hint="eastAsia"/>
          <w:b/>
          <w:bCs/>
          <w:color w:val="000000" w:themeColor="text1"/>
          <w:sz w:val="33"/>
          <w:szCs w:val="33"/>
        </w:rPr>
        <w:t>融合现代技术，智慧服务</w:t>
      </w:r>
      <w:r>
        <w:rPr>
          <w:rFonts w:ascii="仿宋_GB2312" w:eastAsia="仿宋_GB2312" w:hAnsi="仿宋_GB2312" w:cs="仿宋_GB2312" w:hint="eastAsia"/>
          <w:b/>
          <w:bCs/>
          <w:kern w:val="2"/>
          <w:sz w:val="33"/>
          <w:szCs w:val="33"/>
        </w:rPr>
        <w:t>提质增效。</w:t>
      </w:r>
      <w:r>
        <w:rPr>
          <w:rFonts w:ascii="仿宋_GB2312" w:eastAsia="仿宋_GB2312" w:hAnsi="仿宋_GB2312" w:cs="仿宋_GB2312" w:hint="eastAsia"/>
          <w:sz w:val="33"/>
          <w:szCs w:val="33"/>
        </w:rPr>
        <w:t>学校强化智慧校园系统的建设，智慧课堂建设再次升级为“云班3.0”，无线网络基本全覆盖全体校园，建成与互联网连通的多媒体教室78间，攀枝花市第三高级中学校智能化校园服务系</w:t>
      </w:r>
      <w:r>
        <w:rPr>
          <w:rFonts w:ascii="仿宋_GB2312" w:eastAsia="仿宋_GB2312" w:hAnsi="仿宋_GB2312" w:cs="仿宋_GB2312" w:hint="eastAsia"/>
          <w:sz w:val="33"/>
          <w:szCs w:val="33"/>
        </w:rPr>
        <w:lastRenderedPageBreak/>
        <w:t>统实现了在校期间师生通勤、门岗管理、智慧就餐、选课走班、家校沟通等一卡终端服务。2021年学校成功申报获批“四川云教主播学校”，可实现办学管理成果智能化输出。</w:t>
      </w:r>
    </w:p>
    <w:p w:rsidR="00330332" w:rsidRDefault="00330332"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sz w:val="33"/>
          <w:szCs w:val="33"/>
        </w:rPr>
      </w:pPr>
    </w:p>
    <w:p w:rsidR="00330332" w:rsidRDefault="00330332"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sz w:val="33"/>
          <w:szCs w:val="33"/>
        </w:rPr>
      </w:pPr>
    </w:p>
    <w:p w:rsidR="00330332" w:rsidRDefault="00330332"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sz w:val="33"/>
          <w:szCs w:val="33"/>
        </w:rPr>
      </w:pPr>
    </w:p>
    <w:p w:rsidR="00330332" w:rsidRDefault="00330332"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sz w:val="33"/>
          <w:szCs w:val="33"/>
        </w:rPr>
      </w:pPr>
    </w:p>
    <w:p w:rsidR="00330332" w:rsidRDefault="00330332"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sz w:val="33"/>
          <w:szCs w:val="33"/>
        </w:rPr>
      </w:pPr>
    </w:p>
    <w:p w:rsidR="00330332" w:rsidRDefault="00330332"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sz w:val="33"/>
          <w:szCs w:val="33"/>
        </w:rPr>
      </w:pPr>
    </w:p>
    <w:p w:rsidR="00330332" w:rsidRDefault="00330332"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sz w:val="33"/>
          <w:szCs w:val="33"/>
        </w:rPr>
      </w:pPr>
    </w:p>
    <w:p w:rsidR="00330332" w:rsidRDefault="00330332"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sz w:val="33"/>
          <w:szCs w:val="33"/>
        </w:rPr>
      </w:pPr>
    </w:p>
    <w:p w:rsidR="00330332" w:rsidRDefault="00330332"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color w:val="000000" w:themeColor="text1"/>
          <w:sz w:val="33"/>
          <w:szCs w:val="33"/>
        </w:rPr>
      </w:pPr>
    </w:p>
    <w:p w:rsidR="00111F90" w:rsidRDefault="00111F90"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color w:val="000000" w:themeColor="text1"/>
          <w:sz w:val="33"/>
          <w:szCs w:val="33"/>
        </w:rPr>
      </w:pPr>
    </w:p>
    <w:p w:rsidR="00111F90" w:rsidRDefault="00111F90"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color w:val="000000" w:themeColor="text1"/>
          <w:sz w:val="33"/>
          <w:szCs w:val="33"/>
        </w:rPr>
      </w:pPr>
    </w:p>
    <w:p w:rsidR="00111F90" w:rsidRDefault="00111F90"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color w:val="000000" w:themeColor="text1"/>
          <w:sz w:val="33"/>
          <w:szCs w:val="33"/>
        </w:rPr>
      </w:pPr>
    </w:p>
    <w:p w:rsidR="00111F90" w:rsidRDefault="00111F90"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color w:val="000000" w:themeColor="text1"/>
          <w:sz w:val="33"/>
          <w:szCs w:val="33"/>
        </w:rPr>
      </w:pPr>
    </w:p>
    <w:p w:rsidR="00111F90" w:rsidRDefault="00111F90"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color w:val="000000" w:themeColor="text1"/>
          <w:sz w:val="33"/>
          <w:szCs w:val="33"/>
        </w:rPr>
      </w:pPr>
    </w:p>
    <w:p w:rsidR="00111F90" w:rsidRDefault="00111F90"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color w:val="000000" w:themeColor="text1"/>
          <w:sz w:val="33"/>
          <w:szCs w:val="33"/>
        </w:rPr>
      </w:pPr>
    </w:p>
    <w:p w:rsidR="00111F90" w:rsidRDefault="00111F90"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color w:val="000000" w:themeColor="text1"/>
          <w:sz w:val="33"/>
          <w:szCs w:val="33"/>
        </w:rPr>
      </w:pPr>
    </w:p>
    <w:p w:rsidR="00111F90" w:rsidRDefault="00111F90"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color w:val="000000" w:themeColor="text1"/>
          <w:sz w:val="33"/>
          <w:szCs w:val="33"/>
        </w:rPr>
      </w:pPr>
    </w:p>
    <w:p w:rsidR="00111F90" w:rsidRDefault="00111F90"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color w:val="000000" w:themeColor="text1"/>
          <w:sz w:val="33"/>
          <w:szCs w:val="33"/>
        </w:rPr>
      </w:pPr>
    </w:p>
    <w:p w:rsidR="00111F90" w:rsidRPr="000A32BC" w:rsidRDefault="00111F90" w:rsidP="00330332">
      <w:pPr>
        <w:pStyle w:val="a8"/>
        <w:shd w:val="clear" w:color="auto" w:fill="FFFFFF"/>
        <w:spacing w:before="0" w:beforeAutospacing="0" w:after="0" w:afterAutospacing="0" w:line="576" w:lineRule="exact"/>
        <w:ind w:firstLineChars="200" w:firstLine="660"/>
        <w:rPr>
          <w:rFonts w:ascii="仿宋_GB2312" w:eastAsia="仿宋_GB2312" w:hAnsi="仿宋_GB2312" w:cs="仿宋_GB2312"/>
          <w:color w:val="000000" w:themeColor="text1"/>
          <w:sz w:val="33"/>
          <w:szCs w:val="33"/>
        </w:rPr>
      </w:pPr>
    </w:p>
    <w:p w:rsidR="001722E9" w:rsidRDefault="001722E9" w:rsidP="001722E9">
      <w:pPr>
        <w:pStyle w:val="1"/>
        <w:ind w:right="440"/>
        <w:jc w:val="center"/>
        <w:rPr>
          <w:rStyle w:val="1Char"/>
          <w:rFonts w:ascii="黑体" w:eastAsia="黑体" w:hAnsi="黑体"/>
        </w:rPr>
      </w:pPr>
      <w:bookmarkStart w:id="16" w:name="_Toc15396602"/>
      <w:bookmarkStart w:id="17" w:name="_Toc15377204"/>
      <w:r>
        <w:rPr>
          <w:rFonts w:ascii="黑体" w:eastAsia="黑体" w:hAnsi="黑体" w:hint="eastAsia"/>
          <w:b w:val="0"/>
        </w:rPr>
        <w:lastRenderedPageBreak/>
        <w:t>第二部分 2021年度</w:t>
      </w:r>
      <w:r>
        <w:rPr>
          <w:rStyle w:val="1Char"/>
          <w:rFonts w:ascii="黑体" w:eastAsia="黑体" w:hAnsi="黑体" w:hint="eastAsia"/>
        </w:rPr>
        <w:t>单位决算情况说明</w:t>
      </w:r>
      <w:bookmarkEnd w:id="16"/>
      <w:bookmarkEnd w:id="17"/>
    </w:p>
    <w:p w:rsidR="001722E9" w:rsidRDefault="001722E9" w:rsidP="001722E9"/>
    <w:p w:rsidR="001722E9" w:rsidRDefault="001722E9" w:rsidP="001722E9">
      <w:pPr>
        <w:pStyle w:val="a7"/>
        <w:numPr>
          <w:ilvl w:val="0"/>
          <w:numId w:val="1"/>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rPr>
        <w:t>入支出决算总体情况说明</w:t>
      </w:r>
      <w:bookmarkEnd w:id="18"/>
      <w:bookmarkEnd w:id="19"/>
    </w:p>
    <w:p w:rsidR="001722E9" w:rsidRDefault="001722E9" w:rsidP="001722E9">
      <w:pPr>
        <w:spacing w:line="600" w:lineRule="exact"/>
        <w:ind w:firstLineChars="200" w:firstLine="640"/>
        <w:rPr>
          <w:rFonts w:ascii="仿宋" w:eastAsia="仿宋" w:hAnsi="仿宋"/>
          <w:sz w:val="32"/>
          <w:szCs w:val="32"/>
        </w:rPr>
      </w:pPr>
      <w:r>
        <w:rPr>
          <w:rFonts w:ascii="仿宋" w:eastAsia="仿宋" w:hAnsi="仿宋" w:hint="eastAsia"/>
          <w:sz w:val="32"/>
          <w:szCs w:val="32"/>
        </w:rPr>
        <w:t>2021年度收、支总计</w:t>
      </w:r>
      <w:r w:rsidR="008579CA">
        <w:rPr>
          <w:rFonts w:ascii="仿宋" w:eastAsia="仿宋" w:hAnsi="仿宋" w:hint="eastAsia"/>
          <w:sz w:val="32"/>
          <w:szCs w:val="32"/>
        </w:rPr>
        <w:t>8346.49</w:t>
      </w:r>
      <w:r>
        <w:rPr>
          <w:rFonts w:ascii="仿宋" w:eastAsia="仿宋" w:hAnsi="仿宋" w:hint="eastAsia"/>
          <w:sz w:val="32"/>
          <w:szCs w:val="32"/>
        </w:rPr>
        <w:t>万元。与2020年相比，收、支总计各增加37.59万元，增长0.23</w:t>
      </w:r>
      <w:r>
        <w:rPr>
          <w:rFonts w:ascii="仿宋" w:eastAsia="仿宋" w:hAnsi="仿宋"/>
          <w:sz w:val="32"/>
          <w:szCs w:val="32"/>
        </w:rPr>
        <w:t>%</w:t>
      </w:r>
      <w:r>
        <w:rPr>
          <w:rFonts w:ascii="仿宋" w:eastAsia="仿宋" w:hAnsi="仿宋" w:hint="eastAsia"/>
          <w:sz w:val="32"/>
          <w:szCs w:val="32"/>
        </w:rPr>
        <w:t>。主要变动原因是教职工工资正常晋升。</w:t>
      </w:r>
    </w:p>
    <w:p w:rsidR="001722E9" w:rsidRDefault="001722E9" w:rsidP="001722E9">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1722E9" w:rsidRPr="006C57AC" w:rsidRDefault="001722E9" w:rsidP="001722E9">
      <w:pPr>
        <w:pStyle w:val="a0"/>
        <w:spacing w:before="93"/>
      </w:pPr>
      <w:r>
        <w:rPr>
          <w:rFonts w:hint="eastAsia"/>
        </w:rPr>
        <w:t xml:space="preserve">       </w:t>
      </w:r>
      <w:r w:rsidRPr="006C57AC">
        <w:rPr>
          <w:noProof/>
        </w:rPr>
        <w:drawing>
          <wp:inline distT="0" distB="0" distL="0" distR="0">
            <wp:extent cx="3819783" cy="3072713"/>
            <wp:effectExtent l="19050" t="0" r="28317" b="0"/>
            <wp:docPr id="13"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722E9" w:rsidRDefault="001722E9" w:rsidP="001722E9">
      <w:pPr>
        <w:pStyle w:val="a7"/>
        <w:numPr>
          <w:ilvl w:val="0"/>
          <w:numId w:val="1"/>
        </w:numPr>
        <w:spacing w:line="600" w:lineRule="exact"/>
        <w:ind w:firstLineChars="0"/>
        <w:outlineLvl w:val="1"/>
        <w:rPr>
          <w:rStyle w:val="2Char"/>
          <w:rFonts w:ascii="黑体" w:eastAsia="黑体" w:hAnsi="黑体"/>
          <w:b w:val="0"/>
        </w:rPr>
      </w:pPr>
      <w:bookmarkStart w:id="20" w:name="_Toc15396604"/>
      <w:bookmarkStart w:id="21" w:name="_Toc15377206"/>
      <w:r>
        <w:rPr>
          <w:rFonts w:ascii="黑体" w:eastAsia="黑体" w:hAnsi="黑体" w:hint="eastAsia"/>
          <w:sz w:val="32"/>
          <w:szCs w:val="32"/>
        </w:rPr>
        <w:t>收</w:t>
      </w:r>
      <w:r>
        <w:rPr>
          <w:rStyle w:val="2Char"/>
          <w:rFonts w:ascii="黑体" w:eastAsia="黑体" w:hAnsi="黑体" w:hint="eastAsia"/>
        </w:rPr>
        <w:t>入决算情况说明</w:t>
      </w:r>
      <w:bookmarkEnd w:id="20"/>
      <w:bookmarkEnd w:id="21"/>
    </w:p>
    <w:p w:rsidR="001722E9" w:rsidRDefault="001722E9" w:rsidP="001722E9">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21年本年收入合计8229.67万元，其中：一般公共预算财政拨款收入8188.65万元，占99.5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；上级补助收入0万元，占0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sz w:val="32"/>
          <w:szCs w:val="32"/>
        </w:rPr>
        <w:t>其他收入41.02万元，占0.5</w:t>
      </w:r>
      <w:r>
        <w:rPr>
          <w:rFonts w:ascii="仿宋" w:eastAsia="仿宋" w:hAnsi="仿宋"/>
          <w:sz w:val="32"/>
          <w:szCs w:val="32"/>
        </w:rPr>
        <w:t>%</w:t>
      </w:r>
      <w:r>
        <w:rPr>
          <w:rFonts w:ascii="仿宋" w:eastAsia="仿宋" w:hAnsi="仿宋" w:hint="eastAsia"/>
          <w:sz w:val="32"/>
          <w:szCs w:val="32"/>
        </w:rPr>
        <w:t>。</w:t>
      </w:r>
    </w:p>
    <w:p w:rsidR="001722E9" w:rsidRDefault="001722E9" w:rsidP="001722E9">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1722E9" w:rsidRDefault="001722E9" w:rsidP="001722E9">
      <w:pPr>
        <w:pStyle w:val="a0"/>
        <w:spacing w:before="93"/>
      </w:pPr>
    </w:p>
    <w:p w:rsidR="001722E9" w:rsidRDefault="001722E9" w:rsidP="001722E9">
      <w:pPr>
        <w:pStyle w:val="a0"/>
        <w:spacing w:before="93"/>
      </w:pPr>
      <w:r>
        <w:rPr>
          <w:rFonts w:hint="eastAsia"/>
        </w:rPr>
        <w:t xml:space="preserve">     </w:t>
      </w:r>
      <w:r w:rsidRPr="00581F49">
        <w:rPr>
          <w:noProof/>
        </w:rPr>
        <w:drawing>
          <wp:inline distT="0" distB="0" distL="0" distR="0">
            <wp:extent cx="4276725" cy="2609850"/>
            <wp:effectExtent l="19050" t="0" r="9525" b="0"/>
            <wp:docPr id="14"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22E9" w:rsidRDefault="001722E9" w:rsidP="001722E9">
      <w:pPr>
        <w:spacing w:line="600" w:lineRule="exact"/>
        <w:ind w:firstLineChars="200" w:firstLine="640"/>
        <w:rPr>
          <w:rFonts w:ascii="仿宋_GB2312" w:eastAsia="仿宋_GB2312"/>
          <w:sz w:val="32"/>
          <w:szCs w:val="32"/>
        </w:rPr>
      </w:pPr>
    </w:p>
    <w:p w:rsidR="001722E9" w:rsidRDefault="001722E9" w:rsidP="001722E9">
      <w:pPr>
        <w:pStyle w:val="a7"/>
        <w:numPr>
          <w:ilvl w:val="0"/>
          <w:numId w:val="1"/>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rPr>
        <w:t>出决算情况说明</w:t>
      </w:r>
      <w:bookmarkEnd w:id="22"/>
      <w:bookmarkEnd w:id="23"/>
    </w:p>
    <w:p w:rsidR="001722E9" w:rsidRPr="004B649A" w:rsidRDefault="001722E9" w:rsidP="001722E9">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21年本年支出合计8223.01万元，其中：基本支出7651.45万元，占93.05</w:t>
      </w:r>
      <w:r>
        <w:rPr>
          <w:rFonts w:ascii="仿宋" w:eastAsia="仿宋" w:hAnsi="仿宋"/>
          <w:sz w:val="32"/>
          <w:szCs w:val="32"/>
        </w:rPr>
        <w:t>%</w:t>
      </w:r>
      <w:r>
        <w:rPr>
          <w:rFonts w:ascii="仿宋" w:eastAsia="仿宋" w:hAnsi="仿宋" w:hint="eastAsia"/>
          <w:sz w:val="32"/>
          <w:szCs w:val="32"/>
        </w:rPr>
        <w:t>；项目支出571.56万元，占6.95</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p>
    <w:p w:rsidR="001722E9" w:rsidRDefault="001722E9" w:rsidP="001722E9">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1722E9" w:rsidRDefault="001722E9" w:rsidP="001722E9">
      <w:pPr>
        <w:spacing w:line="600" w:lineRule="exact"/>
        <w:ind w:firstLineChars="200" w:firstLine="640"/>
        <w:rPr>
          <w:rFonts w:ascii="仿宋_GB2312" w:eastAsia="仿宋_GB2312"/>
          <w:sz w:val="32"/>
          <w:szCs w:val="32"/>
        </w:rPr>
      </w:pPr>
    </w:p>
    <w:p w:rsidR="001722E9" w:rsidRPr="00BA2978" w:rsidRDefault="001722E9" w:rsidP="001722E9">
      <w:pPr>
        <w:pStyle w:val="a0"/>
        <w:spacing w:before="93"/>
      </w:pPr>
      <w:r>
        <w:rPr>
          <w:rFonts w:hint="eastAsia"/>
        </w:rPr>
        <w:lastRenderedPageBreak/>
        <w:t xml:space="preserve">    </w:t>
      </w:r>
      <w:r w:rsidRPr="00BA2978">
        <w:rPr>
          <w:noProof/>
        </w:rPr>
        <w:drawing>
          <wp:inline distT="0" distB="0" distL="0" distR="0">
            <wp:extent cx="4467225" cy="2609850"/>
            <wp:effectExtent l="19050" t="0" r="9525" b="0"/>
            <wp:docPr id="16"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22E9" w:rsidRDefault="001722E9" w:rsidP="001722E9">
      <w:pPr>
        <w:spacing w:line="600" w:lineRule="exact"/>
        <w:ind w:firstLineChars="200" w:firstLine="640"/>
        <w:outlineLvl w:val="1"/>
        <w:rPr>
          <w:rStyle w:val="2Char"/>
          <w:rFonts w:ascii="黑体" w:eastAsia="黑体" w:hAnsi="黑体"/>
          <w:b w:val="0"/>
        </w:rPr>
      </w:pPr>
      <w:bookmarkStart w:id="24" w:name="_Toc15377208"/>
      <w:bookmarkStart w:id="25" w:name="_Toc15396606"/>
      <w:r>
        <w:rPr>
          <w:rFonts w:ascii="黑体" w:eastAsia="黑体" w:hAnsi="黑体" w:hint="eastAsia"/>
          <w:sz w:val="32"/>
          <w:szCs w:val="32"/>
        </w:rPr>
        <w:t>四、财</w:t>
      </w:r>
      <w:r>
        <w:rPr>
          <w:rStyle w:val="2Char"/>
          <w:rFonts w:ascii="黑体" w:eastAsia="黑体" w:hAnsi="黑体" w:hint="eastAsia"/>
        </w:rPr>
        <w:t>政拨款收入支出决算总体情况说明</w:t>
      </w:r>
      <w:bookmarkEnd w:id="24"/>
      <w:bookmarkEnd w:id="25"/>
    </w:p>
    <w:p w:rsidR="001722E9" w:rsidRPr="004B649A" w:rsidRDefault="001722E9" w:rsidP="001722E9">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21年财政拨款收、支总计16389.55万元。与</w:t>
      </w:r>
      <w:r>
        <w:rPr>
          <w:rFonts w:ascii="仿宋" w:eastAsia="仿宋" w:hAnsi="仿宋"/>
          <w:sz w:val="32"/>
          <w:szCs w:val="32"/>
        </w:rPr>
        <w:t>20</w:t>
      </w:r>
      <w:r>
        <w:rPr>
          <w:rFonts w:ascii="仿宋" w:eastAsia="仿宋" w:hAnsi="仿宋" w:hint="eastAsia"/>
          <w:sz w:val="32"/>
          <w:szCs w:val="32"/>
        </w:rPr>
        <w:t>20年相比，财政拨款收、支总计各增加321.63万元，增长2</w:t>
      </w:r>
      <w:r>
        <w:rPr>
          <w:rFonts w:ascii="仿宋" w:eastAsia="仿宋" w:hAnsi="仿宋"/>
          <w:sz w:val="32"/>
          <w:szCs w:val="32"/>
        </w:rPr>
        <w:t>%</w:t>
      </w:r>
      <w:r>
        <w:rPr>
          <w:rFonts w:ascii="仿宋" w:eastAsia="仿宋" w:hAnsi="仿宋" w:hint="eastAsia"/>
          <w:sz w:val="32"/>
          <w:szCs w:val="32"/>
        </w:rPr>
        <w:t>。主要变动原因是在职人员增加和工资正常晋升。</w:t>
      </w:r>
    </w:p>
    <w:p w:rsidR="001722E9" w:rsidRDefault="001722E9" w:rsidP="001722E9">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1722E9" w:rsidRDefault="001722E9" w:rsidP="001722E9">
      <w:pPr>
        <w:spacing w:line="600" w:lineRule="exact"/>
        <w:ind w:firstLine="640"/>
        <w:rPr>
          <w:rFonts w:ascii="仿宋" w:eastAsia="仿宋" w:hAnsi="仿宋"/>
          <w:b/>
          <w:sz w:val="32"/>
          <w:szCs w:val="32"/>
        </w:rPr>
      </w:pPr>
    </w:p>
    <w:p w:rsidR="001722E9" w:rsidRDefault="001722E9" w:rsidP="001722E9">
      <w:pPr>
        <w:pStyle w:val="a0"/>
        <w:spacing w:before="93"/>
      </w:pPr>
      <w:r>
        <w:rPr>
          <w:rFonts w:hint="eastAsia"/>
        </w:rPr>
        <w:t xml:space="preserve">      </w:t>
      </w:r>
      <w:r w:rsidRPr="00BA2978">
        <w:rPr>
          <w:noProof/>
        </w:rPr>
        <w:drawing>
          <wp:inline distT="0" distB="0" distL="0" distR="0">
            <wp:extent cx="4322291" cy="2817340"/>
            <wp:effectExtent l="19050" t="0" r="21109" b="2060"/>
            <wp:docPr id="1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22E9" w:rsidRPr="00BA2978" w:rsidRDefault="001722E9" w:rsidP="001722E9">
      <w:pPr>
        <w:pStyle w:val="a0"/>
        <w:spacing w:before="93"/>
      </w:pPr>
    </w:p>
    <w:p w:rsidR="001722E9" w:rsidRDefault="001722E9" w:rsidP="001722E9">
      <w:pPr>
        <w:spacing w:line="600" w:lineRule="exact"/>
        <w:ind w:firstLineChars="200" w:firstLine="640"/>
        <w:outlineLvl w:val="1"/>
        <w:rPr>
          <w:rStyle w:val="2Char"/>
          <w:rFonts w:ascii="黑体" w:eastAsia="黑体" w:hAnsi="黑体"/>
          <w:b w:val="0"/>
        </w:rPr>
      </w:pPr>
      <w:bookmarkStart w:id="26" w:name="_Toc15396607"/>
      <w:bookmarkStart w:id="27" w:name="_Toc15377209"/>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rPr>
        <w:t>般公共预算财政拨款支出决算情况说明</w:t>
      </w:r>
      <w:bookmarkEnd w:id="26"/>
      <w:bookmarkEnd w:id="27"/>
    </w:p>
    <w:p w:rsidR="001722E9" w:rsidRDefault="001722E9" w:rsidP="001722E9">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1722E9" w:rsidRDefault="001722E9" w:rsidP="001722E9">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21年一般公共预算财政拨款支出8200.9万元，占本年支出合计的99.73</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20年相比，一般公共预算财政拨款支出增加151.84万元，增长1.87</w:t>
      </w:r>
      <w:r>
        <w:rPr>
          <w:rFonts w:ascii="仿宋" w:eastAsia="仿宋" w:hAnsi="仿宋"/>
          <w:sz w:val="32"/>
          <w:szCs w:val="32"/>
        </w:rPr>
        <w:t>%</w:t>
      </w:r>
      <w:r>
        <w:rPr>
          <w:rFonts w:ascii="仿宋" w:eastAsia="仿宋" w:hAnsi="仿宋" w:hint="eastAsia"/>
          <w:sz w:val="32"/>
          <w:szCs w:val="32"/>
        </w:rPr>
        <w:t>。主要变动原因是在职人员人数增加和工资正常晋升。</w:t>
      </w:r>
    </w:p>
    <w:p w:rsidR="001722E9" w:rsidRDefault="001722E9" w:rsidP="001722E9">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1722E9" w:rsidRDefault="001722E9" w:rsidP="001722E9">
      <w:pPr>
        <w:pStyle w:val="a0"/>
        <w:spacing w:before="93"/>
      </w:pPr>
      <w:r>
        <w:rPr>
          <w:rFonts w:hint="eastAsia"/>
        </w:rPr>
        <w:t xml:space="preserve">      </w:t>
      </w:r>
      <w:r w:rsidRPr="00FF010E">
        <w:rPr>
          <w:noProof/>
        </w:rPr>
        <w:drawing>
          <wp:inline distT="0" distB="0" distL="0" distR="0">
            <wp:extent cx="4562475" cy="2981325"/>
            <wp:effectExtent l="19050" t="0" r="9525" b="0"/>
            <wp:docPr id="1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22E9" w:rsidRPr="00BA2978" w:rsidRDefault="001722E9" w:rsidP="001722E9">
      <w:pPr>
        <w:pStyle w:val="a0"/>
        <w:spacing w:before="93"/>
      </w:pPr>
    </w:p>
    <w:p w:rsidR="001722E9" w:rsidRDefault="001722E9" w:rsidP="001722E9">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1722E9" w:rsidRPr="004B649A" w:rsidRDefault="001722E9" w:rsidP="001722E9">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21年一般公共预算财政拨款支出8200.9万元，主要用于以下方面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支出8.95万元，占0.11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教育支出（类）</w:t>
      </w:r>
      <w:r>
        <w:rPr>
          <w:rFonts w:ascii="仿宋" w:eastAsia="仿宋" w:hAnsi="仿宋" w:hint="eastAsia"/>
          <w:sz w:val="32"/>
          <w:szCs w:val="32"/>
        </w:rPr>
        <w:t>7472.75万元，占91.11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科学技术（类）</w:t>
      </w:r>
      <w:r>
        <w:rPr>
          <w:rFonts w:ascii="仿宋" w:eastAsia="仿宋" w:hAnsi="仿宋" w:hint="eastAsia"/>
          <w:sz w:val="32"/>
          <w:szCs w:val="32"/>
        </w:rPr>
        <w:t>支出0万元，占0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文化旅游体育与传媒（类）支出0万元，</w:t>
      </w:r>
      <w:r>
        <w:rPr>
          <w:rFonts w:ascii="仿宋" w:eastAsia="仿宋" w:hAnsi="仿宋" w:hint="eastAsia"/>
          <w:b/>
          <w:bCs/>
          <w:sz w:val="32"/>
          <w:szCs w:val="32"/>
        </w:rPr>
        <w:lastRenderedPageBreak/>
        <w:t>占0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支出714.38万元，占8.71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0万元，占0</w:t>
      </w:r>
      <w:r>
        <w:rPr>
          <w:rFonts w:ascii="仿宋" w:eastAsia="仿宋" w:hAnsi="仿宋"/>
          <w:sz w:val="32"/>
          <w:szCs w:val="32"/>
        </w:rPr>
        <w:t>%</w:t>
      </w:r>
      <w:r>
        <w:rPr>
          <w:rFonts w:ascii="仿宋" w:eastAsia="仿宋" w:hAnsi="仿宋" w:hint="eastAsia"/>
          <w:sz w:val="32"/>
          <w:szCs w:val="32"/>
        </w:rPr>
        <w:t>；住房保障支出4.82万元，占0.06</w:t>
      </w:r>
      <w:r>
        <w:rPr>
          <w:rFonts w:ascii="仿宋" w:eastAsia="仿宋" w:hAnsi="仿宋"/>
          <w:sz w:val="32"/>
          <w:szCs w:val="32"/>
        </w:rPr>
        <w:t>%</w:t>
      </w:r>
      <w:r>
        <w:rPr>
          <w:rFonts w:ascii="仿宋" w:eastAsia="仿宋" w:hAnsi="仿宋" w:hint="eastAsia"/>
          <w:sz w:val="32"/>
          <w:szCs w:val="32"/>
        </w:rPr>
        <w:t>。</w:t>
      </w:r>
    </w:p>
    <w:p w:rsidR="001722E9" w:rsidRDefault="001722E9" w:rsidP="001722E9">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1722E9" w:rsidRDefault="001722E9" w:rsidP="001722E9">
      <w:pPr>
        <w:spacing w:line="600" w:lineRule="exact"/>
        <w:ind w:firstLineChars="200" w:firstLine="640"/>
        <w:rPr>
          <w:rFonts w:ascii="仿宋" w:eastAsia="仿宋" w:hAnsi="仿宋"/>
          <w:sz w:val="32"/>
          <w:szCs w:val="32"/>
        </w:rPr>
      </w:pPr>
    </w:p>
    <w:p w:rsidR="001722E9" w:rsidRDefault="001722E9" w:rsidP="001722E9">
      <w:pPr>
        <w:pStyle w:val="a0"/>
        <w:spacing w:before="93"/>
      </w:pPr>
      <w:r>
        <w:rPr>
          <w:rFonts w:hint="eastAsia"/>
        </w:rPr>
        <w:t xml:space="preserve">     </w:t>
      </w:r>
      <w:r w:rsidRPr="00860BB7">
        <w:rPr>
          <w:noProof/>
        </w:rPr>
        <w:drawing>
          <wp:inline distT="0" distB="0" distL="0" distR="0">
            <wp:extent cx="4514850" cy="2809875"/>
            <wp:effectExtent l="19050" t="0" r="19050" b="0"/>
            <wp:docPr id="2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eastAsia"/>
        </w:rPr>
        <w:t xml:space="preserve">   </w:t>
      </w:r>
    </w:p>
    <w:p w:rsidR="001722E9" w:rsidRPr="00860BB7" w:rsidRDefault="001722E9" w:rsidP="001722E9">
      <w:pPr>
        <w:pStyle w:val="a0"/>
        <w:spacing w:before="93"/>
      </w:pPr>
    </w:p>
    <w:p w:rsidR="001722E9" w:rsidRDefault="001722E9" w:rsidP="001722E9">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1722E9" w:rsidRDefault="001722E9" w:rsidP="001722E9">
      <w:pPr>
        <w:spacing w:line="600" w:lineRule="exact"/>
        <w:ind w:firstLineChars="200" w:firstLine="643"/>
        <w:outlineLvl w:val="2"/>
        <w:rPr>
          <w:rFonts w:ascii="仿宋" w:eastAsia="仿宋" w:hAnsi="仿宋"/>
          <w:sz w:val="32"/>
          <w:szCs w:val="32"/>
        </w:rPr>
      </w:pPr>
      <w:bookmarkStart w:id="31" w:name="_Toc15378460"/>
      <w:bookmarkStart w:id="32" w:name="_Toc15377213"/>
      <w:bookmarkStart w:id="33" w:name="_Toc15377444"/>
      <w:r>
        <w:rPr>
          <w:rFonts w:ascii="仿宋" w:eastAsia="仿宋" w:hAnsi="仿宋" w:hint="eastAsia"/>
          <w:b/>
          <w:sz w:val="32"/>
          <w:szCs w:val="32"/>
        </w:rPr>
        <w:t>2021年一般公共预算支出决算数为8200.9</w:t>
      </w:r>
      <w:r>
        <w:rPr>
          <w:rFonts w:ascii="仿宋" w:eastAsia="仿宋" w:hAnsi="仿宋" w:hint="eastAsia"/>
          <w:sz w:val="32"/>
          <w:szCs w:val="32"/>
        </w:rPr>
        <w:t>，</w:t>
      </w:r>
      <w:r>
        <w:rPr>
          <w:rStyle w:val="a6"/>
          <w:rFonts w:ascii="仿宋" w:eastAsia="仿宋" w:hAnsi="仿宋" w:hint="eastAsia"/>
          <w:bCs/>
          <w:sz w:val="32"/>
          <w:szCs w:val="32"/>
        </w:rPr>
        <w:t>完成预算100</w:t>
      </w:r>
      <w:r>
        <w:rPr>
          <w:rStyle w:val="a6"/>
          <w:rFonts w:ascii="仿宋" w:eastAsia="仿宋" w:hAnsi="仿宋"/>
          <w:bCs/>
          <w:sz w:val="32"/>
          <w:szCs w:val="32"/>
        </w:rPr>
        <w:t>%</w:t>
      </w:r>
      <w:r>
        <w:rPr>
          <w:rStyle w:val="a6"/>
          <w:rFonts w:ascii="仿宋" w:eastAsia="仿宋" w:hAnsi="仿宋" w:hint="eastAsia"/>
          <w:bCs/>
          <w:sz w:val="32"/>
          <w:szCs w:val="32"/>
        </w:rPr>
        <w:t>。其中：</w:t>
      </w:r>
      <w:bookmarkEnd w:id="31"/>
      <w:bookmarkEnd w:id="32"/>
      <w:bookmarkEnd w:id="33"/>
    </w:p>
    <w:p w:rsidR="001722E9" w:rsidRDefault="001722E9" w:rsidP="001722E9">
      <w:pPr>
        <w:spacing w:line="600" w:lineRule="exact"/>
        <w:ind w:firstLineChars="200" w:firstLine="643"/>
        <w:rPr>
          <w:rFonts w:ascii="仿宋" w:eastAsia="仿宋" w:hAnsi="仿宋"/>
          <w:b/>
          <w:sz w:val="32"/>
          <w:szCs w:val="32"/>
        </w:rPr>
      </w:pPr>
      <w:r>
        <w:rPr>
          <w:rStyle w:val="a6"/>
          <w:rFonts w:ascii="仿宋" w:eastAsia="仿宋" w:hAnsi="仿宋"/>
          <w:bCs/>
          <w:sz w:val="32"/>
          <w:szCs w:val="32"/>
        </w:rPr>
        <w:t>1.</w:t>
      </w:r>
      <w:r>
        <w:rPr>
          <w:rStyle w:val="a6"/>
          <w:rFonts w:ascii="仿宋" w:eastAsia="仿宋" w:hAnsi="仿宋" w:hint="eastAsia"/>
          <w:bCs/>
          <w:sz w:val="32"/>
          <w:szCs w:val="32"/>
        </w:rPr>
        <w:t>一般公共服务（类）组织事务（款）其他组织事务支出（项）</w:t>
      </w:r>
      <w:r>
        <w:rPr>
          <w:rStyle w:val="a6"/>
          <w:rFonts w:ascii="仿宋" w:eastAsia="仿宋" w:hAnsi="仿宋"/>
          <w:bCs/>
          <w:sz w:val="32"/>
          <w:szCs w:val="32"/>
        </w:rPr>
        <w:t>:</w:t>
      </w:r>
      <w:r>
        <w:rPr>
          <w:rStyle w:val="a6"/>
          <w:rFonts w:ascii="仿宋" w:eastAsia="仿宋" w:hAnsi="仿宋" w:hint="eastAsia"/>
          <w:bCs/>
          <w:sz w:val="32"/>
          <w:szCs w:val="32"/>
        </w:rPr>
        <w:t>支出决算为8.95万元，完成预算100</w:t>
      </w:r>
      <w:r>
        <w:rPr>
          <w:rStyle w:val="a6"/>
          <w:rFonts w:ascii="仿宋" w:eastAsia="仿宋" w:hAnsi="仿宋"/>
          <w:bCs/>
          <w:sz w:val="32"/>
          <w:szCs w:val="32"/>
        </w:rPr>
        <w:t>%</w:t>
      </w:r>
      <w:r>
        <w:rPr>
          <w:rStyle w:val="a6"/>
          <w:rFonts w:ascii="仿宋" w:eastAsia="仿宋" w:hAnsi="仿宋" w:hint="eastAsia"/>
          <w:bCs/>
          <w:sz w:val="32"/>
          <w:szCs w:val="32"/>
        </w:rPr>
        <w:t>。</w:t>
      </w:r>
    </w:p>
    <w:p w:rsidR="001722E9" w:rsidRPr="0057645A" w:rsidRDefault="001722E9" w:rsidP="001722E9">
      <w:pPr>
        <w:spacing w:line="600" w:lineRule="exact"/>
        <w:ind w:firstLineChars="200" w:firstLine="643"/>
        <w:rPr>
          <w:rFonts w:ascii="仿宋" w:eastAsia="仿宋" w:hAnsi="仿宋"/>
          <w:b/>
          <w:sz w:val="32"/>
          <w:szCs w:val="32"/>
        </w:rPr>
      </w:pPr>
      <w:r>
        <w:rPr>
          <w:rStyle w:val="a6"/>
          <w:rFonts w:ascii="仿宋" w:eastAsia="仿宋" w:hAnsi="仿宋"/>
          <w:bCs/>
          <w:sz w:val="32"/>
          <w:szCs w:val="32"/>
        </w:rPr>
        <w:t>2.</w:t>
      </w:r>
      <w:r>
        <w:rPr>
          <w:rStyle w:val="a6"/>
          <w:rFonts w:ascii="仿宋" w:eastAsia="仿宋" w:hAnsi="仿宋" w:hint="eastAsia"/>
          <w:bCs/>
          <w:sz w:val="32"/>
          <w:szCs w:val="32"/>
        </w:rPr>
        <w:t>教育（类）普通教育（款）高中教育（项）</w:t>
      </w:r>
      <w:r>
        <w:rPr>
          <w:rStyle w:val="a6"/>
          <w:rFonts w:ascii="仿宋" w:eastAsia="仿宋" w:hAnsi="仿宋"/>
          <w:bCs/>
          <w:sz w:val="32"/>
          <w:szCs w:val="32"/>
        </w:rPr>
        <w:t>:</w:t>
      </w:r>
      <w:r>
        <w:rPr>
          <w:rStyle w:val="a6"/>
          <w:rFonts w:ascii="仿宋" w:eastAsia="仿宋" w:hAnsi="仿宋" w:hint="eastAsia"/>
          <w:bCs/>
          <w:sz w:val="32"/>
          <w:szCs w:val="32"/>
        </w:rPr>
        <w:t>支出决算为7192.52万元，完成预算100</w:t>
      </w:r>
      <w:r>
        <w:rPr>
          <w:rStyle w:val="a6"/>
          <w:rFonts w:ascii="仿宋" w:eastAsia="仿宋" w:hAnsi="仿宋"/>
          <w:bCs/>
          <w:sz w:val="32"/>
          <w:szCs w:val="32"/>
        </w:rPr>
        <w:t>%</w:t>
      </w:r>
      <w:r>
        <w:rPr>
          <w:rStyle w:val="a6"/>
          <w:rFonts w:ascii="仿宋" w:eastAsia="仿宋" w:hAnsi="仿宋" w:hint="eastAsia"/>
          <w:bCs/>
          <w:sz w:val="32"/>
          <w:szCs w:val="32"/>
        </w:rPr>
        <w:t>。教育（类）</w:t>
      </w:r>
      <w:r w:rsidRPr="00335C21">
        <w:rPr>
          <w:rStyle w:val="a6"/>
          <w:rFonts w:ascii="仿宋" w:eastAsia="仿宋" w:hAnsi="仿宋" w:hint="eastAsia"/>
          <w:bCs/>
          <w:sz w:val="32"/>
          <w:szCs w:val="32"/>
        </w:rPr>
        <w:t>教育费附加安排的支出</w:t>
      </w:r>
      <w:r>
        <w:rPr>
          <w:rStyle w:val="a6"/>
          <w:rFonts w:ascii="仿宋" w:eastAsia="仿宋" w:hAnsi="仿宋" w:hint="eastAsia"/>
          <w:bCs/>
          <w:sz w:val="32"/>
          <w:szCs w:val="32"/>
        </w:rPr>
        <w:t>（款）</w:t>
      </w:r>
      <w:r w:rsidRPr="00335C21">
        <w:rPr>
          <w:rStyle w:val="a6"/>
          <w:rFonts w:ascii="仿宋" w:eastAsia="仿宋" w:hAnsi="仿宋" w:hint="eastAsia"/>
          <w:bCs/>
          <w:sz w:val="32"/>
          <w:szCs w:val="32"/>
        </w:rPr>
        <w:t>其他教育费附加安排的支出</w:t>
      </w:r>
      <w:r>
        <w:rPr>
          <w:rStyle w:val="a6"/>
          <w:rFonts w:ascii="仿宋" w:eastAsia="仿宋" w:hAnsi="仿宋" w:hint="eastAsia"/>
          <w:bCs/>
          <w:sz w:val="32"/>
          <w:szCs w:val="32"/>
        </w:rPr>
        <w:t>（项）：支出决算为280.23万元，完成预算100</w:t>
      </w:r>
      <w:r>
        <w:rPr>
          <w:rStyle w:val="a6"/>
          <w:rFonts w:ascii="仿宋" w:eastAsia="仿宋" w:hAnsi="仿宋"/>
          <w:bCs/>
          <w:sz w:val="32"/>
          <w:szCs w:val="32"/>
        </w:rPr>
        <w:t>%</w:t>
      </w:r>
      <w:r>
        <w:rPr>
          <w:rStyle w:val="a6"/>
          <w:rFonts w:ascii="仿宋" w:eastAsia="仿宋" w:hAnsi="仿宋" w:hint="eastAsia"/>
          <w:bCs/>
          <w:sz w:val="32"/>
          <w:szCs w:val="32"/>
        </w:rPr>
        <w:t>。</w:t>
      </w:r>
    </w:p>
    <w:p w:rsidR="001722E9" w:rsidRDefault="001722E9" w:rsidP="001722E9">
      <w:pPr>
        <w:spacing w:line="600" w:lineRule="exact"/>
        <w:ind w:firstLineChars="200" w:firstLine="643"/>
        <w:rPr>
          <w:rFonts w:ascii="仿宋" w:eastAsia="仿宋" w:hAnsi="仿宋"/>
          <w:b/>
          <w:sz w:val="32"/>
          <w:szCs w:val="32"/>
        </w:rPr>
      </w:pPr>
      <w:r>
        <w:rPr>
          <w:rStyle w:val="a6"/>
          <w:rFonts w:ascii="仿宋" w:eastAsia="仿宋" w:hAnsi="仿宋" w:hint="eastAsia"/>
          <w:bCs/>
          <w:sz w:val="32"/>
          <w:szCs w:val="32"/>
        </w:rPr>
        <w:lastRenderedPageBreak/>
        <w:t>3</w:t>
      </w:r>
      <w:r>
        <w:rPr>
          <w:rStyle w:val="a6"/>
          <w:rFonts w:ascii="仿宋" w:eastAsia="仿宋" w:hAnsi="仿宋"/>
          <w:bCs/>
          <w:sz w:val="32"/>
          <w:szCs w:val="32"/>
        </w:rPr>
        <w:t>.</w:t>
      </w:r>
      <w:r>
        <w:rPr>
          <w:rStyle w:val="a6"/>
          <w:rFonts w:ascii="仿宋" w:eastAsia="仿宋" w:hAnsi="仿宋" w:hint="eastAsia"/>
          <w:bCs/>
          <w:sz w:val="32"/>
          <w:szCs w:val="32"/>
        </w:rPr>
        <w:t>社会保障和就业（类）</w:t>
      </w:r>
      <w:r w:rsidRPr="00335C21">
        <w:rPr>
          <w:rStyle w:val="a6"/>
          <w:rFonts w:ascii="仿宋" w:eastAsia="仿宋" w:hAnsi="仿宋" w:hint="eastAsia"/>
          <w:bCs/>
          <w:sz w:val="32"/>
          <w:szCs w:val="32"/>
        </w:rPr>
        <w:t>人力资源和社会保障管理事务</w:t>
      </w:r>
      <w:r>
        <w:rPr>
          <w:rStyle w:val="a6"/>
          <w:rFonts w:ascii="仿宋" w:eastAsia="仿宋" w:hAnsi="仿宋" w:hint="eastAsia"/>
          <w:bCs/>
          <w:sz w:val="32"/>
          <w:szCs w:val="32"/>
        </w:rPr>
        <w:t>（款）</w:t>
      </w:r>
      <w:r w:rsidRPr="00335C21">
        <w:rPr>
          <w:rStyle w:val="a6"/>
          <w:rFonts w:ascii="仿宋" w:eastAsia="仿宋" w:hAnsi="仿宋" w:hint="eastAsia"/>
          <w:bCs/>
          <w:sz w:val="32"/>
          <w:szCs w:val="32"/>
        </w:rPr>
        <w:t>其他人力资源和社会保障管理事务支出</w:t>
      </w:r>
      <w:r>
        <w:rPr>
          <w:rStyle w:val="a6"/>
          <w:rFonts w:ascii="仿宋" w:eastAsia="仿宋" w:hAnsi="仿宋" w:hint="eastAsia"/>
          <w:bCs/>
          <w:sz w:val="32"/>
          <w:szCs w:val="32"/>
        </w:rPr>
        <w:t>（项）</w:t>
      </w:r>
      <w:r>
        <w:rPr>
          <w:rStyle w:val="a6"/>
          <w:rFonts w:ascii="仿宋" w:eastAsia="仿宋" w:hAnsi="仿宋"/>
          <w:bCs/>
          <w:sz w:val="32"/>
          <w:szCs w:val="32"/>
        </w:rPr>
        <w:t>:</w:t>
      </w:r>
      <w:r>
        <w:rPr>
          <w:rStyle w:val="a6"/>
          <w:rFonts w:ascii="仿宋" w:eastAsia="仿宋" w:hAnsi="仿宋" w:hint="eastAsia"/>
          <w:bCs/>
          <w:sz w:val="32"/>
          <w:szCs w:val="32"/>
        </w:rPr>
        <w:t>支出决算为106.2万元，完成预算100</w:t>
      </w:r>
      <w:r>
        <w:rPr>
          <w:rStyle w:val="a6"/>
          <w:rFonts w:ascii="仿宋" w:eastAsia="仿宋" w:hAnsi="仿宋"/>
          <w:bCs/>
          <w:sz w:val="32"/>
          <w:szCs w:val="32"/>
        </w:rPr>
        <w:t>%</w:t>
      </w:r>
      <w:r>
        <w:rPr>
          <w:rStyle w:val="a6"/>
          <w:rFonts w:ascii="仿宋" w:eastAsia="仿宋" w:hAnsi="仿宋" w:hint="eastAsia"/>
          <w:bCs/>
          <w:sz w:val="32"/>
          <w:szCs w:val="32"/>
        </w:rPr>
        <w:t>。社会保障和就业（类）</w:t>
      </w:r>
      <w:r w:rsidRPr="00335C21">
        <w:rPr>
          <w:rStyle w:val="a6"/>
          <w:rFonts w:ascii="仿宋" w:eastAsia="仿宋" w:hAnsi="仿宋" w:hint="eastAsia"/>
          <w:bCs/>
          <w:sz w:val="32"/>
          <w:szCs w:val="32"/>
        </w:rPr>
        <w:t>行政事业单位养老支出</w:t>
      </w:r>
      <w:r>
        <w:rPr>
          <w:rStyle w:val="a6"/>
          <w:rFonts w:ascii="仿宋" w:eastAsia="仿宋" w:hAnsi="仿宋" w:hint="eastAsia"/>
          <w:bCs/>
          <w:sz w:val="32"/>
          <w:szCs w:val="32"/>
        </w:rPr>
        <w:t>（款）</w:t>
      </w:r>
      <w:r w:rsidRPr="00335C21">
        <w:rPr>
          <w:rStyle w:val="a6"/>
          <w:rFonts w:ascii="仿宋" w:eastAsia="仿宋" w:hAnsi="仿宋" w:hint="eastAsia"/>
          <w:bCs/>
          <w:sz w:val="32"/>
          <w:szCs w:val="32"/>
        </w:rPr>
        <w:t>机关事业单位基本养老保险缴费支出</w:t>
      </w:r>
      <w:r>
        <w:rPr>
          <w:rStyle w:val="a6"/>
          <w:rFonts w:ascii="仿宋" w:eastAsia="仿宋" w:hAnsi="仿宋" w:hint="eastAsia"/>
          <w:bCs/>
          <w:sz w:val="32"/>
          <w:szCs w:val="32"/>
        </w:rPr>
        <w:t>（项）</w:t>
      </w:r>
      <w:r>
        <w:rPr>
          <w:rStyle w:val="a6"/>
          <w:rFonts w:ascii="仿宋" w:eastAsia="仿宋" w:hAnsi="仿宋"/>
          <w:bCs/>
          <w:sz w:val="32"/>
          <w:szCs w:val="32"/>
        </w:rPr>
        <w:t>:</w:t>
      </w:r>
      <w:r>
        <w:rPr>
          <w:rStyle w:val="a6"/>
          <w:rFonts w:ascii="仿宋" w:eastAsia="仿宋" w:hAnsi="仿宋" w:hint="eastAsia"/>
          <w:bCs/>
          <w:sz w:val="32"/>
          <w:szCs w:val="32"/>
        </w:rPr>
        <w:t>支出决算为597.87万元，完成预算100</w:t>
      </w:r>
      <w:r>
        <w:rPr>
          <w:rStyle w:val="a6"/>
          <w:rFonts w:ascii="仿宋" w:eastAsia="仿宋" w:hAnsi="仿宋"/>
          <w:bCs/>
          <w:sz w:val="32"/>
          <w:szCs w:val="32"/>
        </w:rPr>
        <w:t>%</w:t>
      </w:r>
      <w:r>
        <w:rPr>
          <w:rStyle w:val="a6"/>
          <w:rFonts w:ascii="仿宋" w:eastAsia="仿宋" w:hAnsi="仿宋" w:hint="eastAsia"/>
          <w:bCs/>
          <w:sz w:val="32"/>
          <w:szCs w:val="32"/>
        </w:rPr>
        <w:t>。社会保障和就业（类）</w:t>
      </w:r>
      <w:r w:rsidRPr="00335C21">
        <w:rPr>
          <w:rStyle w:val="a6"/>
          <w:rFonts w:ascii="仿宋" w:eastAsia="仿宋" w:hAnsi="仿宋" w:hint="eastAsia"/>
          <w:bCs/>
          <w:sz w:val="32"/>
          <w:szCs w:val="32"/>
        </w:rPr>
        <w:t>抚恤</w:t>
      </w:r>
      <w:r>
        <w:rPr>
          <w:rStyle w:val="a6"/>
          <w:rFonts w:ascii="仿宋" w:eastAsia="仿宋" w:hAnsi="仿宋" w:hint="eastAsia"/>
          <w:bCs/>
          <w:sz w:val="32"/>
          <w:szCs w:val="32"/>
        </w:rPr>
        <w:t>（款）死亡</w:t>
      </w:r>
      <w:r w:rsidRPr="00335C21">
        <w:rPr>
          <w:rStyle w:val="a6"/>
          <w:rFonts w:ascii="仿宋" w:eastAsia="仿宋" w:hAnsi="仿宋" w:hint="eastAsia"/>
          <w:bCs/>
          <w:sz w:val="32"/>
          <w:szCs w:val="32"/>
        </w:rPr>
        <w:t>抚恤</w:t>
      </w:r>
      <w:r>
        <w:rPr>
          <w:rStyle w:val="a6"/>
          <w:rFonts w:ascii="仿宋" w:eastAsia="仿宋" w:hAnsi="仿宋" w:hint="eastAsia"/>
          <w:bCs/>
          <w:sz w:val="32"/>
          <w:szCs w:val="32"/>
        </w:rPr>
        <w:t>（项）</w:t>
      </w:r>
      <w:r>
        <w:rPr>
          <w:rStyle w:val="a6"/>
          <w:rFonts w:ascii="仿宋" w:eastAsia="仿宋" w:hAnsi="仿宋"/>
          <w:bCs/>
          <w:sz w:val="32"/>
          <w:szCs w:val="32"/>
        </w:rPr>
        <w:t>:</w:t>
      </w:r>
      <w:r>
        <w:rPr>
          <w:rStyle w:val="a6"/>
          <w:rFonts w:ascii="仿宋" w:eastAsia="仿宋" w:hAnsi="仿宋" w:hint="eastAsia"/>
          <w:bCs/>
          <w:sz w:val="32"/>
          <w:szCs w:val="32"/>
        </w:rPr>
        <w:t>支出决算为10.31万元，完成预算100</w:t>
      </w:r>
      <w:r>
        <w:rPr>
          <w:rStyle w:val="a6"/>
          <w:rFonts w:ascii="仿宋" w:eastAsia="仿宋" w:hAnsi="仿宋"/>
          <w:bCs/>
          <w:sz w:val="32"/>
          <w:szCs w:val="32"/>
        </w:rPr>
        <w:t>%</w:t>
      </w:r>
      <w:r>
        <w:rPr>
          <w:rStyle w:val="a6"/>
          <w:rFonts w:ascii="仿宋" w:eastAsia="仿宋" w:hAnsi="仿宋" w:hint="eastAsia"/>
          <w:bCs/>
          <w:sz w:val="32"/>
          <w:szCs w:val="32"/>
        </w:rPr>
        <w:t>。</w:t>
      </w:r>
    </w:p>
    <w:p w:rsidR="001722E9" w:rsidRDefault="001722E9" w:rsidP="001722E9">
      <w:pPr>
        <w:spacing w:line="600" w:lineRule="exact"/>
        <w:ind w:firstLineChars="200" w:firstLine="643"/>
        <w:rPr>
          <w:rFonts w:ascii="仿宋" w:eastAsia="仿宋" w:hAnsi="仿宋"/>
          <w:b/>
          <w:sz w:val="32"/>
          <w:szCs w:val="32"/>
        </w:rPr>
      </w:pPr>
      <w:r>
        <w:rPr>
          <w:rStyle w:val="a6"/>
          <w:rFonts w:ascii="仿宋" w:eastAsia="仿宋" w:hAnsi="仿宋" w:hint="eastAsia"/>
          <w:bCs/>
          <w:sz w:val="32"/>
          <w:szCs w:val="32"/>
        </w:rPr>
        <w:t>4</w:t>
      </w:r>
      <w:r>
        <w:rPr>
          <w:rStyle w:val="a6"/>
          <w:rFonts w:ascii="仿宋" w:eastAsia="仿宋" w:hAnsi="仿宋"/>
          <w:bCs/>
          <w:sz w:val="32"/>
          <w:szCs w:val="32"/>
        </w:rPr>
        <w:t>.</w:t>
      </w:r>
      <w:r w:rsidRPr="00335C21">
        <w:rPr>
          <w:rFonts w:hint="eastAsia"/>
        </w:rPr>
        <w:t xml:space="preserve"> </w:t>
      </w:r>
      <w:r w:rsidRPr="00335C21">
        <w:rPr>
          <w:rFonts w:ascii="仿宋" w:eastAsia="仿宋" w:hAnsi="仿宋" w:hint="eastAsia"/>
          <w:b/>
          <w:bCs/>
          <w:sz w:val="32"/>
          <w:szCs w:val="32"/>
        </w:rPr>
        <w:t>住房保障支出</w:t>
      </w:r>
      <w:r>
        <w:rPr>
          <w:rStyle w:val="a6"/>
          <w:rFonts w:ascii="仿宋" w:eastAsia="仿宋" w:hAnsi="仿宋" w:hint="eastAsia"/>
          <w:bCs/>
          <w:sz w:val="32"/>
          <w:szCs w:val="32"/>
        </w:rPr>
        <w:t>（类）</w:t>
      </w:r>
      <w:r w:rsidRPr="00335C21">
        <w:rPr>
          <w:rStyle w:val="a6"/>
          <w:rFonts w:ascii="仿宋" w:eastAsia="仿宋" w:hAnsi="仿宋" w:hint="eastAsia"/>
          <w:bCs/>
          <w:sz w:val="32"/>
          <w:szCs w:val="32"/>
        </w:rPr>
        <w:t>住房改革支出</w:t>
      </w:r>
      <w:r>
        <w:rPr>
          <w:rStyle w:val="a6"/>
          <w:rFonts w:ascii="仿宋" w:eastAsia="仿宋" w:hAnsi="仿宋" w:hint="eastAsia"/>
          <w:bCs/>
          <w:sz w:val="32"/>
          <w:szCs w:val="32"/>
        </w:rPr>
        <w:t>（款）</w:t>
      </w:r>
      <w:r w:rsidRPr="00335C21">
        <w:rPr>
          <w:rStyle w:val="a6"/>
          <w:rFonts w:ascii="仿宋" w:eastAsia="仿宋" w:hAnsi="仿宋" w:hint="eastAsia"/>
          <w:bCs/>
          <w:sz w:val="32"/>
          <w:szCs w:val="32"/>
        </w:rPr>
        <w:t>住房公积金</w:t>
      </w:r>
      <w:r>
        <w:rPr>
          <w:rStyle w:val="a6"/>
          <w:rFonts w:ascii="仿宋" w:eastAsia="仿宋" w:hAnsi="仿宋" w:hint="eastAsia"/>
          <w:bCs/>
          <w:sz w:val="32"/>
          <w:szCs w:val="32"/>
        </w:rPr>
        <w:t>（项）</w:t>
      </w:r>
      <w:r>
        <w:rPr>
          <w:rStyle w:val="a6"/>
          <w:rFonts w:ascii="仿宋" w:eastAsia="仿宋" w:hAnsi="仿宋"/>
          <w:bCs/>
          <w:sz w:val="32"/>
          <w:szCs w:val="32"/>
        </w:rPr>
        <w:t>:</w:t>
      </w:r>
      <w:r>
        <w:rPr>
          <w:rStyle w:val="a6"/>
          <w:rFonts w:ascii="仿宋" w:eastAsia="仿宋" w:hAnsi="仿宋" w:hint="eastAsia"/>
          <w:bCs/>
          <w:sz w:val="32"/>
          <w:szCs w:val="32"/>
        </w:rPr>
        <w:t>支出决算为4.82万元，完成预算100</w:t>
      </w:r>
      <w:r>
        <w:rPr>
          <w:rStyle w:val="a6"/>
          <w:rFonts w:ascii="仿宋" w:eastAsia="仿宋" w:hAnsi="仿宋"/>
          <w:bCs/>
          <w:sz w:val="32"/>
          <w:szCs w:val="32"/>
        </w:rPr>
        <w:t>%</w:t>
      </w:r>
      <w:r>
        <w:rPr>
          <w:rStyle w:val="a6"/>
          <w:rFonts w:ascii="仿宋" w:eastAsia="仿宋" w:hAnsi="仿宋" w:hint="eastAsia"/>
          <w:bCs/>
          <w:sz w:val="32"/>
          <w:szCs w:val="32"/>
        </w:rPr>
        <w:t>。</w:t>
      </w:r>
    </w:p>
    <w:p w:rsidR="001722E9" w:rsidRDefault="001722E9" w:rsidP="001722E9">
      <w:pPr>
        <w:tabs>
          <w:tab w:val="right" w:pos="8306"/>
        </w:tabs>
        <w:spacing w:line="600" w:lineRule="exact"/>
        <w:ind w:firstLine="640"/>
        <w:outlineLvl w:val="1"/>
        <w:rPr>
          <w:rStyle w:val="2Char"/>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rPr>
        <w:t>般公共预算财政拨款基本支出决算情况说明</w:t>
      </w:r>
      <w:bookmarkEnd w:id="34"/>
      <w:bookmarkEnd w:id="35"/>
      <w:r>
        <w:rPr>
          <w:rStyle w:val="2Char"/>
          <w:rFonts w:ascii="黑体" w:eastAsia="黑体" w:hAnsi="黑体"/>
        </w:rPr>
        <w:tab/>
      </w:r>
    </w:p>
    <w:p w:rsidR="001722E9" w:rsidRDefault="001722E9" w:rsidP="001722E9">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21年一般公共预算财政拨款基本支出7649.44万元，其中：</w:t>
      </w:r>
    </w:p>
    <w:p w:rsidR="001722E9" w:rsidRDefault="001722E9" w:rsidP="001722E9">
      <w:pPr>
        <w:spacing w:line="600" w:lineRule="exact"/>
        <w:ind w:firstLine="645"/>
        <w:rPr>
          <w:rFonts w:ascii="仿宋" w:eastAsia="仿宋" w:hAnsi="仿宋"/>
          <w:sz w:val="32"/>
          <w:szCs w:val="32"/>
        </w:rPr>
      </w:pPr>
      <w:r>
        <w:rPr>
          <w:rFonts w:ascii="仿宋" w:eastAsia="仿宋" w:hAnsi="仿宋" w:hint="eastAsia"/>
          <w:sz w:val="32"/>
          <w:szCs w:val="32"/>
        </w:rPr>
        <w:t>人员经费7217.81万元，主要包括：基本工资、津贴补贴、奖金、绩效工资、机关事业单位基本养老保险缴费、其他社会保障缴费、其他工资福利支出、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431.63万元，主要包括：办公费、印刷费、手续费、水费、电费、邮电费、物业管理费、差旅费、维修（护）费、租赁费、会议费、培训费、公务接待费、劳务费、工会经费、福利费、公务用车运行维护费、其他交通费、其他商品和服务支出、信息网络及软件购置更新等。</w:t>
      </w:r>
    </w:p>
    <w:p w:rsidR="001722E9" w:rsidRDefault="001722E9" w:rsidP="001722E9">
      <w:pPr>
        <w:spacing w:line="600" w:lineRule="exact"/>
        <w:ind w:firstLine="640"/>
        <w:outlineLvl w:val="1"/>
        <w:rPr>
          <w:rStyle w:val="2Char"/>
          <w:rFonts w:ascii="黑体" w:eastAsia="黑体" w:hAnsi="黑体"/>
          <w:b w:val="0"/>
        </w:rPr>
      </w:pPr>
      <w:bookmarkStart w:id="36" w:name="_Toc15396609"/>
      <w:bookmarkStart w:id="37" w:name="_Toc15377215"/>
      <w:r>
        <w:rPr>
          <w:rFonts w:ascii="黑体" w:eastAsia="黑体" w:hint="eastAsia"/>
          <w:sz w:val="32"/>
          <w:szCs w:val="32"/>
        </w:rPr>
        <w:t>七、</w:t>
      </w:r>
      <w:r>
        <w:rPr>
          <w:rStyle w:val="2Char"/>
          <w:rFonts w:ascii="黑体" w:eastAsia="黑体" w:hAnsi="黑体" w:hint="eastAsia"/>
        </w:rPr>
        <w:t>“三公”经费财政拨款支出决算情况说明</w:t>
      </w:r>
      <w:bookmarkEnd w:id="36"/>
      <w:bookmarkEnd w:id="37"/>
    </w:p>
    <w:p w:rsidR="001722E9" w:rsidRDefault="001722E9" w:rsidP="001722E9">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lastRenderedPageBreak/>
        <w:t>（一）“三公”经费财政拨款支出决算总体情况说明</w:t>
      </w:r>
      <w:bookmarkEnd w:id="38"/>
    </w:p>
    <w:p w:rsidR="001722E9" w:rsidRDefault="001722E9" w:rsidP="001722E9">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21年“三公”经费财政拨款支出决算为6万元，完成预算87.8</w:t>
      </w:r>
      <w:r>
        <w:rPr>
          <w:rFonts w:ascii="仿宋" w:eastAsia="仿宋" w:hAnsi="仿宋"/>
          <w:sz w:val="32"/>
          <w:szCs w:val="32"/>
        </w:rPr>
        <w:t>%</w:t>
      </w:r>
      <w:r>
        <w:rPr>
          <w:rFonts w:ascii="仿宋" w:eastAsia="仿宋" w:hAnsi="仿宋" w:hint="eastAsia"/>
          <w:sz w:val="32"/>
          <w:szCs w:val="32"/>
        </w:rPr>
        <w:t>。</w:t>
      </w:r>
    </w:p>
    <w:p w:rsidR="001722E9" w:rsidRDefault="001722E9" w:rsidP="001722E9">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1722E9" w:rsidRDefault="001722E9" w:rsidP="001722E9">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；公务用车购置及运行维护费支出决算5.83万元，占97.17</w:t>
      </w:r>
      <w:r>
        <w:rPr>
          <w:rFonts w:ascii="仿宋" w:eastAsia="仿宋" w:hAnsi="仿宋"/>
          <w:sz w:val="32"/>
          <w:szCs w:val="32"/>
        </w:rPr>
        <w:t>%</w:t>
      </w:r>
      <w:r>
        <w:rPr>
          <w:rFonts w:ascii="仿宋" w:eastAsia="仿宋" w:hAnsi="仿宋" w:hint="eastAsia"/>
          <w:sz w:val="32"/>
          <w:szCs w:val="32"/>
        </w:rPr>
        <w:t>；公务接待费支出决算0.17万元，占2.83</w:t>
      </w:r>
      <w:r>
        <w:rPr>
          <w:rFonts w:ascii="仿宋" w:eastAsia="仿宋" w:hAnsi="仿宋"/>
          <w:sz w:val="32"/>
          <w:szCs w:val="32"/>
        </w:rPr>
        <w:t>%</w:t>
      </w:r>
      <w:r>
        <w:rPr>
          <w:rFonts w:ascii="仿宋" w:eastAsia="仿宋" w:hAnsi="仿宋" w:hint="eastAsia"/>
          <w:sz w:val="32"/>
          <w:szCs w:val="32"/>
        </w:rPr>
        <w:t>。具体情况如下：</w:t>
      </w:r>
    </w:p>
    <w:p w:rsidR="001722E9" w:rsidRDefault="001722E9" w:rsidP="001722E9">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1722E9" w:rsidRPr="006150E4" w:rsidRDefault="001722E9" w:rsidP="001722E9">
      <w:pPr>
        <w:pStyle w:val="a0"/>
        <w:spacing w:before="93"/>
      </w:pPr>
      <w:r>
        <w:rPr>
          <w:rFonts w:hint="eastAsia"/>
        </w:rPr>
        <w:t xml:space="preserve">   </w:t>
      </w:r>
      <w:r w:rsidRPr="00486310">
        <w:rPr>
          <w:noProof/>
        </w:rPr>
        <w:drawing>
          <wp:inline distT="0" distB="0" distL="0" distR="0">
            <wp:extent cx="4863431" cy="2833816"/>
            <wp:effectExtent l="19050" t="0" r="13369" b="4634"/>
            <wp:docPr id="2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22E9" w:rsidRDefault="001722E9" w:rsidP="001722E9">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6"/>
          <w:rFonts w:ascii="仿宋" w:eastAsia="仿宋" w:hAnsi="仿宋" w:hint="eastAsia"/>
          <w:bCs/>
          <w:sz w:val="32"/>
          <w:szCs w:val="32"/>
        </w:rPr>
        <w:t>。</w:t>
      </w:r>
      <w:r>
        <w:rPr>
          <w:rFonts w:ascii="仿宋_GB2312" w:eastAsia="仿宋_GB2312" w:hint="eastAsia"/>
          <w:sz w:val="32"/>
          <w:szCs w:val="32"/>
        </w:rPr>
        <w:t>全年安排因公出国（境）团组0次，出国（境）0人。因公出国（境）支出决算比</w:t>
      </w:r>
      <w:r>
        <w:rPr>
          <w:rFonts w:ascii="仿宋_GB2312" w:eastAsia="仿宋_GB2312"/>
          <w:sz w:val="32"/>
          <w:szCs w:val="32"/>
        </w:rPr>
        <w:t>20</w:t>
      </w:r>
      <w:r>
        <w:rPr>
          <w:rFonts w:ascii="仿宋_GB2312" w:eastAsia="仿宋_GB2312" w:hint="eastAsia"/>
          <w:sz w:val="32"/>
          <w:szCs w:val="32"/>
        </w:rPr>
        <w:t>20年减少0万元。主要原因是近两年学校都无因公出国（境）事项。</w:t>
      </w:r>
    </w:p>
    <w:p w:rsidR="001722E9" w:rsidRDefault="001722E9" w:rsidP="001722E9">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5.83万元,</w:t>
      </w:r>
      <w:r>
        <w:rPr>
          <w:rStyle w:val="a6"/>
          <w:rFonts w:ascii="仿宋" w:eastAsia="仿宋" w:hAnsi="仿宋" w:hint="eastAsia"/>
          <w:bCs/>
          <w:sz w:val="32"/>
          <w:szCs w:val="32"/>
        </w:rPr>
        <w:t>完成预算100</w:t>
      </w:r>
      <w:r>
        <w:rPr>
          <w:rStyle w:val="a6"/>
          <w:rFonts w:ascii="仿宋" w:eastAsia="仿宋" w:hAnsi="仿宋"/>
          <w:bCs/>
          <w:sz w:val="32"/>
          <w:szCs w:val="32"/>
        </w:rPr>
        <w:t>%</w:t>
      </w:r>
      <w:r>
        <w:rPr>
          <w:rStyle w:val="a6"/>
          <w:rFonts w:ascii="仿宋" w:eastAsia="仿宋" w:hAnsi="仿宋" w:hint="eastAsia"/>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20年减少</w:t>
      </w:r>
      <w:r>
        <w:rPr>
          <w:rFonts w:ascii="仿宋_GB2312" w:eastAsia="仿宋_GB2312" w:hint="eastAsia"/>
          <w:sz w:val="32"/>
          <w:szCs w:val="32"/>
        </w:rPr>
        <w:lastRenderedPageBreak/>
        <w:t>24.78万元，下降80.43</w:t>
      </w:r>
      <w:r>
        <w:rPr>
          <w:rFonts w:ascii="仿宋_GB2312" w:eastAsia="仿宋_GB2312"/>
          <w:sz w:val="32"/>
          <w:szCs w:val="32"/>
        </w:rPr>
        <w:t>%</w:t>
      </w:r>
      <w:r>
        <w:rPr>
          <w:rFonts w:ascii="仿宋_GB2312" w:eastAsia="仿宋_GB2312" w:hint="eastAsia"/>
          <w:sz w:val="32"/>
          <w:szCs w:val="32"/>
        </w:rPr>
        <w:t>。主要原因是2020年购置公务用车一辆，本年未购置。</w:t>
      </w:r>
    </w:p>
    <w:p w:rsidR="001722E9" w:rsidRDefault="001722E9" w:rsidP="001722E9">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月底，单位共有公务用车3辆，其中：轿车1辆、越野车0辆、载客汽车2辆。</w:t>
      </w:r>
    </w:p>
    <w:p w:rsidR="001722E9" w:rsidRDefault="001722E9" w:rsidP="001722E9">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5.83万元。主要用于市内教职工公务、教师科研活动、学生比赛等所需的公务用车燃料费、维修费、过路过桥费、保险费等支出。</w:t>
      </w:r>
    </w:p>
    <w:p w:rsidR="001722E9" w:rsidRDefault="001722E9" w:rsidP="001722E9">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0.17万元，</w:t>
      </w:r>
      <w:r>
        <w:rPr>
          <w:rStyle w:val="a6"/>
          <w:rFonts w:ascii="仿宋" w:eastAsia="仿宋" w:hAnsi="仿宋" w:hint="eastAsia"/>
          <w:bCs/>
          <w:sz w:val="32"/>
          <w:szCs w:val="32"/>
        </w:rPr>
        <w:t>完成预算8.5</w:t>
      </w:r>
      <w:r>
        <w:rPr>
          <w:rStyle w:val="a6"/>
          <w:rFonts w:ascii="仿宋" w:eastAsia="仿宋" w:hAnsi="仿宋"/>
          <w:bCs/>
          <w:sz w:val="32"/>
          <w:szCs w:val="32"/>
        </w:rPr>
        <w:t>%</w:t>
      </w:r>
      <w:r>
        <w:rPr>
          <w:rStyle w:val="a6"/>
          <w:rFonts w:ascii="仿宋" w:eastAsia="仿宋" w:hAnsi="仿宋" w:hint="eastAsia"/>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20年减少0.03万元，下降16.65</w:t>
      </w:r>
      <w:r>
        <w:rPr>
          <w:rFonts w:ascii="仿宋_GB2312" w:eastAsia="仿宋_GB2312"/>
          <w:sz w:val="32"/>
          <w:szCs w:val="32"/>
        </w:rPr>
        <w:t>%</w:t>
      </w:r>
      <w:r>
        <w:rPr>
          <w:rFonts w:ascii="仿宋_GB2312" w:eastAsia="仿宋_GB2312" w:hint="eastAsia"/>
          <w:sz w:val="32"/>
          <w:szCs w:val="32"/>
        </w:rPr>
        <w:t>。主要原因是学校严格控制公务接待活动。其中：</w:t>
      </w:r>
    </w:p>
    <w:p w:rsidR="001722E9" w:rsidRDefault="001722E9" w:rsidP="001722E9">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0.17</w:t>
      </w:r>
      <w:r>
        <w:rPr>
          <w:rFonts w:ascii="仿宋_GB2312" w:eastAsia="仿宋_GB2312" w:hint="eastAsia"/>
          <w:sz w:val="32"/>
          <w:szCs w:val="32"/>
        </w:rPr>
        <w:t>万元，主要用于接待大学生源地建设、招生宣传等餐费。国内公务接待2批次，12人次（不包括陪同人员），共计支出0.17万元，具体内容包括：1、接待西南大学生源地建设工作人员、四川大学招生宣传工作人员。</w:t>
      </w:r>
    </w:p>
    <w:p w:rsidR="001722E9" w:rsidRDefault="001722E9" w:rsidP="001722E9">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万元，外事接待0批次，0人，共计支出0万元。</w:t>
      </w:r>
      <w:r>
        <w:rPr>
          <w:rFonts w:ascii="仿宋_GB2312" w:eastAsia="仿宋_GB2312"/>
          <w:sz w:val="32"/>
          <w:szCs w:val="32"/>
        </w:rPr>
        <w:t xml:space="preserve"> </w:t>
      </w:r>
    </w:p>
    <w:p w:rsidR="001722E9" w:rsidRDefault="001722E9" w:rsidP="001722E9">
      <w:pPr>
        <w:spacing w:line="600" w:lineRule="exact"/>
        <w:ind w:firstLine="640"/>
        <w:outlineLvl w:val="1"/>
        <w:rPr>
          <w:rFonts w:ascii="黑体" w:eastAsia="黑体"/>
          <w:sz w:val="32"/>
          <w:szCs w:val="32"/>
        </w:rPr>
      </w:pPr>
      <w:bookmarkStart w:id="40" w:name="_Toc15396610"/>
      <w:bookmarkStart w:id="41" w:name="_Toc15377218"/>
    </w:p>
    <w:p w:rsidR="001722E9" w:rsidRDefault="001722E9" w:rsidP="001722E9">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rPr>
        <w:t>政府性基金预算支出决算情况说明</w:t>
      </w:r>
      <w:bookmarkEnd w:id="40"/>
      <w:bookmarkEnd w:id="41"/>
    </w:p>
    <w:p w:rsidR="001722E9" w:rsidRDefault="001722E9" w:rsidP="001722E9">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21年政府性基金预算财政拨款支出0万元。</w:t>
      </w:r>
    </w:p>
    <w:p w:rsidR="001722E9" w:rsidRDefault="001722E9" w:rsidP="001722E9">
      <w:pPr>
        <w:spacing w:line="600" w:lineRule="exact"/>
        <w:ind w:firstLine="640"/>
        <w:rPr>
          <w:rFonts w:ascii="仿宋_GB2312" w:eastAsia="仿宋_GB2312"/>
          <w:sz w:val="32"/>
          <w:szCs w:val="32"/>
        </w:rPr>
      </w:pPr>
    </w:p>
    <w:p w:rsidR="001722E9" w:rsidRDefault="001722E9" w:rsidP="001722E9">
      <w:pPr>
        <w:numPr>
          <w:ilvl w:val="0"/>
          <w:numId w:val="2"/>
        </w:numPr>
        <w:spacing w:line="600" w:lineRule="exact"/>
        <w:ind w:firstLine="640"/>
        <w:outlineLvl w:val="1"/>
        <w:rPr>
          <w:rStyle w:val="2Char"/>
          <w:rFonts w:ascii="黑体" w:eastAsia="黑体" w:hAnsi="黑体"/>
          <w:b w:val="0"/>
        </w:rPr>
      </w:pPr>
      <w:bookmarkStart w:id="42" w:name="_Toc15377219"/>
      <w:bookmarkStart w:id="43" w:name="_Toc15396611"/>
      <w:r>
        <w:rPr>
          <w:rStyle w:val="2Char"/>
          <w:rFonts w:ascii="黑体" w:eastAsia="黑体" w:hAnsi="黑体" w:hint="eastAsia"/>
        </w:rPr>
        <w:t>国有资本经营预算支出决算情况说明</w:t>
      </w:r>
      <w:bookmarkEnd w:id="42"/>
      <w:bookmarkEnd w:id="43"/>
    </w:p>
    <w:p w:rsidR="001722E9" w:rsidRDefault="001722E9" w:rsidP="001722E9">
      <w:pPr>
        <w:spacing w:line="600" w:lineRule="exact"/>
        <w:ind w:firstLine="640"/>
        <w:rPr>
          <w:rFonts w:ascii="仿宋_GB2312" w:eastAsia="仿宋_GB2312"/>
          <w:sz w:val="32"/>
          <w:szCs w:val="32"/>
        </w:rPr>
      </w:pPr>
      <w:r>
        <w:rPr>
          <w:rFonts w:ascii="仿宋_GB2312" w:eastAsia="仿宋_GB2312"/>
          <w:sz w:val="32"/>
          <w:szCs w:val="32"/>
        </w:rPr>
        <w:lastRenderedPageBreak/>
        <w:t>20</w:t>
      </w:r>
      <w:r>
        <w:rPr>
          <w:rFonts w:ascii="仿宋_GB2312" w:eastAsia="仿宋_GB2312" w:hint="eastAsia"/>
          <w:sz w:val="32"/>
          <w:szCs w:val="32"/>
        </w:rPr>
        <w:t>21年国有资本经营预算财政拨款支出0万元。</w:t>
      </w:r>
    </w:p>
    <w:p w:rsidR="001722E9" w:rsidRDefault="001722E9" w:rsidP="001722E9">
      <w:pPr>
        <w:spacing w:line="580" w:lineRule="exact"/>
        <w:jc w:val="center"/>
        <w:rPr>
          <w:rFonts w:ascii="方正小标宋简体" w:eastAsia="方正小标宋简体" w:hAnsi="方正小标宋简体" w:cs="方正小标宋简体"/>
          <w:sz w:val="44"/>
          <w:szCs w:val="44"/>
        </w:rPr>
      </w:pPr>
    </w:p>
    <w:p w:rsidR="001722E9" w:rsidRDefault="001722E9" w:rsidP="001722E9">
      <w:pPr>
        <w:numPr>
          <w:ilvl w:val="0"/>
          <w:numId w:val="2"/>
        </w:numPr>
        <w:spacing w:line="600" w:lineRule="exact"/>
        <w:ind w:firstLine="640"/>
        <w:outlineLvl w:val="1"/>
        <w:rPr>
          <w:rStyle w:val="2Char"/>
          <w:rFonts w:ascii="黑体" w:eastAsia="黑体" w:hAnsi="黑体"/>
          <w:b w:val="0"/>
        </w:rPr>
      </w:pPr>
      <w:bookmarkStart w:id="44" w:name="_Toc15396612"/>
      <w:bookmarkStart w:id="45" w:name="_Toc15377221"/>
      <w:r>
        <w:rPr>
          <w:rStyle w:val="2Char"/>
          <w:rFonts w:ascii="黑体" w:eastAsia="黑体" w:hAnsi="黑体" w:hint="eastAsia"/>
        </w:rPr>
        <w:t>其他重要事项的情况说明</w:t>
      </w:r>
      <w:bookmarkEnd w:id="44"/>
      <w:bookmarkEnd w:id="45"/>
    </w:p>
    <w:p w:rsidR="001722E9" w:rsidRDefault="001722E9" w:rsidP="001722E9">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1722E9" w:rsidRDefault="001722E9" w:rsidP="001722E9">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w:t>
      </w:r>
      <w:r>
        <w:rPr>
          <w:rFonts w:ascii="仿宋_GB2312" w:eastAsia="仿宋_GB2312" w:hint="eastAsia"/>
          <w:color w:val="000000"/>
          <w:sz w:val="32"/>
          <w:szCs w:val="32"/>
        </w:rPr>
        <w:t>1年，攀枝花市第三高级中学校无机关运行经费支出（属事业单位）。</w:t>
      </w:r>
    </w:p>
    <w:p w:rsidR="001722E9" w:rsidRDefault="001722E9" w:rsidP="001722E9">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rsidR="001722E9" w:rsidRDefault="001722E9" w:rsidP="001722E9">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攀枝花市第三高级中学校政府采购支出总额70万元，其中：政府采购货物支出70万元、政府采购工程支出0万元、政府采购服务支出0万元。主要用于学校破旧智慧黑板的更新（高一、高二年级）。授予中小企业合同金额0万元，占政府采购支出总额的0</w:t>
      </w:r>
      <w:r>
        <w:rPr>
          <w:rFonts w:ascii="仿宋_GB2312" w:eastAsia="仿宋_GB2312"/>
          <w:sz w:val="32"/>
          <w:szCs w:val="32"/>
        </w:rPr>
        <w:t>%</w:t>
      </w:r>
      <w:r>
        <w:rPr>
          <w:rFonts w:ascii="仿宋_GB2312" w:eastAsia="仿宋_GB2312" w:hint="eastAsia"/>
          <w:sz w:val="32"/>
          <w:szCs w:val="32"/>
        </w:rPr>
        <w:t>，其中：授予小微企业合同金额0万元，占政府采购支出总额的0</w:t>
      </w:r>
      <w:r>
        <w:rPr>
          <w:rFonts w:ascii="仿宋_GB2312" w:eastAsia="仿宋_GB2312"/>
          <w:sz w:val="32"/>
          <w:szCs w:val="32"/>
        </w:rPr>
        <w:t>%</w:t>
      </w:r>
      <w:r>
        <w:rPr>
          <w:rFonts w:ascii="仿宋_GB2312" w:eastAsia="仿宋_GB2312" w:hint="eastAsia"/>
          <w:sz w:val="32"/>
          <w:szCs w:val="32"/>
        </w:rPr>
        <w:t>。</w:t>
      </w:r>
    </w:p>
    <w:p w:rsidR="001722E9" w:rsidRDefault="001722E9" w:rsidP="001722E9">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1722E9" w:rsidRDefault="001722E9" w:rsidP="001722E9">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日，攀枝花市第三高级中学校共有车辆3辆，其中：主要领导干部用车0辆、机要通信用车0辆、应急保障用车0辆、其他用车3辆。其他用车主要是用于用于市内教职工公务、教师科研活动、学生比赛等。单价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万元以上专用设备0台（套）。</w:t>
      </w:r>
    </w:p>
    <w:p w:rsidR="001722E9" w:rsidRDefault="001722E9" w:rsidP="001722E9">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1722E9" w:rsidRPr="004B649A" w:rsidRDefault="001722E9" w:rsidP="001722E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根据预算绩效管理要求，本单位在2021年度预算编制阶段，组织对智慧黑板项目等1个项目开展了预算事前绩效评估，对1个项目编制了绩效目标，预算执行过程中，选取</w:t>
      </w:r>
      <w:r>
        <w:rPr>
          <w:rFonts w:ascii="仿宋_GB2312" w:eastAsia="仿宋_GB2312" w:hAnsi="仿宋_GB2312" w:cs="仿宋_GB2312" w:hint="eastAsia"/>
          <w:sz w:val="32"/>
          <w:szCs w:val="32"/>
        </w:rPr>
        <w:lastRenderedPageBreak/>
        <w:t>1个项目开展绩效监控，年终执行完毕后，对1个项目开展了绩效自评，2021年特定目标类部门预算项目绩效目标自评表见附件（第四部分）。</w:t>
      </w:r>
      <w:r>
        <w:rPr>
          <w:rFonts w:ascii="仿宋_GB2312" w:eastAsia="仿宋_GB2312"/>
          <w:b/>
          <w:sz w:val="32"/>
          <w:szCs w:val="32"/>
        </w:rPr>
        <w:br w:type="page"/>
      </w:r>
    </w:p>
    <w:p w:rsidR="001722E9" w:rsidRDefault="001722E9" w:rsidP="001722E9">
      <w:pPr>
        <w:numPr>
          <w:ilvl w:val="0"/>
          <w:numId w:val="3"/>
        </w:numPr>
        <w:spacing w:line="600" w:lineRule="exact"/>
        <w:ind w:firstLineChars="150" w:firstLine="660"/>
        <w:jc w:val="center"/>
        <w:outlineLvl w:val="0"/>
        <w:rPr>
          <w:rStyle w:val="1Char"/>
          <w:rFonts w:ascii="黑体" w:eastAsia="黑体" w:hAnsi="黑体"/>
          <w:b w:val="0"/>
        </w:rPr>
      </w:pPr>
      <w:bookmarkStart w:id="49" w:name="_Toc15396613"/>
      <w:bookmarkStart w:id="50" w:name="_Toc15377225"/>
      <w:r>
        <w:rPr>
          <w:rFonts w:ascii="黑体" w:eastAsia="黑体" w:hAnsi="黑体" w:hint="eastAsia"/>
          <w:sz w:val="44"/>
          <w:szCs w:val="44"/>
        </w:rPr>
        <w:lastRenderedPageBreak/>
        <w:t>名</w:t>
      </w:r>
      <w:r>
        <w:rPr>
          <w:rStyle w:val="1Char"/>
          <w:rFonts w:ascii="黑体" w:eastAsia="黑体" w:hAnsi="黑体" w:hint="eastAsia"/>
        </w:rPr>
        <w:t>词解释</w:t>
      </w:r>
      <w:bookmarkEnd w:id="49"/>
      <w:bookmarkEnd w:id="50"/>
    </w:p>
    <w:p w:rsidR="001722E9" w:rsidRDefault="001722E9" w:rsidP="001722E9">
      <w:pPr>
        <w:spacing w:line="600" w:lineRule="exact"/>
        <w:jc w:val="left"/>
        <w:rPr>
          <w:rFonts w:ascii="宋体"/>
          <w:b/>
          <w:sz w:val="44"/>
          <w:szCs w:val="44"/>
        </w:rPr>
      </w:pPr>
    </w:p>
    <w:p w:rsidR="001722E9" w:rsidRDefault="001722E9" w:rsidP="001722E9">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1722E9" w:rsidRDefault="001722E9" w:rsidP="001722E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其他收入：指单位取得的除上述收入以外的各项收入。主要是市教体局专项拨款、省级财政和其他部门拨款、…（收入类型）等。</w:t>
      </w:r>
    </w:p>
    <w:p w:rsidR="001722E9" w:rsidRDefault="001722E9" w:rsidP="001722E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使用非财政拨款结余：指事业单位使用以前年度积累的非财政拨款结余弥补当年收支差额的金额。</w:t>
      </w:r>
    </w:p>
    <w:p w:rsidR="001722E9" w:rsidRDefault="001722E9" w:rsidP="001722E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p>
    <w:p w:rsidR="001722E9" w:rsidRDefault="001722E9" w:rsidP="001722E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结余分配：指事业单位按照会计制度规定缴纳的所得税、提取的专用结余以及转入非财政拨款结余的金额等。</w:t>
      </w:r>
    </w:p>
    <w:p w:rsidR="001722E9" w:rsidRDefault="001722E9" w:rsidP="001722E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6、年末结转和结余：指单位按有关规定结转到下年或以后年度继续使用的资金。</w:t>
      </w:r>
    </w:p>
    <w:p w:rsidR="001722E9" w:rsidRDefault="001722E9" w:rsidP="001722E9">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color w:val="000000"/>
          <w:sz w:val="32"/>
          <w:szCs w:val="32"/>
        </w:rPr>
        <w:t>.</w:t>
      </w:r>
      <w:r>
        <w:rPr>
          <w:rFonts w:ascii="仿宋_GB2312" w:eastAsia="仿宋_GB2312" w:hint="eastAsia"/>
          <w:color w:val="000000"/>
          <w:sz w:val="32"/>
          <w:szCs w:val="32"/>
        </w:rPr>
        <w:t>一般公共服务（类）人力资源事务（款）其他人力资源事务（项）：指反映政府提供一般公共服务的支出，反映人力资源、机构编制、公务员管理、外专等方面的支出，反映除上述项目以外其他人力资源事务方面的支出。</w:t>
      </w:r>
    </w:p>
    <w:p w:rsidR="001722E9" w:rsidRDefault="001722E9" w:rsidP="001722E9">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Pr="002C7BCD">
        <w:rPr>
          <w:rFonts w:ascii="仿宋_GB2312" w:eastAsia="仿宋_GB2312" w:hint="eastAsia"/>
          <w:color w:val="000000"/>
          <w:sz w:val="32"/>
          <w:szCs w:val="32"/>
        </w:rPr>
        <w:t>.教育（类）普通教育（款）高中教育（项）：反映各部门举办的高级中学教育支出。政府各部门对社会中介组织等举办的高级中学的资助，如捐赠、补贴等，也在本科目中反映。教育（类）教育附加安排的支出（款）其他教育附加</w:t>
      </w:r>
      <w:r w:rsidRPr="002C7BCD">
        <w:rPr>
          <w:rFonts w:ascii="仿宋_GB2312" w:eastAsia="仿宋_GB2312" w:hint="eastAsia"/>
          <w:color w:val="000000"/>
          <w:sz w:val="32"/>
          <w:szCs w:val="32"/>
        </w:rPr>
        <w:lastRenderedPageBreak/>
        <w:t>安排的支出（项）:反映除农村中小学校舍建设、农村中小学教学设施、城市中小学校舍建设、城市中小学教学设施、中等职业学校教学设施以外的教育费附加支出。</w:t>
      </w:r>
    </w:p>
    <w:p w:rsidR="001722E9" w:rsidRDefault="001722E9" w:rsidP="001722E9">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Pr="002C7BCD">
        <w:rPr>
          <w:rFonts w:ascii="仿宋_GB2312" w:eastAsia="仿宋_GB2312" w:hint="eastAsia"/>
          <w:color w:val="000000"/>
          <w:sz w:val="32"/>
          <w:szCs w:val="32"/>
        </w:rPr>
        <w:t>.社会保障和就业（类）</w:t>
      </w:r>
      <w:r>
        <w:rPr>
          <w:rFonts w:ascii="仿宋_GB2312" w:eastAsia="仿宋_GB2312" w:hint="eastAsia"/>
          <w:color w:val="000000"/>
          <w:sz w:val="32"/>
          <w:szCs w:val="32"/>
        </w:rPr>
        <w:t>行政事业单位养老支出</w:t>
      </w:r>
      <w:r w:rsidRPr="002C7BCD">
        <w:rPr>
          <w:rFonts w:ascii="仿宋_GB2312" w:eastAsia="仿宋_GB2312" w:hint="eastAsia"/>
          <w:color w:val="000000"/>
          <w:sz w:val="32"/>
          <w:szCs w:val="32"/>
        </w:rPr>
        <w:t>（款）</w:t>
      </w:r>
      <w:r>
        <w:rPr>
          <w:rFonts w:ascii="仿宋_GB2312" w:eastAsia="仿宋_GB2312" w:hint="eastAsia"/>
          <w:color w:val="000000"/>
          <w:sz w:val="32"/>
          <w:szCs w:val="32"/>
        </w:rPr>
        <w:t>机关事业单位基本养老保险缴费支出</w:t>
      </w:r>
      <w:r w:rsidRPr="002C7BCD">
        <w:rPr>
          <w:rFonts w:ascii="仿宋_GB2312" w:eastAsia="仿宋_GB2312" w:hint="eastAsia"/>
          <w:color w:val="000000"/>
          <w:sz w:val="32"/>
          <w:szCs w:val="32"/>
        </w:rPr>
        <w:t>（项）</w:t>
      </w:r>
      <w:r>
        <w:rPr>
          <w:rFonts w:ascii="仿宋_GB2312" w:eastAsia="仿宋_GB2312" w:hint="eastAsia"/>
          <w:color w:val="000000"/>
          <w:sz w:val="32"/>
          <w:szCs w:val="32"/>
        </w:rPr>
        <w:t>反映机关事业单位实施养老保险制度由单位缴纳的基本养老保险支出</w:t>
      </w:r>
      <w:r w:rsidRPr="002C7BCD">
        <w:rPr>
          <w:rFonts w:ascii="仿宋_GB2312" w:eastAsia="仿宋_GB2312" w:hint="eastAsia"/>
          <w:color w:val="000000"/>
          <w:sz w:val="32"/>
          <w:szCs w:val="32"/>
        </w:rPr>
        <w:t>。社会保障和就业（类）抚恤（款）死亡抚恤（项）：反映按规定用于烈士和牺牲、病故人员家属的一次性和定期抚恤金以及丧葬补助费。</w:t>
      </w:r>
    </w:p>
    <w:p w:rsidR="001722E9" w:rsidRDefault="001722E9" w:rsidP="001722E9">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10</w:t>
      </w:r>
      <w:r w:rsidRPr="002C7BCD">
        <w:rPr>
          <w:rFonts w:ascii="仿宋_GB2312" w:eastAsia="仿宋_GB2312" w:hint="eastAsia"/>
          <w:color w:val="000000"/>
          <w:sz w:val="32"/>
          <w:szCs w:val="32"/>
        </w:rPr>
        <w:t>.住房保障</w:t>
      </w:r>
      <w:r>
        <w:rPr>
          <w:rFonts w:ascii="仿宋_GB2312" w:eastAsia="仿宋_GB2312" w:hint="eastAsia"/>
          <w:color w:val="000000"/>
          <w:sz w:val="32"/>
          <w:szCs w:val="32"/>
        </w:rPr>
        <w:t>支出（类）住房改革支出（项）住房公积金（款）支出反映行政事业单位按人力资源和社会保障部、财政部规定的基本工资和津贴补贴以及规定比例为职工缴纳的住房公积金。</w:t>
      </w:r>
    </w:p>
    <w:p w:rsidR="001722E9" w:rsidRDefault="001722E9" w:rsidP="001722E9">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1722E9" w:rsidRDefault="001722E9" w:rsidP="001722E9">
      <w:pPr>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1722E9" w:rsidRDefault="001722E9" w:rsidP="001722E9">
      <w:pPr>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1722E9" w:rsidRDefault="001722E9" w:rsidP="001722E9">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14</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w:t>
      </w:r>
      <w:r>
        <w:rPr>
          <w:rFonts w:ascii="仿宋_GB2312" w:eastAsia="仿宋_GB2312" w:hint="eastAsia"/>
          <w:color w:val="auto"/>
          <w:sz w:val="32"/>
          <w:szCs w:val="32"/>
        </w:rPr>
        <w:lastRenderedPageBreak/>
        <w:t>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722E9" w:rsidRDefault="001722E9" w:rsidP="001722E9">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15</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722E9" w:rsidRDefault="001722E9" w:rsidP="001722E9">
      <w:pPr>
        <w:pStyle w:val="Default"/>
        <w:spacing w:line="560" w:lineRule="exact"/>
        <w:ind w:firstLineChars="200" w:firstLine="640"/>
        <w:rPr>
          <w:rFonts w:ascii="仿宋_GB2312" w:eastAsia="仿宋_GB2312"/>
          <w:color w:val="auto"/>
          <w:sz w:val="32"/>
          <w:szCs w:val="32"/>
        </w:rPr>
      </w:pPr>
    </w:p>
    <w:p w:rsidR="001722E9" w:rsidRDefault="001722E9" w:rsidP="001722E9">
      <w:pPr>
        <w:pStyle w:val="Default"/>
        <w:spacing w:line="560" w:lineRule="exact"/>
        <w:ind w:firstLineChars="200" w:firstLine="640"/>
        <w:rPr>
          <w:rFonts w:ascii="仿宋_GB2312" w:eastAsia="仿宋_GB2312"/>
          <w:color w:val="auto"/>
          <w:sz w:val="32"/>
          <w:szCs w:val="32"/>
        </w:rPr>
      </w:pPr>
    </w:p>
    <w:p w:rsidR="001722E9" w:rsidRDefault="001722E9" w:rsidP="001722E9">
      <w:pPr>
        <w:pStyle w:val="Default"/>
        <w:spacing w:line="560" w:lineRule="exact"/>
        <w:ind w:firstLineChars="200" w:firstLine="640"/>
        <w:rPr>
          <w:rFonts w:ascii="仿宋_GB2312" w:eastAsia="仿宋_GB2312"/>
          <w:color w:val="auto"/>
          <w:sz w:val="32"/>
          <w:szCs w:val="32"/>
        </w:rPr>
      </w:pPr>
    </w:p>
    <w:p w:rsidR="001722E9" w:rsidRDefault="001722E9" w:rsidP="001722E9">
      <w:pPr>
        <w:pStyle w:val="Default"/>
        <w:spacing w:line="560" w:lineRule="exact"/>
        <w:ind w:firstLineChars="200" w:firstLine="640"/>
        <w:rPr>
          <w:rFonts w:ascii="仿宋_GB2312" w:eastAsia="仿宋_GB2312"/>
          <w:color w:val="auto"/>
          <w:sz w:val="32"/>
          <w:szCs w:val="32"/>
        </w:rPr>
      </w:pPr>
    </w:p>
    <w:p w:rsidR="001722E9" w:rsidRDefault="001722E9" w:rsidP="001722E9">
      <w:pPr>
        <w:pStyle w:val="Default"/>
        <w:spacing w:line="560" w:lineRule="exact"/>
        <w:ind w:firstLineChars="200" w:firstLine="640"/>
        <w:rPr>
          <w:rFonts w:ascii="仿宋_GB2312" w:eastAsia="仿宋_GB2312"/>
          <w:color w:val="auto"/>
          <w:sz w:val="32"/>
          <w:szCs w:val="32"/>
        </w:rPr>
      </w:pPr>
    </w:p>
    <w:p w:rsidR="001722E9" w:rsidRDefault="001722E9" w:rsidP="001722E9">
      <w:pPr>
        <w:pStyle w:val="Default"/>
        <w:spacing w:line="560" w:lineRule="exact"/>
        <w:ind w:firstLineChars="200" w:firstLine="640"/>
        <w:rPr>
          <w:rFonts w:ascii="仿宋_GB2312" w:eastAsia="仿宋_GB2312"/>
          <w:color w:val="auto"/>
          <w:sz w:val="32"/>
          <w:szCs w:val="32"/>
        </w:rPr>
      </w:pPr>
    </w:p>
    <w:p w:rsidR="001722E9" w:rsidRDefault="001722E9" w:rsidP="001722E9">
      <w:pPr>
        <w:pStyle w:val="Default"/>
        <w:spacing w:line="560" w:lineRule="exact"/>
        <w:ind w:firstLineChars="200" w:firstLine="640"/>
        <w:rPr>
          <w:rFonts w:ascii="仿宋_GB2312" w:eastAsia="仿宋_GB2312"/>
          <w:color w:val="auto"/>
          <w:sz w:val="32"/>
          <w:szCs w:val="32"/>
        </w:rPr>
      </w:pPr>
    </w:p>
    <w:p w:rsidR="001722E9" w:rsidRDefault="001722E9" w:rsidP="001722E9">
      <w:pPr>
        <w:pStyle w:val="Default"/>
        <w:spacing w:line="560" w:lineRule="exact"/>
        <w:ind w:firstLineChars="200" w:firstLine="640"/>
        <w:rPr>
          <w:rFonts w:ascii="仿宋_GB2312" w:eastAsia="仿宋_GB2312"/>
          <w:color w:val="auto"/>
          <w:sz w:val="32"/>
          <w:szCs w:val="32"/>
        </w:rPr>
      </w:pPr>
    </w:p>
    <w:p w:rsidR="001722E9" w:rsidRDefault="001722E9" w:rsidP="001722E9">
      <w:pPr>
        <w:pStyle w:val="Default"/>
        <w:spacing w:line="560" w:lineRule="exact"/>
        <w:ind w:firstLineChars="200" w:firstLine="640"/>
        <w:rPr>
          <w:rFonts w:ascii="仿宋_GB2312" w:eastAsia="仿宋_GB2312"/>
          <w:color w:val="auto"/>
          <w:sz w:val="32"/>
          <w:szCs w:val="32"/>
        </w:rPr>
      </w:pPr>
    </w:p>
    <w:p w:rsidR="000A32BC" w:rsidRDefault="000A32BC" w:rsidP="001722E9">
      <w:pPr>
        <w:pStyle w:val="Default"/>
        <w:spacing w:line="560" w:lineRule="exact"/>
        <w:ind w:firstLineChars="200" w:firstLine="640"/>
        <w:rPr>
          <w:rFonts w:ascii="仿宋_GB2312" w:eastAsia="仿宋_GB2312"/>
          <w:color w:val="auto"/>
          <w:sz w:val="32"/>
          <w:szCs w:val="32"/>
        </w:rPr>
      </w:pPr>
    </w:p>
    <w:p w:rsidR="000A32BC" w:rsidRDefault="000A32BC" w:rsidP="001722E9">
      <w:pPr>
        <w:pStyle w:val="Default"/>
        <w:spacing w:line="560" w:lineRule="exact"/>
        <w:ind w:firstLineChars="200" w:firstLine="640"/>
        <w:rPr>
          <w:rFonts w:ascii="仿宋_GB2312" w:eastAsia="仿宋_GB2312"/>
          <w:color w:val="auto"/>
          <w:sz w:val="32"/>
          <w:szCs w:val="32"/>
        </w:rPr>
      </w:pPr>
    </w:p>
    <w:p w:rsidR="000A32BC" w:rsidRDefault="000A32BC" w:rsidP="001722E9">
      <w:pPr>
        <w:pStyle w:val="Default"/>
        <w:spacing w:line="560" w:lineRule="exact"/>
        <w:ind w:firstLineChars="200" w:firstLine="640"/>
        <w:rPr>
          <w:rFonts w:ascii="仿宋_GB2312" w:eastAsia="仿宋_GB2312"/>
          <w:color w:val="auto"/>
          <w:sz w:val="32"/>
          <w:szCs w:val="32"/>
        </w:rPr>
      </w:pPr>
    </w:p>
    <w:p w:rsidR="000A32BC" w:rsidRPr="005332A5" w:rsidRDefault="000A32BC" w:rsidP="001722E9">
      <w:pPr>
        <w:pStyle w:val="Default"/>
        <w:spacing w:line="560" w:lineRule="exact"/>
        <w:ind w:firstLineChars="200" w:firstLine="640"/>
        <w:rPr>
          <w:rFonts w:ascii="仿宋_GB2312" w:eastAsia="仿宋_GB2312"/>
          <w:color w:val="auto"/>
          <w:sz w:val="32"/>
          <w:szCs w:val="32"/>
        </w:rPr>
      </w:pPr>
    </w:p>
    <w:p w:rsidR="001722E9" w:rsidRDefault="001722E9" w:rsidP="001722E9">
      <w:pPr>
        <w:spacing w:line="600" w:lineRule="exact"/>
        <w:jc w:val="center"/>
        <w:outlineLvl w:val="0"/>
        <w:rPr>
          <w:rStyle w:val="1Char"/>
          <w:rFonts w:ascii="黑体" w:eastAsia="黑体" w:hAnsi="黑体"/>
          <w:b w:val="0"/>
        </w:rPr>
      </w:pPr>
      <w:bookmarkStart w:id="51" w:name="_Toc15396614"/>
      <w:bookmarkStart w:id="52" w:name="_Toc15377226"/>
      <w:r>
        <w:rPr>
          <w:rFonts w:ascii="黑体" w:eastAsia="黑体" w:hAnsi="黑体" w:hint="eastAsia"/>
          <w:sz w:val="44"/>
          <w:szCs w:val="44"/>
        </w:rPr>
        <w:lastRenderedPageBreak/>
        <w:t>第</w:t>
      </w:r>
      <w:r>
        <w:rPr>
          <w:rStyle w:val="1Char"/>
          <w:rFonts w:ascii="黑体" w:eastAsia="黑体" w:hAnsi="黑体" w:hint="eastAsia"/>
        </w:rPr>
        <w:t>四部分 附件</w:t>
      </w:r>
      <w:bookmarkEnd w:id="51"/>
    </w:p>
    <w:p w:rsidR="001722E9" w:rsidRDefault="001722E9" w:rsidP="001722E9">
      <w:pPr>
        <w:spacing w:line="572" w:lineRule="exact"/>
        <w:jc w:val="left"/>
        <w:outlineLvl w:val="0"/>
        <w:rPr>
          <w:rFonts w:ascii="仿宋_GB2312" w:eastAsia="仿宋_GB2312" w:hAnsi="仿宋_GB2312" w:cs="仿宋_GB2312"/>
          <w:sz w:val="32"/>
          <w:szCs w:val="32"/>
        </w:rPr>
      </w:pPr>
      <w:r>
        <w:rPr>
          <w:rFonts w:ascii="黑体" w:eastAsia="黑体" w:hAnsi="黑体" w:cs="黑体" w:hint="eastAsia"/>
          <w:sz w:val="32"/>
          <w:szCs w:val="32"/>
        </w:rPr>
        <w:t>附件</w:t>
      </w:r>
    </w:p>
    <w:tbl>
      <w:tblPr>
        <w:tblpPr w:leftFromText="180" w:rightFromText="180" w:vertAnchor="text" w:horzAnchor="page" w:tblpX="1281" w:tblpY="660"/>
        <w:tblOverlap w:val="never"/>
        <w:tblW w:w="9811" w:type="dxa"/>
        <w:tblLayout w:type="fixed"/>
        <w:tblLook w:val="04A0"/>
      </w:tblPr>
      <w:tblGrid>
        <w:gridCol w:w="1976"/>
        <w:gridCol w:w="1142"/>
        <w:gridCol w:w="1635"/>
        <w:gridCol w:w="1189"/>
        <w:gridCol w:w="1224"/>
        <w:gridCol w:w="2409"/>
        <w:gridCol w:w="236"/>
      </w:tblGrid>
      <w:tr w:rsidR="001722E9" w:rsidTr="00603D53">
        <w:trPr>
          <w:trHeight w:val="675"/>
        </w:trPr>
        <w:tc>
          <w:tcPr>
            <w:tcW w:w="9577" w:type="dxa"/>
            <w:gridSpan w:val="6"/>
            <w:tcBorders>
              <w:top w:val="nil"/>
              <w:left w:val="nil"/>
              <w:bottom w:val="nil"/>
              <w:right w:val="nil"/>
            </w:tcBorders>
            <w:shd w:val="clear" w:color="auto" w:fill="auto"/>
            <w:vAlign w:val="center"/>
          </w:tcPr>
          <w:p w:rsidR="001722E9" w:rsidRDefault="001722E9" w:rsidP="00603D53">
            <w:pPr>
              <w:widowControl/>
              <w:textAlignment w:val="center"/>
              <w:rPr>
                <w:rFonts w:ascii="宋体" w:hAnsi="宋体" w:cs="宋体"/>
                <w:b/>
                <w:sz w:val="32"/>
                <w:szCs w:val="32"/>
              </w:rPr>
            </w:pPr>
            <w:bookmarkStart w:id="53" w:name="_Toc15396618"/>
            <w:r>
              <w:rPr>
                <w:rFonts w:ascii="宋体" w:hAnsi="宋体" w:cs="宋体" w:hint="eastAsia"/>
                <w:b/>
                <w:sz w:val="32"/>
                <w:szCs w:val="32"/>
              </w:rPr>
              <w:t>2021年100万元以上（含）特定目标类部门预算项目绩效目标自评</w:t>
            </w:r>
          </w:p>
        </w:tc>
        <w:tc>
          <w:tcPr>
            <w:tcW w:w="234" w:type="dxa"/>
            <w:tcBorders>
              <w:top w:val="nil"/>
              <w:left w:val="nil"/>
              <w:bottom w:val="nil"/>
              <w:right w:val="nil"/>
            </w:tcBorders>
            <w:shd w:val="clear" w:color="auto" w:fill="auto"/>
            <w:vAlign w:val="center"/>
          </w:tcPr>
          <w:p w:rsidR="001722E9" w:rsidRDefault="001722E9" w:rsidP="00603D53">
            <w:pPr>
              <w:widowControl/>
              <w:jc w:val="center"/>
              <w:textAlignment w:val="center"/>
              <w:rPr>
                <w:rFonts w:ascii="宋体" w:hAnsi="宋体" w:cs="宋体"/>
                <w:b/>
                <w:kern w:val="0"/>
                <w:sz w:val="32"/>
                <w:szCs w:val="32"/>
              </w:rPr>
            </w:pPr>
          </w:p>
        </w:tc>
      </w:tr>
      <w:tr w:rsidR="001722E9" w:rsidTr="00603D53">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textAlignment w:val="center"/>
              <w:rPr>
                <w:rFonts w:ascii="宋体" w:hAnsi="宋体" w:cs="宋体"/>
                <w:sz w:val="24"/>
              </w:rPr>
            </w:pPr>
            <w:r>
              <w:rPr>
                <w:rFonts w:ascii="宋体" w:hAnsi="宋体" w:cs="宋体" w:hint="eastAsia"/>
                <w:sz w:val="24"/>
              </w:rPr>
              <w:t>市教育和体育局203001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center"/>
              <w:rPr>
                <w:rFonts w:ascii="宋体" w:hAnsi="宋体" w:cs="宋体"/>
                <w:sz w:val="24"/>
              </w:rPr>
            </w:pPr>
            <w:r>
              <w:rPr>
                <w:rFonts w:ascii="宋体" w:hAnsi="宋体" w:cs="宋体" w:hint="eastAsia"/>
                <w:sz w:val="24"/>
              </w:rPr>
              <w:t>攀枝花市第三高级中学校</w:t>
            </w:r>
          </w:p>
        </w:tc>
      </w:tr>
      <w:tr w:rsidR="001722E9" w:rsidTr="00603D53">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left"/>
              <w:textAlignment w:val="center"/>
              <w:rPr>
                <w:rFonts w:ascii="宋体" w:hAnsi="宋体" w:cs="宋体"/>
                <w:sz w:val="24"/>
              </w:rPr>
            </w:pPr>
            <w:r>
              <w:rPr>
                <w:rFonts w:ascii="宋体" w:hAnsi="宋体" w:cs="宋体" w:hint="eastAsia"/>
                <w:sz w:val="24"/>
              </w:rPr>
              <w:t>150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center"/>
              <w:rPr>
                <w:rFonts w:ascii="宋体" w:hAnsi="宋体" w:cs="宋体"/>
                <w:sz w:val="24"/>
              </w:rPr>
            </w:pPr>
            <w:r>
              <w:rPr>
                <w:rFonts w:ascii="宋体" w:hAnsi="宋体" w:cs="宋体" w:hint="eastAsia"/>
                <w:sz w:val="24"/>
              </w:rPr>
              <w:t>70</w:t>
            </w:r>
          </w:p>
        </w:tc>
      </w:tr>
      <w:tr w:rsidR="001722E9" w:rsidTr="00603D53">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1722E9" w:rsidRDefault="001722E9" w:rsidP="00603D53">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left"/>
              <w:textAlignment w:val="center"/>
              <w:rPr>
                <w:rFonts w:ascii="宋体" w:hAnsi="宋体" w:cs="宋体"/>
                <w:sz w:val="24"/>
              </w:rPr>
            </w:pPr>
            <w:r>
              <w:rPr>
                <w:rFonts w:ascii="宋体" w:hAnsi="宋体" w:cs="宋体" w:hint="eastAsia"/>
                <w:sz w:val="24"/>
              </w:rPr>
              <w:t>150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1722E9" w:rsidRDefault="001722E9" w:rsidP="00603D53">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center"/>
              <w:rPr>
                <w:rFonts w:ascii="宋体" w:hAnsi="宋体" w:cs="宋体"/>
                <w:sz w:val="24"/>
              </w:rPr>
            </w:pPr>
            <w:r>
              <w:rPr>
                <w:rFonts w:ascii="宋体" w:hAnsi="宋体" w:cs="宋体" w:hint="eastAsia"/>
                <w:sz w:val="24"/>
              </w:rPr>
              <w:t>70</w:t>
            </w:r>
          </w:p>
        </w:tc>
      </w:tr>
      <w:tr w:rsidR="001722E9" w:rsidTr="00603D53">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center"/>
              <w:rPr>
                <w:rFonts w:ascii="宋体" w:hAnsi="宋体" w:cs="宋体"/>
                <w:sz w:val="24"/>
              </w:rPr>
            </w:pPr>
          </w:p>
        </w:tc>
      </w:tr>
      <w:tr w:rsidR="001722E9" w:rsidTr="00603D53">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1722E9" w:rsidRDefault="001722E9" w:rsidP="00603D53">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1722E9" w:rsidTr="00603D53">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1722E9" w:rsidRDefault="001722E9" w:rsidP="00603D53">
            <w:pPr>
              <w:widowControl/>
              <w:spacing w:line="320" w:lineRule="exact"/>
              <w:jc w:val="left"/>
              <w:textAlignment w:val="top"/>
              <w:rPr>
                <w:rFonts w:ascii="宋体" w:hAnsi="宋体" w:cs="宋体"/>
                <w:sz w:val="24"/>
              </w:rPr>
            </w:pPr>
            <w:r>
              <w:rPr>
                <w:rFonts w:ascii="宋体" w:hAnsi="宋体" w:cs="宋体" w:hint="eastAsia"/>
                <w:sz w:val="24"/>
              </w:rPr>
              <w:t>完成对教泽园高一、高二45间教室破旧智慧黑板的更新</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1722E9" w:rsidRPr="00A3092E" w:rsidRDefault="001722E9" w:rsidP="00603D53">
            <w:pPr>
              <w:widowControl/>
              <w:spacing w:line="320" w:lineRule="exact"/>
              <w:jc w:val="left"/>
              <w:textAlignment w:val="top"/>
              <w:rPr>
                <w:rFonts w:ascii="宋体" w:hAnsi="宋体" w:cs="宋体"/>
                <w:sz w:val="24"/>
              </w:rPr>
            </w:pPr>
            <w:r>
              <w:rPr>
                <w:rFonts w:ascii="宋体" w:hAnsi="宋体" w:cs="宋体" w:hint="eastAsia"/>
                <w:sz w:val="24"/>
              </w:rPr>
              <w:t>完成45间教室智慧黑板采购、更新，总价149.58万元，本年支付70万元</w:t>
            </w:r>
          </w:p>
        </w:tc>
      </w:tr>
      <w:tr w:rsidR="001722E9" w:rsidTr="00603D53">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1722E9" w:rsidRDefault="001722E9" w:rsidP="00603D53">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1722E9" w:rsidRDefault="001722E9" w:rsidP="00603D53">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1722E9" w:rsidRDefault="001722E9" w:rsidP="00603D53">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1722E9" w:rsidTr="00603D53">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1722E9" w:rsidRDefault="001722E9" w:rsidP="00603D53">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改造教室间数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45间</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45间</w:t>
            </w:r>
          </w:p>
        </w:tc>
      </w:tr>
      <w:tr w:rsidR="001722E9" w:rsidTr="00603D53">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1722E9" w:rsidRDefault="001722E9" w:rsidP="00603D5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验收</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合格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合格</w:t>
            </w:r>
          </w:p>
        </w:tc>
      </w:tr>
      <w:tr w:rsidR="001722E9" w:rsidTr="00603D53">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1722E9" w:rsidRDefault="001722E9" w:rsidP="00603D5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安装完成时间</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2022年前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2021年12月20日</w:t>
            </w:r>
          </w:p>
        </w:tc>
      </w:tr>
      <w:tr w:rsidR="001722E9" w:rsidTr="00603D53">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1722E9" w:rsidRDefault="001722E9" w:rsidP="00603D5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不超省拨专款</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150万元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149.58万元</w:t>
            </w:r>
          </w:p>
        </w:tc>
      </w:tr>
      <w:tr w:rsidR="001722E9" w:rsidTr="00603D53">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1722E9" w:rsidRDefault="001722E9" w:rsidP="00603D53">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p>
        </w:tc>
      </w:tr>
      <w:tr w:rsidR="001722E9" w:rsidTr="00603D53">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1722E9" w:rsidRDefault="001722E9" w:rsidP="00603D5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长期促进教学质量提高</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使用10年以上</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初现效益，高一高二期末成绩较为理想</w:t>
            </w:r>
          </w:p>
        </w:tc>
      </w:tr>
      <w:tr w:rsidR="001722E9" w:rsidTr="00603D53">
        <w:trPr>
          <w:gridAfter w:val="1"/>
          <w:wAfter w:w="234" w:type="dxa"/>
          <w:trHeight w:val="630"/>
        </w:trPr>
        <w:tc>
          <w:tcPr>
            <w:tcW w:w="1977" w:type="dxa"/>
            <w:vMerge/>
            <w:tcBorders>
              <w:left w:val="single" w:sz="4" w:space="0" w:color="000000"/>
              <w:right w:val="single" w:sz="4" w:space="0" w:color="000000"/>
            </w:tcBorders>
            <w:shd w:val="clear" w:color="auto" w:fill="auto"/>
            <w:vAlign w:val="center"/>
          </w:tcPr>
          <w:p w:rsidR="001722E9" w:rsidRDefault="001722E9" w:rsidP="00603D5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p>
        </w:tc>
      </w:tr>
      <w:tr w:rsidR="001722E9" w:rsidTr="00603D53">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1722E9" w:rsidRDefault="001722E9" w:rsidP="00603D5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p>
        </w:tc>
      </w:tr>
      <w:tr w:rsidR="001722E9" w:rsidTr="00603D53">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1722E9" w:rsidRDefault="001722E9" w:rsidP="00603D53">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师生满意度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≥90%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22E9" w:rsidRDefault="001722E9" w:rsidP="00603D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95%</w:t>
            </w:r>
          </w:p>
        </w:tc>
      </w:tr>
    </w:tbl>
    <w:p w:rsidR="001722E9" w:rsidRDefault="001722E9" w:rsidP="001722E9">
      <w:pPr>
        <w:spacing w:line="600" w:lineRule="exact"/>
        <w:jc w:val="center"/>
        <w:outlineLvl w:val="0"/>
        <w:rPr>
          <w:rFonts w:ascii="黑体" w:eastAsia="黑体" w:hAnsi="黑体"/>
          <w:sz w:val="44"/>
          <w:szCs w:val="44"/>
        </w:rPr>
      </w:pPr>
    </w:p>
    <w:p w:rsidR="001722E9" w:rsidRDefault="001722E9" w:rsidP="001722E9">
      <w:pPr>
        <w:spacing w:line="600" w:lineRule="exact"/>
        <w:jc w:val="center"/>
        <w:outlineLvl w:val="0"/>
        <w:rPr>
          <w:rFonts w:ascii="黑体" w:eastAsia="黑体" w:hAnsi="黑体"/>
          <w:sz w:val="44"/>
          <w:szCs w:val="44"/>
        </w:rPr>
      </w:pPr>
    </w:p>
    <w:p w:rsidR="001722E9" w:rsidRDefault="001722E9" w:rsidP="001722E9">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rPr>
        <w:t>五部分 附表</w:t>
      </w:r>
      <w:bookmarkStart w:id="54" w:name="_Toc15396619"/>
      <w:bookmarkEnd w:id="52"/>
      <w:bookmarkEnd w:id="53"/>
    </w:p>
    <w:p w:rsidR="001722E9" w:rsidRDefault="001722E9" w:rsidP="001722E9">
      <w:pPr>
        <w:pStyle w:val="2"/>
        <w:spacing w:line="540" w:lineRule="exact"/>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4"/>
    </w:p>
    <w:p w:rsidR="001722E9" w:rsidRDefault="001722E9" w:rsidP="001722E9">
      <w:pPr>
        <w:pStyle w:val="2"/>
        <w:spacing w:line="540" w:lineRule="exact"/>
        <w:rPr>
          <w:rFonts w:ascii="仿宋" w:eastAsia="仿宋" w:hAnsi="仿宋"/>
        </w:rPr>
      </w:pPr>
      <w:bookmarkStart w:id="55" w:name="_Toc15396620"/>
      <w:r>
        <w:rPr>
          <w:rFonts w:ascii="仿宋" w:eastAsia="仿宋" w:hAnsi="仿宋" w:hint="eastAsia"/>
          <w:b w:val="0"/>
        </w:rPr>
        <w:t>二、收</w:t>
      </w:r>
      <w:r>
        <w:rPr>
          <w:rStyle w:val="2Char"/>
          <w:rFonts w:ascii="仿宋" w:eastAsia="仿宋" w:hAnsi="仿宋" w:hint="eastAsia"/>
        </w:rPr>
        <w:t>入决算表</w:t>
      </w:r>
      <w:bookmarkEnd w:id="55"/>
    </w:p>
    <w:p w:rsidR="001722E9" w:rsidRDefault="001722E9" w:rsidP="001722E9">
      <w:pPr>
        <w:pStyle w:val="2"/>
        <w:spacing w:line="540" w:lineRule="exact"/>
        <w:rPr>
          <w:rFonts w:ascii="仿宋" w:eastAsia="仿宋" w:hAnsi="仿宋"/>
        </w:rPr>
      </w:pPr>
      <w:bookmarkStart w:id="56"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6"/>
    </w:p>
    <w:p w:rsidR="001722E9" w:rsidRDefault="001722E9" w:rsidP="001722E9">
      <w:pPr>
        <w:pStyle w:val="2"/>
        <w:spacing w:line="540" w:lineRule="exact"/>
        <w:rPr>
          <w:rFonts w:ascii="仿宋" w:eastAsia="仿宋" w:hAnsi="仿宋"/>
          <w:b w:val="0"/>
        </w:rPr>
      </w:pPr>
      <w:bookmarkStart w:id="57"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7"/>
    </w:p>
    <w:p w:rsidR="001722E9" w:rsidRDefault="001722E9" w:rsidP="001722E9">
      <w:pPr>
        <w:pStyle w:val="2"/>
        <w:spacing w:line="540" w:lineRule="exact"/>
        <w:rPr>
          <w:rStyle w:val="2Char"/>
          <w:rFonts w:ascii="仿宋" w:eastAsia="仿宋" w:hAnsi="仿宋"/>
        </w:rPr>
      </w:pPr>
      <w:bookmarkStart w:id="58"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59" w:name="_Toc15396624"/>
      <w:bookmarkEnd w:id="58"/>
    </w:p>
    <w:p w:rsidR="001722E9" w:rsidRDefault="001722E9" w:rsidP="001722E9">
      <w:pPr>
        <w:pStyle w:val="2"/>
        <w:spacing w:line="540" w:lineRule="exact"/>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59"/>
    </w:p>
    <w:p w:rsidR="001722E9" w:rsidRDefault="001722E9" w:rsidP="001722E9">
      <w:pPr>
        <w:pStyle w:val="2"/>
        <w:spacing w:line="540" w:lineRule="exact"/>
        <w:rPr>
          <w:rFonts w:ascii="仿宋" w:eastAsia="仿宋" w:hAnsi="仿宋"/>
        </w:rPr>
      </w:pPr>
      <w:bookmarkStart w:id="60"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0"/>
    </w:p>
    <w:p w:rsidR="001722E9" w:rsidRDefault="001722E9" w:rsidP="001722E9">
      <w:pPr>
        <w:pStyle w:val="2"/>
        <w:spacing w:line="540" w:lineRule="exact"/>
        <w:rPr>
          <w:rFonts w:ascii="仿宋" w:eastAsia="仿宋" w:hAnsi="仿宋"/>
        </w:rPr>
      </w:pPr>
      <w:bookmarkStart w:id="61"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1"/>
    </w:p>
    <w:p w:rsidR="001722E9" w:rsidRDefault="001722E9" w:rsidP="001722E9">
      <w:pPr>
        <w:pStyle w:val="2"/>
        <w:spacing w:line="540" w:lineRule="exact"/>
        <w:rPr>
          <w:rFonts w:ascii="仿宋" w:eastAsia="仿宋" w:hAnsi="仿宋"/>
        </w:rPr>
      </w:pPr>
      <w:bookmarkStart w:id="62"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2"/>
    </w:p>
    <w:p w:rsidR="001722E9" w:rsidRDefault="001722E9" w:rsidP="001722E9">
      <w:pPr>
        <w:pStyle w:val="2"/>
        <w:spacing w:line="540" w:lineRule="exact"/>
        <w:rPr>
          <w:rFonts w:ascii="仿宋" w:eastAsia="仿宋" w:hAnsi="仿宋"/>
        </w:rPr>
      </w:pPr>
      <w:bookmarkStart w:id="63"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63"/>
    </w:p>
    <w:p w:rsidR="001722E9" w:rsidRDefault="001722E9" w:rsidP="001722E9">
      <w:pPr>
        <w:pStyle w:val="2"/>
        <w:spacing w:line="540" w:lineRule="exact"/>
        <w:rPr>
          <w:rFonts w:ascii="仿宋" w:eastAsia="仿宋" w:hAnsi="仿宋"/>
        </w:rPr>
      </w:pPr>
      <w:bookmarkStart w:id="64"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64"/>
      <w:r>
        <w:rPr>
          <w:rStyle w:val="2Char"/>
          <w:rFonts w:ascii="仿宋" w:eastAsia="仿宋" w:hAnsi="仿宋" w:hint="eastAsia"/>
        </w:rPr>
        <w:t>(</w:t>
      </w:r>
      <w:r w:rsidRPr="004B649A">
        <w:rPr>
          <w:rStyle w:val="2Char"/>
          <w:rFonts w:ascii="仿宋" w:eastAsia="仿宋" w:hAnsi="仿宋" w:hint="eastAsia"/>
        </w:rPr>
        <w:t>此表无数据</w:t>
      </w:r>
      <w:r>
        <w:rPr>
          <w:rStyle w:val="2Char"/>
          <w:rFonts w:ascii="仿宋" w:eastAsia="仿宋" w:hAnsi="仿宋" w:hint="eastAsia"/>
        </w:rPr>
        <w:t>)</w:t>
      </w:r>
    </w:p>
    <w:p w:rsidR="001722E9" w:rsidRPr="004B649A" w:rsidRDefault="001722E9" w:rsidP="001722E9">
      <w:pPr>
        <w:pStyle w:val="2"/>
        <w:spacing w:line="540" w:lineRule="exact"/>
        <w:rPr>
          <w:rFonts w:ascii="仿宋" w:eastAsia="仿宋" w:hAnsi="仿宋"/>
        </w:rPr>
      </w:pPr>
      <w:bookmarkStart w:id="65"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65"/>
      <w:r>
        <w:rPr>
          <w:rStyle w:val="2Char"/>
          <w:rFonts w:ascii="仿宋" w:eastAsia="仿宋" w:hAnsi="仿宋" w:hint="eastAsia"/>
        </w:rPr>
        <w:t>(</w:t>
      </w:r>
      <w:r w:rsidRPr="004B649A">
        <w:rPr>
          <w:rStyle w:val="2Char"/>
          <w:rFonts w:ascii="仿宋" w:eastAsia="仿宋" w:hAnsi="仿宋" w:hint="eastAsia"/>
        </w:rPr>
        <w:t>此表无数据</w:t>
      </w:r>
      <w:r>
        <w:rPr>
          <w:rStyle w:val="2Char"/>
          <w:rFonts w:ascii="仿宋" w:eastAsia="仿宋" w:hAnsi="仿宋" w:hint="eastAsia"/>
        </w:rPr>
        <w:t>)</w:t>
      </w:r>
    </w:p>
    <w:p w:rsidR="001722E9" w:rsidRPr="004B649A" w:rsidRDefault="001722E9" w:rsidP="001722E9">
      <w:pPr>
        <w:pStyle w:val="2"/>
        <w:spacing w:line="540" w:lineRule="exact"/>
        <w:rPr>
          <w:rStyle w:val="2Char"/>
          <w:rFonts w:ascii="仿宋" w:eastAsia="仿宋" w:hAnsi="仿宋"/>
          <w:b/>
          <w:bCs/>
        </w:rPr>
      </w:pPr>
      <w:bookmarkStart w:id="66"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66"/>
      <w:r>
        <w:rPr>
          <w:rStyle w:val="2Char"/>
          <w:rFonts w:ascii="仿宋" w:eastAsia="仿宋" w:hAnsi="仿宋" w:hint="eastAsia"/>
        </w:rPr>
        <w:t>(</w:t>
      </w:r>
      <w:r w:rsidRPr="004B649A">
        <w:rPr>
          <w:rStyle w:val="2Char"/>
          <w:rFonts w:ascii="仿宋" w:eastAsia="仿宋" w:hAnsi="仿宋" w:hint="eastAsia"/>
        </w:rPr>
        <w:t>此表无数据</w:t>
      </w:r>
      <w:r>
        <w:rPr>
          <w:rStyle w:val="2Char"/>
          <w:rFonts w:ascii="仿宋" w:eastAsia="仿宋" w:hAnsi="仿宋" w:hint="eastAsia"/>
        </w:rPr>
        <w:t>)</w:t>
      </w:r>
    </w:p>
    <w:p w:rsidR="001722E9" w:rsidRPr="004B649A" w:rsidRDefault="001722E9" w:rsidP="001722E9">
      <w:pPr>
        <w:pStyle w:val="2"/>
        <w:spacing w:line="540" w:lineRule="exact"/>
        <w:rPr>
          <w:rFonts w:ascii="仿宋" w:eastAsia="仿宋" w:hAnsi="仿宋"/>
        </w:rPr>
      </w:pPr>
      <w:r>
        <w:rPr>
          <w:rStyle w:val="2Char"/>
          <w:rFonts w:ascii="仿宋" w:eastAsia="仿宋" w:hAnsi="仿宋" w:hint="eastAsia"/>
        </w:rPr>
        <w:t>十四、国有资本经营预算财政拨款支出决算表(</w:t>
      </w:r>
      <w:r w:rsidRPr="004B649A">
        <w:rPr>
          <w:rStyle w:val="2Char"/>
          <w:rFonts w:ascii="仿宋" w:eastAsia="仿宋" w:hAnsi="仿宋" w:hint="eastAsia"/>
        </w:rPr>
        <w:t>此表无数据</w:t>
      </w:r>
      <w:r>
        <w:rPr>
          <w:rStyle w:val="2Char"/>
          <w:rFonts w:ascii="仿宋" w:eastAsia="仿宋" w:hAnsi="仿宋" w:hint="eastAsia"/>
        </w:rPr>
        <w:t>)</w:t>
      </w:r>
    </w:p>
    <w:p w:rsidR="00A35047" w:rsidRPr="001722E9" w:rsidRDefault="00A35047" w:rsidP="001722E9"/>
    <w:sectPr w:rsidR="00A35047" w:rsidRPr="001722E9" w:rsidSect="00A35047">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552" w:rsidRDefault="000A1552" w:rsidP="00D52DAA">
      <w:r>
        <w:separator/>
      </w:r>
    </w:p>
  </w:endnote>
  <w:endnote w:type="continuationSeparator" w:id="1">
    <w:p w:rsidR="000A1552" w:rsidRDefault="000A1552" w:rsidP="00D52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A35047" w:rsidRDefault="000C7609">
        <w:pPr>
          <w:pStyle w:val="a5"/>
          <w:jc w:val="center"/>
        </w:pPr>
        <w:fldSimple w:instr="PAGE   \* MERGEFORMAT">
          <w:r w:rsidR="008579CA" w:rsidRPr="008579CA">
            <w:rPr>
              <w:noProof/>
              <w:lang w:val="zh-CN"/>
            </w:rPr>
            <w:t>11</w:t>
          </w:r>
        </w:fldSimple>
      </w:p>
    </w:sdtContent>
  </w:sdt>
  <w:p w:rsidR="00A35047" w:rsidRDefault="00A350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552" w:rsidRDefault="000A1552" w:rsidP="00D52DAA">
      <w:r>
        <w:separator/>
      </w:r>
    </w:p>
  </w:footnote>
  <w:footnote w:type="continuationSeparator" w:id="1">
    <w:p w:rsidR="000A1552" w:rsidRDefault="000A1552" w:rsidP="00D52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47" w:rsidRDefault="00A3504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2DAA"/>
    <w:rsid w:val="00073D36"/>
    <w:rsid w:val="000A1552"/>
    <w:rsid w:val="000A32BC"/>
    <w:rsid w:val="000C2E90"/>
    <w:rsid w:val="000C7609"/>
    <w:rsid w:val="00111F90"/>
    <w:rsid w:val="001414B9"/>
    <w:rsid w:val="00143ACB"/>
    <w:rsid w:val="00153207"/>
    <w:rsid w:val="00165C19"/>
    <w:rsid w:val="001722E9"/>
    <w:rsid w:val="001D3956"/>
    <w:rsid w:val="00267672"/>
    <w:rsid w:val="002C1911"/>
    <w:rsid w:val="002C613D"/>
    <w:rsid w:val="002D4FE9"/>
    <w:rsid w:val="00330332"/>
    <w:rsid w:val="00335C21"/>
    <w:rsid w:val="0034360A"/>
    <w:rsid w:val="003A25BA"/>
    <w:rsid w:val="003B1F61"/>
    <w:rsid w:val="00483C63"/>
    <w:rsid w:val="00486310"/>
    <w:rsid w:val="004B649A"/>
    <w:rsid w:val="005263A0"/>
    <w:rsid w:val="005511CD"/>
    <w:rsid w:val="0057645A"/>
    <w:rsid w:val="00581F49"/>
    <w:rsid w:val="005B2699"/>
    <w:rsid w:val="006150E4"/>
    <w:rsid w:val="006C57AC"/>
    <w:rsid w:val="00707065"/>
    <w:rsid w:val="008579CA"/>
    <w:rsid w:val="00860BB7"/>
    <w:rsid w:val="008F2A8A"/>
    <w:rsid w:val="00907E07"/>
    <w:rsid w:val="00A3092E"/>
    <w:rsid w:val="00A35047"/>
    <w:rsid w:val="00AF25F2"/>
    <w:rsid w:val="00B26A16"/>
    <w:rsid w:val="00BA2978"/>
    <w:rsid w:val="00C44B89"/>
    <w:rsid w:val="00C631D0"/>
    <w:rsid w:val="00CA2498"/>
    <w:rsid w:val="00CD7741"/>
    <w:rsid w:val="00D01F92"/>
    <w:rsid w:val="00D52DAA"/>
    <w:rsid w:val="00ED445B"/>
    <w:rsid w:val="00F24243"/>
    <w:rsid w:val="00FB571F"/>
    <w:rsid w:val="00FD1F7E"/>
    <w:rsid w:val="00FF01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52DA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52DA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52DA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qFormat/>
    <w:rsid w:val="00D52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qFormat/>
    <w:rsid w:val="00D52DAA"/>
    <w:rPr>
      <w:sz w:val="18"/>
      <w:szCs w:val="18"/>
    </w:rPr>
  </w:style>
  <w:style w:type="paragraph" w:styleId="a5">
    <w:name w:val="footer"/>
    <w:basedOn w:val="a"/>
    <w:link w:val="Char0"/>
    <w:uiPriority w:val="99"/>
    <w:unhideWhenUsed/>
    <w:qFormat/>
    <w:rsid w:val="00D52DAA"/>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D52DAA"/>
    <w:rPr>
      <w:sz w:val="18"/>
      <w:szCs w:val="18"/>
    </w:rPr>
  </w:style>
  <w:style w:type="character" w:customStyle="1" w:styleId="1Char">
    <w:name w:val="标题 1 Char"/>
    <w:basedOn w:val="a1"/>
    <w:link w:val="1"/>
    <w:uiPriority w:val="9"/>
    <w:qFormat/>
    <w:rsid w:val="00D52DAA"/>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D52DAA"/>
    <w:rPr>
      <w:rFonts w:asciiTheme="majorHAnsi" w:eastAsiaTheme="majorEastAsia" w:hAnsiTheme="majorHAnsi" w:cstheme="majorBidi"/>
      <w:b/>
      <w:bCs/>
      <w:sz w:val="32"/>
      <w:szCs w:val="32"/>
    </w:rPr>
  </w:style>
  <w:style w:type="paragraph" w:styleId="a0">
    <w:name w:val="Body Text"/>
    <w:basedOn w:val="a"/>
    <w:link w:val="Char1"/>
    <w:uiPriority w:val="99"/>
    <w:qFormat/>
    <w:rsid w:val="00D52DAA"/>
    <w:pPr>
      <w:spacing w:beforeLines="30"/>
    </w:pPr>
    <w:rPr>
      <w:rFonts w:ascii="仿宋_GB2312" w:eastAsia="仿宋_GB2312"/>
      <w:kern w:val="0"/>
      <w:sz w:val="30"/>
    </w:rPr>
  </w:style>
  <w:style w:type="character" w:customStyle="1" w:styleId="Char1">
    <w:name w:val="正文文本 Char"/>
    <w:basedOn w:val="a1"/>
    <w:link w:val="a0"/>
    <w:uiPriority w:val="99"/>
    <w:qFormat/>
    <w:rsid w:val="00D52DAA"/>
    <w:rPr>
      <w:rFonts w:ascii="仿宋_GB2312" w:eastAsia="仿宋_GB2312" w:hAnsi="Times New Roman" w:cs="Times New Roman"/>
      <w:kern w:val="0"/>
      <w:sz w:val="30"/>
      <w:szCs w:val="24"/>
    </w:rPr>
  </w:style>
  <w:style w:type="paragraph" w:styleId="10">
    <w:name w:val="toc 1"/>
    <w:basedOn w:val="a"/>
    <w:next w:val="a"/>
    <w:uiPriority w:val="39"/>
    <w:unhideWhenUsed/>
    <w:qFormat/>
    <w:rsid w:val="00D52DAA"/>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D52DAA"/>
    <w:pPr>
      <w:tabs>
        <w:tab w:val="right" w:leader="dot" w:pos="8296"/>
      </w:tabs>
      <w:ind w:leftChars="200" w:left="420"/>
    </w:pPr>
  </w:style>
  <w:style w:type="character" w:styleId="a6">
    <w:name w:val="Strong"/>
    <w:basedOn w:val="a1"/>
    <w:uiPriority w:val="99"/>
    <w:qFormat/>
    <w:rsid w:val="00D52DAA"/>
    <w:rPr>
      <w:b/>
    </w:rPr>
  </w:style>
  <w:style w:type="paragraph" w:customStyle="1" w:styleId="Default">
    <w:name w:val="Default"/>
    <w:uiPriority w:val="99"/>
    <w:qFormat/>
    <w:rsid w:val="00D52DAA"/>
    <w:pPr>
      <w:widowControl w:val="0"/>
      <w:autoSpaceDE w:val="0"/>
      <w:autoSpaceDN w:val="0"/>
      <w:adjustRightInd w:val="0"/>
    </w:pPr>
    <w:rPr>
      <w:rFonts w:ascii="仿宋" w:eastAsia="仿宋" w:hAnsi="Calibri" w:cs="仿宋"/>
      <w:color w:val="000000"/>
      <w:kern w:val="0"/>
      <w:sz w:val="24"/>
      <w:szCs w:val="24"/>
    </w:rPr>
  </w:style>
  <w:style w:type="paragraph" w:styleId="a7">
    <w:name w:val="List Paragraph"/>
    <w:basedOn w:val="a"/>
    <w:uiPriority w:val="34"/>
    <w:qFormat/>
    <w:rsid w:val="00D52DAA"/>
    <w:pPr>
      <w:ind w:firstLineChars="200" w:firstLine="420"/>
    </w:pPr>
  </w:style>
  <w:style w:type="paragraph" w:styleId="a8">
    <w:name w:val="Normal (Web)"/>
    <w:basedOn w:val="a"/>
    <w:qFormat/>
    <w:rsid w:val="00D52DA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view3D>
      <c:rAngAx val="1"/>
    </c:view3D>
    <c:sideWall>
      <c:spPr>
        <a:gradFill>
          <a:gsLst>
            <a:gs pos="0">
              <a:srgbClr val="00B050"/>
            </a:gs>
            <a:gs pos="50000">
              <a:srgbClr val="5B9BD5">
                <a:tint val="44500"/>
                <a:satMod val="160000"/>
              </a:srgbClr>
            </a:gs>
            <a:gs pos="100000">
              <a:srgbClr val="5B9BD5">
                <a:tint val="23500"/>
                <a:satMod val="160000"/>
              </a:srgbClr>
            </a:gs>
          </a:gsLst>
          <a:lin ang="5400000" scaled="0"/>
        </a:gradFill>
      </c:spPr>
    </c:sideWall>
    <c:backWall>
      <c:spPr>
        <a:gradFill>
          <a:gsLst>
            <a:gs pos="0">
              <a:srgbClr val="00B050"/>
            </a:gs>
            <a:gs pos="50000">
              <a:srgbClr val="5B9BD5">
                <a:tint val="44500"/>
                <a:satMod val="160000"/>
              </a:srgbClr>
            </a:gs>
            <a:gs pos="100000">
              <a:srgbClr val="5B9BD5">
                <a:tint val="23500"/>
                <a:satMod val="160000"/>
              </a:srgbClr>
            </a:gs>
          </a:gsLst>
          <a:lin ang="5400000" scaled="0"/>
        </a:gradFill>
      </c:spPr>
    </c:backWall>
    <c:plotArea>
      <c:layout/>
      <c:bar3DChart>
        <c:barDir val="col"/>
        <c:grouping val="stacked"/>
        <c:ser>
          <c:idx val="0"/>
          <c:order val="0"/>
          <c:tx>
            <c:strRef>
              <c:f>Sheet1!$B$1</c:f>
              <c:strCache>
                <c:ptCount val="1"/>
                <c:pt idx="0">
                  <c:v>收支决算总计情况</c:v>
                </c:pt>
              </c:strCache>
            </c:strRef>
          </c:tx>
          <c:cat>
            <c:strRef>
              <c:f>Sheet1!$A$2:$A$3</c:f>
              <c:strCache>
                <c:ptCount val="2"/>
                <c:pt idx="0">
                  <c:v>2020年</c:v>
                </c:pt>
                <c:pt idx="1">
                  <c:v>2021年</c:v>
                </c:pt>
              </c:strCache>
            </c:strRef>
          </c:cat>
          <c:val>
            <c:numRef>
              <c:f>Sheet1!$B$2:$B$3</c:f>
              <c:numCache>
                <c:formatCode>General</c:formatCode>
                <c:ptCount val="2"/>
                <c:pt idx="0">
                  <c:v>16415.09</c:v>
                </c:pt>
                <c:pt idx="1">
                  <c:v>16452.68</c:v>
                </c:pt>
              </c:numCache>
            </c:numRef>
          </c:val>
        </c:ser>
        <c:ser>
          <c:idx val="1"/>
          <c:order val="1"/>
          <c:tx>
            <c:strRef>
              <c:f>Sheet1!$C$1</c:f>
              <c:strCache>
                <c:ptCount val="1"/>
                <c:pt idx="0">
                  <c:v>系列 2</c:v>
                </c:pt>
              </c:strCache>
            </c:strRef>
          </c:tx>
          <c:cat>
            <c:strRef>
              <c:f>Sheet1!$A$2:$A$3</c:f>
              <c:strCache>
                <c:ptCount val="2"/>
                <c:pt idx="0">
                  <c:v>2020年</c:v>
                </c:pt>
                <c:pt idx="1">
                  <c:v>2021年</c:v>
                </c:pt>
              </c:strCache>
            </c:strRef>
          </c:cat>
          <c:val>
            <c:numRef>
              <c:f>Sheet1!$C$2:$C$3</c:f>
              <c:numCache>
                <c:formatCode>General</c:formatCode>
                <c:ptCount val="2"/>
                <c:pt idx="0">
                  <c:v>0</c:v>
                </c:pt>
                <c:pt idx="1">
                  <c:v>0</c:v>
                </c:pt>
              </c:numCache>
            </c:numRef>
          </c:val>
        </c:ser>
        <c:ser>
          <c:idx val="2"/>
          <c:order val="2"/>
          <c:tx>
            <c:strRef>
              <c:f>Sheet1!$D$1</c:f>
              <c:strCache>
                <c:ptCount val="1"/>
                <c:pt idx="0">
                  <c:v>系列 3</c:v>
                </c:pt>
              </c:strCache>
            </c:strRef>
          </c:tx>
          <c:cat>
            <c:strRef>
              <c:f>Sheet1!$A$2:$A$3</c:f>
              <c:strCache>
                <c:ptCount val="2"/>
                <c:pt idx="0">
                  <c:v>2020年</c:v>
                </c:pt>
                <c:pt idx="1">
                  <c:v>2021年</c:v>
                </c:pt>
              </c:strCache>
            </c:strRef>
          </c:cat>
          <c:val>
            <c:numRef>
              <c:f>Sheet1!$D$2:$D$3</c:f>
              <c:numCache>
                <c:formatCode>General</c:formatCode>
                <c:ptCount val="2"/>
                <c:pt idx="0">
                  <c:v>0</c:v>
                </c:pt>
                <c:pt idx="1">
                  <c:v>0</c:v>
                </c:pt>
              </c:numCache>
            </c:numRef>
          </c:val>
        </c:ser>
        <c:shape val="box"/>
        <c:axId val="146968960"/>
        <c:axId val="153219072"/>
        <c:axId val="0"/>
      </c:bar3DChart>
      <c:catAx>
        <c:axId val="146968960"/>
        <c:scaling>
          <c:orientation val="minMax"/>
        </c:scaling>
        <c:axPos val="b"/>
        <c:tickLblPos val="nextTo"/>
        <c:crossAx val="153219072"/>
        <c:crossesAt val="16000"/>
        <c:auto val="1"/>
        <c:lblAlgn val="ctr"/>
        <c:lblOffset val="100"/>
      </c:catAx>
      <c:valAx>
        <c:axId val="153219072"/>
        <c:scaling>
          <c:orientation val="minMax"/>
          <c:min val="10000"/>
        </c:scaling>
        <c:axPos val="l"/>
        <c:majorGridlines>
          <c:spPr>
            <a:ln>
              <a:solidFill>
                <a:schemeClr val="accent1"/>
              </a:solidFill>
            </a:ln>
          </c:spPr>
        </c:majorGridlines>
        <c:numFmt formatCode="General" sourceLinked="1"/>
        <c:tickLblPos val="nextTo"/>
        <c:crossAx val="146968960"/>
        <c:crosses val="autoZero"/>
        <c:crossBetween val="between"/>
        <c:majorUnit val="1000"/>
      </c:valAx>
    </c:plotArea>
    <c:legend>
      <c:legendPos val="r"/>
      <c:legendEntry>
        <c:idx val="0"/>
        <c:delete val="1"/>
      </c:legendEntry>
      <c:legendEntry>
        <c:idx val="1"/>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各项收入占比</c:v>
                </c:pt>
              </c:strCache>
            </c:strRef>
          </c:tx>
          <c:dLbls>
            <c:dLbl>
              <c:idx val="1"/>
              <c:layout>
                <c:manualLayout>
                  <c:x val="-0.11330843110090036"/>
                  <c:y val="-2.1055999386937946E-2"/>
                </c:manualLayout>
              </c:layout>
              <c:showVal val="1"/>
            </c:dLbl>
            <c:dLbl>
              <c:idx val="2"/>
              <c:layout>
                <c:manualLayout>
                  <c:x val="0.1140742039761741"/>
                  <c:y val="-2.4705634423434299E-2"/>
                </c:manualLayout>
              </c:layout>
              <c:showVal val="1"/>
            </c:dLbl>
            <c:showVal val="1"/>
            <c:showLeaderLines val="1"/>
          </c:dLbls>
          <c:cat>
            <c:strRef>
              <c:f>Sheet1!$A$2:$A$3</c:f>
              <c:strCache>
                <c:ptCount val="2"/>
                <c:pt idx="0">
                  <c:v>一般公共预算财政拨款</c:v>
                </c:pt>
                <c:pt idx="1">
                  <c:v>其他收入</c:v>
                </c:pt>
              </c:strCache>
            </c:strRef>
          </c:cat>
          <c:val>
            <c:numRef>
              <c:f>Sheet1!$B$2:$B$3</c:f>
              <c:numCache>
                <c:formatCode>General</c:formatCode>
                <c:ptCount val="2"/>
                <c:pt idx="0">
                  <c:v>99.5</c:v>
                </c:pt>
                <c:pt idx="1">
                  <c:v>0.5</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各项支出占比</c:v>
                </c:pt>
              </c:strCache>
            </c:strRef>
          </c:tx>
          <c:dLbls>
            <c:dLbl>
              <c:idx val="0"/>
              <c:showVal val="1"/>
            </c:dLbl>
            <c:dLbl>
              <c:idx val="1"/>
              <c:showVal val="1"/>
            </c:dLbl>
            <c:delete val="1"/>
          </c:dLbls>
          <c:cat>
            <c:strRef>
              <c:f>Sheet1!$A$2:$A$3</c:f>
              <c:strCache>
                <c:ptCount val="2"/>
                <c:pt idx="0">
                  <c:v>基本支出</c:v>
                </c:pt>
                <c:pt idx="1">
                  <c:v>项目支出</c:v>
                </c:pt>
              </c:strCache>
            </c:strRef>
          </c:cat>
          <c:val>
            <c:numRef>
              <c:f>Sheet1!$B$2:$B$3</c:f>
              <c:numCache>
                <c:formatCode>General</c:formatCode>
                <c:ptCount val="2"/>
                <c:pt idx="0">
                  <c:v>93.05</c:v>
                </c:pt>
                <c:pt idx="1">
                  <c:v>6.95</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stacked"/>
        <c:ser>
          <c:idx val="0"/>
          <c:order val="0"/>
          <c:tx>
            <c:strRef>
              <c:f>Sheet1!$B$1</c:f>
              <c:strCache>
                <c:ptCount val="1"/>
                <c:pt idx="0">
                  <c:v>财政拨款收支决算变动情况</c:v>
                </c:pt>
              </c:strCache>
            </c:strRef>
          </c:tx>
          <c:cat>
            <c:strRef>
              <c:f>Sheet1!$A$2:$A$3</c:f>
              <c:strCache>
                <c:ptCount val="2"/>
                <c:pt idx="0">
                  <c:v>2020年</c:v>
                </c:pt>
                <c:pt idx="1">
                  <c:v>2021年</c:v>
                </c:pt>
              </c:strCache>
            </c:strRef>
          </c:cat>
          <c:val>
            <c:numRef>
              <c:f>Sheet1!$B$2:$B$3</c:f>
              <c:numCache>
                <c:formatCode>General</c:formatCode>
                <c:ptCount val="2"/>
                <c:pt idx="0">
                  <c:v>16067.92</c:v>
                </c:pt>
                <c:pt idx="1">
                  <c:v>16389.55</c:v>
                </c:pt>
              </c:numCache>
            </c:numRef>
          </c:val>
        </c:ser>
        <c:ser>
          <c:idx val="1"/>
          <c:order val="1"/>
          <c:tx>
            <c:strRef>
              <c:f>Sheet1!$C$1</c:f>
              <c:strCache>
                <c:ptCount val="1"/>
                <c:pt idx="0">
                  <c:v>列1</c:v>
                </c:pt>
              </c:strCache>
            </c:strRef>
          </c:tx>
          <c:cat>
            <c:strRef>
              <c:f>Sheet1!$A$2:$A$3</c:f>
              <c:strCache>
                <c:ptCount val="2"/>
                <c:pt idx="0">
                  <c:v>2020年</c:v>
                </c:pt>
                <c:pt idx="1">
                  <c:v>2021年</c:v>
                </c:pt>
              </c:strCache>
            </c:strRef>
          </c:cat>
          <c:val>
            <c:numRef>
              <c:f>Sheet1!$C$2:$C$3</c:f>
              <c:numCache>
                <c:formatCode>General</c:formatCode>
                <c:ptCount val="2"/>
              </c:numCache>
            </c:numRef>
          </c:val>
        </c:ser>
        <c:ser>
          <c:idx val="2"/>
          <c:order val="2"/>
          <c:tx>
            <c:strRef>
              <c:f>Sheet1!$D$1</c:f>
              <c:strCache>
                <c:ptCount val="1"/>
                <c:pt idx="0">
                  <c:v>列2</c:v>
                </c:pt>
              </c:strCache>
            </c:strRef>
          </c:tx>
          <c:cat>
            <c:strRef>
              <c:f>Sheet1!$A$2:$A$3</c:f>
              <c:strCache>
                <c:ptCount val="2"/>
                <c:pt idx="0">
                  <c:v>2020年</c:v>
                </c:pt>
                <c:pt idx="1">
                  <c:v>2021年</c:v>
                </c:pt>
              </c:strCache>
            </c:strRef>
          </c:cat>
          <c:val>
            <c:numRef>
              <c:f>Sheet1!$D$2:$D$3</c:f>
              <c:numCache>
                <c:formatCode>General</c:formatCode>
                <c:ptCount val="2"/>
              </c:numCache>
            </c:numRef>
          </c:val>
        </c:ser>
        <c:shape val="box"/>
        <c:axId val="154092288"/>
        <c:axId val="154093824"/>
        <c:axId val="0"/>
      </c:bar3DChart>
      <c:catAx>
        <c:axId val="154092288"/>
        <c:scaling>
          <c:orientation val="minMax"/>
        </c:scaling>
        <c:axPos val="b"/>
        <c:tickLblPos val="nextTo"/>
        <c:crossAx val="154093824"/>
        <c:crosses val="autoZero"/>
        <c:auto val="1"/>
        <c:lblAlgn val="ctr"/>
        <c:lblOffset val="100"/>
      </c:catAx>
      <c:valAx>
        <c:axId val="154093824"/>
        <c:scaling>
          <c:orientation val="minMax"/>
          <c:max val="17100"/>
          <c:min val="12000"/>
        </c:scaling>
        <c:axPos val="l"/>
        <c:majorGridlines>
          <c:spPr>
            <a:effectLst>
              <a:outerShdw blurRad="50800" dist="38100" dir="18900000" algn="bl" rotWithShape="0">
                <a:schemeClr val="accent6">
                  <a:alpha val="40000"/>
                </a:schemeClr>
              </a:outerShdw>
            </a:effectLst>
          </c:spPr>
        </c:majorGridlines>
        <c:numFmt formatCode="General" sourceLinked="1"/>
        <c:tickLblPos val="nextTo"/>
        <c:spPr>
          <a:noFill/>
          <a:effectLst>
            <a:outerShdw blurRad="50800" dist="50800" dir="5400000" algn="ctr" rotWithShape="0">
              <a:schemeClr val="accent6"/>
            </a:outerShdw>
          </a:effectLst>
        </c:spPr>
        <c:crossAx val="154092288"/>
        <c:crosses val="autoZero"/>
        <c:crossBetween val="between"/>
        <c:majorUnit val="300"/>
      </c:valAx>
    </c:plotArea>
    <c:legend>
      <c:legendPos val="r"/>
      <c:legendEntry>
        <c:idx val="1"/>
        <c:delete val="1"/>
      </c:legendEntry>
      <c:legendEntry>
        <c:idx val="0"/>
        <c:delete val="1"/>
      </c:legendEntry>
      <c:layout>
        <c:manualLayout>
          <c:xMode val="edge"/>
          <c:yMode val="edge"/>
          <c:x val="0.65356245651090061"/>
          <c:y val="0.43175836766534403"/>
          <c:w val="0.34643754348910094"/>
          <c:h val="0.18189057637145203"/>
        </c:manualLayout>
      </c:layout>
      <c:txPr>
        <a:bodyPr/>
        <a:lstStyle/>
        <a:p>
          <a:pPr>
            <a:defRPr i="1"/>
          </a:pPr>
          <a:endParaRPr lang="zh-CN"/>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view3D>
      <c:rAngAx val="1"/>
    </c:view3D>
    <c:sideWall>
      <c:spPr>
        <a:solidFill>
          <a:schemeClr val="accent6">
            <a:lumMod val="20000"/>
            <a:lumOff val="80000"/>
          </a:schemeClr>
        </a:solidFill>
      </c:spPr>
    </c:sideWall>
    <c:backWall>
      <c:spPr>
        <a:solidFill>
          <a:schemeClr val="accent6">
            <a:lumMod val="20000"/>
            <a:lumOff val="80000"/>
          </a:schemeClr>
        </a:solidFill>
      </c:spPr>
    </c:backWall>
    <c:plotArea>
      <c:layout/>
      <c:bar3DChart>
        <c:barDir val="col"/>
        <c:grouping val="stacked"/>
        <c:ser>
          <c:idx val="0"/>
          <c:order val="0"/>
          <c:tx>
            <c:strRef>
              <c:f>Sheet1!$B$1</c:f>
              <c:strCache>
                <c:ptCount val="1"/>
                <c:pt idx="0">
                  <c:v>一般公共预算财政拨款支出决算变动情况</c:v>
                </c:pt>
              </c:strCache>
            </c:strRef>
          </c:tx>
          <c:spPr>
            <a:gradFill>
              <a:gsLst>
                <a:gs pos="0">
                  <a:schemeClr val="accent2">
                    <a:lumMod val="75000"/>
                  </a:schemeClr>
                </a:gs>
                <a:gs pos="50000">
                  <a:srgbClr val="5B9BD5">
                    <a:tint val="44500"/>
                    <a:satMod val="160000"/>
                  </a:srgbClr>
                </a:gs>
                <a:gs pos="100000">
                  <a:srgbClr val="5B9BD5">
                    <a:tint val="23500"/>
                    <a:satMod val="160000"/>
                  </a:srgbClr>
                </a:gs>
              </a:gsLst>
              <a:lin ang="5400000" scaled="0"/>
            </a:gradFill>
          </c:spPr>
          <c:cat>
            <c:strRef>
              <c:f>Sheet1!$A$2:$A$3</c:f>
              <c:strCache>
                <c:ptCount val="2"/>
                <c:pt idx="0">
                  <c:v>2020年</c:v>
                </c:pt>
                <c:pt idx="1">
                  <c:v>2021年</c:v>
                </c:pt>
              </c:strCache>
            </c:strRef>
          </c:cat>
          <c:val>
            <c:numRef>
              <c:f>Sheet1!$B$2:$B$3</c:f>
              <c:numCache>
                <c:formatCode>General</c:formatCode>
                <c:ptCount val="2"/>
                <c:pt idx="0">
                  <c:v>8049.06</c:v>
                </c:pt>
                <c:pt idx="1">
                  <c:v>8200.9</c:v>
                </c:pt>
              </c:numCache>
            </c:numRef>
          </c:val>
        </c:ser>
        <c:shape val="box"/>
        <c:axId val="156272128"/>
        <c:axId val="156273664"/>
        <c:axId val="0"/>
      </c:bar3DChart>
      <c:catAx>
        <c:axId val="156272128"/>
        <c:scaling>
          <c:orientation val="minMax"/>
        </c:scaling>
        <c:axPos val="b"/>
        <c:tickLblPos val="nextTo"/>
        <c:crossAx val="156273664"/>
        <c:crosses val="autoZero"/>
        <c:auto val="1"/>
        <c:lblAlgn val="ctr"/>
        <c:lblOffset val="100"/>
      </c:catAx>
      <c:valAx>
        <c:axId val="156273664"/>
        <c:scaling>
          <c:orientation val="minMax"/>
          <c:min val="7000"/>
        </c:scaling>
        <c:axPos val="l"/>
        <c:majorGridlines>
          <c:spPr>
            <a:ln w="3175">
              <a:solidFill>
                <a:srgbClr val="0070C0"/>
              </a:solidFill>
            </a:ln>
          </c:spPr>
        </c:majorGridlines>
        <c:minorGridlines/>
        <c:numFmt formatCode="General" sourceLinked="1"/>
        <c:tickLblPos val="nextTo"/>
        <c:crossAx val="156272128"/>
        <c:crosses val="autoZero"/>
        <c:crossBetween val="between"/>
        <c:majorUnit val="100"/>
        <c:minorUnit val="20"/>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一般公共预算财政拨款支出决算</c:v>
                </c:pt>
              </c:strCache>
            </c:strRef>
          </c:tx>
          <c:explosion val="25"/>
          <c:dLbls>
            <c:dLbl>
              <c:idx val="0"/>
              <c:layout>
                <c:manualLayout>
                  <c:x val="5.9219594600999952E-2"/>
                  <c:y val="-8.9417615367738471E-3"/>
                </c:manualLayout>
              </c:layout>
              <c:showVal val="1"/>
            </c:dLbl>
            <c:showVal val="1"/>
            <c:showLeaderLines val="1"/>
          </c:dLbls>
          <c:cat>
            <c:strRef>
              <c:f>Sheet1!$A$2:$A$5</c:f>
              <c:strCache>
                <c:ptCount val="4"/>
                <c:pt idx="0">
                  <c:v>一般公共服务</c:v>
                </c:pt>
                <c:pt idx="1">
                  <c:v>教育支出</c:v>
                </c:pt>
                <c:pt idx="2">
                  <c:v>社会保障和就业</c:v>
                </c:pt>
                <c:pt idx="3">
                  <c:v>住房保障支出</c:v>
                </c:pt>
              </c:strCache>
            </c:strRef>
          </c:cat>
          <c:val>
            <c:numRef>
              <c:f>Sheet1!$B$2:$B$5</c:f>
              <c:numCache>
                <c:formatCode>General</c:formatCode>
                <c:ptCount val="4"/>
                <c:pt idx="0">
                  <c:v>8.9500000000000028</c:v>
                </c:pt>
                <c:pt idx="1">
                  <c:v>7472.75</c:v>
                </c:pt>
                <c:pt idx="2">
                  <c:v>714.38</c:v>
                </c:pt>
                <c:pt idx="3">
                  <c:v>4.8199999999999985</c:v>
                </c:pt>
              </c:numCache>
            </c:numRef>
          </c:val>
        </c:ser>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view3D>
      <c:rotX val="30"/>
      <c:rotY val="30"/>
      <c:perspective val="0"/>
    </c:view3D>
    <c:plotArea>
      <c:layout/>
      <c:pie3DChart>
        <c:varyColors val="1"/>
        <c:ser>
          <c:idx val="0"/>
          <c:order val="0"/>
          <c:tx>
            <c:strRef>
              <c:f>Sheet1!$B$1</c:f>
              <c:strCache>
                <c:ptCount val="1"/>
                <c:pt idx="0">
                  <c:v>“三公”经费财政拨款支出结构</c:v>
                </c:pt>
              </c:strCache>
            </c:strRef>
          </c:tx>
          <c:dLbls>
            <c:dLbl>
              <c:idx val="0"/>
              <c:layout>
                <c:manualLayout>
                  <c:x val="-0.16925493009026144"/>
                  <c:y val="-3.5387078163217255E-2"/>
                </c:manualLayout>
              </c:layout>
              <c:showVal val="1"/>
              <c:showPercent val="1"/>
            </c:dLbl>
            <c:dLbl>
              <c:idx val="2"/>
              <c:layout>
                <c:manualLayout>
                  <c:x val="8.0602098650712245E-2"/>
                  <c:y val="-2.7073612702437168E-2"/>
                </c:manualLayout>
              </c:layout>
              <c:showVal val="1"/>
              <c:showPercent val="1"/>
            </c:dLbl>
            <c:numFmt formatCode="0.00%" sourceLinked="0"/>
            <c:showVal val="1"/>
            <c:showPercent val="1"/>
            <c:showLeaderLines val="1"/>
          </c:dLbls>
          <c:cat>
            <c:strRef>
              <c:f>Sheet1!$A$2:$A$4</c:f>
              <c:strCache>
                <c:ptCount val="3"/>
                <c:pt idx="0">
                  <c:v>因公出国（出境）费</c:v>
                </c:pt>
                <c:pt idx="1">
                  <c:v>公务用车购置及运行维护</c:v>
                </c:pt>
                <c:pt idx="2">
                  <c:v>公务接待</c:v>
                </c:pt>
              </c:strCache>
            </c:strRef>
          </c:cat>
          <c:val>
            <c:numRef>
              <c:f>Sheet1!$B$2:$B$4</c:f>
              <c:numCache>
                <c:formatCode>General</c:formatCode>
                <c:ptCount val="3"/>
                <c:pt idx="0">
                  <c:v>0</c:v>
                </c:pt>
                <c:pt idx="1">
                  <c:v>5.83</c:v>
                </c:pt>
                <c:pt idx="2">
                  <c:v>0.17</c:v>
                </c:pt>
              </c:numCache>
            </c:numRef>
          </c:val>
        </c:ser>
      </c:pie3D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1659</TotalTime>
  <Pages>25</Pages>
  <Words>1404</Words>
  <Characters>8009</Characters>
  <Application>Microsoft Office Word</Application>
  <DocSecurity>0</DocSecurity>
  <Lines>66</Lines>
  <Paragraphs>18</Paragraphs>
  <ScaleCrop>false</ScaleCrop>
  <Company>微软中国</Company>
  <LinksUpToDate>false</LinksUpToDate>
  <CharactersWithSpaces>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郭辉</dc:creator>
  <cp:keywords/>
  <dc:description/>
  <cp:lastModifiedBy>郭辉</cp:lastModifiedBy>
  <cp:revision>21</cp:revision>
  <dcterms:created xsi:type="dcterms:W3CDTF">2022-08-31T02:57:00Z</dcterms:created>
  <dcterms:modified xsi:type="dcterms:W3CDTF">2023-10-19T08:12:00Z</dcterms:modified>
</cp:coreProperties>
</file>