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193"/>
      <w:bookmarkStart w:id="3" w:name="_Toc15378441"/>
      <w:bookmarkStart w:id="4" w:name="_Toc15377425"/>
      <w:bookmarkStart w:id="5" w:name="_Toc15396597"/>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96598"/>
      <w:bookmarkStart w:id="9" w:name="_Toc15377426"/>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攀枝花市经贸旅游学校单位决算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公开时间：2022年9月13日</w:t>
      </w:r>
    </w:p>
    <w:p/>
    <w:p>
      <w:pPr>
        <w:pStyle w:val="10"/>
        <w:adjustRightInd w:val="0"/>
        <w:snapToGrid w:val="0"/>
        <w:spacing w:before="0" w:line="440" w:lineRule="exact"/>
        <w:jc w:val="left"/>
        <w:rPr>
          <w:rFonts w:ascii="宋体" w:hAnsi="宋体" w:eastAsia="宋体" w:cs="宋体"/>
          <w:sz w:val="24"/>
          <w:szCs w:val="24"/>
        </w:rPr>
      </w:pPr>
      <w:r>
        <w:rPr>
          <w:rFonts w:hint="eastAsia" w:ascii="宋体" w:hAnsi="宋体" w:eastAsia="宋体" w:cs="宋体"/>
          <w:sz w:val="24"/>
          <w:szCs w:val="24"/>
        </w:rPr>
        <w:t xml:space="preserve">第一部分 单位概况 </w:t>
      </w:r>
    </w:p>
    <w:p>
      <w:pPr>
        <w:pStyle w:val="11"/>
        <w:adjustRightInd w:val="0"/>
        <w:snapToGrid w:val="0"/>
        <w:spacing w:line="440" w:lineRule="exact"/>
        <w:jc w:val="left"/>
        <w:rPr>
          <w:rFonts w:ascii="宋体" w:hAnsi="宋体" w:cs="宋体"/>
          <w:sz w:val="24"/>
        </w:rPr>
      </w:pPr>
      <w:r>
        <w:rPr>
          <w:rFonts w:hint="eastAsia" w:ascii="宋体" w:hAnsi="宋体" w:cs="宋体"/>
          <w:sz w:val="24"/>
        </w:rPr>
        <w:t>一、职能简介  ………………………………………………………………   4</w:t>
      </w:r>
    </w:p>
    <w:p>
      <w:pPr>
        <w:pStyle w:val="11"/>
        <w:adjustRightInd w:val="0"/>
        <w:snapToGrid w:val="0"/>
        <w:spacing w:line="440" w:lineRule="exact"/>
        <w:jc w:val="left"/>
        <w:rPr>
          <w:rFonts w:ascii="宋体" w:hAnsi="宋体" w:cs="宋体"/>
          <w:sz w:val="24"/>
        </w:rPr>
      </w:pPr>
      <w:r>
        <w:rPr>
          <w:rFonts w:hint="eastAsia" w:ascii="宋体" w:hAnsi="宋体" w:cs="宋体"/>
          <w:sz w:val="24"/>
        </w:rPr>
        <w:t>二、2021年重点工作完成情况 ……………………………………………   5</w:t>
      </w:r>
    </w:p>
    <w:p>
      <w:pPr>
        <w:pStyle w:val="11"/>
        <w:adjustRightInd w:val="0"/>
        <w:snapToGrid w:val="0"/>
        <w:spacing w:line="440" w:lineRule="exact"/>
        <w:jc w:val="left"/>
      </w:pPr>
      <w:r>
        <w:rPr>
          <w:rFonts w:hint="eastAsia" w:ascii="宋体" w:hAnsi="宋体" w:cs="宋体"/>
          <w:sz w:val="24"/>
        </w:rPr>
        <w:t>三、机构设置情况……………………………………………………………  17</w:t>
      </w:r>
    </w:p>
    <w:p>
      <w:pPr>
        <w:pStyle w:val="10"/>
        <w:adjustRightInd w:val="0"/>
        <w:snapToGrid w:val="0"/>
        <w:spacing w:before="0" w:line="440" w:lineRule="exact"/>
        <w:jc w:val="left"/>
        <w:rPr>
          <w:rFonts w:ascii="宋体" w:hAnsi="宋体" w:eastAsia="宋体" w:cs="宋体"/>
          <w:sz w:val="24"/>
          <w:szCs w:val="24"/>
        </w:rPr>
      </w:pPr>
      <w:r>
        <w:rPr>
          <w:rFonts w:hint="eastAsia" w:ascii="宋体" w:hAnsi="宋体" w:eastAsia="宋体" w:cs="宋体"/>
          <w:sz w:val="24"/>
          <w:szCs w:val="24"/>
        </w:rPr>
        <w:t>第二部分 2021年度单位决算情况说明</w:t>
      </w:r>
    </w:p>
    <w:p>
      <w:pPr>
        <w:pStyle w:val="11"/>
        <w:adjustRightInd w:val="0"/>
        <w:snapToGrid w:val="0"/>
        <w:spacing w:line="440" w:lineRule="exact"/>
        <w:jc w:val="left"/>
        <w:rPr>
          <w:rFonts w:ascii="宋体" w:hAnsi="宋体" w:cs="宋体"/>
          <w:sz w:val="24"/>
        </w:rPr>
      </w:pPr>
      <w:r>
        <w:rPr>
          <w:rFonts w:hint="eastAsia" w:ascii="宋体" w:hAnsi="宋体" w:cs="宋体"/>
          <w:sz w:val="24"/>
        </w:rPr>
        <w:t>一、收入支出决算总体情况说明………………………………………………18</w:t>
      </w:r>
    </w:p>
    <w:p>
      <w:pPr>
        <w:pStyle w:val="11"/>
        <w:adjustRightInd w:val="0"/>
        <w:snapToGrid w:val="0"/>
        <w:spacing w:line="440" w:lineRule="exact"/>
        <w:jc w:val="left"/>
        <w:rPr>
          <w:rFonts w:ascii="宋体" w:hAnsi="宋体" w:cs="宋体"/>
          <w:sz w:val="24"/>
        </w:rPr>
      </w:pPr>
      <w:r>
        <w:rPr>
          <w:rFonts w:hint="eastAsia" w:ascii="宋体" w:hAnsi="宋体" w:cs="宋体"/>
          <w:sz w:val="24"/>
        </w:rPr>
        <w:t>二、收入决算情况说明…………………………………………………………18</w:t>
      </w:r>
    </w:p>
    <w:p>
      <w:pPr>
        <w:pStyle w:val="11"/>
        <w:adjustRightInd w:val="0"/>
        <w:snapToGrid w:val="0"/>
        <w:spacing w:line="440" w:lineRule="exact"/>
        <w:jc w:val="left"/>
        <w:rPr>
          <w:rFonts w:ascii="宋体" w:hAnsi="宋体" w:cs="宋体"/>
          <w:sz w:val="24"/>
        </w:rPr>
      </w:pPr>
      <w:r>
        <w:rPr>
          <w:rFonts w:hint="eastAsia" w:ascii="宋体" w:hAnsi="宋体" w:cs="宋体"/>
          <w:sz w:val="24"/>
        </w:rPr>
        <w:t>三、支出决算情况说明………………………………………………………  19</w:t>
      </w:r>
    </w:p>
    <w:p>
      <w:pPr>
        <w:pStyle w:val="11"/>
        <w:adjustRightInd w:val="0"/>
        <w:snapToGrid w:val="0"/>
        <w:spacing w:line="440" w:lineRule="exact"/>
        <w:jc w:val="left"/>
        <w:rPr>
          <w:rFonts w:ascii="宋体" w:hAnsi="宋体" w:cs="宋体"/>
          <w:sz w:val="24"/>
        </w:rPr>
      </w:pPr>
      <w:r>
        <w:rPr>
          <w:rFonts w:hint="eastAsia" w:ascii="宋体" w:hAnsi="宋体" w:cs="宋体"/>
          <w:sz w:val="24"/>
        </w:rPr>
        <w:t xml:space="preserve">四、财政拨款收入支出决算总体情况说明……………………………………19 </w:t>
      </w:r>
    </w:p>
    <w:p>
      <w:pPr>
        <w:pStyle w:val="11"/>
        <w:adjustRightInd w:val="0"/>
        <w:snapToGrid w:val="0"/>
        <w:spacing w:line="440" w:lineRule="exact"/>
        <w:jc w:val="left"/>
        <w:rPr>
          <w:rFonts w:ascii="宋体" w:hAnsi="宋体" w:cs="宋体"/>
          <w:sz w:val="24"/>
        </w:rPr>
      </w:pPr>
      <w:r>
        <w:rPr>
          <w:rFonts w:hint="eastAsia" w:ascii="宋体" w:hAnsi="宋体" w:cs="宋体"/>
          <w:sz w:val="24"/>
        </w:rPr>
        <w:t>五、一般公共预算财政拨款支出决算情况说明………………………………20六、一般公共预算财政拨款基本支出决算情况说明…………………………22</w:t>
      </w:r>
    </w:p>
    <w:p>
      <w:pPr>
        <w:pStyle w:val="11"/>
        <w:adjustRightInd w:val="0"/>
        <w:snapToGrid w:val="0"/>
        <w:spacing w:line="440" w:lineRule="exact"/>
        <w:jc w:val="left"/>
        <w:rPr>
          <w:rFonts w:ascii="宋体" w:hAnsi="宋体" w:cs="宋体"/>
          <w:sz w:val="24"/>
        </w:rPr>
      </w:pPr>
      <w:r>
        <w:rPr>
          <w:rFonts w:hint="eastAsia" w:ascii="宋体" w:hAnsi="宋体" w:cs="宋体"/>
          <w:sz w:val="24"/>
        </w:rPr>
        <w:t>七、“三公”经费财政拨款支出决算情况说明………………………………23</w:t>
      </w:r>
    </w:p>
    <w:p>
      <w:pPr>
        <w:pStyle w:val="11"/>
        <w:adjustRightInd w:val="0"/>
        <w:snapToGrid w:val="0"/>
        <w:spacing w:line="440" w:lineRule="exact"/>
        <w:jc w:val="left"/>
        <w:rPr>
          <w:rFonts w:ascii="宋体" w:hAnsi="宋体" w:cs="宋体"/>
          <w:sz w:val="24"/>
        </w:rPr>
      </w:pPr>
      <w:r>
        <w:rPr>
          <w:rFonts w:hint="eastAsia" w:ascii="宋体" w:hAnsi="宋体" w:cs="宋体"/>
          <w:sz w:val="24"/>
        </w:rPr>
        <w:t>八、政府性基金预算支出决算情况说明……………………………………  25九、国有资本经营预算支出决算情况说明……………………………………25</w:t>
      </w:r>
    </w:p>
    <w:p>
      <w:pPr>
        <w:pStyle w:val="11"/>
        <w:adjustRightInd w:val="0"/>
        <w:snapToGrid w:val="0"/>
        <w:spacing w:line="440" w:lineRule="exact"/>
        <w:jc w:val="left"/>
        <w:rPr>
          <w:rFonts w:ascii="宋体" w:hAnsi="宋体" w:cs="宋体"/>
          <w:sz w:val="24"/>
        </w:rPr>
      </w:pPr>
      <w:r>
        <w:rPr>
          <w:rFonts w:hint="eastAsia" w:ascii="宋体" w:hAnsi="宋体" w:cs="宋体"/>
          <w:sz w:val="24"/>
        </w:rPr>
        <w:t>十、其他重要事项的情况说明………………………………………………  25</w:t>
      </w:r>
    </w:p>
    <w:p>
      <w:pPr>
        <w:pStyle w:val="10"/>
        <w:adjustRightInd w:val="0"/>
        <w:snapToGrid w:val="0"/>
        <w:spacing w:before="0" w:line="440" w:lineRule="exact"/>
        <w:jc w:val="left"/>
        <w:rPr>
          <w:rFonts w:ascii="宋体" w:hAnsi="宋体" w:eastAsia="宋体" w:cs="宋体"/>
          <w:sz w:val="24"/>
          <w:szCs w:val="24"/>
        </w:rPr>
      </w:pPr>
      <w:r>
        <w:rPr>
          <w:rFonts w:hint="eastAsia" w:ascii="宋体" w:hAnsi="宋体" w:eastAsia="宋体" w:cs="宋体"/>
          <w:sz w:val="24"/>
          <w:szCs w:val="24"/>
        </w:rPr>
        <w:t>第三部分 名词解释………………………………………………………………  27第四部分 附件……………………………………………………………………  30第五部分 附表……………………………………………………………………  37</w:t>
      </w:r>
    </w:p>
    <w:p>
      <w:pPr>
        <w:pStyle w:val="11"/>
        <w:adjustRightInd w:val="0"/>
        <w:snapToGrid w:val="0"/>
        <w:spacing w:line="440" w:lineRule="exact"/>
        <w:jc w:val="left"/>
        <w:rPr>
          <w:rFonts w:ascii="宋体" w:hAnsi="宋体" w:cs="宋体"/>
          <w:sz w:val="24"/>
        </w:rPr>
      </w:pPr>
      <w:r>
        <w:rPr>
          <w:rFonts w:hint="eastAsia" w:ascii="宋体" w:hAnsi="宋体" w:cs="宋体"/>
          <w:sz w:val="24"/>
        </w:rPr>
        <w:t>一、收入支出决算总表………………………………………………………  37</w:t>
      </w:r>
    </w:p>
    <w:p>
      <w:pPr>
        <w:pStyle w:val="11"/>
        <w:adjustRightInd w:val="0"/>
        <w:snapToGrid w:val="0"/>
        <w:spacing w:line="440" w:lineRule="exact"/>
        <w:jc w:val="left"/>
        <w:rPr>
          <w:rFonts w:ascii="宋体" w:hAnsi="宋体" w:cs="宋体"/>
          <w:sz w:val="24"/>
        </w:rPr>
      </w:pPr>
      <w:r>
        <w:rPr>
          <w:rFonts w:hint="eastAsia" w:ascii="宋体" w:hAnsi="宋体" w:cs="宋体"/>
          <w:sz w:val="24"/>
        </w:rPr>
        <w:t>二、收入决算表…………………………………………………………………37</w:t>
      </w:r>
    </w:p>
    <w:p>
      <w:pPr>
        <w:pStyle w:val="11"/>
        <w:adjustRightInd w:val="0"/>
        <w:snapToGrid w:val="0"/>
        <w:spacing w:line="440" w:lineRule="exact"/>
        <w:jc w:val="left"/>
        <w:rPr>
          <w:rFonts w:ascii="宋体" w:hAnsi="宋体" w:cs="宋体"/>
          <w:sz w:val="24"/>
        </w:rPr>
      </w:pPr>
      <w:r>
        <w:rPr>
          <w:rFonts w:hint="eastAsia" w:ascii="宋体" w:hAnsi="宋体" w:cs="宋体"/>
          <w:sz w:val="24"/>
        </w:rPr>
        <w:t>三、支出决算表…………………………………………………………………37</w:t>
      </w:r>
    </w:p>
    <w:p>
      <w:pPr>
        <w:pStyle w:val="11"/>
        <w:adjustRightInd w:val="0"/>
        <w:snapToGrid w:val="0"/>
        <w:spacing w:line="440" w:lineRule="exact"/>
        <w:jc w:val="left"/>
        <w:rPr>
          <w:rFonts w:ascii="宋体" w:hAnsi="宋体" w:cs="宋体"/>
          <w:sz w:val="24"/>
        </w:rPr>
      </w:pPr>
      <w:r>
        <w:rPr>
          <w:rFonts w:hint="eastAsia" w:ascii="宋体" w:hAnsi="宋体" w:cs="宋体"/>
          <w:sz w:val="24"/>
        </w:rPr>
        <w:t>四、财政拨款收入支出决算总表………………………………………………37</w:t>
      </w:r>
    </w:p>
    <w:p>
      <w:pPr>
        <w:pStyle w:val="11"/>
        <w:adjustRightInd w:val="0"/>
        <w:snapToGrid w:val="0"/>
        <w:spacing w:line="440" w:lineRule="exact"/>
        <w:jc w:val="left"/>
        <w:rPr>
          <w:sz w:val="24"/>
        </w:rPr>
      </w:pPr>
      <w:r>
        <w:rPr>
          <w:rFonts w:hint="eastAsia"/>
          <w:sz w:val="24"/>
        </w:rPr>
        <w:t>五、财政拨款支出决算明细表</w:t>
      </w:r>
      <w:r>
        <w:rPr>
          <w:rFonts w:hint="eastAsia" w:ascii="宋体" w:hAnsi="宋体" w:cs="宋体"/>
          <w:sz w:val="24"/>
        </w:rPr>
        <w:t>………………………………………………  37</w:t>
      </w:r>
    </w:p>
    <w:p>
      <w:pPr>
        <w:pStyle w:val="11"/>
        <w:adjustRightInd w:val="0"/>
        <w:snapToGrid w:val="0"/>
        <w:spacing w:line="440" w:lineRule="exact"/>
        <w:jc w:val="left"/>
        <w:rPr>
          <w:sz w:val="24"/>
        </w:rPr>
      </w:pPr>
      <w:r>
        <w:rPr>
          <w:rFonts w:hint="eastAsia"/>
          <w:sz w:val="24"/>
        </w:rPr>
        <w:t>六、一般公共预算财政拨款支出决算表</w:t>
      </w:r>
      <w:r>
        <w:rPr>
          <w:rFonts w:hint="eastAsia" w:ascii="宋体" w:hAnsi="宋体" w:cs="宋体"/>
          <w:sz w:val="24"/>
        </w:rPr>
        <w:t>……………………………………  37</w:t>
      </w:r>
    </w:p>
    <w:p>
      <w:pPr>
        <w:pStyle w:val="11"/>
        <w:adjustRightInd w:val="0"/>
        <w:snapToGrid w:val="0"/>
        <w:spacing w:line="440" w:lineRule="exact"/>
        <w:jc w:val="left"/>
        <w:rPr>
          <w:sz w:val="24"/>
        </w:rPr>
      </w:pPr>
      <w:r>
        <w:rPr>
          <w:rFonts w:hint="eastAsia"/>
          <w:sz w:val="24"/>
        </w:rPr>
        <w:t>七、一般公共预算财政拨款支出决算明细表</w:t>
      </w:r>
      <w:r>
        <w:rPr>
          <w:rFonts w:hint="eastAsia" w:ascii="宋体" w:hAnsi="宋体" w:cs="宋体"/>
          <w:sz w:val="24"/>
        </w:rPr>
        <w:t>…………………………………37</w:t>
      </w:r>
    </w:p>
    <w:p>
      <w:pPr>
        <w:pStyle w:val="11"/>
        <w:adjustRightInd w:val="0"/>
        <w:snapToGrid w:val="0"/>
        <w:spacing w:line="440" w:lineRule="exact"/>
        <w:jc w:val="left"/>
        <w:rPr>
          <w:sz w:val="24"/>
        </w:rPr>
      </w:pPr>
      <w:r>
        <w:rPr>
          <w:rFonts w:hint="eastAsia"/>
          <w:sz w:val="24"/>
        </w:rPr>
        <w:t>八、一般公共预算财政拨款基本支出决算表</w:t>
      </w:r>
      <w:r>
        <w:rPr>
          <w:rFonts w:hint="eastAsia" w:ascii="宋体" w:hAnsi="宋体" w:cs="宋体"/>
          <w:sz w:val="24"/>
        </w:rPr>
        <w:t>…………………………………37</w:t>
      </w:r>
    </w:p>
    <w:p>
      <w:pPr>
        <w:pStyle w:val="11"/>
        <w:adjustRightInd w:val="0"/>
        <w:snapToGrid w:val="0"/>
        <w:spacing w:line="440" w:lineRule="exact"/>
        <w:jc w:val="left"/>
        <w:rPr>
          <w:sz w:val="24"/>
        </w:rPr>
      </w:pPr>
      <w:r>
        <w:rPr>
          <w:rFonts w:hint="eastAsia"/>
          <w:sz w:val="24"/>
        </w:rPr>
        <w:t>九、一般公共预算财政拨款项目支出决算表</w:t>
      </w:r>
      <w:r>
        <w:rPr>
          <w:rFonts w:hint="eastAsia" w:ascii="宋体" w:hAnsi="宋体" w:cs="宋体"/>
          <w:sz w:val="24"/>
        </w:rPr>
        <w:t>…………………………………37</w:t>
      </w:r>
    </w:p>
    <w:p>
      <w:pPr>
        <w:pStyle w:val="11"/>
        <w:adjustRightInd w:val="0"/>
        <w:snapToGrid w:val="0"/>
        <w:spacing w:line="440" w:lineRule="exact"/>
        <w:jc w:val="left"/>
        <w:rPr>
          <w:sz w:val="24"/>
        </w:rPr>
      </w:pPr>
      <w:r>
        <w:rPr>
          <w:rFonts w:hint="eastAsia"/>
          <w:sz w:val="24"/>
        </w:rPr>
        <w:t>十、一般公共预算财政拨款“三公”经费支出决算表</w:t>
      </w:r>
      <w:r>
        <w:rPr>
          <w:rFonts w:hint="eastAsia" w:ascii="宋体" w:hAnsi="宋体" w:cs="宋体"/>
          <w:sz w:val="24"/>
        </w:rPr>
        <w:t>………………………37</w:t>
      </w:r>
    </w:p>
    <w:p>
      <w:pPr>
        <w:pStyle w:val="11"/>
        <w:adjustRightInd w:val="0"/>
        <w:snapToGrid w:val="0"/>
        <w:spacing w:line="440" w:lineRule="exact"/>
        <w:jc w:val="left"/>
        <w:rPr>
          <w:sz w:val="24"/>
        </w:rPr>
      </w:pPr>
      <w:r>
        <w:rPr>
          <w:rFonts w:hint="eastAsia"/>
          <w:sz w:val="24"/>
        </w:rPr>
        <w:t>十一、政府性基金预算财政拨款收入支出决算表</w:t>
      </w:r>
      <w:r>
        <w:rPr>
          <w:rFonts w:hint="eastAsia" w:ascii="宋体" w:hAnsi="宋体" w:cs="宋体"/>
          <w:sz w:val="24"/>
        </w:rPr>
        <w:t>…………………………  37</w:t>
      </w:r>
    </w:p>
    <w:p>
      <w:pPr>
        <w:pStyle w:val="11"/>
        <w:adjustRightInd w:val="0"/>
        <w:snapToGrid w:val="0"/>
        <w:spacing w:line="440" w:lineRule="exact"/>
        <w:jc w:val="left"/>
        <w:rPr>
          <w:sz w:val="24"/>
        </w:rPr>
      </w:pPr>
      <w:r>
        <w:rPr>
          <w:rFonts w:hint="eastAsia"/>
          <w:sz w:val="24"/>
        </w:rPr>
        <w:t>十二、政府性基金预算财政拨款“三公”经费支出决算表</w:t>
      </w:r>
      <w:r>
        <w:rPr>
          <w:rFonts w:hint="eastAsia" w:ascii="宋体" w:hAnsi="宋体" w:cs="宋体"/>
          <w:sz w:val="24"/>
        </w:rPr>
        <w:t>…………………37</w:t>
      </w:r>
    </w:p>
    <w:p>
      <w:pPr>
        <w:pStyle w:val="11"/>
        <w:adjustRightInd w:val="0"/>
        <w:snapToGrid w:val="0"/>
        <w:spacing w:line="440" w:lineRule="exact"/>
        <w:jc w:val="left"/>
        <w:rPr>
          <w:sz w:val="24"/>
        </w:rPr>
      </w:pPr>
      <w:r>
        <w:rPr>
          <w:rFonts w:hint="eastAsia"/>
          <w:sz w:val="24"/>
        </w:rPr>
        <w:t>十三、国有资本经营预算财政拨款收入支出决算表</w:t>
      </w:r>
      <w:r>
        <w:rPr>
          <w:rFonts w:hint="eastAsia" w:ascii="宋体" w:hAnsi="宋体" w:cs="宋体"/>
          <w:sz w:val="24"/>
        </w:rPr>
        <w:t>…………………………37</w:t>
      </w:r>
    </w:p>
    <w:p>
      <w:pPr>
        <w:pStyle w:val="11"/>
        <w:adjustRightInd w:val="0"/>
        <w:snapToGrid w:val="0"/>
        <w:spacing w:line="440" w:lineRule="exact"/>
        <w:jc w:val="left"/>
        <w:rPr>
          <w:sz w:val="24"/>
        </w:rPr>
      </w:pPr>
      <w:r>
        <w:rPr>
          <w:rFonts w:hint="eastAsia"/>
          <w:sz w:val="24"/>
        </w:rPr>
        <w:t>十四、国有资本经营预算财政拨款支出决算表</w:t>
      </w:r>
      <w:r>
        <w:rPr>
          <w:rFonts w:hint="eastAsia" w:ascii="宋体" w:hAnsi="宋体" w:cs="宋体"/>
          <w:sz w:val="24"/>
        </w:rPr>
        <w:t>……………………………  37</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6"/>
          <w:rFonts w:ascii="黑体" w:hAnsi="黑体" w:eastAsia="黑体"/>
          <w:b w:val="0"/>
          <w:bCs w:val="0"/>
        </w:rPr>
      </w:pPr>
      <w:bookmarkStart w:id="14" w:name="_Toc15377197"/>
      <w:bookmarkStart w:id="15" w:name="_Toc15396600"/>
      <w:r>
        <w:rPr>
          <w:rStyle w:val="26"/>
          <w:rFonts w:hint="eastAsia" w:ascii="黑体" w:hAnsi="黑体" w:eastAsia="黑体"/>
          <w:b w:val="0"/>
          <w:bCs w:val="0"/>
        </w:rPr>
        <w:t>职能简介</w:t>
      </w:r>
    </w:p>
    <w:p>
      <w:pPr>
        <w:ind w:right="-31" w:firstLine="707" w:firstLineChars="221"/>
        <w:rPr>
          <w:rFonts w:ascii="仿宋" w:hAnsi="仿宋" w:eastAsia="仿宋"/>
          <w:bCs/>
          <w:sz w:val="32"/>
          <w:szCs w:val="32"/>
        </w:rPr>
      </w:pPr>
      <w:r>
        <w:rPr>
          <w:rFonts w:hint="eastAsia" w:ascii="仿宋" w:hAnsi="仿宋" w:eastAsia="仿宋"/>
          <w:bCs/>
          <w:sz w:val="32"/>
          <w:szCs w:val="32"/>
        </w:rPr>
        <w:t>我校是一所国家级重点中等职业学校，也是由教育部、人社部、财政部正式批准的《国家中等职业教育改革发展示范学校建设计划》第三批立项建设学校。我校始建于1981年，原名“渡口市汽车运输职工技校”，隶属于渡口市汽车运输公司，1991年更名为“攀枝花市经济学校”，2000年移交给攀枝花市教育局管理。2001年与“攀枝花市第一职业中学”合并更名为“攀枝花市经贸旅游学校”，2012年“攀枝花市信息职业技术学校”并入我校。社会信用代码：12510300450960973Y。住所：攀枝花市仁和区攀枝花大道南段322号；经费来源：核定收支、定额（定项）补助；开办资金：人民币13442.2万元。举办单位：攀枝花市教育体育局。</w:t>
      </w:r>
    </w:p>
    <w:p>
      <w:pPr>
        <w:ind w:right="-31" w:firstLine="707" w:firstLineChars="221"/>
        <w:rPr>
          <w:rFonts w:ascii="仿宋" w:hAnsi="仿宋" w:eastAsia="仿宋"/>
          <w:bCs/>
          <w:sz w:val="32"/>
          <w:szCs w:val="32"/>
        </w:rPr>
      </w:pPr>
      <w:r>
        <w:rPr>
          <w:rFonts w:hint="eastAsia" w:ascii="仿宋" w:hAnsi="仿宋" w:eastAsia="仿宋"/>
          <w:bCs/>
          <w:sz w:val="32"/>
          <w:szCs w:val="32"/>
        </w:rPr>
        <w:t>学校主要职能是培养中专学历技术应用人才，提高社会职业素质。开办了高星级饭店运营与管理、旅游服务与管理、中餐烹饪与营养膳食、航空服务、会计、市场营销、物流服务与管理、计算机应用、电子技术应用、机电技术应用、机械加工技术、汽车制造及检修、铁道运输管理、学前教育、现代农艺技术等专业学历教育；相关职业培训。</w:t>
      </w:r>
    </w:p>
    <w:p>
      <w:pPr>
        <w:ind w:right="-31" w:firstLine="707" w:firstLineChars="221"/>
        <w:rPr>
          <w:rFonts w:ascii="仿宋" w:hAnsi="仿宋" w:eastAsia="仿宋"/>
          <w:bCs/>
          <w:sz w:val="32"/>
          <w:szCs w:val="32"/>
        </w:rPr>
      </w:pPr>
      <w:r>
        <w:rPr>
          <w:rFonts w:hint="eastAsia" w:ascii="仿宋" w:hAnsi="仿宋" w:eastAsia="仿宋"/>
          <w:bCs/>
          <w:sz w:val="32"/>
          <w:szCs w:val="32"/>
        </w:rPr>
        <w:t>根据市编办核准内设党政管理及教学管理机构16个，分别是行政办公室、党办、总务科、教务科、学生科、招生就业科、培训科、艺术师范部、信息技术部、财经部、旅游部、综合专业部、团委等。</w:t>
      </w:r>
    </w:p>
    <w:p>
      <w:pPr>
        <w:ind w:right="-31" w:firstLine="707" w:firstLineChars="221"/>
      </w:pPr>
      <w:r>
        <w:rPr>
          <w:rFonts w:hint="eastAsia" w:ascii="仿宋" w:hAnsi="仿宋" w:eastAsia="仿宋"/>
          <w:bCs/>
          <w:sz w:val="32"/>
          <w:szCs w:val="32"/>
        </w:rPr>
        <w:t>人员情况，我校编制380人，截止2021年12月在职310人，离休1人，退休206人。遗属1人。学生人数4739人。</w:t>
      </w:r>
    </w:p>
    <w:p>
      <w:pPr>
        <w:pStyle w:val="4"/>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pStyle w:val="4"/>
        <w:rPr>
          <w:rFonts w:ascii="仿宋" w:hAnsi="仿宋" w:eastAsia="仿宋"/>
        </w:rPr>
      </w:pPr>
      <w:r>
        <w:rPr>
          <w:rFonts w:hint="eastAsia" w:ascii="仿宋" w:hAnsi="仿宋" w:eastAsia="仿宋"/>
        </w:rPr>
        <w:t>1、党建引领把航向，开创工作新局面。</w:t>
      </w:r>
    </w:p>
    <w:p>
      <w:pPr>
        <w:ind w:right="-31" w:firstLine="640" w:firstLineChars="200"/>
        <w:rPr>
          <w:rFonts w:ascii="仿宋" w:hAnsi="仿宋" w:eastAsia="仿宋"/>
          <w:b/>
          <w:bCs/>
          <w:sz w:val="32"/>
          <w:szCs w:val="32"/>
        </w:rPr>
      </w:pPr>
      <w:r>
        <w:rPr>
          <w:rFonts w:hint="eastAsia" w:ascii="仿宋" w:hAnsi="仿宋" w:eastAsia="仿宋"/>
          <w:bCs/>
          <w:sz w:val="32"/>
          <w:szCs w:val="32"/>
        </w:rPr>
        <w:t>启动了党史学习教育，成立了党史学习教育领导小组，制定了《攀枝花市经贸旅游学校开展党史学习教育的实施方案》，制定专题学习方案4个，专项工作方案5个，组织召开党委理论中心组专题研讨4次，组织班子成员上党课5次，组织专题报告会、宣讲会2次，指导各支部召开了专题组织生活会。开展了“缅怀英烈学党史 赓续初心再出发”党性教育主题实践活动，在会理会议遗址、红军长征纪念馆进行了现场教学，表扬了18个“两优一先”获奖者，开展了“光荣在党50年”纪念章颁发仪式暨“七一”慰问老党员、困难党员、退役军人、军属和全校师生“唱红歌”等活动。营造了学党史、悟思想、办实事、开新局的浓厚氛围，达到了学史明理、学史增信、学史崇德、学史力行的学习教育目的。</w:t>
      </w:r>
    </w:p>
    <w:p>
      <w:pPr>
        <w:ind w:right="-31" w:firstLine="707" w:firstLineChars="221"/>
        <w:rPr>
          <w:rFonts w:ascii="仿宋" w:hAnsi="仿宋" w:eastAsia="仿宋"/>
          <w:b/>
          <w:bCs/>
          <w:sz w:val="32"/>
          <w:szCs w:val="32"/>
        </w:rPr>
      </w:pPr>
      <w:r>
        <w:rPr>
          <w:rFonts w:hint="eastAsia" w:ascii="仿宋" w:hAnsi="仿宋" w:eastAsia="仿宋"/>
          <w:bCs/>
          <w:sz w:val="32"/>
          <w:szCs w:val="32"/>
        </w:rPr>
        <w:t>认真落实“三会一课”、组织生活会、“党员学习日”等制度，确保党员学习时间和质量，各支部党员学习日组织党员集中学习10次以上，支部工作进一步规范；做好党员管理和组织发展工作，今年发展党员1名，培养发展对象3名，入党积极分子2名，各支部根据每月的党建工作任务清单按时完成了各项工作；对全体党员进一步加强了宪法、民法典等法治教育，开展了“庆建党100周年 展经贸教学风采”党员献课活动和“学党史、守纪律、强队伍、提质量”知识竞赛活动，进一步健全了党的基层组织建设。</w:t>
      </w:r>
    </w:p>
    <w:p>
      <w:pPr>
        <w:ind w:right="-31" w:firstLine="707" w:firstLineChars="221"/>
        <w:rPr>
          <w:rFonts w:ascii="仿宋" w:hAnsi="仿宋" w:eastAsia="仿宋"/>
          <w:bCs/>
          <w:sz w:val="32"/>
          <w:szCs w:val="32"/>
        </w:rPr>
      </w:pPr>
      <w:r>
        <w:rPr>
          <w:rFonts w:hint="eastAsia" w:ascii="仿宋" w:hAnsi="仿宋" w:eastAsia="仿宋"/>
          <w:bCs/>
          <w:sz w:val="32"/>
          <w:szCs w:val="32"/>
        </w:rPr>
        <w:t>根据《党政领导干部选拔任用工作条例》《中小学校领导人员管理暂行办法》《四川省事业单位领导人员管理暂行办法》等有关规定，坚持公平、公正、公开的原则，严格按程序开展了中层干部竞聘上岗工作，此次干部调整涉及27名中层干部，其中新提拔18名中层干部（7名正科级、11名副科级），新提拔的11名副科级干部年龄均在40岁以下，进一步优化了干部年龄结构，并对留任干部进行了岗位轮换。</w:t>
      </w:r>
    </w:p>
    <w:p>
      <w:pPr>
        <w:ind w:right="-31" w:firstLine="707" w:firstLineChars="221"/>
        <w:rPr>
          <w:rFonts w:ascii="仿宋" w:hAnsi="仿宋" w:eastAsia="仿宋"/>
          <w:bCs/>
          <w:sz w:val="32"/>
          <w:szCs w:val="32"/>
        </w:rPr>
      </w:pPr>
      <w:r>
        <w:rPr>
          <w:rFonts w:hint="eastAsia" w:ascii="仿宋" w:hAnsi="仿宋" w:eastAsia="仿宋"/>
          <w:bCs/>
          <w:sz w:val="32"/>
          <w:szCs w:val="32"/>
        </w:rPr>
        <w:t>根据市委巡察组要求，本年度我校开展了以案促改专项工作，通过剖析身边案件和观看警示教育片对党员干部进行警示教育，要求党员干部坚定理想信念，筑牢思想防线，强化自身修养，树立公仆意识，自觉接受监督，做到防微杜渐。各部门对违反中央八项规定精神问题，违反财经制度、政府采购规定及工程领域的违规违纪问题，违反师德师风问题，违规有偿家教和兼职取酬问题，以及其他侵害群众利益问题等展开自查自省，立行立改，立竿见影，切实筑牢反腐防线。</w:t>
      </w:r>
    </w:p>
    <w:p>
      <w:pPr>
        <w:ind w:right="-31" w:firstLine="710" w:firstLineChars="221"/>
        <w:rPr>
          <w:rFonts w:ascii="仿宋" w:hAnsi="仿宋" w:eastAsia="仿宋"/>
          <w:b/>
          <w:bCs/>
          <w:sz w:val="32"/>
          <w:szCs w:val="32"/>
        </w:rPr>
      </w:pPr>
      <w:r>
        <w:rPr>
          <w:rFonts w:hint="eastAsia" w:ascii="仿宋" w:hAnsi="仿宋" w:eastAsia="仿宋"/>
          <w:b/>
          <w:bCs/>
          <w:sz w:val="32"/>
          <w:szCs w:val="32"/>
        </w:rPr>
        <w:t>2、立德树人为根本，内涵建设促发展。</w:t>
      </w:r>
    </w:p>
    <w:p>
      <w:pPr>
        <w:ind w:right="-31" w:firstLine="707" w:firstLineChars="221"/>
        <w:rPr>
          <w:rFonts w:ascii="仿宋" w:hAnsi="仿宋" w:eastAsia="仿宋"/>
          <w:bCs/>
          <w:sz w:val="32"/>
          <w:szCs w:val="32"/>
        </w:rPr>
      </w:pPr>
      <w:r>
        <w:rPr>
          <w:rFonts w:hint="eastAsia" w:ascii="仿宋" w:hAnsi="仿宋" w:eastAsia="仿宋"/>
          <w:bCs/>
          <w:sz w:val="32"/>
          <w:szCs w:val="32"/>
        </w:rPr>
        <w:t>制定了校风校纪治理方案，扎实开展“一加强、两规范、十禁止”活动；继续实施“三心”德育，坚持每周升旗仪式开展“学校领导、老师对话学生健康成长”活动，使学生充分感受学校、老师的关爱，学生自信心和责任心明显增强，广大学生热爱学校，热爱班级，爱护公物，积极参与专业技能比赛为校争光，积极参加文体比赛活动，敢于展示自己风采，健康、阳光成长；加强了学生内务治理工作，使学生宿舍内务得到较大改观，实现了“安全、卫生、文明、舒适”宿舍管理目标，促进了校风校纪全面提升。</w:t>
      </w:r>
    </w:p>
    <w:p>
      <w:pPr>
        <w:ind w:right="-31" w:firstLine="707" w:firstLineChars="221"/>
        <w:rPr>
          <w:rFonts w:ascii="仿宋" w:hAnsi="仿宋" w:eastAsia="仿宋"/>
          <w:bCs/>
          <w:sz w:val="32"/>
          <w:szCs w:val="32"/>
        </w:rPr>
      </w:pPr>
      <w:r>
        <w:rPr>
          <w:rFonts w:hint="eastAsia" w:ascii="仿宋" w:hAnsi="仿宋" w:eastAsia="仿宋"/>
          <w:bCs/>
          <w:sz w:val="32"/>
          <w:szCs w:val="32"/>
        </w:rPr>
        <w:t>高度重视德育队伍建设，本年度召开班主任工作例会7次，德育工作总结暨班主任工作经验交流会2次，要求班主任认真撰写德育工作总结，促使班主任思考和提炼德育工作得失。评选表扬了校级优秀班主任16名，唐金凤、刘峻木、王淮斌</w:t>
      </w:r>
      <w:r>
        <w:rPr>
          <w:rFonts w:ascii="仿宋" w:hAnsi="仿宋" w:eastAsia="仿宋"/>
          <w:bCs/>
          <w:sz w:val="32"/>
          <w:szCs w:val="32"/>
        </w:rPr>
        <w:t>3</w:t>
      </w:r>
      <w:r>
        <w:rPr>
          <w:rFonts w:hint="eastAsia" w:ascii="仿宋" w:hAnsi="仿宋" w:eastAsia="仿宋"/>
          <w:bCs/>
          <w:sz w:val="32"/>
          <w:szCs w:val="32"/>
        </w:rPr>
        <w:t>名班主任获得市教育和体育局“优秀班主任”称号。组织班主任参加了“爱</w:t>
      </w:r>
      <w:r>
        <w:rPr>
          <w:rFonts w:hint="eastAsia" w:ascii="宋体" w:hAnsi="宋体" w:cs="宋体"/>
          <w:bCs/>
          <w:sz w:val="32"/>
          <w:szCs w:val="32"/>
        </w:rPr>
        <w:t>•</w:t>
      </w:r>
      <w:r>
        <w:rPr>
          <w:rFonts w:hint="eastAsia" w:ascii="仿宋" w:hAnsi="仿宋" w:eastAsia="仿宋"/>
          <w:bCs/>
          <w:sz w:val="32"/>
          <w:szCs w:val="32"/>
        </w:rPr>
        <w:t>自然</w:t>
      </w:r>
      <w:r>
        <w:rPr>
          <w:rFonts w:hint="eastAsia" w:ascii="宋体" w:hAnsi="宋体" w:cs="宋体"/>
          <w:bCs/>
          <w:sz w:val="32"/>
          <w:szCs w:val="32"/>
        </w:rPr>
        <w:t>•</w:t>
      </w:r>
      <w:r>
        <w:rPr>
          <w:rFonts w:hint="eastAsia" w:ascii="仿宋" w:hAnsi="仿宋" w:eastAsia="仿宋"/>
          <w:bCs/>
          <w:sz w:val="32"/>
          <w:szCs w:val="32"/>
        </w:rPr>
        <w:t xml:space="preserve">生命力”家庭教育公益讲座，提升了班主任管理的理论水平。组织开展了学校班主任能力大赛，起到了以赛促进，以赛促管的效果。何丹、罗莲参加2021年攀枝花市班主任能力比赛获得二等奖。  </w:t>
      </w:r>
    </w:p>
    <w:p>
      <w:pPr>
        <w:ind w:right="-31" w:firstLine="707" w:firstLineChars="221"/>
        <w:rPr>
          <w:rFonts w:ascii="仿宋" w:hAnsi="仿宋" w:eastAsia="仿宋"/>
          <w:bCs/>
          <w:sz w:val="32"/>
          <w:szCs w:val="32"/>
        </w:rPr>
      </w:pPr>
      <w:r>
        <w:rPr>
          <w:rFonts w:hint="eastAsia" w:ascii="仿宋" w:hAnsi="仿宋" w:eastAsia="仿宋"/>
          <w:bCs/>
          <w:sz w:val="32"/>
          <w:szCs w:val="32"/>
        </w:rPr>
        <w:t>在全校学生中开展了“传承中华经典·弘扬红色文化”主题诵读、“传承红色基因，争当时代新人”主题征文、“爱党颂党·圆梦未来”主题书画比赛、“阳光下成长”艺术展演、“看爱国影片，迎建党百年”主题观影、“学红色党史·做时代新人”讲故事、开展“党史我来讲·红色照我心”主题教育、“感悟三线文化·传承三线精神”实践体验和“欢歌新时代、颂歌献给党”红歌大传唱等系列活动，教育引导学生学党史、知党情、感党恩、听党话、跟党走，切实抓好了学生党史学习教育工作，落实了立德树人根本任务，培养了学生的爱党、爱国情怀。2021年11月，学校荣获攀枝花市青少年学生党史学习教育工作“优秀组织奖”， 16名学生作品分别获得党史学习教育比赛一、二、三等奖。</w:t>
      </w:r>
    </w:p>
    <w:p>
      <w:pPr>
        <w:ind w:right="-31" w:firstLine="707" w:firstLineChars="221"/>
        <w:rPr>
          <w:rFonts w:ascii="仿宋" w:hAnsi="仿宋" w:eastAsia="仿宋"/>
          <w:bCs/>
          <w:sz w:val="32"/>
          <w:szCs w:val="32"/>
        </w:rPr>
      </w:pPr>
      <w:r>
        <w:rPr>
          <w:rFonts w:hint="eastAsia" w:ascii="仿宋" w:hAnsi="仿宋" w:eastAsia="仿宋"/>
          <w:bCs/>
          <w:sz w:val="32"/>
          <w:szCs w:val="32"/>
        </w:rPr>
        <w:t>充分利用升旗仪式、班会课、校园网、微信公众号、LED电子显示屏、家校联系群等对学生开展交通、用电用水、防火防盗、防汛防溺水、防地质灾害、饮食、网络、消防、心理健康、疫情防控、森林草原防灭火等安全教育，全年共编制节假日告家长安全责任书7份，开展了14次针对教室、学生公寓、实训室等不同位置紧急情况下的疏散演练，开展了扫黑除恶专项治理工作，完成了攀枝花市中小学安全教育平台的资料上传及监管工作；加强了对安保人员的管理，抓实“物防”“技防”，不定时检查门卫值班情况，不定期召开门卫工作会议；为全体学生购买了《校方责任保险》，为三年级实习学生统一购买了《中职学校学生实习保险》；积极做好了协调、组织、宣传工作，为愿意购《学生平安保险》的学生提供了服务工作，积极协助医保部门开展了医疗保险工作，为愿意购买《居民医疗保险》的学生提供了周到服务，做到了应保尽保。确保了学校全年无重大安全责任事故。</w:t>
      </w:r>
    </w:p>
    <w:p>
      <w:pPr>
        <w:ind w:right="-31" w:firstLine="707" w:firstLineChars="221"/>
        <w:rPr>
          <w:rFonts w:ascii="仿宋" w:hAnsi="仿宋" w:eastAsia="仿宋"/>
          <w:bCs/>
          <w:sz w:val="32"/>
          <w:szCs w:val="32"/>
        </w:rPr>
      </w:pPr>
      <w:r>
        <w:rPr>
          <w:rFonts w:hint="eastAsia" w:ascii="仿宋" w:hAnsi="仿宋" w:eastAsia="仿宋"/>
          <w:bCs/>
          <w:sz w:val="32"/>
          <w:szCs w:val="32"/>
        </w:rPr>
        <w:t>本年度主办健康教育专栏4期，开展以预防呼吸道传染病、防结核、防控新冠肺炎疫情、防水痘等为主要内容的主题班会5次，主办健康主题黑板报2期，发放了预防艾滋病、结核病、秋冬季传染病健康处方电子档，开展结核病知识问卷活动1次，学生知晓率达100%，完成了新生体检工作及结核菌素筛查工作，对个别学生进行了跟踪监管。面向全体学生集中开展了两次心理测试活动，邀请了三医院心理科副主任刘鹏到校开展心理健康讲座和团体辅导，针对学生开展心理辅导60余人次，举办心理健康讲座6次，心理健康教学达600余课时，建立了心理健康教育档案，加大了对个别存在心理问题的学生进行心理干预的力度，取得了较好的效果。</w:t>
      </w:r>
    </w:p>
    <w:p>
      <w:pPr>
        <w:ind w:right="-31" w:firstLine="707" w:firstLineChars="221"/>
        <w:rPr>
          <w:rFonts w:ascii="仿宋" w:hAnsi="仿宋" w:eastAsia="仿宋"/>
          <w:bCs/>
          <w:sz w:val="32"/>
          <w:szCs w:val="32"/>
        </w:rPr>
      </w:pPr>
      <w:r>
        <w:rPr>
          <w:rFonts w:hint="eastAsia" w:ascii="仿宋" w:hAnsi="仿宋" w:eastAsia="仿宋"/>
          <w:bCs/>
          <w:sz w:val="32"/>
          <w:szCs w:val="32"/>
        </w:rPr>
        <w:t>按照攀枝花市应对新型冠状病毒肺炎疫情应急指挥部办公室印发的《学校、托幼机构新冠肺炎疫情常态化防控卫生监督要求》《中小学校秋冬季新冠肺炎疫情防控技术方案（更新版）》《攀枝花市新冠肺炎监测技术方案（试行）》的要求开展学校新冠肺炎疫情防控，坚持进校测温、扫码、戴口罩，开展全校性防控新冠肺炎疫情宣传教育4次，进行校园全部区域预防性全面消毒7次，重点区域15次。设置留观室4间，开展防疫推演2次。坚持“日报告”“零报告”，及时转发各级各类防控疫情的文件，撰写学校防控新冠肺炎新闻，积极组织开展疫苗接种工作，努力做到应接尽接。</w:t>
      </w:r>
    </w:p>
    <w:p>
      <w:pPr>
        <w:ind w:right="-31" w:firstLine="707" w:firstLineChars="221"/>
        <w:rPr>
          <w:rFonts w:ascii="仿宋" w:hAnsi="仿宋" w:eastAsia="仿宋"/>
          <w:bCs/>
          <w:sz w:val="32"/>
          <w:szCs w:val="32"/>
        </w:rPr>
      </w:pPr>
      <w:r>
        <w:rPr>
          <w:rFonts w:hint="eastAsia" w:ascii="仿宋" w:hAnsi="仿宋" w:eastAsia="仿宋"/>
          <w:bCs/>
          <w:sz w:val="32"/>
          <w:szCs w:val="32"/>
        </w:rPr>
        <w:t>2021年度，我校学生4528人享受了中等职业学校免学费政策，总计金额990.73万元；非“9+3”学生2036人享受了国家助学金资助，总计金额406.715万元；“9+3”学生651人享受了国家助学金和生活补助，总计金额175.32万元，53人享受民区补助，总计金额2.625万元；270人享受凉山州州外就读中等职业学校学生生活补助，总计金额40.5万元； 555人次成功申报建档立卡贫困家庭学生生活补助，总计金额27.75万元，免学杂费20.3520万元；“9+3”学生医保727人，共计金额27.626万元；“9+3”学平险738人，总计金额3.69万元；困难学生创业补贴94人，金额14.1万元；“广州助学金基金”9名少数民族同学，共计1.8万元；春、秋季学期分别有364人和394人建档立卡贫困家庭学生获得生活补助，总计金额37.4万元；资助困难学生242人，金额10.0701万元；发放10人奖学金共6万元；学校还多方争取社会资助，本学年度接受社会捐资3.1032万元，资助贫困学生271人。2021年度我校学生接受各种资助总金额达1767.7813万元。</w:t>
      </w:r>
    </w:p>
    <w:p>
      <w:pPr>
        <w:ind w:right="-31" w:firstLine="710" w:firstLineChars="221"/>
        <w:rPr>
          <w:rFonts w:ascii="仿宋" w:hAnsi="仿宋" w:eastAsia="仿宋"/>
          <w:b/>
          <w:bCs/>
          <w:sz w:val="32"/>
          <w:szCs w:val="32"/>
        </w:rPr>
      </w:pPr>
      <w:r>
        <w:rPr>
          <w:rFonts w:hint="eastAsia" w:ascii="仿宋" w:hAnsi="仿宋" w:eastAsia="仿宋"/>
          <w:b/>
          <w:bCs/>
          <w:sz w:val="32"/>
          <w:szCs w:val="32"/>
        </w:rPr>
        <w:t>3、提升质量铸灵魂，精雕细</w:t>
      </w:r>
      <w:r>
        <w:rPr>
          <w:rFonts w:ascii="仿宋" w:hAnsi="仿宋" w:eastAsia="仿宋"/>
          <w:b/>
          <w:bCs/>
          <w:sz w:val="32"/>
          <w:szCs w:val="32"/>
        </w:rPr>
        <w:t>琢育英才。</w:t>
      </w:r>
    </w:p>
    <w:p>
      <w:pPr>
        <w:ind w:right="-31" w:firstLine="707" w:firstLineChars="221"/>
        <w:rPr>
          <w:rFonts w:ascii="仿宋" w:hAnsi="仿宋" w:eastAsia="仿宋"/>
          <w:bCs/>
          <w:sz w:val="32"/>
          <w:szCs w:val="32"/>
        </w:rPr>
      </w:pPr>
      <w:r>
        <w:rPr>
          <w:rFonts w:hint="eastAsia" w:ascii="仿宋" w:hAnsi="仿宋" w:eastAsia="仿宋"/>
          <w:bCs/>
          <w:sz w:val="32"/>
          <w:szCs w:val="32"/>
        </w:rPr>
        <w:t>开展了师德师风专项培训，组织全校教职工集体学习了《中小学教师职业行为十项准则》《四川省中小学教师违反职业道德行为处理实施细则》等有关师德师风建设的重要文件；认真贯彻《四川省教师思想政治和师德师风建设经验交动，对教职工加强了意识形态和反腐倡廉教育；组织教师签订了《师德师风承诺书》，将教师职业道德和教学安全要求纳入了承诺内容，增强了承诺内容的针对性。</w:t>
      </w:r>
    </w:p>
    <w:p>
      <w:pPr>
        <w:ind w:right="-31" w:firstLine="707" w:firstLineChars="221"/>
        <w:rPr>
          <w:rFonts w:ascii="仿宋" w:hAnsi="仿宋" w:eastAsia="仿宋"/>
          <w:bCs/>
          <w:sz w:val="32"/>
          <w:szCs w:val="32"/>
        </w:rPr>
      </w:pPr>
      <w:r>
        <w:rPr>
          <w:rFonts w:hint="eastAsia" w:ascii="仿宋" w:hAnsi="仿宋" w:eastAsia="仿宋"/>
          <w:bCs/>
          <w:sz w:val="32"/>
          <w:szCs w:val="32"/>
        </w:rPr>
        <w:t>202</w:t>
      </w:r>
      <w:r>
        <w:rPr>
          <w:rFonts w:ascii="仿宋" w:hAnsi="仿宋" w:eastAsia="仿宋"/>
          <w:bCs/>
          <w:sz w:val="32"/>
          <w:szCs w:val="32"/>
        </w:rPr>
        <w:t>1</w:t>
      </w:r>
      <w:r>
        <w:rPr>
          <w:rFonts w:hint="eastAsia" w:ascii="仿宋" w:hAnsi="仿宋" w:eastAsia="仿宋"/>
          <w:bCs/>
          <w:sz w:val="32"/>
          <w:szCs w:val="32"/>
        </w:rPr>
        <w:t>年高考录取总数、录取率再创新高，</w:t>
      </w:r>
      <w:r>
        <w:rPr>
          <w:rFonts w:ascii="仿宋" w:hAnsi="仿宋" w:eastAsia="仿宋"/>
          <w:bCs/>
          <w:sz w:val="32"/>
          <w:szCs w:val="32"/>
        </w:rPr>
        <w:t>全校各类高考参考人数626人，上线</w:t>
      </w:r>
      <w:r>
        <w:rPr>
          <w:rFonts w:hint="eastAsia" w:ascii="仿宋" w:hAnsi="仿宋" w:eastAsia="仿宋"/>
          <w:bCs/>
          <w:sz w:val="32"/>
          <w:szCs w:val="32"/>
        </w:rPr>
        <w:t>605人</w:t>
      </w:r>
      <w:r>
        <w:rPr>
          <w:rFonts w:ascii="仿宋" w:hAnsi="仿宋" w:eastAsia="仿宋"/>
          <w:bCs/>
          <w:sz w:val="32"/>
          <w:szCs w:val="32"/>
        </w:rPr>
        <w:t>（其中本科上线42人）</w:t>
      </w:r>
      <w:r>
        <w:rPr>
          <w:rFonts w:hint="eastAsia" w:ascii="仿宋" w:hAnsi="仿宋" w:eastAsia="仿宋"/>
          <w:bCs/>
          <w:sz w:val="32"/>
          <w:szCs w:val="32"/>
        </w:rPr>
        <w:t>，</w:t>
      </w:r>
      <w:r>
        <w:rPr>
          <w:rFonts w:ascii="仿宋" w:hAnsi="仿宋" w:eastAsia="仿宋"/>
          <w:bCs/>
          <w:sz w:val="32"/>
          <w:szCs w:val="32"/>
        </w:rPr>
        <w:t>上线率为96.65%。</w:t>
      </w:r>
      <w:r>
        <w:rPr>
          <w:rFonts w:hint="eastAsia" w:ascii="仿宋" w:hAnsi="仿宋" w:eastAsia="仿宋"/>
          <w:bCs/>
          <w:sz w:val="32"/>
          <w:szCs w:val="32"/>
        </w:rPr>
        <w:t>本科正上线人数提高</w:t>
      </w:r>
      <w:r>
        <w:rPr>
          <w:rFonts w:ascii="仿宋" w:hAnsi="仿宋" w:eastAsia="仿宋"/>
          <w:bCs/>
          <w:sz w:val="32"/>
          <w:szCs w:val="32"/>
        </w:rPr>
        <w:t>62.5%，</w:t>
      </w:r>
      <w:r>
        <w:rPr>
          <w:rFonts w:hint="eastAsia" w:ascii="仿宋" w:hAnsi="仿宋" w:eastAsia="仿宋"/>
          <w:bCs/>
          <w:sz w:val="32"/>
          <w:szCs w:val="32"/>
        </w:rPr>
        <w:t>在四川省中职学校本科上线人数排名第2</w:t>
      </w:r>
      <w:r>
        <w:rPr>
          <w:rFonts w:ascii="仿宋" w:hAnsi="仿宋" w:eastAsia="仿宋"/>
          <w:bCs/>
          <w:sz w:val="32"/>
          <w:szCs w:val="32"/>
        </w:rPr>
        <w:t>3</w:t>
      </w:r>
      <w:r>
        <w:rPr>
          <w:rFonts w:hint="eastAsia" w:ascii="仿宋" w:hAnsi="仿宋" w:eastAsia="仿宋"/>
          <w:bCs/>
          <w:sz w:val="32"/>
          <w:szCs w:val="32"/>
        </w:rPr>
        <w:t>位，较2</w:t>
      </w:r>
      <w:r>
        <w:rPr>
          <w:rFonts w:ascii="仿宋" w:hAnsi="仿宋" w:eastAsia="仿宋"/>
          <w:bCs/>
          <w:sz w:val="32"/>
          <w:szCs w:val="32"/>
        </w:rPr>
        <w:t>020</w:t>
      </w:r>
      <w:r>
        <w:rPr>
          <w:rFonts w:hint="eastAsia" w:ascii="仿宋" w:hAnsi="仿宋" w:eastAsia="仿宋"/>
          <w:bCs/>
          <w:sz w:val="32"/>
          <w:szCs w:val="32"/>
        </w:rPr>
        <w:t>年提高5位。</w:t>
      </w:r>
    </w:p>
    <w:p>
      <w:pPr>
        <w:ind w:right="-31" w:firstLine="707" w:firstLineChars="221"/>
        <w:rPr>
          <w:rFonts w:ascii="仿宋" w:hAnsi="仿宋" w:eastAsia="仿宋"/>
          <w:bCs/>
          <w:sz w:val="32"/>
          <w:szCs w:val="32"/>
        </w:rPr>
      </w:pPr>
      <w:r>
        <w:rPr>
          <w:rFonts w:hint="eastAsia" w:ascii="仿宋" w:hAnsi="仿宋" w:eastAsia="仿宋"/>
          <w:bCs/>
          <w:sz w:val="32"/>
          <w:szCs w:val="32"/>
        </w:rPr>
        <w:t>在2021年春季学期举办的四川省中职学生技能大赛中，我校共派出2</w:t>
      </w:r>
      <w:r>
        <w:rPr>
          <w:rFonts w:ascii="仿宋" w:hAnsi="仿宋" w:eastAsia="仿宋"/>
          <w:bCs/>
          <w:sz w:val="32"/>
          <w:szCs w:val="32"/>
        </w:rPr>
        <w:t>8</w:t>
      </w:r>
      <w:r>
        <w:rPr>
          <w:rFonts w:hint="eastAsia" w:ascii="仿宋" w:hAnsi="仿宋" w:eastAsia="仿宋"/>
          <w:bCs/>
          <w:sz w:val="32"/>
          <w:szCs w:val="32"/>
        </w:rPr>
        <w:t>名选手参赛，获网络布线团体一等奖，会计技能团体二等奖，网络搭建团体三等奖、沙盘模拟企业经营团体三等奖；获电子电路装调、汽车机电维修、汽车车身涂装、中餐热菜个人项三等奖；孙维举和谭伟老师荣获优秀指导教师称号。在2021年秋季学期举行的</w:t>
      </w:r>
      <w:r>
        <w:rPr>
          <w:rFonts w:ascii="仿宋" w:hAnsi="仿宋" w:eastAsia="仿宋"/>
          <w:bCs/>
          <w:sz w:val="32"/>
          <w:szCs w:val="32"/>
        </w:rPr>
        <w:t>攀枝花市中等职业学校技能大赛上，我校共选拔了</w:t>
      </w:r>
      <w:r>
        <w:rPr>
          <w:rFonts w:hint="eastAsia" w:ascii="仿宋" w:hAnsi="仿宋" w:eastAsia="仿宋"/>
          <w:bCs/>
          <w:sz w:val="32"/>
          <w:szCs w:val="32"/>
        </w:rPr>
        <w:t>153</w:t>
      </w:r>
      <w:r>
        <w:rPr>
          <w:rFonts w:ascii="仿宋" w:hAnsi="仿宋" w:eastAsia="仿宋"/>
          <w:bCs/>
          <w:sz w:val="32"/>
          <w:szCs w:val="32"/>
        </w:rPr>
        <w:t>名学生和</w:t>
      </w:r>
      <w:r>
        <w:rPr>
          <w:rFonts w:hint="eastAsia" w:ascii="仿宋" w:hAnsi="仿宋" w:eastAsia="仿宋"/>
          <w:bCs/>
          <w:sz w:val="32"/>
          <w:szCs w:val="32"/>
        </w:rPr>
        <w:t>2</w:t>
      </w:r>
      <w:r>
        <w:rPr>
          <w:rFonts w:ascii="仿宋" w:hAnsi="仿宋" w:eastAsia="仿宋"/>
          <w:bCs/>
          <w:sz w:val="32"/>
          <w:szCs w:val="32"/>
        </w:rPr>
        <w:t>8名教师参加了其中</w:t>
      </w:r>
      <w:r>
        <w:rPr>
          <w:rFonts w:hint="eastAsia" w:ascii="仿宋" w:hAnsi="仿宋" w:eastAsia="仿宋"/>
          <w:bCs/>
          <w:sz w:val="32"/>
          <w:szCs w:val="32"/>
        </w:rPr>
        <w:t>21</w:t>
      </w:r>
      <w:r>
        <w:rPr>
          <w:rFonts w:ascii="仿宋" w:hAnsi="仿宋" w:eastAsia="仿宋"/>
          <w:bCs/>
          <w:sz w:val="32"/>
          <w:szCs w:val="32"/>
        </w:rPr>
        <w:t>个赛项的比赛，学生组共取得了</w:t>
      </w:r>
      <w:r>
        <w:rPr>
          <w:rFonts w:hint="eastAsia" w:ascii="仿宋" w:hAnsi="仿宋" w:eastAsia="仿宋"/>
          <w:bCs/>
          <w:sz w:val="32"/>
          <w:szCs w:val="32"/>
        </w:rPr>
        <w:t>3</w:t>
      </w:r>
      <w:r>
        <w:rPr>
          <w:rFonts w:ascii="仿宋" w:hAnsi="仿宋" w:eastAsia="仿宋"/>
          <w:bCs/>
          <w:sz w:val="32"/>
          <w:szCs w:val="32"/>
        </w:rPr>
        <w:t>个团体一等奖、</w:t>
      </w:r>
      <w:r>
        <w:rPr>
          <w:rFonts w:hint="eastAsia" w:ascii="仿宋" w:hAnsi="仿宋" w:eastAsia="仿宋"/>
          <w:bCs/>
          <w:sz w:val="32"/>
          <w:szCs w:val="32"/>
        </w:rPr>
        <w:t>2</w:t>
      </w:r>
      <w:r>
        <w:rPr>
          <w:rFonts w:ascii="仿宋" w:hAnsi="仿宋" w:eastAsia="仿宋"/>
          <w:bCs/>
          <w:sz w:val="32"/>
          <w:szCs w:val="32"/>
        </w:rPr>
        <w:t>个团体二等奖、</w:t>
      </w:r>
      <w:r>
        <w:rPr>
          <w:rFonts w:hint="eastAsia" w:ascii="仿宋" w:hAnsi="仿宋" w:eastAsia="仿宋"/>
          <w:bCs/>
          <w:sz w:val="32"/>
          <w:szCs w:val="32"/>
        </w:rPr>
        <w:t>1</w:t>
      </w:r>
      <w:r>
        <w:rPr>
          <w:rFonts w:ascii="仿宋" w:hAnsi="仿宋" w:eastAsia="仿宋"/>
          <w:bCs/>
          <w:sz w:val="32"/>
          <w:szCs w:val="32"/>
        </w:rPr>
        <w:t>个团体三等奖、</w:t>
      </w:r>
      <w:r>
        <w:rPr>
          <w:rFonts w:hint="eastAsia" w:ascii="仿宋" w:hAnsi="仿宋" w:eastAsia="仿宋"/>
          <w:bCs/>
          <w:sz w:val="32"/>
          <w:szCs w:val="32"/>
        </w:rPr>
        <w:t>22</w:t>
      </w:r>
      <w:r>
        <w:rPr>
          <w:rFonts w:ascii="仿宋" w:hAnsi="仿宋" w:eastAsia="仿宋"/>
          <w:bCs/>
          <w:sz w:val="32"/>
          <w:szCs w:val="32"/>
        </w:rPr>
        <w:t>个单项一等奖、</w:t>
      </w:r>
      <w:r>
        <w:rPr>
          <w:rFonts w:hint="eastAsia" w:ascii="仿宋" w:hAnsi="仿宋" w:eastAsia="仿宋"/>
          <w:bCs/>
          <w:sz w:val="32"/>
          <w:szCs w:val="32"/>
        </w:rPr>
        <w:t>22</w:t>
      </w:r>
      <w:r>
        <w:rPr>
          <w:rFonts w:ascii="仿宋" w:hAnsi="仿宋" w:eastAsia="仿宋"/>
          <w:bCs/>
          <w:sz w:val="32"/>
          <w:szCs w:val="32"/>
        </w:rPr>
        <w:t>个单项二等奖、</w:t>
      </w:r>
      <w:r>
        <w:rPr>
          <w:rFonts w:hint="eastAsia" w:ascii="仿宋" w:hAnsi="仿宋" w:eastAsia="仿宋"/>
          <w:bCs/>
          <w:sz w:val="32"/>
          <w:szCs w:val="32"/>
        </w:rPr>
        <w:t>24</w:t>
      </w:r>
      <w:r>
        <w:rPr>
          <w:rFonts w:ascii="仿宋" w:hAnsi="仿宋" w:eastAsia="仿宋"/>
          <w:bCs/>
          <w:sz w:val="32"/>
          <w:szCs w:val="32"/>
        </w:rPr>
        <w:t>个单项三等奖</w:t>
      </w:r>
      <w:r>
        <w:rPr>
          <w:rFonts w:hint="eastAsia" w:ascii="仿宋" w:hAnsi="仿宋" w:eastAsia="仿宋"/>
          <w:bCs/>
          <w:sz w:val="32"/>
          <w:szCs w:val="32"/>
        </w:rPr>
        <w:t>；教师组取得1个团体二等奖、6个单项一等奖、7个单项二等奖、4个单项三等奖；参赛学生和教师</w:t>
      </w:r>
      <w:r>
        <w:rPr>
          <w:rFonts w:ascii="仿宋" w:hAnsi="仿宋" w:eastAsia="仿宋"/>
          <w:bCs/>
          <w:sz w:val="32"/>
          <w:szCs w:val="32"/>
        </w:rPr>
        <w:t>共计11</w:t>
      </w:r>
      <w:r>
        <w:rPr>
          <w:rFonts w:hint="eastAsia" w:ascii="仿宋" w:hAnsi="仿宋" w:eastAsia="仿宋"/>
          <w:bCs/>
          <w:sz w:val="32"/>
          <w:szCs w:val="32"/>
        </w:rPr>
        <w:t>5</w:t>
      </w:r>
      <w:r>
        <w:rPr>
          <w:rFonts w:ascii="仿宋" w:hAnsi="仿宋" w:eastAsia="仿宋"/>
          <w:bCs/>
          <w:sz w:val="32"/>
          <w:szCs w:val="32"/>
        </w:rPr>
        <w:t>人次获奖，获奖率达</w:t>
      </w:r>
      <w:r>
        <w:rPr>
          <w:rFonts w:hint="eastAsia" w:ascii="仿宋" w:hAnsi="仿宋" w:eastAsia="仿宋"/>
          <w:bCs/>
          <w:sz w:val="32"/>
          <w:szCs w:val="32"/>
        </w:rPr>
        <w:t>6</w:t>
      </w:r>
      <w:r>
        <w:rPr>
          <w:rFonts w:ascii="仿宋" w:hAnsi="仿宋" w:eastAsia="仿宋"/>
          <w:bCs/>
          <w:sz w:val="32"/>
          <w:szCs w:val="32"/>
        </w:rPr>
        <w:t>3.</w:t>
      </w:r>
      <w:r>
        <w:rPr>
          <w:rFonts w:hint="eastAsia" w:ascii="仿宋" w:hAnsi="仿宋" w:eastAsia="仿宋"/>
          <w:bCs/>
          <w:sz w:val="32"/>
          <w:szCs w:val="32"/>
        </w:rPr>
        <w:t>5</w:t>
      </w:r>
      <w:r>
        <w:rPr>
          <w:rFonts w:ascii="仿宋" w:hAnsi="仿宋" w:eastAsia="仿宋"/>
          <w:bCs/>
          <w:sz w:val="32"/>
          <w:szCs w:val="32"/>
        </w:rPr>
        <w:t>%</w:t>
      </w:r>
      <w:r>
        <w:rPr>
          <w:rFonts w:hint="eastAsia" w:ascii="仿宋" w:hAnsi="仿宋" w:eastAsia="仿宋"/>
          <w:bCs/>
          <w:sz w:val="32"/>
          <w:szCs w:val="32"/>
        </w:rPr>
        <w:t>。</w:t>
      </w:r>
    </w:p>
    <w:p>
      <w:pPr>
        <w:ind w:right="-31" w:firstLine="707" w:firstLineChars="221"/>
        <w:rPr>
          <w:rFonts w:ascii="仿宋" w:hAnsi="仿宋" w:eastAsia="仿宋"/>
          <w:bCs/>
          <w:sz w:val="32"/>
          <w:szCs w:val="32"/>
        </w:rPr>
      </w:pPr>
      <w:r>
        <w:rPr>
          <w:rFonts w:hint="eastAsia" w:ascii="仿宋" w:hAnsi="仿宋" w:eastAsia="仿宋"/>
          <w:bCs/>
          <w:sz w:val="32"/>
          <w:szCs w:val="32"/>
        </w:rPr>
        <w:t>本年度我校多次参加各种艺术比赛和展演活动，为提高艺术教育水平，学校以赛促练，加大对学生的训练强度，取得了显著效果。我校学生的合唱歌曲《灯火里的中国》《放心去飞》、舞蹈《阿佤新生》《烈火之魂》、4幅绘画作品和1幅书法作品，参加了攀枝花市第十五届中小学生艺术展演比赛，其中合唱和舞蹈均获得一等奖，且我校参赛的所有作品均入选参加了攀枝花市第十五届中小学生艺术现场展演活动暨“庆祝中国共产党成立 100 周年”文艺演出，受到了广泛好评；有我校28名学生加入的市教育和体育局合唱队，在攀枝花市庆祝中国共产党成立100周年合唱比赛中，以9.93的最高分荣获全市第一名，为教育和体育系统争得了荣誉，展现了我校较高的艺术教育水平。在全市中职学生技能大赛上，我校学生在绘画类项目中5人获一等奖、1人获二等奖、1人获三等奖，在书法类项目中7人获一等奖、5人获二等奖、4人获三等奖。</w:t>
      </w:r>
    </w:p>
    <w:p>
      <w:pPr>
        <w:ind w:right="-31" w:firstLine="707" w:firstLineChars="221"/>
        <w:rPr>
          <w:rFonts w:ascii="仿宋" w:hAnsi="仿宋" w:eastAsia="仿宋"/>
          <w:bCs/>
          <w:sz w:val="32"/>
          <w:szCs w:val="32"/>
        </w:rPr>
      </w:pPr>
      <w:r>
        <w:rPr>
          <w:rFonts w:hint="eastAsia" w:ascii="仿宋" w:hAnsi="仿宋" w:eastAsia="仿宋"/>
          <w:bCs/>
          <w:sz w:val="32"/>
          <w:szCs w:val="32"/>
        </w:rPr>
        <w:t>2021年，我校政治思想、语文、数学、英语、信息技术、中餐热菜、网络布线等1</w:t>
      </w:r>
      <w:r>
        <w:rPr>
          <w:rFonts w:ascii="仿宋" w:hAnsi="仿宋" w:eastAsia="仿宋"/>
          <w:bCs/>
          <w:sz w:val="32"/>
          <w:szCs w:val="32"/>
        </w:rPr>
        <w:t>1</w:t>
      </w:r>
      <w:r>
        <w:rPr>
          <w:rFonts w:hint="eastAsia" w:ascii="仿宋" w:hAnsi="仿宋" w:eastAsia="仿宋"/>
          <w:bCs/>
          <w:sz w:val="32"/>
          <w:szCs w:val="32"/>
        </w:rPr>
        <w:t>门课程被选送参加攀枝花市202</w:t>
      </w:r>
      <w:r>
        <w:rPr>
          <w:rFonts w:ascii="仿宋" w:hAnsi="仿宋" w:eastAsia="仿宋"/>
          <w:bCs/>
          <w:sz w:val="32"/>
          <w:szCs w:val="32"/>
        </w:rPr>
        <w:t>1</w:t>
      </w:r>
      <w:r>
        <w:rPr>
          <w:rFonts w:hint="eastAsia" w:ascii="仿宋" w:hAnsi="仿宋" w:eastAsia="仿宋"/>
          <w:bCs/>
          <w:sz w:val="32"/>
          <w:szCs w:val="32"/>
        </w:rPr>
        <w:t>年中职教师教学能力比赛，参赛教师41人，均获得市级一等奖；在2</w:t>
      </w:r>
      <w:r>
        <w:rPr>
          <w:rFonts w:ascii="仿宋" w:hAnsi="仿宋" w:eastAsia="仿宋"/>
          <w:bCs/>
          <w:sz w:val="32"/>
          <w:szCs w:val="32"/>
        </w:rPr>
        <w:t>021</w:t>
      </w:r>
      <w:r>
        <w:rPr>
          <w:rFonts w:hint="eastAsia" w:ascii="仿宋" w:hAnsi="仿宋" w:eastAsia="仿宋"/>
          <w:bCs/>
          <w:sz w:val="32"/>
          <w:szCs w:val="32"/>
        </w:rPr>
        <w:t>年四川省中等职业学校教师教学能力大赛中，全市中职学校共有3个团队进入全省决赛，其中两个团队均为我校教师，我校两个教师团队在全省决赛中双双获得二等奖，是攀西地区唯一获奖的中职学校；青年教师康欣在全市中小学青年教师教学比赛中，荣获二等奖；胡新池和周启华老师在攀枝花市首届营养配餐比赛中获二等奖。</w:t>
      </w:r>
      <w:r>
        <w:rPr>
          <w:rFonts w:ascii="仿宋" w:hAnsi="仿宋" w:eastAsia="仿宋"/>
          <w:bCs/>
          <w:sz w:val="32"/>
          <w:szCs w:val="32"/>
        </w:rPr>
        <w:t>全校共有</w:t>
      </w:r>
      <w:r>
        <w:rPr>
          <w:rFonts w:hint="eastAsia" w:ascii="仿宋" w:hAnsi="仿宋" w:eastAsia="仿宋"/>
          <w:bCs/>
          <w:sz w:val="32"/>
          <w:szCs w:val="32"/>
        </w:rPr>
        <w:t>241名教师</w:t>
      </w:r>
      <w:r>
        <w:rPr>
          <w:rFonts w:ascii="仿宋" w:hAnsi="仿宋" w:eastAsia="仿宋"/>
          <w:bCs/>
          <w:sz w:val="32"/>
          <w:szCs w:val="32"/>
        </w:rPr>
        <w:t>高质量完成了教师信息化能力提升</w:t>
      </w:r>
      <w:r>
        <w:rPr>
          <w:rFonts w:hint="eastAsia" w:ascii="仿宋" w:hAnsi="仿宋" w:eastAsia="仿宋"/>
          <w:bCs/>
          <w:sz w:val="32"/>
          <w:szCs w:val="32"/>
        </w:rPr>
        <w:t>2.0工程。</w:t>
      </w:r>
      <w:r>
        <w:rPr>
          <w:rFonts w:ascii="仿宋" w:hAnsi="仿宋" w:eastAsia="仿宋"/>
          <w:bCs/>
          <w:sz w:val="32"/>
          <w:szCs w:val="32"/>
        </w:rPr>
        <w:t xml:space="preserve"> </w:t>
      </w:r>
    </w:p>
    <w:p>
      <w:pPr>
        <w:ind w:right="-31" w:firstLine="707" w:firstLineChars="221"/>
        <w:rPr>
          <w:rFonts w:ascii="仿宋" w:hAnsi="仿宋" w:eastAsia="仿宋"/>
          <w:bCs/>
          <w:sz w:val="32"/>
          <w:szCs w:val="32"/>
        </w:rPr>
      </w:pPr>
      <w:r>
        <w:rPr>
          <w:rFonts w:hint="eastAsia" w:ascii="仿宋" w:hAnsi="仿宋" w:eastAsia="仿宋"/>
          <w:bCs/>
          <w:sz w:val="32"/>
          <w:szCs w:val="32"/>
        </w:rPr>
        <w:t>本年度全校共有在研课题19项，其中省级课题4项，市级课题4项，市级微型课题2项，市级全域推进课改专项课题2项，市直属学校专项课题6项，市级电教技装课题1项，各项课题均按计划稳步推进，不断取得新的成果；全年教师共计发表论文51篇，省级课题《苴却砚大师工作室人才培养模式研究》在四川省课题阶段成果评选中获三等奖、在省中职论文评选中1篇获省一等奖，在市中职论文评选中1篇市一等奖，2篇获市三等奖；钱芬老师任主编、王丽君老师参编的国家规划教材《信息技术基础》和卢德琼老师参编的《办公应用基础》由高等教育出版社公开发行，作为四川省对口高考推荐教材。</w:t>
      </w:r>
    </w:p>
    <w:p>
      <w:pPr>
        <w:ind w:right="-31" w:firstLine="707" w:firstLineChars="221"/>
        <w:rPr>
          <w:rFonts w:ascii="仿宋" w:hAnsi="仿宋" w:eastAsia="仿宋"/>
          <w:bCs/>
          <w:sz w:val="32"/>
          <w:szCs w:val="32"/>
        </w:rPr>
      </w:pPr>
      <w:r>
        <w:rPr>
          <w:rFonts w:hint="eastAsia" w:ascii="仿宋" w:hAnsi="仿宋" w:eastAsia="仿宋"/>
          <w:bCs/>
          <w:sz w:val="32"/>
          <w:szCs w:val="32"/>
        </w:rPr>
        <w:t>我校中餐烹饪专业自启动四川省示范（特色）专业创建工作以来，历经两年时间，投入资金680万元，在创新人才培养模式，深化课程教学改革，打造“双师型”专业教学团队，改善专业教学条件，完善质量评价体系，推进国际化进程，增强社会服务能力等方面取得了显著成效。在之前工作的基础上，本学年度完成了烹饪仿真虚拟教学资源、攀西康养菜和川滇风味面点精品课教学资源的开发，并实现了优质资源远程共享；完成新建1000平方米烹饪实训室的建设任务，功能实训室增加5间，实训工位数增加260个，实训条件得到了极大改善。目前，示范（特色）专业建设工作已进入收官阶段，建设任务书上189项工作任务已全部完成，正在接受省专家组的检查验收。</w:t>
      </w:r>
    </w:p>
    <w:p>
      <w:pPr>
        <w:ind w:right="-31" w:firstLine="710" w:firstLineChars="221"/>
        <w:rPr>
          <w:rFonts w:ascii="仿宋" w:hAnsi="仿宋" w:eastAsia="仿宋"/>
          <w:b/>
          <w:bCs/>
          <w:sz w:val="32"/>
          <w:szCs w:val="32"/>
        </w:rPr>
      </w:pPr>
      <w:r>
        <w:rPr>
          <w:rFonts w:hint="eastAsia" w:ascii="仿宋" w:hAnsi="仿宋" w:eastAsia="仿宋"/>
          <w:b/>
          <w:bCs/>
          <w:sz w:val="32"/>
          <w:szCs w:val="32"/>
        </w:rPr>
        <w:t>4、行后服务上台阶，保驾护航奠基础。</w:t>
      </w:r>
    </w:p>
    <w:p>
      <w:pPr>
        <w:ind w:right="-31" w:firstLine="707" w:firstLineChars="221"/>
        <w:rPr>
          <w:rFonts w:ascii="仿宋" w:hAnsi="仿宋" w:eastAsia="仿宋"/>
          <w:bCs/>
          <w:sz w:val="32"/>
          <w:szCs w:val="32"/>
        </w:rPr>
      </w:pPr>
      <w:r>
        <w:rPr>
          <w:rFonts w:hint="eastAsia" w:ascii="仿宋" w:hAnsi="仿宋" w:eastAsia="仿宋"/>
          <w:bCs/>
          <w:sz w:val="32"/>
          <w:szCs w:val="32"/>
        </w:rPr>
        <w:t>完成了新进教师的入职手续办理和档案接收；修订了学校奖励性绩效工资发放方案，及时核定了学校奖励性绩效工资总量，确保了奖励性绩效工资的按时发放；完成了薪级工资、教龄津贴调整以及社保、医保基数的调整。对涉及教职工切身利益的职称评定、年度考核、奖励性绩效发放、评优选先等重大事项，均进行了张贴公示，切实做到了校务公开。今年下半年，严格按照选人用人要求，通过公开报名、资格审查、笔试、面试等程序，完成了直接考核招聘新教师的各项工作，与20名拟聘新教师签订了就业协议。</w:t>
      </w:r>
    </w:p>
    <w:p>
      <w:pPr>
        <w:ind w:right="-31" w:firstLine="707" w:firstLineChars="221"/>
        <w:rPr>
          <w:rFonts w:ascii="仿宋" w:hAnsi="仿宋" w:eastAsia="仿宋"/>
          <w:bCs/>
          <w:sz w:val="32"/>
          <w:szCs w:val="32"/>
        </w:rPr>
      </w:pPr>
      <w:r>
        <w:rPr>
          <w:rFonts w:hint="eastAsia" w:ascii="仿宋" w:hAnsi="仿宋" w:eastAsia="仿宋"/>
          <w:bCs/>
          <w:sz w:val="32"/>
          <w:szCs w:val="32"/>
        </w:rPr>
        <w:t>积极争取到上级资金1964.724万元（其中：中央专项资金800万元，省级专项资金510万元，市级财政专项资金654.724万元），为学校办学条件的改善、专业建设的提升提供了资金保障。同时，全力确保教职员工的福利待遇，自筹资金</w:t>
      </w:r>
      <w:r>
        <w:rPr>
          <w:rFonts w:ascii="仿宋" w:hAnsi="仿宋" w:eastAsia="仿宋"/>
          <w:bCs/>
          <w:sz w:val="32"/>
          <w:szCs w:val="32"/>
        </w:rPr>
        <w:t>216.05万元</w:t>
      </w:r>
      <w:r>
        <w:rPr>
          <w:rFonts w:hint="eastAsia" w:ascii="仿宋" w:hAnsi="仿宋" w:eastAsia="仿宋"/>
          <w:bCs/>
          <w:sz w:val="32"/>
          <w:szCs w:val="32"/>
        </w:rPr>
        <w:t>为教职工购买了补充医疗保险，自筹资金</w:t>
      </w:r>
      <w:r>
        <w:rPr>
          <w:rFonts w:ascii="仿宋" w:hAnsi="仿宋" w:eastAsia="仿宋"/>
          <w:bCs/>
          <w:sz w:val="32"/>
          <w:szCs w:val="32"/>
        </w:rPr>
        <w:t>800</w:t>
      </w:r>
      <w:r>
        <w:rPr>
          <w:rFonts w:hint="eastAsia" w:ascii="仿宋" w:hAnsi="仿宋" w:eastAsia="仿宋"/>
          <w:bCs/>
          <w:sz w:val="32"/>
          <w:szCs w:val="32"/>
        </w:rPr>
        <w:t>余</w:t>
      </w:r>
      <w:r>
        <w:rPr>
          <w:rFonts w:ascii="仿宋" w:hAnsi="仿宋" w:eastAsia="仿宋"/>
          <w:bCs/>
          <w:sz w:val="32"/>
          <w:szCs w:val="32"/>
        </w:rPr>
        <w:t>万元</w:t>
      </w:r>
      <w:r>
        <w:rPr>
          <w:rFonts w:hint="eastAsia" w:ascii="仿宋" w:hAnsi="仿宋" w:eastAsia="仿宋"/>
          <w:bCs/>
          <w:sz w:val="32"/>
          <w:szCs w:val="32"/>
        </w:rPr>
        <w:t>补足</w:t>
      </w:r>
      <w:r>
        <w:rPr>
          <w:rFonts w:ascii="仿宋" w:hAnsi="仿宋" w:eastAsia="仿宋"/>
          <w:bCs/>
          <w:sz w:val="32"/>
          <w:szCs w:val="32"/>
        </w:rPr>
        <w:t>2020年奖励性绩效</w:t>
      </w:r>
      <w:r>
        <w:rPr>
          <w:rFonts w:hint="eastAsia" w:ascii="仿宋" w:hAnsi="仿宋" w:eastAsia="仿宋"/>
          <w:bCs/>
          <w:sz w:val="32"/>
          <w:szCs w:val="32"/>
        </w:rPr>
        <w:t>、社保、医保、公积金缺口部分。</w:t>
      </w:r>
    </w:p>
    <w:p>
      <w:pPr>
        <w:ind w:right="-31" w:firstLine="707" w:firstLineChars="221"/>
        <w:rPr>
          <w:rFonts w:ascii="仿宋" w:hAnsi="仿宋" w:eastAsia="仿宋"/>
          <w:bCs/>
          <w:sz w:val="32"/>
          <w:szCs w:val="32"/>
        </w:rPr>
      </w:pPr>
      <w:r>
        <w:rPr>
          <w:rFonts w:hint="eastAsia" w:ascii="仿宋" w:hAnsi="仿宋" w:eastAsia="仿宋"/>
          <w:bCs/>
          <w:sz w:val="32"/>
          <w:szCs w:val="32"/>
        </w:rPr>
        <w:t>本年度投入资金880余万元，建设完成了江北校区舞蹈室装修、艺术楼防水、运动场修缮、道路改造、围网修建、男生宿舍改造、办公楼搬迁改造等9个项目，完成了江南校区烹饪实训室建设、食堂改造、图书馆装修和搬迁、主水管改造，农学实训室门厅装修，二女生宿舍部分洗漱间防水和外墙维修、二教楼厕所改造、男生宿舍太阳能更换、部分校舍屋顶防水等11个项目，两个校区的基础设施得到了较大改善，为师生提供更好的学习和生活环境。</w:t>
      </w:r>
    </w:p>
    <w:p>
      <w:pPr>
        <w:ind w:right="-31" w:firstLine="707" w:firstLineChars="221"/>
        <w:rPr>
          <w:rFonts w:ascii="仿宋" w:hAnsi="仿宋" w:eastAsia="仿宋"/>
          <w:bCs/>
          <w:sz w:val="32"/>
          <w:szCs w:val="32"/>
        </w:rPr>
      </w:pPr>
      <w:r>
        <w:rPr>
          <w:rFonts w:hint="eastAsia" w:ascii="仿宋" w:hAnsi="仿宋" w:eastAsia="仿宋"/>
          <w:bCs/>
          <w:sz w:val="32"/>
          <w:szCs w:val="32"/>
        </w:rPr>
        <w:t>修订完善了学校物资采购管理办法，完成了烹饪实训室升级改造、学校体育卫生器材、办公物品、学生课桌椅、校园文化建设宣传栏等多项采购工作；还配合学生科完成了学生饮用水、学生校服、学校保安服务的采购工作；根据上级要求，完成了疫情防控补充物资和防震救灾物资的采购，有力保障了学校的疫情防控和应急准备工作。实施政府采购6个项目，共计合同金额434.84万元，自行组织招标采购29项，共计合同金额490.27万元。及时高效处理维修维护工作600余项，完成日常零星物资采购40余万元。</w:t>
      </w:r>
    </w:p>
    <w:p>
      <w:pPr>
        <w:ind w:right="-31" w:firstLine="707" w:firstLineChars="221"/>
        <w:rPr>
          <w:rFonts w:ascii="仿宋" w:hAnsi="仿宋" w:eastAsia="仿宋"/>
          <w:bCs/>
          <w:sz w:val="32"/>
          <w:szCs w:val="32"/>
        </w:rPr>
      </w:pPr>
      <w:r>
        <w:rPr>
          <w:rFonts w:hint="eastAsia" w:ascii="仿宋" w:hAnsi="仿宋" w:eastAsia="仿宋"/>
          <w:bCs/>
          <w:sz w:val="32"/>
          <w:szCs w:val="32"/>
        </w:rPr>
        <w:t>严格执行食品卫生安全法律法规及操作流程，定期开展市场调研，通过比选确定食材供货商家，全面实行了校级领导和中层干部陪餐制度，食品卫生安全得到了进一步的保障。为了提高食堂工作人员的综合素质，不断改进服务质量，本学期召开了食堂工作人员会议10次，理论和业务培训1</w:t>
      </w:r>
      <w:r>
        <w:rPr>
          <w:rFonts w:ascii="仿宋" w:hAnsi="仿宋" w:eastAsia="仿宋"/>
          <w:bCs/>
          <w:sz w:val="32"/>
          <w:szCs w:val="32"/>
        </w:rPr>
        <w:t>6</w:t>
      </w:r>
      <w:r>
        <w:rPr>
          <w:rFonts w:hint="eastAsia" w:ascii="仿宋" w:hAnsi="仿宋" w:eastAsia="仿宋"/>
          <w:bCs/>
          <w:sz w:val="32"/>
          <w:szCs w:val="32"/>
        </w:rPr>
        <w:t>次，根据疫情防控需要，增订和修订了食堂就餐、卫生消毒、健康管理等方面的制度，使学校食堂管理更加规范，服务质量有了进一步提高。</w:t>
      </w:r>
    </w:p>
    <w:p>
      <w:pPr>
        <w:ind w:right="-31" w:firstLine="710" w:firstLineChars="221"/>
        <w:rPr>
          <w:rFonts w:ascii="仿宋" w:hAnsi="仿宋" w:eastAsia="仿宋"/>
          <w:b/>
          <w:bCs/>
          <w:sz w:val="32"/>
          <w:szCs w:val="32"/>
        </w:rPr>
      </w:pPr>
      <w:r>
        <w:rPr>
          <w:rFonts w:hint="eastAsia" w:ascii="仿宋" w:hAnsi="仿宋" w:eastAsia="仿宋"/>
          <w:b/>
          <w:bCs/>
          <w:sz w:val="32"/>
          <w:szCs w:val="32"/>
        </w:rPr>
        <w:t>5、招生报名入口旺，升学就业出口畅。</w:t>
      </w:r>
    </w:p>
    <w:p>
      <w:pPr>
        <w:ind w:right="-31" w:firstLine="707" w:firstLineChars="221"/>
        <w:rPr>
          <w:rFonts w:ascii="仿宋" w:hAnsi="仿宋" w:eastAsia="仿宋"/>
          <w:bCs/>
          <w:sz w:val="32"/>
          <w:szCs w:val="32"/>
        </w:rPr>
      </w:pPr>
      <w:r>
        <w:rPr>
          <w:rFonts w:hint="eastAsia" w:ascii="仿宋" w:hAnsi="仿宋" w:eastAsia="仿宋"/>
          <w:bCs/>
          <w:sz w:val="32"/>
          <w:szCs w:val="32"/>
        </w:rPr>
        <w:t>为做好2021年招生工作，学校召开招生工作专题会议4次，修订了招生奖励办法，激发师生积极参与招生工作的热情，精心制作2021年招生简章4万余份，宣传课件、宣传视频300多个，培训招生人员（学校师生）4000余人次，深入全市和周边凉山、丽江等地60多所初中学校，充分利用电视台、出租车车身广告、校园网、攀枝花市中考指南、微信群、QQ群等各种宣传媒体，实行了全方位多层次的大力宣传，取得了良好效果，广大初中毕业生通过我校的宣传，了解了我校的办学特色和办学实力，为我校今年招生奠定了坚实的基础，我校今年招收新生1650人，超额完成了市教育和体育局下达的招生任务，是全市同类学校中招收新生最多的学校。</w:t>
      </w:r>
    </w:p>
    <w:p>
      <w:pPr>
        <w:widowControl/>
        <w:jc w:val="left"/>
        <w:rPr>
          <w:rFonts w:ascii="仿宋" w:hAnsi="仿宋" w:eastAsia="仿宋"/>
          <w:bCs/>
          <w:sz w:val="32"/>
          <w:szCs w:val="32"/>
        </w:rPr>
      </w:pPr>
      <w:r>
        <w:rPr>
          <w:rFonts w:hint="eastAsia" w:ascii="仿宋" w:hAnsi="仿宋" w:eastAsia="仿宋"/>
          <w:bCs/>
          <w:sz w:val="32"/>
          <w:szCs w:val="32"/>
        </w:rPr>
        <w:t>随着我国新冠肺炎疫情防控形势持续好转，2021年上半年我校举办了校园“双选会”，共有市内外40余家企业亲临学校招聘学生，今年我校除高考升学以外，参加顶岗实习的学生共计570人，其中221人申请了自主实习，其余349人通过本次“双选会”全部被招聘到本市和其他疫情低风险地区企业参加顶岗实习，切实做到了升学就业有保障。</w:t>
      </w:r>
    </w:p>
    <w:p>
      <w:pPr>
        <w:pStyle w:val="4"/>
        <w:rPr>
          <w:rFonts w:ascii="黑体" w:hAnsi="黑体" w:eastAsia="黑体"/>
          <w:b w:val="0"/>
        </w:rPr>
      </w:pPr>
      <w:r>
        <w:rPr>
          <w:rFonts w:hint="eastAsia" w:ascii="黑体" w:hAnsi="黑体" w:eastAsia="黑体"/>
          <w:b w:val="0"/>
        </w:rPr>
        <w:t>三、机构设置</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攀枝花市经贸旅游学校属于攀枝花市教育和体育局下属的二预算单位，下设独立编制机构0个，其中行政机构0个，参照公务员法管理的事业机构0个，其他事业机构0个。</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16" w:name="_Toc15377204"/>
      <w:bookmarkStart w:id="17" w:name="_Toc15396602"/>
      <w:r>
        <w:rPr>
          <w:rFonts w:hint="eastAsia" w:ascii="黑体" w:hAnsi="黑体" w:eastAsia="黑体"/>
          <w:b w:val="0"/>
        </w:rPr>
        <w:t>第二部分 2021年度</w:t>
      </w:r>
      <w:r>
        <w:rPr>
          <w:rStyle w:val="25"/>
          <w:rFonts w:hint="eastAsia" w:ascii="黑体" w:hAnsi="黑体" w:eastAsia="黑体"/>
          <w:b w:val="0"/>
          <w:bCs/>
        </w:rPr>
        <w:t>单位决算情况说明</w:t>
      </w:r>
      <w:bookmarkEnd w:id="16"/>
      <w:bookmarkEnd w:id="17"/>
    </w:p>
    <w:p/>
    <w:p>
      <w:pPr>
        <w:pStyle w:val="24"/>
        <w:numPr>
          <w:ilvl w:val="0"/>
          <w:numId w:val="2"/>
        </w:numPr>
        <w:spacing w:line="600" w:lineRule="exact"/>
        <w:ind w:firstLineChars="0"/>
        <w:outlineLvl w:val="1"/>
        <w:rPr>
          <w:rStyle w:val="26"/>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ind w:firstLine="480" w:firstLineChars="150"/>
        <w:rPr>
          <w:rFonts w:ascii="仿宋_GB2312" w:hAnsi="仿宋" w:eastAsia="仿宋_GB2312"/>
          <w:sz w:val="32"/>
          <w:szCs w:val="32"/>
        </w:rPr>
      </w:pPr>
      <w:r>
        <w:rPr>
          <w:rFonts w:hint="eastAsia" w:ascii="仿宋_GB2312" w:hAnsi="仿宋" w:eastAsia="仿宋_GB2312"/>
          <w:sz w:val="32"/>
          <w:szCs w:val="32"/>
        </w:rPr>
        <w:t>2021年收入、支出决算数</w:t>
      </w:r>
      <w:r>
        <w:rPr>
          <w:rFonts w:hint="eastAsia" w:ascii="仿宋_GB2312" w:hAnsi="宋体" w:eastAsia="仿宋_GB2312" w:cs="Arial"/>
          <w:color w:val="000000"/>
          <w:kern w:val="0"/>
          <w:sz w:val="32"/>
          <w:szCs w:val="32"/>
        </w:rPr>
        <w:t>9532.61</w:t>
      </w:r>
      <w:r>
        <w:rPr>
          <w:rFonts w:hint="eastAsia" w:ascii="仿宋_GB2312" w:hAnsi="仿宋" w:eastAsia="仿宋_GB2312"/>
          <w:sz w:val="32"/>
          <w:szCs w:val="32"/>
        </w:rPr>
        <w:t xml:space="preserve">万元，与上年对比增加909.07万元, </w:t>
      </w:r>
      <w:r>
        <w:rPr>
          <w:rFonts w:hint="eastAsia" w:ascii="仿宋_GB2312" w:hAnsi="仿宋" w:eastAsia="仿宋_GB2312"/>
          <w:sz w:val="32"/>
          <w:szCs w:val="32"/>
          <w:lang w:val="en-US" w:eastAsia="zh-CN"/>
        </w:rPr>
        <w:t>增长10.54%，</w:t>
      </w:r>
      <w:bookmarkStart w:id="66" w:name="_GoBack"/>
      <w:bookmarkEnd w:id="66"/>
      <w:r>
        <w:rPr>
          <w:rFonts w:hint="eastAsia" w:ascii="仿宋_GB2312" w:hAnsi="仿宋" w:eastAsia="仿宋_GB2312"/>
          <w:sz w:val="32"/>
          <w:szCs w:val="32"/>
        </w:rPr>
        <w:t>增减变动原因主要为人员增加、公用经费增加。</w:t>
      </w:r>
    </w:p>
    <w:p>
      <w:pPr>
        <w:snapToGrid w:val="0"/>
        <w:ind w:firstLine="420" w:firstLineChars="200"/>
        <w:jc w:val="center"/>
        <w:rPr>
          <w:rFonts w:ascii="仿宋_GB2312" w:hAnsi="仿宋" w:eastAsia="仿宋_GB2312"/>
          <w:sz w:val="32"/>
          <w:szCs w:val="32"/>
        </w:rPr>
      </w:pPr>
      <w:r>
        <w:drawing>
          <wp:inline distT="0" distB="0" distL="114300" distR="114300">
            <wp:extent cx="3744595" cy="2447925"/>
            <wp:effectExtent l="4445" t="4445" r="2286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4"/>
        <w:numPr>
          <w:ilvl w:val="0"/>
          <w:numId w:val="2"/>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21年本年收入合计9489.85万元，其中：一般公共预算财政拨款收入9257.78万元，占97.55</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；其他收入232.08万元，占2.45</w:t>
      </w:r>
      <w:r>
        <w:rPr>
          <w:rFonts w:ascii="仿宋" w:hAnsi="仿宋" w:eastAsia="仿宋"/>
          <w:sz w:val="32"/>
          <w:szCs w:val="32"/>
        </w:rPr>
        <w:t>%</w:t>
      </w:r>
      <w:r>
        <w:rPr>
          <w:rFonts w:hint="eastAsia" w:ascii="仿宋" w:hAnsi="仿宋" w:eastAsia="仿宋"/>
          <w:sz w:val="32"/>
          <w:szCs w:val="32"/>
        </w:rPr>
        <w:t>。</w:t>
      </w:r>
    </w:p>
    <w:p>
      <w:pPr>
        <w:ind w:firstLine="640" w:firstLineChars="200"/>
        <w:outlineLvl w:val="1"/>
        <w:rPr>
          <w:rFonts w:ascii="仿宋" w:hAnsi="仿宋" w:eastAsia="仿宋"/>
          <w:sz w:val="32"/>
          <w:szCs w:val="32"/>
        </w:rPr>
      </w:pPr>
    </w:p>
    <w:p>
      <w:pPr>
        <w:ind w:firstLine="420" w:firstLineChars="200"/>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firstLineChars="200"/>
        <w:rPr>
          <w:rFonts w:ascii="仿宋" w:hAnsi="仿宋" w:eastAsia="仿宋"/>
          <w:sz w:val="32"/>
          <w:szCs w:val="32"/>
        </w:rPr>
      </w:pPr>
      <w:r>
        <w:rPr>
          <w:rFonts w:hint="eastAsia" w:ascii="仿宋" w:hAnsi="仿宋" w:eastAsia="仿宋"/>
          <w:sz w:val="32"/>
          <w:szCs w:val="32"/>
        </w:rPr>
        <w:t>（图2：收入决算结构图）</w:t>
      </w:r>
    </w:p>
    <w:p>
      <w:pPr>
        <w:pStyle w:val="24"/>
        <w:numPr>
          <w:ilvl w:val="0"/>
          <w:numId w:val="2"/>
        </w:numPr>
        <w:spacing w:line="600" w:lineRule="exact"/>
        <w:ind w:firstLineChars="0"/>
        <w:outlineLvl w:val="1"/>
        <w:rPr>
          <w:rStyle w:val="26"/>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21年本年支出合计9444.86万元，其中：基本支出7144.23万元，占75.64</w:t>
      </w:r>
      <w:r>
        <w:rPr>
          <w:rFonts w:ascii="仿宋" w:hAnsi="仿宋" w:eastAsia="仿宋"/>
          <w:sz w:val="32"/>
          <w:szCs w:val="32"/>
        </w:rPr>
        <w:t>%</w:t>
      </w:r>
      <w:r>
        <w:rPr>
          <w:rFonts w:hint="eastAsia" w:ascii="仿宋" w:hAnsi="仿宋" w:eastAsia="仿宋"/>
          <w:sz w:val="32"/>
          <w:szCs w:val="32"/>
        </w:rPr>
        <w:t>；项目支出2300.63万元，占24.36</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ind w:firstLine="640"/>
        <w:jc w:val="center"/>
        <w:rPr>
          <w:rFonts w:ascii="仿宋" w:hAnsi="仿宋" w:eastAsia="仿宋"/>
          <w:sz w:val="32"/>
          <w:szCs w:val="32"/>
          <w:shd w:val="pct10" w:color="auto" w:fill="FFFFFF"/>
        </w:rPr>
      </w:pPr>
      <w:r>
        <w:drawing>
          <wp:inline distT="0" distB="0" distL="114300" distR="114300">
            <wp:extent cx="3421380" cy="1683385"/>
            <wp:effectExtent l="4445" t="4445" r="22225" b="762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6"/>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21年财政拨款收、支总计分别为9257.77万元、9265.76万元。与</w:t>
      </w:r>
      <w:r>
        <w:rPr>
          <w:rFonts w:ascii="仿宋" w:hAnsi="仿宋" w:eastAsia="仿宋"/>
          <w:sz w:val="32"/>
          <w:szCs w:val="32"/>
        </w:rPr>
        <w:t>20</w:t>
      </w:r>
      <w:r>
        <w:rPr>
          <w:rFonts w:hint="eastAsia" w:ascii="仿宋" w:hAnsi="仿宋" w:eastAsia="仿宋"/>
          <w:sz w:val="32"/>
          <w:szCs w:val="32"/>
        </w:rPr>
        <w:t>20年相比，财政拨款收、支总计各增加962.67万元、1260.51，增长11.6</w:t>
      </w:r>
      <w:r>
        <w:rPr>
          <w:rFonts w:ascii="仿宋" w:hAnsi="仿宋" w:eastAsia="仿宋"/>
          <w:sz w:val="32"/>
          <w:szCs w:val="32"/>
        </w:rPr>
        <w:t>%</w:t>
      </w:r>
      <w:r>
        <w:rPr>
          <w:rFonts w:hint="eastAsia" w:ascii="仿宋" w:hAnsi="仿宋" w:eastAsia="仿宋"/>
          <w:sz w:val="32"/>
          <w:szCs w:val="32"/>
        </w:rPr>
        <w:t>、15.75%。主要变动原因是人员增加、公用经费增加。</w:t>
      </w:r>
    </w:p>
    <w:p>
      <w:pPr>
        <w:jc w:val="center"/>
        <w:rPr>
          <w:rFonts w:ascii="仿宋" w:hAnsi="仿宋" w:eastAsia="仿宋"/>
          <w:sz w:val="32"/>
          <w:szCs w:val="32"/>
        </w:rPr>
      </w:pPr>
      <w:r>
        <w:drawing>
          <wp:inline distT="0" distB="0" distL="114300" distR="114300">
            <wp:extent cx="3894455" cy="1805305"/>
            <wp:effectExtent l="4445" t="4445" r="6350" b="1905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jc w:val="center"/>
        <w:rPr>
          <w:rFonts w:ascii="仿宋" w:hAnsi="仿宋" w:eastAsia="仿宋"/>
          <w:b/>
          <w:sz w:val="32"/>
          <w:szCs w:val="32"/>
        </w:rPr>
      </w:pPr>
      <w:r>
        <w:rPr>
          <w:rFonts w:hint="eastAsia" w:ascii="仿宋" w:hAnsi="仿宋" w:eastAsia="仿宋"/>
          <w:sz w:val="32"/>
          <w:szCs w:val="32"/>
        </w:rPr>
        <w:t>（图4：财政拨款收入决算总计变动情况）</w:t>
      </w:r>
    </w:p>
    <w:p>
      <w:pPr>
        <w:spacing w:line="600" w:lineRule="exact"/>
        <w:ind w:firstLine="640" w:firstLineChars="200"/>
        <w:outlineLvl w:val="1"/>
        <w:rPr>
          <w:rStyle w:val="26"/>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21年一般公共预算财政拨款支出9265.76万元，占本年支出合计的100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20年相比，一般公共预算财政拨款支出增加1260.51万元，增长15.75</w:t>
      </w:r>
      <w:r>
        <w:rPr>
          <w:rFonts w:ascii="仿宋" w:hAnsi="仿宋" w:eastAsia="仿宋"/>
          <w:sz w:val="32"/>
          <w:szCs w:val="32"/>
        </w:rPr>
        <w:t>%</w:t>
      </w:r>
      <w:r>
        <w:rPr>
          <w:rFonts w:hint="eastAsia" w:ascii="仿宋" w:hAnsi="仿宋" w:eastAsia="仿宋"/>
          <w:sz w:val="32"/>
          <w:szCs w:val="32"/>
        </w:rPr>
        <w:t>。主要变动原因是人员增加、公用经费增加。</w:t>
      </w:r>
    </w:p>
    <w:p>
      <w:pPr>
        <w:ind w:firstLine="420" w:firstLineChars="200"/>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21年一般公共预算财政拨款支出9265.76万元，主要用于以下方面</w:t>
      </w:r>
      <w:r>
        <w:rPr>
          <w:rFonts w:ascii="仿宋" w:hAnsi="仿宋" w:eastAsia="仿宋"/>
          <w:sz w:val="32"/>
          <w:szCs w:val="32"/>
        </w:rPr>
        <w:t>:</w:t>
      </w:r>
      <w:r>
        <w:rPr>
          <w:rFonts w:hint="eastAsia" w:ascii="仿宋" w:hAnsi="仿宋" w:eastAsia="仿宋"/>
          <w:bCs/>
          <w:sz w:val="32"/>
          <w:szCs w:val="32"/>
        </w:rPr>
        <w:t>教育支出（类）8374.63万</w:t>
      </w:r>
      <w:r>
        <w:rPr>
          <w:rFonts w:hint="eastAsia" w:ascii="仿宋" w:hAnsi="仿宋" w:eastAsia="仿宋"/>
          <w:sz w:val="32"/>
          <w:szCs w:val="32"/>
        </w:rPr>
        <w:t>元，占90.39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Cs/>
          <w:sz w:val="32"/>
          <w:szCs w:val="32"/>
        </w:rPr>
        <w:t>社会保障和就业（类）</w:t>
      </w:r>
      <w:r>
        <w:rPr>
          <w:rFonts w:hint="eastAsia" w:ascii="仿宋" w:hAnsi="仿宋" w:eastAsia="仿宋"/>
          <w:sz w:val="32"/>
          <w:szCs w:val="32"/>
        </w:rPr>
        <w:t>支出472.66万元，占5.1</w:t>
      </w:r>
      <w:r>
        <w:rPr>
          <w:rFonts w:ascii="仿宋" w:hAnsi="仿宋" w:eastAsia="仿宋"/>
          <w:sz w:val="32"/>
          <w:szCs w:val="32"/>
        </w:rPr>
        <w:t>%</w:t>
      </w:r>
      <w:r>
        <w:rPr>
          <w:rFonts w:hint="eastAsia" w:ascii="仿宋" w:hAnsi="仿宋" w:eastAsia="仿宋"/>
          <w:sz w:val="32"/>
          <w:szCs w:val="32"/>
        </w:rPr>
        <w:t>；城乡社区支出8.71万元，占比0.09</w:t>
      </w:r>
      <w:r>
        <w:rPr>
          <w:rFonts w:ascii="仿宋" w:hAnsi="仿宋" w:eastAsia="仿宋"/>
          <w:sz w:val="32"/>
          <w:szCs w:val="32"/>
        </w:rPr>
        <w:t>%</w:t>
      </w:r>
      <w:r>
        <w:rPr>
          <w:rFonts w:hint="eastAsia" w:ascii="仿宋" w:hAnsi="仿宋" w:eastAsia="仿宋"/>
          <w:sz w:val="32"/>
          <w:szCs w:val="32"/>
        </w:rPr>
        <w:t>；住房保障支出409.76万元，占4.42</w:t>
      </w:r>
      <w:r>
        <w:rPr>
          <w:rFonts w:ascii="仿宋" w:hAnsi="仿宋" w:eastAsia="仿宋"/>
          <w:sz w:val="32"/>
          <w:szCs w:val="32"/>
        </w:rPr>
        <w:t>%</w:t>
      </w:r>
      <w:r>
        <w:rPr>
          <w:rFonts w:hint="eastAsia" w:ascii="仿宋" w:hAnsi="仿宋" w:eastAsia="仿宋"/>
          <w:sz w:val="32"/>
          <w:szCs w:val="32"/>
        </w:rPr>
        <w:t>。</w:t>
      </w:r>
    </w:p>
    <w:p>
      <w:pPr>
        <w:ind w:firstLine="641"/>
        <w:rPr>
          <w:rFonts w:ascii="仿宋" w:hAnsi="仿宋" w:eastAsia="仿宋"/>
          <w:sz w:val="32"/>
          <w:szCs w:val="32"/>
        </w:rPr>
      </w:pP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0" w:firstLineChars="200"/>
        <w:outlineLvl w:val="2"/>
        <w:rPr>
          <w:rFonts w:ascii="仿宋" w:hAnsi="仿宋" w:eastAsia="仿宋"/>
          <w:bCs/>
          <w:sz w:val="32"/>
          <w:szCs w:val="32"/>
        </w:rPr>
      </w:pPr>
      <w:bookmarkStart w:id="31" w:name="_Toc15377213"/>
      <w:bookmarkStart w:id="32" w:name="_Toc15378460"/>
      <w:bookmarkStart w:id="33" w:name="_Toc15377444"/>
      <w:r>
        <w:rPr>
          <w:rFonts w:hint="eastAsia" w:ascii="仿宋" w:hAnsi="仿宋" w:eastAsia="仿宋"/>
          <w:bCs/>
          <w:sz w:val="32"/>
          <w:szCs w:val="32"/>
        </w:rPr>
        <w:t>2021年一般公共预算支出决算数为9265.76，</w:t>
      </w:r>
      <w:r>
        <w:rPr>
          <w:rStyle w:val="15"/>
          <w:rFonts w:hint="eastAsia" w:ascii="仿宋" w:hAnsi="仿宋" w:eastAsia="仿宋"/>
          <w:b w:val="0"/>
          <w:bCs/>
          <w:sz w:val="32"/>
          <w:szCs w:val="32"/>
        </w:rPr>
        <w:t>完成预算100.08</w:t>
      </w:r>
      <w:r>
        <w:rPr>
          <w:rStyle w:val="15"/>
          <w:rFonts w:ascii="仿宋" w:hAnsi="仿宋" w:eastAsia="仿宋"/>
          <w:b w:val="0"/>
          <w:bCs/>
          <w:sz w:val="32"/>
          <w:szCs w:val="32"/>
        </w:rPr>
        <w:t>%</w:t>
      </w:r>
      <w:r>
        <w:rPr>
          <w:rStyle w:val="15"/>
          <w:rFonts w:hint="eastAsia" w:ascii="仿宋" w:hAnsi="仿宋" w:eastAsia="仿宋"/>
          <w:b w:val="0"/>
          <w:bCs/>
          <w:sz w:val="32"/>
          <w:szCs w:val="32"/>
        </w:rPr>
        <w:t>。其中：</w:t>
      </w:r>
      <w:bookmarkEnd w:id="31"/>
      <w:bookmarkEnd w:id="32"/>
      <w:bookmarkEnd w:id="33"/>
    </w:p>
    <w:p>
      <w:pPr>
        <w:numPr>
          <w:ilvl w:val="0"/>
          <w:numId w:val="3"/>
        </w:numPr>
        <w:spacing w:line="600" w:lineRule="exact"/>
        <w:ind w:firstLine="643"/>
        <w:rPr>
          <w:rStyle w:val="15"/>
          <w:rFonts w:ascii="仿宋" w:hAnsi="仿宋" w:eastAsia="仿宋"/>
          <w:b w:val="0"/>
          <w:bCs/>
          <w:sz w:val="32"/>
          <w:szCs w:val="32"/>
        </w:rPr>
      </w:pPr>
      <w:r>
        <w:rPr>
          <w:rStyle w:val="15"/>
          <w:rFonts w:hint="eastAsia" w:ascii="仿宋" w:hAnsi="仿宋" w:eastAsia="仿宋"/>
          <w:b w:val="0"/>
          <w:bCs/>
          <w:sz w:val="32"/>
          <w:szCs w:val="32"/>
        </w:rPr>
        <w:t>教育（类）职业教育（款）中等职业教育（项）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支出决算为7748.51万元，完成预算100.1</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pStyle w:val="2"/>
        <w:spacing w:before="93"/>
        <w:rPr>
          <w:rFonts w:eastAsia="仿宋"/>
          <w:bCs/>
        </w:rPr>
      </w:pPr>
      <w:r>
        <w:rPr>
          <w:rFonts w:hint="eastAsia"/>
          <w:bCs/>
        </w:rPr>
        <w:t xml:space="preserve">    </w:t>
      </w:r>
      <w:r>
        <w:rPr>
          <w:rStyle w:val="15"/>
          <w:rFonts w:hint="eastAsia" w:ascii="仿宋" w:hAnsi="仿宋" w:eastAsia="仿宋"/>
          <w:b w:val="0"/>
          <w:bCs/>
          <w:sz w:val="32"/>
          <w:szCs w:val="32"/>
        </w:rPr>
        <w:t>教育（类）教育费附加安排的支出（款）其他教育费附加安排的支出（项）：支出决算为626.11万元，完成预算100%。</w:t>
      </w:r>
    </w:p>
    <w:p>
      <w:pPr>
        <w:numPr>
          <w:ilvl w:val="0"/>
          <w:numId w:val="3"/>
        </w:numPr>
        <w:spacing w:line="600" w:lineRule="exact"/>
        <w:ind w:firstLine="643"/>
        <w:rPr>
          <w:rStyle w:val="15"/>
          <w:rFonts w:ascii="仿宋" w:hAnsi="仿宋" w:eastAsia="仿宋"/>
          <w:b w:val="0"/>
          <w:bCs/>
          <w:sz w:val="32"/>
          <w:szCs w:val="32"/>
        </w:rPr>
      </w:pPr>
      <w:r>
        <w:rPr>
          <w:rStyle w:val="15"/>
          <w:rFonts w:hint="eastAsia" w:ascii="仿宋" w:hAnsi="仿宋" w:eastAsia="仿宋"/>
          <w:b w:val="0"/>
          <w:bCs/>
          <w:sz w:val="32"/>
          <w:szCs w:val="32"/>
        </w:rPr>
        <w:t>社会保障和就业支出（类）人力资源和社会保障管理事务（款）其他人力资源和社会保障管理事务支出（项）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支出决算为15.6万元，完成预算100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0" w:firstLineChars="200"/>
        <w:rPr>
          <w:rStyle w:val="15"/>
          <w:rFonts w:ascii="仿宋" w:hAnsi="仿宋" w:eastAsia="仿宋" w:cstheme="minorBidi"/>
          <w:b w:val="0"/>
          <w:bCs/>
          <w:sz w:val="32"/>
          <w:szCs w:val="32"/>
        </w:rPr>
      </w:pPr>
      <w:r>
        <w:rPr>
          <w:rStyle w:val="15"/>
          <w:rFonts w:hint="eastAsia" w:ascii="仿宋" w:hAnsi="仿宋" w:eastAsia="仿宋" w:cstheme="minorBidi"/>
          <w:b w:val="0"/>
          <w:bCs/>
          <w:sz w:val="32"/>
          <w:szCs w:val="32"/>
        </w:rPr>
        <w:t>社会保障和就业支出（类）行政事业单位养老支出（款）机关事业单位基本养老保险缴费支出（项）: 支出决算为432.23万元，完成预算100%。</w:t>
      </w:r>
    </w:p>
    <w:p>
      <w:pPr>
        <w:spacing w:line="600" w:lineRule="exact"/>
        <w:ind w:firstLine="640" w:firstLineChars="200"/>
        <w:rPr>
          <w:rStyle w:val="15"/>
          <w:rFonts w:ascii="仿宋" w:hAnsi="仿宋" w:eastAsia="仿宋" w:cstheme="minorBidi"/>
          <w:b w:val="0"/>
          <w:bCs/>
          <w:sz w:val="32"/>
          <w:szCs w:val="32"/>
        </w:rPr>
      </w:pPr>
      <w:r>
        <w:rPr>
          <w:rStyle w:val="15"/>
          <w:rFonts w:hint="eastAsia" w:ascii="仿宋" w:hAnsi="仿宋" w:eastAsia="仿宋" w:cstheme="minorBidi"/>
          <w:b w:val="0"/>
          <w:bCs/>
          <w:sz w:val="32"/>
          <w:szCs w:val="32"/>
        </w:rPr>
        <w:t>社会保障和就业支出（类）抚恤（款）死亡抚恤（项）: 支出决算为24.83万元，完成预算100%。</w:t>
      </w:r>
    </w:p>
    <w:p>
      <w:pPr>
        <w:spacing w:line="600" w:lineRule="exact"/>
        <w:ind w:firstLine="640" w:firstLineChars="200"/>
        <w:rPr>
          <w:rFonts w:ascii="仿宋" w:hAnsi="仿宋" w:eastAsia="仿宋"/>
          <w:bCs/>
          <w:sz w:val="32"/>
          <w:szCs w:val="32"/>
        </w:rPr>
      </w:pPr>
      <w:r>
        <w:rPr>
          <w:rStyle w:val="15"/>
          <w:rFonts w:hint="eastAsia" w:ascii="仿宋" w:hAnsi="仿宋" w:eastAsia="仿宋"/>
          <w:b w:val="0"/>
          <w:bCs/>
          <w:sz w:val="32"/>
          <w:szCs w:val="32"/>
        </w:rPr>
        <w:t>3</w:t>
      </w:r>
      <w:r>
        <w:rPr>
          <w:rStyle w:val="15"/>
          <w:rFonts w:ascii="仿宋" w:hAnsi="仿宋" w:eastAsia="仿宋"/>
          <w:b w:val="0"/>
          <w:bCs/>
          <w:sz w:val="32"/>
          <w:szCs w:val="32"/>
        </w:rPr>
        <w:t>.</w:t>
      </w:r>
      <w:r>
        <w:rPr>
          <w:rStyle w:val="15"/>
          <w:rFonts w:hint="eastAsia" w:ascii="仿宋" w:hAnsi="仿宋" w:eastAsia="仿宋"/>
          <w:b w:val="0"/>
          <w:bCs/>
          <w:sz w:val="32"/>
          <w:szCs w:val="32"/>
        </w:rPr>
        <w:t>城乡社区支出（类）城乡社区公共设施（款）其他城乡社区公共设施支出（项）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支出决算为8.7万元，完成预算100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0" w:firstLineChars="200"/>
        <w:rPr>
          <w:rFonts w:ascii="仿宋" w:hAnsi="仿宋" w:eastAsia="仿宋"/>
          <w:bCs/>
          <w:sz w:val="32"/>
          <w:szCs w:val="32"/>
        </w:rPr>
      </w:pPr>
      <w:r>
        <w:rPr>
          <w:rStyle w:val="15"/>
          <w:rFonts w:hint="eastAsia" w:ascii="仿宋" w:hAnsi="仿宋" w:eastAsia="仿宋"/>
          <w:b w:val="0"/>
          <w:bCs/>
          <w:sz w:val="32"/>
          <w:szCs w:val="32"/>
        </w:rPr>
        <w:t>4</w:t>
      </w:r>
      <w:r>
        <w:rPr>
          <w:rStyle w:val="15"/>
          <w:rFonts w:ascii="仿宋" w:hAnsi="仿宋" w:eastAsia="仿宋"/>
          <w:b w:val="0"/>
          <w:bCs/>
          <w:sz w:val="32"/>
          <w:szCs w:val="32"/>
        </w:rPr>
        <w:t>.</w:t>
      </w:r>
      <w:r>
        <w:rPr>
          <w:rStyle w:val="15"/>
          <w:rFonts w:hint="eastAsia" w:ascii="仿宋" w:hAnsi="仿宋" w:eastAsia="仿宋"/>
          <w:b w:val="0"/>
          <w:bCs/>
          <w:sz w:val="32"/>
          <w:szCs w:val="32"/>
        </w:rPr>
        <w:t>住房保障支出（类）住房改革支出（款）住房公积金（项）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支出决算为409.76万元，完成预算100%。</w:t>
      </w:r>
    </w:p>
    <w:p>
      <w:pPr>
        <w:tabs>
          <w:tab w:val="right" w:pos="8306"/>
        </w:tabs>
        <w:spacing w:line="600" w:lineRule="exact"/>
        <w:ind w:firstLine="640"/>
        <w:outlineLvl w:val="1"/>
        <w:rPr>
          <w:rStyle w:val="26"/>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21年一般公共预算财政拨款基本支出6999.9万元，其中：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6618.17万元，主要包括：基本工资、津贴补贴、绩效工资、机关事业单位基本养老保险缴费、其他社会保障缴费、其他工资福利支出、离休费、退休费、抚恤金、生活补助、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　　公用经费381.72万元，主要包括：办公费、印刷费、水费、电费、邮电费、物业管理费、差旅费、维修（护）费、租赁费、培训费、公务接待费、劳务费、委托业务费、工会经费、公务用车运行维护费、其他交通费、其他商品和服务支出等。</w:t>
      </w:r>
    </w:p>
    <w:p>
      <w:pPr>
        <w:spacing w:line="600" w:lineRule="exact"/>
        <w:ind w:firstLine="640"/>
        <w:outlineLvl w:val="1"/>
        <w:rPr>
          <w:rStyle w:val="26"/>
          <w:rFonts w:ascii="黑体" w:hAnsi="黑体" w:eastAsia="黑体"/>
          <w:b w:val="0"/>
        </w:rPr>
      </w:pPr>
      <w:bookmarkStart w:id="36" w:name="_Toc15396609"/>
      <w:bookmarkStart w:id="37"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21年“三公”经费财政拨款支出决算为6.72万元，完成预算91.68</w:t>
      </w:r>
      <w:r>
        <w:rPr>
          <w:rFonts w:ascii="仿宋" w:hAnsi="仿宋" w:eastAsia="仿宋"/>
          <w:sz w:val="32"/>
          <w:szCs w:val="32"/>
        </w:rPr>
        <w:t>%</w:t>
      </w:r>
      <w:r>
        <w:rPr>
          <w:rFonts w:hint="eastAsia" w:ascii="仿宋" w:hAnsi="仿宋" w:eastAsia="仿宋"/>
          <w:sz w:val="32"/>
          <w:szCs w:val="32"/>
        </w:rPr>
        <w:t>，决算数小于预算数的主要原因是</w:t>
      </w:r>
      <w:r>
        <w:rPr>
          <w:rFonts w:hint="eastAsia" w:ascii="仿宋_GB2312" w:hAnsi="仿宋" w:eastAsia="仿宋_GB2312" w:cs="仿宋"/>
          <w:color w:val="000000"/>
          <w:sz w:val="32"/>
          <w:szCs w:val="32"/>
        </w:rPr>
        <w:t>学校严格执行相关部门关于厉行节约反对浪费的规定，</w:t>
      </w:r>
      <w:r>
        <w:rPr>
          <w:rFonts w:hint="eastAsia" w:ascii="仿宋" w:hAnsi="仿宋" w:eastAsia="仿宋"/>
          <w:sz w:val="32"/>
          <w:szCs w:val="32"/>
        </w:rPr>
        <w:t>国内接待量较少。</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；公务用车购置及运行维护费支出决算5.83万元，占86.76</w:t>
      </w:r>
      <w:r>
        <w:rPr>
          <w:rFonts w:ascii="仿宋" w:hAnsi="仿宋" w:eastAsia="仿宋"/>
          <w:sz w:val="32"/>
          <w:szCs w:val="32"/>
        </w:rPr>
        <w:t>%</w:t>
      </w:r>
      <w:r>
        <w:rPr>
          <w:rFonts w:hint="eastAsia" w:ascii="仿宋" w:hAnsi="仿宋" w:eastAsia="仿宋"/>
          <w:sz w:val="32"/>
          <w:szCs w:val="32"/>
        </w:rPr>
        <w:t>；公务接待费支出决算0.89万元，占13.24</w:t>
      </w:r>
      <w:r>
        <w:rPr>
          <w:rFonts w:ascii="仿宋" w:hAnsi="仿宋" w:eastAsia="仿宋"/>
          <w:sz w:val="32"/>
          <w:szCs w:val="32"/>
        </w:rPr>
        <w:t>%</w:t>
      </w:r>
      <w:r>
        <w:rPr>
          <w:rFonts w:hint="eastAsia" w:ascii="仿宋" w:hAnsi="仿宋" w:eastAsia="仿宋"/>
          <w:sz w:val="32"/>
          <w:szCs w:val="32"/>
        </w:rPr>
        <w:t>。具体情况如下：</w:t>
      </w:r>
    </w:p>
    <w:p>
      <w:pPr>
        <w:pStyle w:val="2"/>
        <w:spacing w:before="93"/>
      </w:pPr>
      <w:r>
        <w:drawing>
          <wp:inline distT="0" distB="0" distL="114300" distR="114300">
            <wp:extent cx="4078605" cy="2331720"/>
            <wp:effectExtent l="4445" t="4445" r="12700" b="698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全年安排因公出国（境）团组0次，出国（境）0人。因公出国（境）支出决算与2020年持平。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公务用车购置及运行维护费支出5.83</w:t>
      </w:r>
      <w:r>
        <w:rPr>
          <w:rFonts w:hint="eastAsia" w:ascii="仿宋_GB2312" w:eastAsia="仿宋_GB2312"/>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20年减少0.32万元，下降5.2</w:t>
      </w:r>
      <w:r>
        <w:rPr>
          <w:rFonts w:ascii="仿宋_GB2312" w:eastAsia="仿宋_GB2312"/>
          <w:sz w:val="32"/>
          <w:szCs w:val="32"/>
        </w:rPr>
        <w:t>%</w:t>
      </w:r>
      <w:r>
        <w:rPr>
          <w:rFonts w:hint="eastAsia" w:ascii="仿宋_GB2312" w:eastAsia="仿宋_GB2312"/>
          <w:sz w:val="32"/>
          <w:szCs w:val="32"/>
        </w:rPr>
        <w:t>。主要原因是车辆维修费用减少。</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月底，单位共有公务用车3辆，其中：轿车1辆、越野车1辆、载客汽车1辆。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公务用车运行维护费支出5.83</w:t>
      </w:r>
      <w:r>
        <w:rPr>
          <w:rFonts w:hint="eastAsia" w:ascii="仿宋_GB2312" w:eastAsia="仿宋_GB2312"/>
          <w:sz w:val="32"/>
          <w:szCs w:val="32"/>
        </w:rPr>
        <w:t>万元。主要用于教学管理、接送藏区学生等所需的公务用车燃料费、维修费、过路过桥费、保险费等支出。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0.89万元，</w:t>
      </w:r>
      <w:r>
        <w:rPr>
          <w:rStyle w:val="15"/>
          <w:rFonts w:hint="eastAsia" w:ascii="仿宋" w:hAnsi="仿宋" w:eastAsia="仿宋"/>
          <w:b w:val="0"/>
          <w:bCs/>
          <w:sz w:val="32"/>
          <w:szCs w:val="32"/>
        </w:rPr>
        <w:t>完成预算59.33</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20年减少0.57万元，下降39</w:t>
      </w:r>
      <w:r>
        <w:rPr>
          <w:rFonts w:ascii="仿宋_GB2312" w:eastAsia="仿宋_GB2312"/>
          <w:sz w:val="32"/>
          <w:szCs w:val="32"/>
        </w:rPr>
        <w:t>%</w:t>
      </w:r>
      <w:r>
        <w:rPr>
          <w:rFonts w:hint="eastAsia" w:ascii="仿宋_GB2312" w:eastAsia="仿宋_GB2312"/>
          <w:sz w:val="32"/>
          <w:szCs w:val="32"/>
        </w:rPr>
        <w:t>。主要原因是响应政策厉行节约。其中：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0.89</w:t>
      </w:r>
      <w:r>
        <w:rPr>
          <w:rFonts w:hint="eastAsia" w:ascii="仿宋_GB2312" w:eastAsia="仿宋_GB2312"/>
          <w:sz w:val="32"/>
          <w:szCs w:val="32"/>
        </w:rPr>
        <w:t>万元，主要用于教学管理、执行公务、开展业务活动开支的交通费、住宿费、用餐费等。国内公务接待9批次，67人次（不包括陪同人员），共计支出0.89万元，具体内容包括：1、2021年6月接待北京五粮液龙爪树宾馆来校交流接待餐费 0.09万元；2、2021年7月接待省教科院调研中小学课程实施情况餐费0.07万元；3、2021年7月接待自贡教育和体育局开展职业院校实习实训专项检查餐费0.11万元；4、2021年7月接待成都徐记家婆菜公司开展校企交流餐费0.09万元；5、 2021年9月接待市教体局调研秋季开学工作餐费0.03万元；6、2021年9月接待省财政厅绩效评价工作组餐费0.12万元；7、2021年9月接待天府新区信息职业来校洽谈共建餐费0.18万元；8、2021年 10月接待四川旅游学院来校洽谈合作餐费0.08万元；9、 2021年10月接待会理现代职业技术学校共研专业建设餐费0.12万元。</w:t>
      </w:r>
    </w:p>
    <w:p>
      <w:pPr>
        <w:spacing w:line="600" w:lineRule="exact"/>
        <w:ind w:firstLine="640" w:firstLineChars="200"/>
        <w:rPr>
          <w:rFonts w:ascii="黑体" w:eastAsia="黑体"/>
          <w:sz w:val="32"/>
          <w:szCs w:val="32"/>
        </w:rPr>
      </w:pPr>
      <w:r>
        <w:rPr>
          <w:rFonts w:hint="eastAsia" w:ascii="仿宋" w:hAnsi="仿宋" w:eastAsia="仿宋"/>
          <w:bCs/>
          <w:sz w:val="32"/>
          <w:szCs w:val="32"/>
        </w:rPr>
        <w:t>外事接待支出0</w:t>
      </w:r>
      <w:r>
        <w:rPr>
          <w:rFonts w:hint="eastAsia" w:ascii="仿宋_GB2312" w:eastAsia="仿宋_GB2312"/>
          <w:bCs/>
          <w:sz w:val="32"/>
          <w:szCs w:val="32"/>
        </w:rPr>
        <w:t>万</w:t>
      </w:r>
      <w:r>
        <w:rPr>
          <w:rFonts w:hint="eastAsia" w:ascii="仿宋_GB2312" w:eastAsia="仿宋_GB2312"/>
          <w:sz w:val="32"/>
          <w:szCs w:val="32"/>
        </w:rPr>
        <w:t>元，外事接待0批次，0人，共计支出0万元。</w:t>
      </w:r>
      <w:bookmarkStart w:id="40" w:name="_Toc15396610"/>
      <w:bookmarkStart w:id="41" w:name="_Toc15377218"/>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4"/>
        </w:numPr>
        <w:spacing w:line="600" w:lineRule="exact"/>
        <w:ind w:firstLine="640"/>
        <w:outlineLvl w:val="1"/>
        <w:rPr>
          <w:rStyle w:val="26"/>
          <w:rFonts w:ascii="黑体" w:hAnsi="黑体" w:eastAsia="黑体"/>
          <w:b w:val="0"/>
        </w:rPr>
      </w:pPr>
      <w:bookmarkStart w:id="42" w:name="_Toc15377219"/>
      <w:bookmarkStart w:id="43" w:name="_Toc15396611"/>
      <w:r>
        <w:rPr>
          <w:rStyle w:val="26"/>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4"/>
        </w:numPr>
        <w:spacing w:line="600" w:lineRule="exact"/>
        <w:ind w:firstLine="640"/>
        <w:outlineLvl w:val="1"/>
        <w:rPr>
          <w:rStyle w:val="26"/>
          <w:rFonts w:ascii="黑体" w:hAnsi="黑体" w:eastAsia="黑体"/>
          <w:b w:val="0"/>
        </w:rPr>
      </w:pPr>
      <w:bookmarkStart w:id="44" w:name="_Toc15377221"/>
      <w:bookmarkStart w:id="45" w:name="_Toc15396612"/>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攀枝花市经贸旅游学校</w:t>
      </w:r>
      <w:r>
        <w:rPr>
          <w:rFonts w:hint="eastAsia" w:ascii="仿宋_GB2312" w:eastAsia="仿宋_GB2312"/>
          <w:sz w:val="32"/>
          <w:szCs w:val="32"/>
        </w:rPr>
        <w:t>机关运行经费支出0万元，比</w:t>
      </w:r>
      <w:r>
        <w:rPr>
          <w:rFonts w:ascii="仿宋_GB2312" w:eastAsia="仿宋_GB2312"/>
          <w:sz w:val="32"/>
          <w:szCs w:val="32"/>
        </w:rPr>
        <w:t>20</w:t>
      </w:r>
      <w:r>
        <w:rPr>
          <w:rFonts w:hint="eastAsia" w:ascii="仿宋_GB2312" w:eastAsia="仿宋_GB2312"/>
          <w:sz w:val="32"/>
          <w:szCs w:val="32"/>
        </w:rPr>
        <w:t>20年增加0万元，增长0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攀枝花市经贸旅游学校</w:t>
      </w:r>
      <w:r>
        <w:rPr>
          <w:rFonts w:hint="eastAsia" w:ascii="仿宋_GB2312" w:eastAsia="仿宋_GB2312"/>
          <w:sz w:val="32"/>
          <w:szCs w:val="32"/>
        </w:rPr>
        <w:t>政府采购支出总额189.28万元，其中：政府采购货物支出189.28万元、政府采购工程支出0万元、政府采购服务支出0万元。主要用于旅游等专业VR综合实训中心项目。授予中小企业合同金额189.28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，其中：授予小微企业合同金额189.28万元，占政府采购支出总额的100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攀枝花市经贸旅游学校</w:t>
      </w:r>
      <w:r>
        <w:rPr>
          <w:rFonts w:hint="eastAsia" w:ascii="仿宋_GB2312" w:eastAsia="仿宋_GB2312"/>
          <w:sz w:val="32"/>
          <w:szCs w:val="32"/>
        </w:rPr>
        <w:t>共有车辆3辆，其中：主要领导干部用车0辆、机要通信用车0辆、应急保障用车0辆、其他用车3辆。其他用车主要是用于教学管理、接送藏区学生等。单价</w:t>
      </w:r>
      <w:r>
        <w:rPr>
          <w:rFonts w:ascii="仿宋_GB2312" w:eastAsia="仿宋_GB2312"/>
          <w:sz w:val="32"/>
          <w:szCs w:val="32"/>
        </w:rPr>
        <w:t>50</w:t>
      </w:r>
      <w:r>
        <w:rPr>
          <w:rFonts w:hint="eastAsia" w:ascii="仿宋_GB2312" w:eastAsia="仿宋_GB2312"/>
          <w:sz w:val="32"/>
          <w:szCs w:val="32"/>
        </w:rPr>
        <w:t>万元以上通用设备2台（套），单价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国家助学金、奖学金项目（项目名称）等3个项目开展了预算事前绩效评估，对3个项目编制了绩效目标，预算执行过程中，选取3个项目开展绩效监控，年终执行完毕后，对3个项目开展了绩效自评，2021年特定目标类部门预算项目绩效目标自评表见附件（第四部分）。</w:t>
      </w: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5"/>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ascii="仿宋_GB2312" w:hAnsi="Calibri" w:eastAsia="仿宋_GB2312" w:cs="仿宋"/>
          <w:kern w:val="0"/>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hAnsi="Calibri" w:eastAsia="仿宋_GB2312" w:cs="仿宋"/>
          <w:kern w:val="0"/>
          <w:sz w:val="32"/>
          <w:szCs w:val="32"/>
        </w:rPr>
        <w:t>教育支出（类）职业教育（款）中等职业教育（项）反映各部门（不含人力资源和社会保障部门）举办的中等职业教育支出。政府各部门对社会组织举办的中等职业学校的资助，如捐赠、补贴等，也在本科目反映。</w:t>
      </w:r>
    </w:p>
    <w:p>
      <w:pPr>
        <w:pStyle w:val="2"/>
        <w:spacing w:before="93"/>
        <w:ind w:firstLine="640" w:firstLineChars="200"/>
        <w:rPr>
          <w:sz w:val="32"/>
          <w:szCs w:val="32"/>
        </w:rPr>
      </w:pPr>
      <w:r>
        <w:rPr>
          <w:rFonts w:hint="eastAsia"/>
          <w:sz w:val="32"/>
          <w:szCs w:val="32"/>
        </w:rPr>
        <w:t>6</w:t>
      </w:r>
      <w:r>
        <w:rPr>
          <w:sz w:val="32"/>
          <w:szCs w:val="32"/>
        </w:rPr>
        <w:t>.</w:t>
      </w:r>
      <w:r>
        <w:rPr>
          <w:rFonts w:hint="eastAsia"/>
          <w:sz w:val="32"/>
          <w:szCs w:val="32"/>
        </w:rPr>
        <w:t>教育支出（类）教育费附加安排的支出（款）其他教育费附加安排的支出（项）：反映除农村中小学校舍建设、农村中小学教学设施、城市中小学校舍建设、城市中小学教学设施、中等职业学校教学设施以外的教育费附加支出。</w:t>
      </w:r>
    </w:p>
    <w:p>
      <w:pPr>
        <w:pStyle w:val="2"/>
        <w:spacing w:before="93"/>
        <w:ind w:firstLine="640" w:firstLineChars="200"/>
        <w:rPr>
          <w:sz w:val="32"/>
          <w:szCs w:val="32"/>
        </w:rPr>
      </w:pPr>
      <w:r>
        <w:rPr>
          <w:rFonts w:hint="eastAsia"/>
          <w:sz w:val="32"/>
          <w:szCs w:val="32"/>
        </w:rPr>
        <w:t>7.</w:t>
      </w:r>
      <w:r>
        <w:rPr>
          <w:rFonts w:hint="eastAsia" w:hAnsi="Calibri" w:cs="仿宋"/>
          <w:sz w:val="32"/>
          <w:szCs w:val="32"/>
        </w:rPr>
        <w:t>社会保障和就业支出（类）人力资源和社会保障管理事务（款） 其他人力资源和社会保障管理事务支出（项）：</w:t>
      </w:r>
      <w:r>
        <w:rPr>
          <w:rFonts w:hint="eastAsia"/>
          <w:sz w:val="32"/>
          <w:szCs w:val="32"/>
        </w:rPr>
        <w:t>指反映除上述项目以外其他用于人力资源和社会保障管理事务方面的支出。</w:t>
      </w:r>
    </w:p>
    <w:p>
      <w:pPr>
        <w:ind w:firstLine="640" w:firstLineChars="200"/>
        <w:rPr>
          <w:rFonts w:ascii="仿宋_GB2312" w:hAnsi="Calibri" w:eastAsia="仿宋_GB2312" w:cs="仿宋"/>
          <w:kern w:val="0"/>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hAnsi="Calibri" w:eastAsia="仿宋_GB2312" w:cs="仿宋"/>
          <w:kern w:val="0"/>
          <w:sz w:val="32"/>
          <w:szCs w:val="32"/>
        </w:rPr>
        <w:t>社会保障和就业支出（类）行政事业单位养老支出（款）机关事业单位基本养老保险缴费支出(项)：指机关事业单位用于实施养老保险制度由单位缴纳基本养老保险缴费支出。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社会保障和就业支出（类）抚恤（款</w:t>
      </w:r>
      <w:r>
        <w:rPr>
          <w:rFonts w:ascii="仿宋_GB2312" w:eastAsia="仿宋_GB2312"/>
          <w:sz w:val="32"/>
          <w:szCs w:val="32"/>
        </w:rPr>
        <w:t>）</w:t>
      </w:r>
      <w:r>
        <w:rPr>
          <w:rFonts w:hint="eastAsia" w:ascii="仿宋_GB2312" w:eastAsia="仿宋_GB2312"/>
          <w:sz w:val="32"/>
          <w:szCs w:val="32"/>
        </w:rPr>
        <w:t>死亡抚恤(项)：反映按规定用于烈士和牺牲、病故人员家属一次性和定期抚恤金以及丧葬补助费以及烈士褒扬金。</w:t>
      </w:r>
    </w:p>
    <w:p>
      <w:pPr>
        <w:pStyle w:val="23"/>
        <w:spacing w:line="560" w:lineRule="exact"/>
        <w:ind w:firstLine="640" w:firstLineChars="200"/>
        <w:rPr>
          <w:color w:val="auto"/>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城乡社区支出（类）城乡社区公共设施（款</w:t>
      </w:r>
      <w:r>
        <w:rPr>
          <w:rFonts w:ascii="仿宋_GB2312" w:eastAsia="仿宋_GB2312"/>
          <w:color w:val="auto"/>
          <w:sz w:val="32"/>
          <w:szCs w:val="32"/>
        </w:rPr>
        <w:t>）</w:t>
      </w:r>
      <w:r>
        <w:rPr>
          <w:rFonts w:hint="eastAsia" w:ascii="仿宋_GB2312" w:eastAsia="仿宋_GB2312"/>
          <w:color w:val="auto"/>
          <w:sz w:val="32"/>
          <w:szCs w:val="32"/>
        </w:rPr>
        <w:t xml:space="preserve">其他城乡社区公共设施支出(项)：反映除城乡社区道路、桥涵、燃气、供暖、公共交通（含轮渡、轻轨、地铁）、道路照明等公共设施项目以外其他用于城乡社区公共设施方面的支出。 </w:t>
      </w:r>
    </w:p>
    <w:p>
      <w:pPr>
        <w:spacing w:line="600" w:lineRule="exact"/>
        <w:ind w:firstLine="640" w:firstLineChars="200"/>
        <w:rPr>
          <w:rFonts w:ascii="仿宋_GB2312" w:hAnsi="Calibri" w:eastAsia="仿宋_GB2312" w:cs="仿宋"/>
          <w:kern w:val="0"/>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rPr>
        <w:t xml:space="preserve"> </w:t>
      </w:r>
      <w:r>
        <w:rPr>
          <w:rFonts w:hint="eastAsia" w:ascii="仿宋_GB2312" w:hAnsi="Calibri" w:eastAsia="仿宋_GB2312" w:cs="仿宋"/>
          <w:kern w:val="0"/>
          <w:sz w:val="32"/>
          <w:szCs w:val="32"/>
        </w:rPr>
        <w:t>住房保障支出（类）住房改革支出（款）住房公积金 (项)：反映行政事业单位按人力资源和社会保障部、财政部规定的基本工资和津贴补贴以及规定比例为职工缴纳的住房公积金。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13.项目支出：指在基本支出之外为完成特定行政任务和事业发展目标所发生的支出。</w:t>
      </w:r>
      <w:r>
        <w:rPr>
          <w:rFonts w:ascii="仿宋_GB2312" w:eastAsia="仿宋_GB2312"/>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5"/>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2"/>
        <w:tblpPr w:leftFromText="180" w:rightFromText="180" w:vertAnchor="text" w:horzAnchor="page" w:tblpX="1281" w:tblpY="660"/>
        <w:tblOverlap w:val="never"/>
        <w:tblW w:w="10047" w:type="dxa"/>
        <w:tblInd w:w="0" w:type="dxa"/>
        <w:tblLayout w:type="fixed"/>
        <w:tblCellMar>
          <w:top w:w="0" w:type="dxa"/>
          <w:left w:w="108" w:type="dxa"/>
          <w:bottom w:w="0" w:type="dxa"/>
          <w:right w:w="108" w:type="dxa"/>
        </w:tblCellMar>
      </w:tblPr>
      <w:tblGrid>
        <w:gridCol w:w="1294"/>
        <w:gridCol w:w="547"/>
        <w:gridCol w:w="683"/>
        <w:gridCol w:w="1079"/>
        <w:gridCol w:w="1151"/>
        <w:gridCol w:w="38"/>
        <w:gridCol w:w="468"/>
        <w:gridCol w:w="683"/>
        <w:gridCol w:w="1688"/>
        <w:gridCol w:w="84"/>
        <w:gridCol w:w="2090"/>
        <w:gridCol w:w="6"/>
        <w:gridCol w:w="236"/>
      </w:tblGrid>
      <w:tr>
        <w:tblPrEx>
          <w:tblCellMar>
            <w:top w:w="0" w:type="dxa"/>
            <w:left w:w="108" w:type="dxa"/>
            <w:bottom w:w="0" w:type="dxa"/>
            <w:right w:w="108" w:type="dxa"/>
          </w:tblCellMar>
        </w:tblPrEx>
        <w:trPr>
          <w:trHeight w:val="675" w:hRule="atLeast"/>
        </w:trPr>
        <w:tc>
          <w:tcPr>
            <w:tcW w:w="9811" w:type="dxa"/>
            <w:gridSpan w:val="12"/>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53" w:name="_Toc15396618"/>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项目名称</w:t>
            </w:r>
          </w:p>
        </w:tc>
        <w:tc>
          <w:tcPr>
            <w:tcW w:w="34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2021年现代职业教育质量提升计划用于中职学校改善办学条件</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仿宋_GB2312" w:eastAsia="仿宋_GB2312"/>
                <w:color w:val="000000"/>
                <w:sz w:val="32"/>
                <w:szCs w:val="32"/>
              </w:rPr>
              <w:t>攀枝花市经贸旅游学校</w:t>
            </w:r>
          </w:p>
        </w:tc>
      </w:tr>
      <w:tr>
        <w:tblPrEx>
          <w:tblCellMar>
            <w:top w:w="0" w:type="dxa"/>
            <w:left w:w="108" w:type="dxa"/>
            <w:bottom w:w="0" w:type="dxa"/>
            <w:right w:w="108" w:type="dxa"/>
          </w:tblCellMar>
        </w:tblPrEx>
        <w:trPr>
          <w:gridAfter w:val="1"/>
          <w:wAfter w:w="236" w:type="dxa"/>
          <w:trHeight w:val="341" w:hRule="atLeast"/>
        </w:trPr>
        <w:tc>
          <w:tcPr>
            <w:tcW w:w="25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项目预算</w:t>
            </w:r>
          </w:p>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（万元）</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810</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810</w:t>
            </w:r>
          </w:p>
        </w:tc>
      </w:tr>
      <w:tr>
        <w:tblPrEx>
          <w:tblCellMar>
            <w:top w:w="0" w:type="dxa"/>
            <w:left w:w="108" w:type="dxa"/>
            <w:bottom w:w="0" w:type="dxa"/>
            <w:right w:w="108" w:type="dxa"/>
          </w:tblCellMar>
        </w:tblPrEx>
        <w:trPr>
          <w:gridAfter w:val="1"/>
          <w:wAfter w:w="236" w:type="dxa"/>
          <w:trHeight w:val="555" w:hRule="atLeast"/>
        </w:trPr>
        <w:tc>
          <w:tcPr>
            <w:tcW w:w="25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810</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810</w:t>
            </w:r>
          </w:p>
        </w:tc>
      </w:tr>
      <w:tr>
        <w:tblPrEx>
          <w:tblCellMar>
            <w:top w:w="0" w:type="dxa"/>
            <w:left w:w="108" w:type="dxa"/>
            <w:bottom w:w="0" w:type="dxa"/>
            <w:right w:w="108" w:type="dxa"/>
          </w:tblCellMar>
        </w:tblPrEx>
        <w:trPr>
          <w:gridAfter w:val="1"/>
          <w:wAfter w:w="236" w:type="dxa"/>
          <w:trHeight w:val="341" w:hRule="atLeast"/>
        </w:trPr>
        <w:tc>
          <w:tcPr>
            <w:tcW w:w="25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2"/>
          <w:wAfter w:w="242" w:type="dxa"/>
          <w:trHeight w:val="217"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4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2"/>
          <w:wAfter w:w="242" w:type="dxa"/>
          <w:trHeight w:val="797"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仿宋_GB2312" w:hAnsi="宋体" w:eastAsia="仿宋_GB2312"/>
                <w:sz w:val="24"/>
              </w:rPr>
              <w:t>专业课程教学现在多以理论教学为主，学生缺少实训操作机会，优化现有专业技能课的课程内容，采购与理论课程配套的校内实训操作软件，实行专业课“理论学习+实训操作”的教学模式，提升学生实操水平。</w:t>
            </w:r>
          </w:p>
        </w:tc>
        <w:tc>
          <w:tcPr>
            <w:tcW w:w="4545"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宋体" w:eastAsia="仿宋_GB2312"/>
                <w:sz w:val="24"/>
              </w:rPr>
            </w:pPr>
            <w:r>
              <w:rPr>
                <w:rFonts w:hint="eastAsia" w:ascii="仿宋_GB2312" w:hAnsi="宋体" w:eastAsia="仿宋_GB2312"/>
                <w:sz w:val="24"/>
              </w:rPr>
              <w:t>2021年现代职业教育质量提升计划资金用于改善办学条件810万元已全部完成并完成支付。其中艺术大楼装修项目已完工并投入使用；江北校区C楼宿舍装修项目已完工并投入使用；江南校区二教楼厕所改造装修项目已完工并投入使用；江南校区女生宿舍楼外墙外补和厕所防水项目已完工并投入使用；江北校区博艺楼进一步修缮项目已完工并投入使用；江北校区博艺楼周边修缮项目已完工并投入使用；江北校区新建教学楼周边绿化项目已完工并投入使用；江北校区原运动场（篮球场）修缮项目已完工并投入使用；江南校区男生宿舍接冷热水管道改造项目已完工并投入使用；江南校区实训楼翻新修缮项目已完工并投入使用；江北校区博训楼五楼舞蹈实训室装修项目已完工并投入使用；江南校区校舍楼顶防水项目已完工并投入使用；男生太阳能设备拆除及局部防水修缮项目已完工并投入使用；江北校区和江南校区绿化工程已完工并验收。</w:t>
            </w:r>
          </w:p>
        </w:tc>
      </w:tr>
      <w:tr>
        <w:tblPrEx>
          <w:tblCellMar>
            <w:top w:w="0" w:type="dxa"/>
            <w:left w:w="108" w:type="dxa"/>
            <w:bottom w:w="0" w:type="dxa"/>
            <w:right w:w="108" w:type="dxa"/>
          </w:tblCellMar>
        </w:tblPrEx>
        <w:trPr>
          <w:gridAfter w:val="1"/>
          <w:wAfter w:w="236" w:type="dxa"/>
          <w:trHeight w:val="693" w:hRule="atLeast"/>
        </w:trPr>
        <w:tc>
          <w:tcPr>
            <w:tcW w:w="12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547"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gridAfter w:val="1"/>
          <w:wAfter w:w="236" w:type="dxa"/>
          <w:trHeight w:val="415"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修缮完成指标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教学场地建设</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完成江北校区艺术大楼、博艺楼改造、运动场修缮等工程。</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6" w:type="dxa"/>
          <w:trHeight w:val="415"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维修完成指标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学生宿舍场地维修</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江北校区C楼宿舍装修、降班校区二教学楼厕所改造、女生宿舍楼维修、宿舍太阳能设备拆除等工程。</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6" w:type="dxa"/>
          <w:trHeight w:val="415"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时效指标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完成指标</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不影响正常教学任务</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gridAfter w:val="1"/>
          <w:wAfter w:w="236" w:type="dxa"/>
          <w:trHeight w:val="480"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社会效益指标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提高学校教育教学质量</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仿宋_GB2312" w:hAnsi="仿宋_GB2312" w:eastAsia="仿宋_GB2312" w:cs="仿宋_GB2312"/>
                <w:sz w:val="28"/>
                <w:szCs w:val="28"/>
              </w:rPr>
            </w:pPr>
            <w:r>
              <w:rPr>
                <w:rFonts w:hint="eastAsia" w:ascii="仿宋_GB2312" w:eastAsia="仿宋_GB2312" w:cs="宋体"/>
                <w:color w:val="000000"/>
                <w:sz w:val="24"/>
              </w:rPr>
              <w:t>支持多个专业强化建设；支持2门课程资源建设；支持20人以上的教师培养:专业建设完成率大于90%;购置教学仪器设施设的质量达标率达到100%;提升学校信息化建水平自质量达标100%。</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部分达成预期指标并具有一定效果</w:t>
            </w:r>
          </w:p>
        </w:tc>
      </w:tr>
      <w:tr>
        <w:tblPrEx>
          <w:tblCellMar>
            <w:top w:w="0" w:type="dxa"/>
            <w:left w:w="108" w:type="dxa"/>
            <w:bottom w:w="0" w:type="dxa"/>
            <w:right w:w="108" w:type="dxa"/>
          </w:tblCellMar>
        </w:tblPrEx>
        <w:trPr>
          <w:gridAfter w:val="1"/>
          <w:wAfter w:w="236" w:type="dxa"/>
          <w:trHeight w:val="480"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社会效益指标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提高人口素质</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进一步提升高职业教育学生的创造和就业能力，在稳步提升就业率的同时切实提高学生的就业质量，不断满足广大考生的就业愿望和经济社会中对高、中、初级人才的需求</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部分达成预期指标并具有一定效果</w:t>
            </w:r>
          </w:p>
        </w:tc>
      </w:tr>
      <w:tr>
        <w:tblPrEx>
          <w:tblCellMar>
            <w:top w:w="0" w:type="dxa"/>
            <w:left w:w="108" w:type="dxa"/>
            <w:bottom w:w="0" w:type="dxa"/>
            <w:right w:w="108" w:type="dxa"/>
          </w:tblCellMar>
        </w:tblPrEx>
        <w:trPr>
          <w:gridAfter w:val="1"/>
          <w:wAfter w:w="236" w:type="dxa"/>
          <w:trHeight w:val="577"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经济效益指标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服务当地经济</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为社会经济发展，提供技术技能型人才1000人;为当地产业发展和两城经济建设提供技术技能型人才500人以上;为当地产业发展提供人员培训100人以上。</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部分达成预期指标并具有一定效果</w:t>
            </w:r>
          </w:p>
        </w:tc>
      </w:tr>
      <w:tr>
        <w:tblPrEx>
          <w:tblCellMar>
            <w:top w:w="0" w:type="dxa"/>
            <w:left w:w="108" w:type="dxa"/>
            <w:bottom w:w="0" w:type="dxa"/>
            <w:right w:w="108" w:type="dxa"/>
          </w:tblCellMar>
        </w:tblPrEx>
        <w:trPr>
          <w:gridAfter w:val="1"/>
          <w:wAfter w:w="236" w:type="dxa"/>
          <w:trHeight w:val="90"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度指标</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教职工满意度</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≥96%</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部分达成预期指标并具有一定效果</w:t>
            </w:r>
          </w:p>
        </w:tc>
      </w:tr>
      <w:tr>
        <w:tblPrEx>
          <w:tblCellMar>
            <w:top w:w="0" w:type="dxa"/>
            <w:left w:w="108" w:type="dxa"/>
            <w:bottom w:w="0" w:type="dxa"/>
            <w:right w:w="108" w:type="dxa"/>
          </w:tblCellMar>
        </w:tblPrEx>
        <w:trPr>
          <w:gridAfter w:val="1"/>
          <w:wAfter w:w="236" w:type="dxa"/>
          <w:trHeight w:val="530"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学生满意度</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≥95%</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部分达成预期指标并具有一定效果</w:t>
            </w:r>
          </w:p>
        </w:tc>
      </w:tr>
      <w:tr>
        <w:tblPrEx>
          <w:tblCellMar>
            <w:top w:w="0" w:type="dxa"/>
            <w:left w:w="108" w:type="dxa"/>
            <w:bottom w:w="0" w:type="dxa"/>
            <w:right w:w="108" w:type="dxa"/>
          </w:tblCellMar>
        </w:tblPrEx>
        <w:trPr>
          <w:gridAfter w:val="1"/>
          <w:wAfter w:w="236" w:type="dxa"/>
          <w:trHeight w:val="530"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left w:val="single" w:color="000000" w:sz="4" w:space="0"/>
              <w:bottom w:val="nil"/>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学生家长满意度</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≥90%</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部分达成预期指标并具有一定效果</w:t>
            </w:r>
          </w:p>
        </w:tc>
      </w:tr>
      <w:tr>
        <w:tblPrEx>
          <w:tblCellMar>
            <w:top w:w="0" w:type="dxa"/>
            <w:left w:w="108" w:type="dxa"/>
            <w:bottom w:w="0" w:type="dxa"/>
            <w:right w:w="108" w:type="dxa"/>
          </w:tblCellMar>
        </w:tblPrEx>
        <w:trPr>
          <w:gridAfter w:val="1"/>
          <w:wAfter w:w="236" w:type="dxa"/>
          <w:trHeight w:val="530" w:hRule="atLeast"/>
        </w:trPr>
        <w:tc>
          <w:tcPr>
            <w:tcW w:w="1294" w:type="dxa"/>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社会满意度</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≥85%</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部分达成预期指标并具有一定效果</w:t>
            </w:r>
          </w:p>
        </w:tc>
      </w:tr>
    </w:tbl>
    <w:p>
      <w:pPr>
        <w:spacing w:line="600" w:lineRule="exact"/>
        <w:jc w:val="center"/>
        <w:outlineLvl w:val="0"/>
        <w:rPr>
          <w:rFonts w:ascii="黑体" w:hAnsi="黑体" w:eastAsia="黑体"/>
          <w:sz w:val="44"/>
          <w:szCs w:val="44"/>
        </w:rPr>
      </w:pPr>
    </w:p>
    <w:p>
      <w:pPr>
        <w:rPr>
          <w:rFonts w:ascii="黑体" w:hAnsi="黑体" w:eastAsia="黑体"/>
          <w:sz w:val="44"/>
          <w:szCs w:val="44"/>
        </w:rPr>
      </w:pPr>
      <w:r>
        <w:rPr>
          <w:rFonts w:hint="eastAsia" w:ascii="黑体" w:hAnsi="黑体" w:eastAsia="黑体"/>
          <w:sz w:val="44"/>
          <w:szCs w:val="44"/>
        </w:rPr>
        <w:br w:type="page"/>
      </w:r>
    </w:p>
    <w:tbl>
      <w:tblPr>
        <w:tblStyle w:val="12"/>
        <w:tblpPr w:leftFromText="180" w:rightFromText="180" w:vertAnchor="text" w:horzAnchor="page" w:tblpX="1281" w:tblpY="660"/>
        <w:tblOverlap w:val="never"/>
        <w:tblW w:w="10404" w:type="dxa"/>
        <w:tblInd w:w="0" w:type="dxa"/>
        <w:tblLayout w:type="fixed"/>
        <w:tblCellMar>
          <w:top w:w="0" w:type="dxa"/>
          <w:left w:w="108" w:type="dxa"/>
          <w:bottom w:w="0" w:type="dxa"/>
          <w:right w:w="108" w:type="dxa"/>
        </w:tblCellMar>
      </w:tblPr>
      <w:tblGrid>
        <w:gridCol w:w="1294"/>
        <w:gridCol w:w="547"/>
        <w:gridCol w:w="683"/>
        <w:gridCol w:w="1079"/>
        <w:gridCol w:w="1151"/>
        <w:gridCol w:w="38"/>
        <w:gridCol w:w="468"/>
        <w:gridCol w:w="683"/>
        <w:gridCol w:w="1688"/>
        <w:gridCol w:w="84"/>
        <w:gridCol w:w="1862"/>
        <w:gridCol w:w="228"/>
        <w:gridCol w:w="6"/>
        <w:gridCol w:w="593"/>
      </w:tblGrid>
      <w:tr>
        <w:tblPrEx>
          <w:tblCellMar>
            <w:top w:w="0" w:type="dxa"/>
            <w:left w:w="108" w:type="dxa"/>
            <w:bottom w:w="0" w:type="dxa"/>
            <w:right w:w="108" w:type="dxa"/>
          </w:tblCellMar>
        </w:tblPrEx>
        <w:trPr>
          <w:gridAfter w:val="1"/>
          <w:wAfter w:w="593" w:type="dxa"/>
          <w:trHeight w:val="675" w:hRule="atLeast"/>
        </w:trPr>
        <w:tc>
          <w:tcPr>
            <w:tcW w:w="9577" w:type="dxa"/>
            <w:gridSpan w:val="11"/>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4"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3"/>
          <w:wAfter w:w="827" w:type="dxa"/>
          <w:trHeight w:val="254" w:hRule="atLeast"/>
        </w:trPr>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项目名称</w:t>
            </w:r>
          </w:p>
        </w:tc>
        <w:tc>
          <w:tcPr>
            <w:tcW w:w="34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国家助学金</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攀枝花市经贸旅游学校</w:t>
            </w:r>
          </w:p>
        </w:tc>
      </w:tr>
      <w:tr>
        <w:tblPrEx>
          <w:tblCellMar>
            <w:top w:w="0" w:type="dxa"/>
            <w:left w:w="108" w:type="dxa"/>
            <w:bottom w:w="0" w:type="dxa"/>
            <w:right w:w="108" w:type="dxa"/>
          </w:tblCellMar>
        </w:tblPrEx>
        <w:trPr>
          <w:gridAfter w:val="3"/>
          <w:wAfter w:w="827" w:type="dxa"/>
          <w:trHeight w:val="341" w:hRule="atLeast"/>
        </w:trPr>
        <w:tc>
          <w:tcPr>
            <w:tcW w:w="25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项目预算</w:t>
            </w:r>
          </w:p>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（万元）</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393.4</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393.4</w:t>
            </w:r>
          </w:p>
        </w:tc>
      </w:tr>
      <w:tr>
        <w:tblPrEx>
          <w:tblCellMar>
            <w:top w:w="0" w:type="dxa"/>
            <w:left w:w="108" w:type="dxa"/>
            <w:bottom w:w="0" w:type="dxa"/>
            <w:right w:w="108" w:type="dxa"/>
          </w:tblCellMar>
        </w:tblPrEx>
        <w:trPr>
          <w:gridAfter w:val="3"/>
          <w:wAfter w:w="827" w:type="dxa"/>
          <w:trHeight w:val="555" w:hRule="atLeast"/>
        </w:trPr>
        <w:tc>
          <w:tcPr>
            <w:tcW w:w="25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393.4</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393.4</w:t>
            </w:r>
          </w:p>
        </w:tc>
      </w:tr>
      <w:tr>
        <w:tblPrEx>
          <w:tblCellMar>
            <w:top w:w="0" w:type="dxa"/>
            <w:left w:w="108" w:type="dxa"/>
            <w:bottom w:w="0" w:type="dxa"/>
            <w:right w:w="108" w:type="dxa"/>
          </w:tblCellMar>
        </w:tblPrEx>
        <w:trPr>
          <w:gridAfter w:val="3"/>
          <w:wAfter w:w="827" w:type="dxa"/>
          <w:trHeight w:val="341" w:hRule="atLeast"/>
        </w:trPr>
        <w:tc>
          <w:tcPr>
            <w:tcW w:w="25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2"/>
          <w:wAfter w:w="599" w:type="dxa"/>
          <w:trHeight w:val="217"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4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2"/>
          <w:wAfter w:w="599" w:type="dxa"/>
          <w:trHeight w:val="797"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仿宋_GB2312" w:hAnsi="宋体" w:eastAsia="仿宋_GB2312"/>
                <w:sz w:val="24"/>
              </w:rPr>
              <w:t>我校实施“中等职业教育国家助学金”政策，可以使在校就读的符合国家助学金享受条件学生享受到了中职国家助学金的教育资助，每生每年在享受免学费基础上人均可获得2000元的助学金，再一次较大程度减轻学生家庭经济负担，特别是对家庭经济困难户学生上学提供了更坚实的经济帮助，让这部分学生学习、生活更加有保障，更能安心学习，不会因经济原因而辍学或失学。从长远来看，实施“中等职业教育国家助学金”政策还为国家脱贫攻坚工程起到积极作用，为早日建成小康社会助力。有利于稳定生源，还能让享受国家助学金的学生及家长更加感激党和政府的关怀，感受到社会主义大家的温暖。</w:t>
            </w:r>
          </w:p>
        </w:tc>
        <w:tc>
          <w:tcPr>
            <w:tcW w:w="4545"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宋体" w:eastAsia="仿宋_GB2312"/>
                <w:sz w:val="24"/>
              </w:rPr>
            </w:pPr>
            <w:r>
              <w:rPr>
                <w:rFonts w:hint="eastAsia" w:ascii="仿宋_GB2312" w:eastAsia="仿宋_GB2312" w:cs="宋体"/>
                <w:color w:val="000000"/>
                <w:sz w:val="24"/>
              </w:rPr>
              <w:t>学校资助工作制度健全，并严格执行。我校收集有中央、省市国家助学金文件资料，学校制定有《学生国家助学金管理办法》《家庭经济困难学生认定工作实施细则》（试行）《国家助学金分档发放办法》等文件。学校建立有动态管理机制，如果有领导和工作人员变动，都会及时调整领导小组，以保证组织领导工作的连续性。每年按要求开展国家助学金评议、评审工作，坚持“公正、公开、透明”原则完成国家助学的申请、审核、发放等工作，还要接受市学生资助管理中心的检查与监督，国家助金工作规范有序，具有可持续性。</w:t>
            </w:r>
          </w:p>
        </w:tc>
      </w:tr>
      <w:tr>
        <w:tblPrEx>
          <w:tblCellMar>
            <w:top w:w="0" w:type="dxa"/>
            <w:left w:w="108" w:type="dxa"/>
            <w:bottom w:w="0" w:type="dxa"/>
            <w:right w:w="108" w:type="dxa"/>
          </w:tblCellMar>
        </w:tblPrEx>
        <w:trPr>
          <w:trHeight w:val="693" w:hRule="atLeast"/>
        </w:trPr>
        <w:tc>
          <w:tcPr>
            <w:tcW w:w="12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547"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7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trHeight w:val="415"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数量指标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认定应享受中等职业教育国家助学金人</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2000人</w:t>
            </w:r>
          </w:p>
        </w:tc>
        <w:tc>
          <w:tcPr>
            <w:tcW w:w="277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政策范围内的学生进行100%认定</w:t>
            </w:r>
          </w:p>
        </w:tc>
      </w:tr>
      <w:tr>
        <w:tblPrEx>
          <w:tblCellMar>
            <w:top w:w="0" w:type="dxa"/>
            <w:left w:w="108" w:type="dxa"/>
            <w:bottom w:w="0" w:type="dxa"/>
            <w:right w:w="108" w:type="dxa"/>
          </w:tblCellMar>
        </w:tblPrEx>
        <w:trPr>
          <w:trHeight w:val="415"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数量指标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建档立卡贫困家庭户学生享受补助人数</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150人</w:t>
            </w:r>
          </w:p>
        </w:tc>
        <w:tc>
          <w:tcPr>
            <w:tcW w:w="277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政策范围内的学生进行100%认定</w:t>
            </w:r>
          </w:p>
        </w:tc>
      </w:tr>
      <w:tr>
        <w:tblPrEx>
          <w:tblCellMar>
            <w:top w:w="0" w:type="dxa"/>
            <w:left w:w="108" w:type="dxa"/>
            <w:bottom w:w="0" w:type="dxa"/>
            <w:right w:w="108" w:type="dxa"/>
          </w:tblCellMar>
        </w:tblPrEx>
        <w:trPr>
          <w:trHeight w:val="415"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质量指标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其中建档立卡贫困家庭户学生享受补助人数所占比例</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5%</w:t>
            </w:r>
          </w:p>
        </w:tc>
        <w:tc>
          <w:tcPr>
            <w:tcW w:w="27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完成</w:t>
            </w:r>
          </w:p>
        </w:tc>
      </w:tr>
      <w:tr>
        <w:tblPrEx>
          <w:tblCellMar>
            <w:top w:w="0" w:type="dxa"/>
            <w:left w:w="108" w:type="dxa"/>
            <w:bottom w:w="0" w:type="dxa"/>
            <w:right w:w="108" w:type="dxa"/>
          </w:tblCellMar>
        </w:tblPrEx>
        <w:trPr>
          <w:trHeight w:val="415"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质量指标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家庭经济困难学生认定情况</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享受1000元档180人；享受2000元档1630；享受3000元档 190人。</w:t>
            </w:r>
          </w:p>
        </w:tc>
        <w:tc>
          <w:tcPr>
            <w:tcW w:w="27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达成预期指标</w:t>
            </w:r>
          </w:p>
        </w:tc>
      </w:tr>
      <w:tr>
        <w:tblPrEx>
          <w:tblCellMar>
            <w:top w:w="0" w:type="dxa"/>
            <w:left w:w="108" w:type="dxa"/>
            <w:bottom w:w="0" w:type="dxa"/>
            <w:right w:w="108" w:type="dxa"/>
          </w:tblCellMar>
        </w:tblPrEx>
        <w:trPr>
          <w:trHeight w:val="415"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质量指标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eastAsia="仿宋_GB2312" w:cs="宋体"/>
                <w:color w:val="000000"/>
                <w:sz w:val="24"/>
              </w:rPr>
              <w:t>应享受中等职业教育国家助学金人数所占比例</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60%</w:t>
            </w:r>
          </w:p>
        </w:tc>
        <w:tc>
          <w:tcPr>
            <w:tcW w:w="277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w:t>
            </w:r>
          </w:p>
        </w:tc>
      </w:tr>
      <w:tr>
        <w:tblPrEx>
          <w:tblCellMar>
            <w:top w:w="0" w:type="dxa"/>
            <w:left w:w="108" w:type="dxa"/>
            <w:bottom w:w="0" w:type="dxa"/>
            <w:right w:w="108" w:type="dxa"/>
          </w:tblCellMar>
        </w:tblPrEx>
        <w:trPr>
          <w:trHeight w:val="480"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经济效益</w:t>
            </w:r>
          </w:p>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指标1：让享受资助的学生学习、生活有保障</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每生每年可获得1000、2000、3000元不等的收入，减轻了家庭经济负担。</w:t>
            </w:r>
          </w:p>
        </w:tc>
        <w:tc>
          <w:tcPr>
            <w:tcW w:w="27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减轻了家庭经济负担。</w:t>
            </w:r>
          </w:p>
        </w:tc>
      </w:tr>
      <w:tr>
        <w:tblPrEx>
          <w:tblCellMar>
            <w:top w:w="0" w:type="dxa"/>
            <w:left w:w="108" w:type="dxa"/>
            <w:bottom w:w="0" w:type="dxa"/>
            <w:right w:w="108" w:type="dxa"/>
          </w:tblCellMar>
        </w:tblPrEx>
        <w:trPr>
          <w:trHeight w:val="480"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社会效益</w:t>
            </w:r>
          </w:p>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指标1：减轻了中职学生，特别是建档立卡贫困家庭户学生不因贫困而辍学或失学。</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长期有效，让享受资助的家庭感受到国家的关怀，助力和谐社会的形成。</w:t>
            </w:r>
          </w:p>
        </w:tc>
        <w:tc>
          <w:tcPr>
            <w:tcW w:w="27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长期有效，让享受资助的家庭感受到国家的关怀，助力和谐社会的形成。</w:t>
            </w:r>
          </w:p>
        </w:tc>
      </w:tr>
      <w:tr>
        <w:tblPrEx>
          <w:tblCellMar>
            <w:top w:w="0" w:type="dxa"/>
            <w:left w:w="108" w:type="dxa"/>
            <w:bottom w:w="0" w:type="dxa"/>
            <w:right w:w="108" w:type="dxa"/>
          </w:tblCellMar>
        </w:tblPrEx>
        <w:trPr>
          <w:trHeight w:val="577"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可持续影响</w:t>
            </w:r>
          </w:p>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对中职学生的资助年限</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2年，一、二年级都能享受。</w:t>
            </w:r>
          </w:p>
        </w:tc>
        <w:tc>
          <w:tcPr>
            <w:tcW w:w="27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2年，一、二年级都能享受。</w:t>
            </w:r>
          </w:p>
        </w:tc>
      </w:tr>
      <w:tr>
        <w:tblPrEx>
          <w:tblCellMar>
            <w:top w:w="0" w:type="dxa"/>
            <w:left w:w="108" w:type="dxa"/>
            <w:bottom w:w="0" w:type="dxa"/>
            <w:right w:w="108" w:type="dxa"/>
          </w:tblCellMar>
        </w:tblPrEx>
        <w:trPr>
          <w:trHeight w:val="912"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度指标</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学生满意度</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≥95%</w:t>
            </w:r>
          </w:p>
        </w:tc>
        <w:tc>
          <w:tcPr>
            <w:tcW w:w="27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96%</w:t>
            </w:r>
          </w:p>
        </w:tc>
      </w:tr>
      <w:tr>
        <w:tblPrEx>
          <w:tblCellMar>
            <w:top w:w="0" w:type="dxa"/>
            <w:left w:w="108" w:type="dxa"/>
            <w:bottom w:w="0" w:type="dxa"/>
            <w:right w:w="108" w:type="dxa"/>
          </w:tblCellMar>
        </w:tblPrEx>
        <w:trPr>
          <w:trHeight w:val="894"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学生家长满意度</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≥90%</w:t>
            </w:r>
          </w:p>
        </w:tc>
        <w:tc>
          <w:tcPr>
            <w:tcW w:w="27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92%</w:t>
            </w:r>
          </w:p>
        </w:tc>
      </w:tr>
      <w:tr>
        <w:tblPrEx>
          <w:tblCellMar>
            <w:top w:w="0" w:type="dxa"/>
            <w:left w:w="108" w:type="dxa"/>
            <w:bottom w:w="0" w:type="dxa"/>
            <w:right w:w="108" w:type="dxa"/>
          </w:tblCellMar>
        </w:tblPrEx>
        <w:trPr>
          <w:trHeight w:val="1279"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left w:val="single" w:color="000000" w:sz="4" w:space="0"/>
              <w:bottom w:val="nil"/>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社会满意度</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≥85%</w:t>
            </w:r>
          </w:p>
        </w:tc>
        <w:tc>
          <w:tcPr>
            <w:tcW w:w="27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97%</w:t>
            </w:r>
          </w:p>
        </w:tc>
      </w:tr>
    </w:tbl>
    <w:p>
      <w:pPr>
        <w:pStyle w:val="2"/>
        <w:spacing w:before="93"/>
      </w:pPr>
    </w:p>
    <w:p>
      <w:pPr>
        <w:pStyle w:val="2"/>
        <w:spacing w:before="93"/>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294"/>
        <w:gridCol w:w="547"/>
        <w:gridCol w:w="683"/>
        <w:gridCol w:w="1079"/>
        <w:gridCol w:w="1151"/>
        <w:gridCol w:w="38"/>
        <w:gridCol w:w="468"/>
        <w:gridCol w:w="683"/>
        <w:gridCol w:w="1688"/>
        <w:gridCol w:w="84"/>
        <w:gridCol w:w="2090"/>
        <w:gridCol w:w="6"/>
      </w:tblGrid>
      <w:tr>
        <w:tblPrEx>
          <w:tblCellMar>
            <w:top w:w="0" w:type="dxa"/>
            <w:left w:w="108" w:type="dxa"/>
            <w:bottom w:w="0" w:type="dxa"/>
            <w:right w:w="108" w:type="dxa"/>
          </w:tblCellMar>
        </w:tblPrEx>
        <w:trPr>
          <w:trHeight w:val="675" w:hRule="atLeast"/>
        </w:trPr>
        <w:tc>
          <w:tcPr>
            <w:tcW w:w="9811" w:type="dxa"/>
            <w:gridSpan w:val="12"/>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r>
      <w:tr>
        <w:tblPrEx>
          <w:tblCellMar>
            <w:top w:w="0" w:type="dxa"/>
            <w:left w:w="108" w:type="dxa"/>
            <w:bottom w:w="0" w:type="dxa"/>
            <w:right w:w="108" w:type="dxa"/>
          </w:tblCellMar>
        </w:tblPrEx>
        <w:trPr>
          <w:trHeight w:val="254" w:hRule="atLeast"/>
        </w:trPr>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项目名称</w:t>
            </w:r>
          </w:p>
        </w:tc>
        <w:tc>
          <w:tcPr>
            <w:tcW w:w="34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rPr>
              <w:t>四川省中等职业学校示范（特色）专业建设计划地方财政配套资金</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仿宋_GB2312" w:eastAsia="仿宋_GB2312"/>
                <w:color w:val="000000"/>
                <w:sz w:val="32"/>
                <w:szCs w:val="32"/>
              </w:rPr>
              <w:t>攀枝花市经贸旅游学校</w:t>
            </w:r>
          </w:p>
        </w:tc>
      </w:tr>
      <w:tr>
        <w:tblPrEx>
          <w:tblCellMar>
            <w:top w:w="0" w:type="dxa"/>
            <w:left w:w="108" w:type="dxa"/>
            <w:bottom w:w="0" w:type="dxa"/>
            <w:right w:w="108" w:type="dxa"/>
          </w:tblCellMar>
        </w:tblPrEx>
        <w:trPr>
          <w:trHeight w:val="341" w:hRule="atLeast"/>
        </w:trPr>
        <w:tc>
          <w:tcPr>
            <w:tcW w:w="25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项目预算</w:t>
            </w:r>
          </w:p>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（万元）</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300</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执行数：</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300</w:t>
            </w:r>
          </w:p>
        </w:tc>
      </w:tr>
      <w:tr>
        <w:tblPrEx>
          <w:tblCellMar>
            <w:top w:w="0" w:type="dxa"/>
            <w:left w:w="108" w:type="dxa"/>
            <w:bottom w:w="0" w:type="dxa"/>
            <w:right w:w="108" w:type="dxa"/>
          </w:tblCellMar>
        </w:tblPrEx>
        <w:trPr>
          <w:trHeight w:val="555" w:hRule="atLeast"/>
        </w:trPr>
        <w:tc>
          <w:tcPr>
            <w:tcW w:w="25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300</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300</w:t>
            </w:r>
          </w:p>
        </w:tc>
      </w:tr>
      <w:tr>
        <w:tblPrEx>
          <w:tblCellMar>
            <w:top w:w="0" w:type="dxa"/>
            <w:left w:w="108" w:type="dxa"/>
            <w:bottom w:w="0" w:type="dxa"/>
            <w:right w:w="108" w:type="dxa"/>
          </w:tblCellMar>
        </w:tblPrEx>
        <w:trPr>
          <w:trHeight w:val="341" w:hRule="atLeast"/>
        </w:trPr>
        <w:tc>
          <w:tcPr>
            <w:tcW w:w="25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6" w:type="dxa"/>
          <w:trHeight w:val="217" w:hRule="atLeast"/>
        </w:trPr>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45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6" w:type="dxa"/>
          <w:trHeight w:val="797" w:hRule="atLeast"/>
        </w:trPr>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宋体" w:eastAsia="仿宋_GB2312"/>
                <w:sz w:val="24"/>
              </w:rPr>
            </w:pPr>
            <w:r>
              <w:rPr>
                <w:rFonts w:hint="eastAsia" w:ascii="仿宋_GB2312" w:hAnsi="宋体" w:eastAsia="仿宋_GB2312"/>
                <w:sz w:val="24"/>
              </w:rPr>
              <w:t>1. 新增实训面积1000平方米，新建烹饪专业功能实训室6间，完善实训教学功能，建成集教学实训、职业培训、技能鉴定和菜品研发为一体的多功能校内实训基地。</w:t>
            </w:r>
          </w:p>
          <w:p>
            <w:pPr>
              <w:widowControl/>
              <w:spacing w:line="320" w:lineRule="exact"/>
              <w:jc w:val="left"/>
              <w:textAlignment w:val="top"/>
              <w:rPr>
                <w:rFonts w:ascii="仿宋_GB2312" w:hAnsi="宋体" w:eastAsia="仿宋_GB2312"/>
                <w:sz w:val="24"/>
              </w:rPr>
            </w:pPr>
            <w:r>
              <w:rPr>
                <w:rFonts w:hint="eastAsia" w:ascii="仿宋_GB2312" w:hAnsi="宋体" w:eastAsia="仿宋_GB2312"/>
                <w:sz w:val="24"/>
              </w:rPr>
              <w:t>2.建设《攀西阳光康养菜制作》、《川滇风味面点制作》2门精品课程，建设信息化教学资源平台1个，通过网络实现优质教学资源远程共享。</w:t>
            </w:r>
          </w:p>
          <w:p>
            <w:pPr>
              <w:widowControl/>
              <w:spacing w:line="320" w:lineRule="exact"/>
              <w:jc w:val="left"/>
              <w:textAlignment w:val="top"/>
              <w:rPr>
                <w:rFonts w:ascii="仿宋_GB2312" w:hAnsi="宋体" w:eastAsia="仿宋_GB2312"/>
                <w:sz w:val="24"/>
              </w:rPr>
            </w:pPr>
            <w:r>
              <w:rPr>
                <w:rFonts w:hint="eastAsia" w:ascii="仿宋_GB2312" w:hAnsi="宋体" w:eastAsia="仿宋_GB2312"/>
                <w:sz w:val="24"/>
              </w:rPr>
              <w:t>3.建成一支师德高尚、业务精良、勇于创新、专兼结合的“双师型”教师队伍。“双师型”教师达100%。年开展“双师型”教师培训不少于15人次，烹饪专业教师“双师型”比例≥92.3%，技师人数≥6人。</w:t>
            </w:r>
          </w:p>
          <w:p>
            <w:pPr>
              <w:widowControl/>
              <w:spacing w:line="320" w:lineRule="exact"/>
              <w:jc w:val="left"/>
              <w:textAlignment w:val="top"/>
              <w:rPr>
                <w:rFonts w:ascii="宋体" w:hAnsi="宋体" w:cs="宋体"/>
                <w:sz w:val="24"/>
              </w:rPr>
            </w:pPr>
            <w:r>
              <w:rPr>
                <w:rFonts w:hint="eastAsia" w:ascii="仿宋_GB2312" w:hAnsi="宋体" w:eastAsia="仿宋_GB2312"/>
                <w:sz w:val="24"/>
              </w:rPr>
              <w:t>4.服务地方经济，辐射、引领相关专业建设。增加社会培训人数，提升地方餐饮业服务水平。</w:t>
            </w:r>
          </w:p>
        </w:tc>
        <w:tc>
          <w:tcPr>
            <w:tcW w:w="4545"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仿宋_GB2312" w:hAnsi="宋体" w:eastAsia="仿宋_GB2312"/>
                <w:sz w:val="24"/>
              </w:rPr>
            </w:pPr>
            <w:r>
              <w:rPr>
                <w:rFonts w:hint="eastAsia" w:ascii="仿宋_GB2312" w:hAnsi="仿宋_GB2312" w:eastAsia="仿宋_GB2312" w:cs="仿宋_GB2312"/>
                <w:sz w:val="28"/>
                <w:szCs w:val="28"/>
              </w:rPr>
              <w:t>已全部完成并完成省教育厅验收</w:t>
            </w:r>
          </w:p>
        </w:tc>
      </w:tr>
      <w:tr>
        <w:tblPrEx>
          <w:tblCellMar>
            <w:top w:w="0" w:type="dxa"/>
            <w:left w:w="108" w:type="dxa"/>
            <w:bottom w:w="0" w:type="dxa"/>
            <w:right w:w="108" w:type="dxa"/>
          </w:tblCellMar>
        </w:tblPrEx>
        <w:trPr>
          <w:trHeight w:val="693" w:hRule="atLeast"/>
        </w:trPr>
        <w:tc>
          <w:tcPr>
            <w:tcW w:w="12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547"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trHeight w:val="415"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数量指标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烹饪实训室建设</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新建烹饪专业功能实训室6间，面积1000平方米。</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已建成烹饪专业功能实训室6间成</w:t>
            </w:r>
          </w:p>
        </w:tc>
      </w:tr>
      <w:tr>
        <w:tblPrEx>
          <w:tblCellMar>
            <w:top w:w="0" w:type="dxa"/>
            <w:left w:w="108" w:type="dxa"/>
            <w:bottom w:w="0" w:type="dxa"/>
            <w:right w:w="108" w:type="dxa"/>
          </w:tblCellMar>
        </w:tblPrEx>
        <w:trPr>
          <w:trHeight w:val="415"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数量指标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kern w:val="0"/>
                <w:sz w:val="24"/>
                <w:lang w:bidi="ar"/>
              </w:rPr>
              <w:t>专业课程建设</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建设2门烹饪专业课程</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已建成</w:t>
            </w:r>
          </w:p>
        </w:tc>
      </w:tr>
      <w:tr>
        <w:tblPrEx>
          <w:tblCellMar>
            <w:top w:w="0" w:type="dxa"/>
            <w:left w:w="108" w:type="dxa"/>
            <w:bottom w:w="0" w:type="dxa"/>
            <w:right w:w="108" w:type="dxa"/>
          </w:tblCellMar>
        </w:tblPrEx>
        <w:trPr>
          <w:trHeight w:val="415"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数量指标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textAlignment w:val="bottom"/>
              <w:rPr>
                <w:rFonts w:ascii="仿宋_GB2312" w:hAnsi="仿宋_GB2312" w:eastAsia="仿宋_GB2312" w:cs="仿宋_GB2312"/>
                <w:sz w:val="24"/>
              </w:rPr>
            </w:pPr>
            <w:r>
              <w:rPr>
                <w:rFonts w:hint="eastAsia" w:ascii="仿宋_GB2312" w:hAnsi="仿宋_GB2312" w:eastAsia="仿宋_GB2312" w:cs="仿宋_GB2312"/>
                <w:sz w:val="24"/>
              </w:rPr>
              <w:t>完成指标信息化教学资源平台</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建设信息化教学资源平台1个</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已建成</w:t>
            </w:r>
          </w:p>
        </w:tc>
      </w:tr>
      <w:tr>
        <w:tblPrEx>
          <w:tblCellMar>
            <w:top w:w="0" w:type="dxa"/>
            <w:left w:w="108" w:type="dxa"/>
            <w:bottom w:w="0" w:type="dxa"/>
            <w:right w:w="108" w:type="dxa"/>
          </w:tblCellMar>
        </w:tblPrEx>
        <w:trPr>
          <w:trHeight w:val="480"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数量指标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教师培训</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仿宋_GB2312" w:hAnsi="仿宋_GB2312" w:eastAsia="仿宋_GB2312" w:cs="仿宋_GB2312"/>
                <w:sz w:val="28"/>
                <w:szCs w:val="28"/>
              </w:rPr>
            </w:pPr>
            <w:r>
              <w:rPr>
                <w:rFonts w:hint="eastAsia" w:ascii="仿宋_GB2312" w:eastAsia="仿宋_GB2312" w:cs="宋体"/>
                <w:color w:val="000000"/>
                <w:sz w:val="24"/>
              </w:rPr>
              <w:t>“双师型”专业教师培训交流≥15人次/年</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18人次</w:t>
            </w:r>
          </w:p>
        </w:tc>
      </w:tr>
      <w:tr>
        <w:tblPrEx>
          <w:tblCellMar>
            <w:top w:w="0" w:type="dxa"/>
            <w:left w:w="108" w:type="dxa"/>
            <w:bottom w:w="0" w:type="dxa"/>
            <w:right w:w="108" w:type="dxa"/>
          </w:tblCellMar>
        </w:tblPrEx>
        <w:trPr>
          <w:trHeight w:val="480"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质量指标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达到川教函【2019】201号文批复的建设方案和任务书建设要求</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1.完善虚拟、全真实训教学功能，建成既能满足当前实训教学需要，又具有一定前瞻性的烹饪实训基地；</w:t>
            </w:r>
          </w:p>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2.《攀西阳光康养菜制作》《川滇风味面点制作》达到校级精品课标准</w:t>
            </w:r>
          </w:p>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3.实现优质教学资源远程共享；</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4.烹饪专业教师“双师型”比例≥92.3%，技师人数≥6人</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已全部完成并完成省教育厅验收</w:t>
            </w:r>
          </w:p>
        </w:tc>
      </w:tr>
      <w:tr>
        <w:tblPrEx>
          <w:tblCellMar>
            <w:top w:w="0" w:type="dxa"/>
            <w:left w:w="108" w:type="dxa"/>
            <w:bottom w:w="0" w:type="dxa"/>
            <w:right w:w="108" w:type="dxa"/>
          </w:tblCellMar>
        </w:tblPrEx>
        <w:trPr>
          <w:trHeight w:val="577"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成本指标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改造基础设施</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水、电、气、地面改造，功能室建设等共计65万元</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已全部完成并完成省教育厅验收</w:t>
            </w:r>
          </w:p>
        </w:tc>
      </w:tr>
      <w:tr>
        <w:tblPrEx>
          <w:tblCellMar>
            <w:top w:w="0" w:type="dxa"/>
            <w:left w:w="108" w:type="dxa"/>
            <w:bottom w:w="0" w:type="dxa"/>
            <w:right w:w="108" w:type="dxa"/>
          </w:tblCellMar>
        </w:tblPrEx>
        <w:trPr>
          <w:trHeight w:val="577"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成本指标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采购实训设备</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预计125万元</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已全部完成并完成省教育厅验收</w:t>
            </w:r>
          </w:p>
        </w:tc>
      </w:tr>
      <w:tr>
        <w:tblPrEx>
          <w:tblCellMar>
            <w:top w:w="0" w:type="dxa"/>
            <w:left w:w="108" w:type="dxa"/>
            <w:bottom w:w="0" w:type="dxa"/>
            <w:right w:w="108" w:type="dxa"/>
          </w:tblCellMar>
        </w:tblPrEx>
        <w:trPr>
          <w:trHeight w:val="577"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成本指标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建设信息化教学资源平台</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校企共同开发，共计60万元</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已全部完成并完成省教育厅验收</w:t>
            </w:r>
          </w:p>
        </w:tc>
      </w:tr>
      <w:tr>
        <w:tblPrEx>
          <w:tblCellMar>
            <w:top w:w="0" w:type="dxa"/>
            <w:left w:w="108" w:type="dxa"/>
            <w:bottom w:w="0" w:type="dxa"/>
            <w:right w:w="108" w:type="dxa"/>
          </w:tblCellMar>
        </w:tblPrEx>
        <w:trPr>
          <w:trHeight w:val="577"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成本指标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打造育人环境</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烹饪文化建设共计30万元</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已全部完成并完成省教育厅验收</w:t>
            </w:r>
          </w:p>
        </w:tc>
      </w:tr>
      <w:tr>
        <w:tblPrEx>
          <w:tblCellMar>
            <w:top w:w="0" w:type="dxa"/>
            <w:left w:w="108" w:type="dxa"/>
            <w:bottom w:w="0" w:type="dxa"/>
            <w:right w:w="108" w:type="dxa"/>
          </w:tblCellMar>
        </w:tblPrEx>
        <w:trPr>
          <w:trHeight w:val="577"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成本指标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组织教师培训及技能提升</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差旅费、培训费、考证费等共计20万元</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已全部完成并完成省教育厅验收</w:t>
            </w:r>
          </w:p>
        </w:tc>
      </w:tr>
      <w:tr>
        <w:tblPrEx>
          <w:tblCellMar>
            <w:top w:w="0" w:type="dxa"/>
            <w:left w:w="108" w:type="dxa"/>
            <w:bottom w:w="0" w:type="dxa"/>
            <w:right w:w="108" w:type="dxa"/>
          </w:tblCellMar>
        </w:tblPrEx>
        <w:trPr>
          <w:trHeight w:val="577"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时效指标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完成时间</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2021年8月前</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已全部完成并完成验收已全部完成并完成省教育厅验收</w:t>
            </w:r>
          </w:p>
        </w:tc>
      </w:tr>
      <w:tr>
        <w:tblPrEx>
          <w:tblCellMar>
            <w:top w:w="0" w:type="dxa"/>
            <w:left w:w="108" w:type="dxa"/>
            <w:bottom w:w="0" w:type="dxa"/>
            <w:right w:w="108" w:type="dxa"/>
          </w:tblCellMar>
        </w:tblPrEx>
        <w:trPr>
          <w:trHeight w:val="90"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项目效益</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社会效益</w:t>
            </w:r>
          </w:p>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提高专业教学能力</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毕业生对口就业率≥95%，升学率≥90%</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hAnsi="仿宋_GB2312" w:eastAsia="仿宋_GB2312" w:cs="仿宋_GB2312"/>
                <w:sz w:val="24"/>
              </w:rPr>
              <w:t>已全部完成并完成验收已全部完成并完成省教育厅验收</w:t>
            </w:r>
          </w:p>
        </w:tc>
      </w:tr>
      <w:tr>
        <w:tblPrEx>
          <w:tblCellMar>
            <w:top w:w="0" w:type="dxa"/>
            <w:left w:w="108" w:type="dxa"/>
            <w:bottom w:w="0" w:type="dxa"/>
            <w:right w:w="108" w:type="dxa"/>
          </w:tblCellMar>
        </w:tblPrEx>
        <w:trPr>
          <w:trHeight w:val="1216"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社会效益</w:t>
            </w:r>
          </w:p>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满足日益增加的社会就学需求</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烹饪专业年招生数量≥200人</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hAnsi="仿宋_GB2312" w:eastAsia="仿宋_GB2312" w:cs="仿宋_GB2312"/>
                <w:sz w:val="24"/>
              </w:rPr>
              <w:t>已全部完成并完成验收已全部完成并完成省教育厅验收</w:t>
            </w:r>
          </w:p>
        </w:tc>
      </w:tr>
      <w:tr>
        <w:tblPrEx>
          <w:tblCellMar>
            <w:top w:w="0" w:type="dxa"/>
            <w:left w:w="108" w:type="dxa"/>
            <w:bottom w:w="0" w:type="dxa"/>
            <w:right w:w="108" w:type="dxa"/>
          </w:tblCellMar>
        </w:tblPrEx>
        <w:trPr>
          <w:trHeight w:val="90"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可持续影响</w:t>
            </w:r>
          </w:p>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提升学校品牌，增强职业教育影响力</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建成省级示范专业，联动学校相关专业发展，辐射引领地区同类专业建设。</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hAnsi="仿宋_GB2312" w:eastAsia="仿宋_GB2312" w:cs="仿宋_GB2312"/>
                <w:sz w:val="24"/>
              </w:rPr>
              <w:t>已全部完成并完成验收已全部完成并完成省教育厅验收</w:t>
            </w:r>
          </w:p>
        </w:tc>
      </w:tr>
      <w:tr>
        <w:tblPrEx>
          <w:tblCellMar>
            <w:top w:w="0" w:type="dxa"/>
            <w:left w:w="108" w:type="dxa"/>
            <w:bottom w:w="0" w:type="dxa"/>
            <w:right w:w="108" w:type="dxa"/>
          </w:tblCellMar>
        </w:tblPrEx>
        <w:trPr>
          <w:trHeight w:val="90"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生态效益</w:t>
            </w:r>
          </w:p>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提升餐饮业从业人员意识</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烹饪专业学生绿色餐饮意识和节能减排意识科普知晓率≥95%</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hAnsi="仿宋_GB2312" w:eastAsia="仿宋_GB2312" w:cs="仿宋_GB2312"/>
                <w:sz w:val="24"/>
              </w:rPr>
              <w:t>已全部完成并完成验收已全部完成并完成省教育厅验收</w:t>
            </w:r>
          </w:p>
        </w:tc>
      </w:tr>
      <w:tr>
        <w:tblPrEx>
          <w:tblCellMar>
            <w:top w:w="0" w:type="dxa"/>
            <w:left w:w="108" w:type="dxa"/>
            <w:bottom w:w="0" w:type="dxa"/>
            <w:right w:w="108" w:type="dxa"/>
          </w:tblCellMar>
        </w:tblPrEx>
        <w:trPr>
          <w:trHeight w:val="1082"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度指标</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eastAsia="仿宋_GB2312" w:cs="宋体"/>
                <w:color w:val="000000"/>
                <w:sz w:val="24"/>
              </w:rPr>
              <w:t>教职工满意度</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≥96%</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≥98%</w:t>
            </w:r>
          </w:p>
        </w:tc>
      </w:tr>
      <w:tr>
        <w:tblPrEx>
          <w:tblCellMar>
            <w:top w:w="0" w:type="dxa"/>
            <w:left w:w="108" w:type="dxa"/>
            <w:bottom w:w="0" w:type="dxa"/>
            <w:right w:w="108" w:type="dxa"/>
          </w:tblCellMar>
        </w:tblPrEx>
        <w:trPr>
          <w:trHeight w:val="1081"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学生满意度</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≥95%</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≥98%</w:t>
            </w:r>
          </w:p>
        </w:tc>
      </w:tr>
      <w:tr>
        <w:tblPrEx>
          <w:tblCellMar>
            <w:top w:w="0" w:type="dxa"/>
            <w:left w:w="108" w:type="dxa"/>
            <w:bottom w:w="0" w:type="dxa"/>
            <w:right w:w="108" w:type="dxa"/>
          </w:tblCellMar>
        </w:tblPrEx>
        <w:trPr>
          <w:trHeight w:val="857" w:hRule="atLeast"/>
        </w:trPr>
        <w:tc>
          <w:tcPr>
            <w:tcW w:w="129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学生家长满意度</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≥90%</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≥93%</w:t>
            </w:r>
          </w:p>
        </w:tc>
      </w:tr>
      <w:tr>
        <w:tblPrEx>
          <w:tblCellMar>
            <w:top w:w="0" w:type="dxa"/>
            <w:left w:w="108" w:type="dxa"/>
            <w:bottom w:w="0" w:type="dxa"/>
            <w:right w:w="108" w:type="dxa"/>
          </w:tblCellMar>
        </w:tblPrEx>
        <w:trPr>
          <w:trHeight w:val="530" w:hRule="atLeast"/>
        </w:trPr>
        <w:tc>
          <w:tcPr>
            <w:tcW w:w="1294" w:type="dxa"/>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547"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eastAsia="仿宋_GB2312" w:cs="宋体"/>
                <w:color w:val="000000"/>
                <w:sz w:val="24"/>
              </w:rPr>
            </w:pPr>
            <w:r>
              <w:rPr>
                <w:rFonts w:hint="eastAsia" w:ascii="仿宋_GB2312" w:eastAsia="仿宋_GB2312" w:cs="宋体"/>
                <w:color w:val="000000"/>
                <w:sz w:val="24"/>
              </w:rPr>
              <w:t>社会满意度</w:t>
            </w:r>
          </w:p>
        </w:tc>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≥85%</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≥91%</w:t>
            </w:r>
          </w:p>
        </w:tc>
      </w:tr>
    </w:tbl>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jc w:val="center"/>
        <w:outlineLvl w:val="0"/>
        <w:rPr>
          <w:rFonts w:ascii="黑体" w:hAnsi="黑体" w:eastAsia="黑体"/>
          <w:sz w:val="44"/>
          <w:szCs w:val="44"/>
        </w:rPr>
      </w:pPr>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p>
    <w:p>
      <w:pPr>
        <w:pStyle w:val="2"/>
        <w:spacing w:before="93"/>
      </w:pPr>
    </w:p>
    <w:p>
      <w:pPr>
        <w:ind w:firstLine="640" w:firstLineChars="200"/>
        <w:rPr>
          <w:rFonts w:ascii="仿宋_GB2312" w:eastAsia="仿宋_GB2312"/>
          <w:sz w:val="32"/>
          <w:szCs w:val="32"/>
        </w:rPr>
      </w:pPr>
      <w:r>
        <w:rPr>
          <w:rFonts w:hint="eastAsia" w:ascii="仿宋_GB2312" w:eastAsia="仿宋_GB2312"/>
          <w:sz w:val="32"/>
          <w:szCs w:val="32"/>
        </w:rPr>
        <w:t>一、收入支出决算总表</w:t>
      </w:r>
    </w:p>
    <w:p>
      <w:pPr>
        <w:ind w:firstLine="640" w:firstLineChars="200"/>
        <w:rPr>
          <w:rFonts w:ascii="仿宋_GB2312" w:eastAsia="仿宋_GB2312"/>
          <w:sz w:val="32"/>
          <w:szCs w:val="32"/>
        </w:rPr>
      </w:pPr>
      <w:bookmarkStart w:id="54" w:name="_Toc15396620"/>
      <w:r>
        <w:rPr>
          <w:rFonts w:hint="eastAsia" w:ascii="仿宋_GB2312" w:eastAsia="仿宋_GB2312"/>
          <w:sz w:val="32"/>
          <w:szCs w:val="32"/>
        </w:rPr>
        <w:t>二、收入决算表</w:t>
      </w:r>
      <w:bookmarkEnd w:id="54"/>
    </w:p>
    <w:p>
      <w:pPr>
        <w:ind w:firstLine="640" w:firstLineChars="200"/>
        <w:rPr>
          <w:rFonts w:ascii="仿宋_GB2312" w:eastAsia="仿宋_GB2312"/>
          <w:sz w:val="32"/>
          <w:szCs w:val="32"/>
        </w:rPr>
      </w:pPr>
      <w:bookmarkStart w:id="55" w:name="_Toc15396621"/>
      <w:r>
        <w:rPr>
          <w:rFonts w:hint="eastAsia" w:ascii="仿宋_GB2312" w:eastAsia="仿宋_GB2312"/>
          <w:sz w:val="32"/>
          <w:szCs w:val="32"/>
        </w:rPr>
        <w:t>三、支出决算表</w:t>
      </w:r>
      <w:bookmarkEnd w:id="55"/>
    </w:p>
    <w:p>
      <w:pPr>
        <w:ind w:firstLine="640" w:firstLineChars="200"/>
        <w:rPr>
          <w:rFonts w:ascii="仿宋_GB2312" w:eastAsia="仿宋_GB2312"/>
          <w:sz w:val="32"/>
          <w:szCs w:val="32"/>
        </w:rPr>
      </w:pPr>
      <w:bookmarkStart w:id="56" w:name="_Toc15396622"/>
      <w:r>
        <w:rPr>
          <w:rFonts w:hint="eastAsia" w:ascii="仿宋_GB2312" w:eastAsia="仿宋_GB2312"/>
          <w:sz w:val="32"/>
          <w:szCs w:val="32"/>
        </w:rPr>
        <w:t>四、财政拨款收入支出决算总表</w:t>
      </w:r>
      <w:bookmarkEnd w:id="56"/>
    </w:p>
    <w:p>
      <w:pPr>
        <w:ind w:firstLine="640" w:firstLineChars="200"/>
        <w:rPr>
          <w:rFonts w:ascii="仿宋_GB2312" w:eastAsia="仿宋_GB2312"/>
          <w:sz w:val="32"/>
          <w:szCs w:val="32"/>
        </w:rPr>
      </w:pPr>
      <w:bookmarkStart w:id="57" w:name="_Toc15396623"/>
      <w:r>
        <w:rPr>
          <w:rFonts w:hint="eastAsia" w:ascii="仿宋_GB2312" w:eastAsia="仿宋_GB2312"/>
          <w:sz w:val="32"/>
          <w:szCs w:val="32"/>
        </w:rPr>
        <w:t>五、财政拨款支出决算明细表</w:t>
      </w:r>
      <w:bookmarkEnd w:id="57"/>
      <w:bookmarkStart w:id="58" w:name="_Toc15396624"/>
    </w:p>
    <w:p>
      <w:pPr>
        <w:ind w:firstLine="640" w:firstLineChars="200"/>
        <w:rPr>
          <w:rFonts w:ascii="仿宋_GB2312" w:eastAsia="仿宋_GB2312"/>
          <w:sz w:val="32"/>
          <w:szCs w:val="32"/>
        </w:rPr>
      </w:pPr>
      <w:r>
        <w:rPr>
          <w:rFonts w:hint="eastAsia" w:ascii="仿宋_GB2312" w:eastAsia="仿宋_GB2312"/>
          <w:sz w:val="32"/>
          <w:szCs w:val="32"/>
        </w:rPr>
        <w:t>六、一般公共预算财政拨款支出决算表</w:t>
      </w:r>
      <w:bookmarkEnd w:id="58"/>
    </w:p>
    <w:p>
      <w:pPr>
        <w:ind w:firstLine="640" w:firstLineChars="200"/>
        <w:rPr>
          <w:rFonts w:ascii="仿宋_GB2312" w:eastAsia="仿宋_GB2312"/>
          <w:sz w:val="32"/>
          <w:szCs w:val="32"/>
        </w:rPr>
      </w:pPr>
      <w:bookmarkStart w:id="59" w:name="_Toc15396625"/>
      <w:r>
        <w:rPr>
          <w:rFonts w:hint="eastAsia" w:ascii="仿宋_GB2312" w:eastAsia="仿宋_GB2312"/>
          <w:sz w:val="32"/>
          <w:szCs w:val="32"/>
        </w:rPr>
        <w:t>七、一般公共预算财政拨款支出决算明细表</w:t>
      </w:r>
      <w:bookmarkEnd w:id="59"/>
    </w:p>
    <w:p>
      <w:pPr>
        <w:ind w:firstLine="640" w:firstLineChars="200"/>
        <w:rPr>
          <w:rFonts w:ascii="仿宋_GB2312" w:eastAsia="仿宋_GB2312"/>
          <w:sz w:val="32"/>
          <w:szCs w:val="32"/>
        </w:rPr>
      </w:pPr>
      <w:bookmarkStart w:id="60" w:name="_Toc15396626"/>
      <w:r>
        <w:rPr>
          <w:rFonts w:hint="eastAsia" w:ascii="仿宋_GB2312" w:eastAsia="仿宋_GB2312"/>
          <w:sz w:val="32"/>
          <w:szCs w:val="32"/>
        </w:rPr>
        <w:t>八、一般公共预算财政拨款基本支出决算表</w:t>
      </w:r>
      <w:bookmarkEnd w:id="60"/>
    </w:p>
    <w:p>
      <w:pPr>
        <w:ind w:firstLine="640" w:firstLineChars="200"/>
        <w:rPr>
          <w:rFonts w:ascii="仿宋_GB2312" w:eastAsia="仿宋_GB2312"/>
          <w:sz w:val="32"/>
          <w:szCs w:val="32"/>
        </w:rPr>
      </w:pPr>
      <w:bookmarkStart w:id="61" w:name="_Toc15396627"/>
      <w:r>
        <w:rPr>
          <w:rFonts w:hint="eastAsia" w:ascii="仿宋_GB2312" w:eastAsia="仿宋_GB2312"/>
          <w:sz w:val="32"/>
          <w:szCs w:val="32"/>
        </w:rPr>
        <w:t>九、一般公共预算财政拨款项目支出决算表</w:t>
      </w:r>
      <w:bookmarkEnd w:id="61"/>
    </w:p>
    <w:p>
      <w:pPr>
        <w:ind w:firstLine="640" w:firstLineChars="200"/>
        <w:rPr>
          <w:rFonts w:ascii="仿宋_GB2312" w:eastAsia="仿宋_GB2312"/>
          <w:sz w:val="32"/>
          <w:szCs w:val="32"/>
        </w:rPr>
      </w:pPr>
      <w:bookmarkStart w:id="62" w:name="_Toc15396628"/>
      <w:r>
        <w:rPr>
          <w:rFonts w:hint="eastAsia" w:ascii="仿宋_GB2312" w:eastAsia="仿宋_GB2312"/>
          <w:sz w:val="32"/>
          <w:szCs w:val="32"/>
        </w:rPr>
        <w:t>十、一般公共预算财政拨款“三公”经费支出决算表</w:t>
      </w:r>
      <w:bookmarkEnd w:id="62"/>
    </w:p>
    <w:p>
      <w:pPr>
        <w:ind w:firstLine="640" w:firstLineChars="200"/>
        <w:rPr>
          <w:rFonts w:ascii="仿宋_GB2312" w:eastAsia="仿宋_GB2312"/>
          <w:sz w:val="32"/>
          <w:szCs w:val="32"/>
        </w:rPr>
      </w:pPr>
      <w:bookmarkStart w:id="63" w:name="_Toc15396629"/>
      <w:r>
        <w:rPr>
          <w:rFonts w:hint="eastAsia" w:ascii="仿宋_GB2312" w:eastAsia="仿宋_GB2312"/>
          <w:sz w:val="32"/>
          <w:szCs w:val="32"/>
        </w:rPr>
        <w:t>十一、政府性基金预算财政拨款收入支出决算表</w:t>
      </w:r>
      <w:bookmarkEnd w:id="63"/>
      <w:r>
        <w:rPr>
          <w:rFonts w:hint="eastAsia" w:ascii="仿宋_GB2312" w:eastAsia="仿宋_GB2312"/>
          <w:sz w:val="32"/>
          <w:szCs w:val="32"/>
        </w:rPr>
        <w:t>（此表无数据）</w:t>
      </w:r>
    </w:p>
    <w:p>
      <w:pPr>
        <w:ind w:firstLine="640" w:firstLineChars="200"/>
        <w:rPr>
          <w:rFonts w:ascii="仿宋_GB2312" w:eastAsia="仿宋_GB2312"/>
          <w:sz w:val="32"/>
          <w:szCs w:val="32"/>
        </w:rPr>
      </w:pPr>
      <w:bookmarkStart w:id="64" w:name="_Toc15396630"/>
      <w:r>
        <w:rPr>
          <w:rFonts w:hint="eastAsia" w:ascii="仿宋_GB2312" w:eastAsia="仿宋_GB2312"/>
          <w:sz w:val="32"/>
          <w:szCs w:val="32"/>
        </w:rPr>
        <w:t>十二、政府性基金预算财政拨款“三公”经费支出决算表</w:t>
      </w:r>
      <w:bookmarkEnd w:id="64"/>
      <w:r>
        <w:rPr>
          <w:rFonts w:hint="eastAsia" w:ascii="仿宋_GB2312" w:eastAsia="仿宋_GB2312"/>
          <w:sz w:val="32"/>
          <w:szCs w:val="32"/>
        </w:rPr>
        <w:t>（此表无数据）</w:t>
      </w:r>
    </w:p>
    <w:p>
      <w:pPr>
        <w:ind w:firstLine="640" w:firstLineChars="200"/>
        <w:rPr>
          <w:rFonts w:ascii="仿宋_GB2312" w:eastAsia="仿宋_GB2312"/>
          <w:sz w:val="32"/>
          <w:szCs w:val="32"/>
        </w:rPr>
      </w:pPr>
      <w:bookmarkStart w:id="65" w:name="_Toc15396631"/>
      <w:r>
        <w:rPr>
          <w:rFonts w:hint="eastAsia" w:ascii="仿宋_GB2312" w:eastAsia="仿宋_GB2312"/>
          <w:sz w:val="32"/>
          <w:szCs w:val="32"/>
        </w:rPr>
        <w:t>十三、国有资本经营预算财政拨款收入支出决算表</w:t>
      </w:r>
      <w:bookmarkEnd w:id="65"/>
      <w:r>
        <w:rPr>
          <w:rFonts w:hint="eastAsia" w:ascii="仿宋_GB2312" w:eastAsia="仿宋_GB2312"/>
          <w:sz w:val="32"/>
          <w:szCs w:val="32"/>
        </w:rPr>
        <w:t>（此表无数据）</w:t>
      </w:r>
    </w:p>
    <w:p>
      <w:pPr>
        <w:ind w:firstLine="640" w:firstLineChars="200"/>
        <w:rPr>
          <w:rFonts w:ascii="仿宋_GB2312" w:eastAsia="仿宋_GB2312"/>
          <w:sz w:val="32"/>
          <w:szCs w:val="32"/>
        </w:rPr>
      </w:pPr>
      <w:r>
        <w:rPr>
          <w:rFonts w:hint="eastAsia" w:ascii="仿宋_GB2312" w:eastAsia="仿宋_GB2312"/>
          <w:sz w:val="32"/>
          <w:szCs w:val="32"/>
        </w:rPr>
        <w:t>十四、国有资本经营预算财政拨款支出决算表（此表无数据）</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53D11"/>
    <w:multiLevelType w:val="singleLevel"/>
    <w:tmpl w:val="C5553D11"/>
    <w:lvl w:ilvl="0" w:tentative="0">
      <w:start w:val="1"/>
      <w:numFmt w:val="decimal"/>
      <w:lvlText w:val="%1."/>
      <w:lvlJc w:val="left"/>
      <w:pPr>
        <w:tabs>
          <w:tab w:val="left" w:pos="312"/>
        </w:tabs>
        <w:ind w:left="-13"/>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4C2E37"/>
    <w:multiLevelType w:val="multilevel"/>
    <w:tmpl w:val="384C2E37"/>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Yzg2MDJjN2RkMDE1M2NkYTdkMGM3YmY4NzBiN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1D3C"/>
    <w:rsid w:val="00473F31"/>
    <w:rsid w:val="0048263A"/>
    <w:rsid w:val="00487E5D"/>
    <w:rsid w:val="004942C4"/>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6C42"/>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2A2A"/>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D2482E"/>
    <w:rsid w:val="0A2032A3"/>
    <w:rsid w:val="0AC60C06"/>
    <w:rsid w:val="0B8A37D8"/>
    <w:rsid w:val="0BBF6B59"/>
    <w:rsid w:val="0DBE3C4B"/>
    <w:rsid w:val="1025050E"/>
    <w:rsid w:val="10C055FF"/>
    <w:rsid w:val="10CA63E8"/>
    <w:rsid w:val="118107EC"/>
    <w:rsid w:val="11DD6519"/>
    <w:rsid w:val="130C6140"/>
    <w:rsid w:val="15346BC7"/>
    <w:rsid w:val="15562FA4"/>
    <w:rsid w:val="16BB723D"/>
    <w:rsid w:val="176F01DC"/>
    <w:rsid w:val="18015F3F"/>
    <w:rsid w:val="1BCD753F"/>
    <w:rsid w:val="1BDB4749"/>
    <w:rsid w:val="1BE8440E"/>
    <w:rsid w:val="1CC73511"/>
    <w:rsid w:val="1D155CEE"/>
    <w:rsid w:val="20F57F95"/>
    <w:rsid w:val="219D2D3A"/>
    <w:rsid w:val="23A519F0"/>
    <w:rsid w:val="240371BF"/>
    <w:rsid w:val="25C741E6"/>
    <w:rsid w:val="26BD0C1A"/>
    <w:rsid w:val="27842671"/>
    <w:rsid w:val="288B7AB1"/>
    <w:rsid w:val="29FD04D3"/>
    <w:rsid w:val="2ABE7A3E"/>
    <w:rsid w:val="2C425C43"/>
    <w:rsid w:val="2C626B51"/>
    <w:rsid w:val="2EFA178C"/>
    <w:rsid w:val="30B46D73"/>
    <w:rsid w:val="319F7F4E"/>
    <w:rsid w:val="32792E2E"/>
    <w:rsid w:val="367055FE"/>
    <w:rsid w:val="39AE70AB"/>
    <w:rsid w:val="3C0C0783"/>
    <w:rsid w:val="3E7F160D"/>
    <w:rsid w:val="3F9F3A96"/>
    <w:rsid w:val="3FB10F6E"/>
    <w:rsid w:val="41B33FA8"/>
    <w:rsid w:val="41EC50B7"/>
    <w:rsid w:val="471E7162"/>
    <w:rsid w:val="48EC11F1"/>
    <w:rsid w:val="49393E07"/>
    <w:rsid w:val="493C27E9"/>
    <w:rsid w:val="496F39ED"/>
    <w:rsid w:val="49FF41D3"/>
    <w:rsid w:val="4BA803F5"/>
    <w:rsid w:val="4BE068DB"/>
    <w:rsid w:val="4BF6002B"/>
    <w:rsid w:val="4ECE2238"/>
    <w:rsid w:val="4F310773"/>
    <w:rsid w:val="507408A5"/>
    <w:rsid w:val="51DB4B86"/>
    <w:rsid w:val="53563549"/>
    <w:rsid w:val="55333C3E"/>
    <w:rsid w:val="573623E3"/>
    <w:rsid w:val="57473B0E"/>
    <w:rsid w:val="5B865931"/>
    <w:rsid w:val="5F7C29B5"/>
    <w:rsid w:val="60F31CBA"/>
    <w:rsid w:val="64CA39A1"/>
    <w:rsid w:val="697A2F79"/>
    <w:rsid w:val="6C4A05C8"/>
    <w:rsid w:val="6CBA18DE"/>
    <w:rsid w:val="6EFA08A2"/>
    <w:rsid w:val="7265284E"/>
    <w:rsid w:val="72734D90"/>
    <w:rsid w:val="777E603F"/>
    <w:rsid w:val="79E7B28D"/>
    <w:rsid w:val="7E186E75"/>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[工作簿1]Sheet1!$B$3</c:f>
              <c:strCache>
                <c:ptCount val="1"/>
                <c:pt idx="0">
                  <c:v>收支总数</c:v>
                </c:pt>
              </c:strCache>
            </c:strRef>
          </c:tx>
          <c:spPr>
            <a:solidFill>
              <a:schemeClr val="accent1"/>
            </a:solidFill>
            <a:ln>
              <a:noFill/>
            </a:ln>
            <a:effectLst/>
          </c:spPr>
          <c:invertIfNegative val="0"/>
          <c:dLbls>
            <c:delete val="1"/>
          </c:dLbls>
          <c:cat>
            <c:numRef>
              <c:f>[工作簿1]Sheet1!$A$4:$A$5</c:f>
              <c:numCache>
                <c:formatCode>General</c:formatCode>
                <c:ptCount val="2"/>
                <c:pt idx="0">
                  <c:v>2020</c:v>
                </c:pt>
                <c:pt idx="1">
                  <c:v>2021</c:v>
                </c:pt>
              </c:numCache>
            </c:numRef>
          </c:cat>
          <c:val>
            <c:numRef>
              <c:f>[工作簿1]Sheet1!$B$4:$B$5</c:f>
              <c:numCache>
                <c:formatCode>General</c:formatCode>
                <c:ptCount val="2"/>
                <c:pt idx="0">
                  <c:v>8623.54</c:v>
                </c:pt>
                <c:pt idx="1">
                  <c:v>9532.61</c:v>
                </c:pt>
              </c:numCache>
            </c:numRef>
          </c:val>
        </c:ser>
        <c:dLbls>
          <c:showLegendKey val="0"/>
          <c:showVal val="0"/>
          <c:showCatName val="0"/>
          <c:showSerName val="0"/>
          <c:showPercent val="0"/>
          <c:showBubbleSize val="0"/>
        </c:dLbls>
        <c:gapWidth val="219"/>
        <c:overlap val="-27"/>
        <c:axId val="474306400"/>
        <c:axId val="472052816"/>
      </c:barChart>
      <c:catAx>
        <c:axId val="4743064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052816"/>
        <c:crosses val="autoZero"/>
        <c:auto val="1"/>
        <c:lblAlgn val="ctr"/>
        <c:lblOffset val="100"/>
        <c:noMultiLvlLbl val="0"/>
      </c:catAx>
      <c:valAx>
        <c:axId val="47205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30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收入占比示意图</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[工作簿1]Sheet1!$A$8:$A$9</c:f>
              <c:strCache>
                <c:ptCount val="2"/>
                <c:pt idx="0">
                  <c:v>一般公共预算财政拨款收入</c:v>
                </c:pt>
                <c:pt idx="1">
                  <c:v>其他收入</c:v>
                </c:pt>
              </c:strCache>
            </c:strRef>
          </c:cat>
          <c:val>
            <c:numRef>
              <c:f>[工作簿1]Sheet1!$B$8:$B$9</c:f>
              <c:numCache>
                <c:formatCode>General</c:formatCode>
                <c:ptCount val="2"/>
                <c:pt idx="0">
                  <c:v>9257.77</c:v>
                </c:pt>
                <c:pt idx="1">
                  <c:v>232.08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支出占比示意图</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[工作簿1]Sheet1!$A$16:$A$17</c:f>
              <c:strCache>
                <c:ptCount val="2"/>
                <c:pt idx="0">
                  <c:v>基本支出</c:v>
                </c:pt>
                <c:pt idx="1">
                  <c:v>项目支出</c:v>
                </c:pt>
              </c:strCache>
            </c:strRef>
          </c:cat>
          <c:val>
            <c:numRef>
              <c:f>[工作簿1]Sheet1!$B$16:$B$17</c:f>
              <c:numCache>
                <c:formatCode>General</c:formatCode>
                <c:ptCount val="2"/>
                <c:pt idx="0">
                  <c:v>7144.23</c:v>
                </c:pt>
                <c:pt idx="1">
                  <c:v>2300.63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财政拨款收入变化</a:t>
            </a:r>
            <a:endParaRPr lang="zh-CN" altLang="en-US"/>
          </a:p>
        </c:rich>
      </c:tx>
      <c:layout/>
      <c:overlay val="0"/>
      <c:spPr>
        <a:noFill/>
        <a:ln>
          <a:noFill/>
        </a:ln>
        <a:effectLst/>
      </c:spPr>
    </c:title>
    <c:autoTitleDeleted val="0"/>
    <c:plotArea>
      <c:layout/>
      <c:barChart>
        <c:barDir val="col"/>
        <c:grouping val="clustered"/>
        <c:varyColors val="0"/>
        <c:ser>
          <c:idx val="0"/>
          <c:order val="0"/>
          <c:tx>
            <c:strRef>
              <c:f>[工作簿1]Sheet1!$B$34</c:f>
              <c:strCache>
                <c:ptCount val="1"/>
                <c:pt idx="0">
                  <c:v>财政拨款收支变化</c:v>
                </c:pt>
              </c:strCache>
            </c:strRef>
          </c:tx>
          <c:spPr>
            <a:solidFill>
              <a:schemeClr val="accent1"/>
            </a:solidFill>
            <a:ln>
              <a:noFill/>
            </a:ln>
            <a:effectLst/>
          </c:spPr>
          <c:invertIfNegative val="0"/>
          <c:dLbls>
            <c:delete val="1"/>
          </c:dLbls>
          <c:cat>
            <c:numRef>
              <c:f>[工作簿1]Sheet1!$A$35:$A$36</c:f>
              <c:numCache>
                <c:formatCode>General</c:formatCode>
                <c:ptCount val="2"/>
                <c:pt idx="0">
                  <c:v>2020</c:v>
                </c:pt>
                <c:pt idx="1">
                  <c:v>2021</c:v>
                </c:pt>
              </c:numCache>
            </c:numRef>
          </c:cat>
          <c:val>
            <c:numRef>
              <c:f>[工作簿1]Sheet1!$B$35:$B$36</c:f>
              <c:numCache>
                <c:formatCode>General</c:formatCode>
                <c:ptCount val="2"/>
                <c:pt idx="0">
                  <c:v>8291.5</c:v>
                </c:pt>
                <c:pt idx="1">
                  <c:v>9257.77</c:v>
                </c:pt>
              </c:numCache>
            </c:numRef>
          </c:val>
        </c:ser>
        <c:dLbls>
          <c:showLegendKey val="0"/>
          <c:showVal val="0"/>
          <c:showCatName val="0"/>
          <c:showSerName val="0"/>
          <c:showPercent val="0"/>
          <c:showBubbleSize val="0"/>
        </c:dLbls>
        <c:gapWidth val="219"/>
        <c:overlap val="-27"/>
        <c:axId val="760938816"/>
        <c:axId val="760939376"/>
      </c:barChart>
      <c:catAx>
        <c:axId val="7609388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0939376"/>
        <c:crosses val="autoZero"/>
        <c:auto val="1"/>
        <c:lblAlgn val="ctr"/>
        <c:lblOffset val="100"/>
        <c:noMultiLvlLbl val="0"/>
      </c:catAx>
      <c:valAx>
        <c:axId val="76093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0938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[工作簿1]Sheet1!$B$39</c:f>
              <c:strCache>
                <c:ptCount val="1"/>
                <c:pt idx="0">
                  <c:v>一般公共预算财政拨款支出</c:v>
                </c:pt>
              </c:strCache>
            </c:strRef>
          </c:tx>
          <c:spPr>
            <a:solidFill>
              <a:schemeClr val="accent1"/>
            </a:solidFill>
            <a:ln>
              <a:noFill/>
            </a:ln>
            <a:effectLst/>
          </c:spPr>
          <c:invertIfNegative val="0"/>
          <c:dLbls>
            <c:delete val="1"/>
          </c:dLbls>
          <c:cat>
            <c:numRef>
              <c:f>[工作簿1]Sheet1!$A$40:$A$41</c:f>
              <c:numCache>
                <c:formatCode>General</c:formatCode>
                <c:ptCount val="2"/>
                <c:pt idx="0">
                  <c:v>2020</c:v>
                </c:pt>
                <c:pt idx="1">
                  <c:v>2021</c:v>
                </c:pt>
              </c:numCache>
            </c:numRef>
          </c:cat>
          <c:val>
            <c:numRef>
              <c:f>[工作簿1]Sheet1!$B$40:$B$41</c:f>
              <c:numCache>
                <c:formatCode>General</c:formatCode>
                <c:ptCount val="2"/>
                <c:pt idx="0">
                  <c:v>8005.25</c:v>
                </c:pt>
                <c:pt idx="1">
                  <c:v>9265.76</c:v>
                </c:pt>
              </c:numCache>
            </c:numRef>
          </c:val>
        </c:ser>
        <c:dLbls>
          <c:showLegendKey val="0"/>
          <c:showVal val="0"/>
          <c:showCatName val="0"/>
          <c:showSerName val="0"/>
          <c:showPercent val="0"/>
          <c:showBubbleSize val="0"/>
        </c:dLbls>
        <c:gapWidth val="219"/>
        <c:overlap val="-27"/>
        <c:axId val="760754576"/>
        <c:axId val="760755136"/>
      </c:barChart>
      <c:catAx>
        <c:axId val="7607545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0755136"/>
        <c:crosses val="autoZero"/>
        <c:auto val="1"/>
        <c:lblAlgn val="ctr"/>
        <c:lblOffset val="100"/>
        <c:noMultiLvlLbl val="0"/>
      </c:catAx>
      <c:valAx>
        <c:axId val="76075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0754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一般公共预算拨款支出分类占比</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endParaRPr lang="zh-CN" altLang="en-US"/>
          </a:p>
        </c:rich>
      </c:tx>
      <c:layout>
        <c:manualLayout>
          <c:xMode val="edge"/>
          <c:yMode val="edge"/>
          <c:x val="0.189583333333333"/>
          <c:y val="0.00694444444444444"/>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2678258473918"/>
                  <c:y val="-0.11376290096536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974598463689836"/>
                  <c:y val="-0.0091688999884439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147548770288527"/>
                  <c:y val="-0.061112538944589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3324614894715"/>
                  <c:y val="-0.0089605128171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[工作簿1]Sheet1!$A$51:$A$54</c:f>
              <c:strCache>
                <c:ptCount val="4"/>
                <c:pt idx="0">
                  <c:v>教育支出</c:v>
                </c:pt>
                <c:pt idx="1">
                  <c:v>社会保障和就业支出</c:v>
                </c:pt>
                <c:pt idx="2">
                  <c:v>城乡社区支出</c:v>
                </c:pt>
                <c:pt idx="3">
                  <c:v>住房保障支出</c:v>
                </c:pt>
              </c:strCache>
            </c:strRef>
          </c:cat>
          <c:val>
            <c:numRef>
              <c:f>[工作簿1]Sheet1!$B$51:$B$54</c:f>
              <c:numCache>
                <c:formatCode>#,##0.00</c:formatCode>
                <c:ptCount val="4"/>
                <c:pt idx="0">
                  <c:v>83746240.31</c:v>
                </c:pt>
                <c:pt idx="1">
                  <c:v>4726646.1</c:v>
                </c:pt>
                <c:pt idx="2">
                  <c:v>87092.4</c:v>
                </c:pt>
                <c:pt idx="3">
                  <c:v>4097584</c:v>
                </c:pt>
              </c:numCache>
            </c:numRef>
          </c:val>
        </c:ser>
        <c:dLbls>
          <c:showLegendKey val="0"/>
          <c:showVal val="0"/>
          <c:showCatName val="0"/>
          <c:showSerName val="0"/>
          <c:showPercent val="1"/>
          <c:showBubbleSize val="0"/>
          <c:showLeaderLines val="1"/>
        </c:dLbls>
        <c:firstSliceAng val="1"/>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“三公”经费使用占比图</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[工作簿1]Sheet1!$A$66:$A$67</c:f>
              <c:strCache>
                <c:ptCount val="2"/>
                <c:pt idx="0">
                  <c:v>公务用车运行维护费</c:v>
                </c:pt>
                <c:pt idx="1">
                  <c:v>公务接待费</c:v>
                </c:pt>
              </c:strCache>
            </c:strRef>
          </c:cat>
          <c:val>
            <c:numRef>
              <c:f>[工作簿1]Sheet1!$B$66:$B$67</c:f>
              <c:numCache>
                <c:formatCode>General</c:formatCode>
                <c:ptCount val="2"/>
                <c:pt idx="0">
                  <c:v>5.83</c:v>
                </c:pt>
                <c:pt idx="1">
                  <c:v>0.89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2610</Words>
  <Characters>14882</Characters>
  <Lines>124</Lines>
  <Paragraphs>34</Paragraphs>
  <TotalTime>0</TotalTime>
  <ScaleCrop>false</ScaleCrop>
  <LinksUpToDate>false</LinksUpToDate>
  <CharactersWithSpaces>17458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云渺渺</cp:lastModifiedBy>
  <cp:lastPrinted>2022-08-06T02:23:00Z</cp:lastPrinted>
  <dcterms:modified xsi:type="dcterms:W3CDTF">2023-10-19T03:05:20Z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1588FC992955421090C8B1C2E0965079_13</vt:lpwstr>
  </property>
</Properties>
</file>