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eastAsia="方正小标宋简体"/>
          <w:color w:val="auto"/>
          <w:sz w:val="72"/>
          <w:szCs w:val="72"/>
          <w:highlight w:val="none"/>
        </w:rPr>
      </w:pPr>
    </w:p>
    <w:p>
      <w:pPr>
        <w:spacing w:line="600" w:lineRule="exact"/>
        <w:jc w:val="center"/>
        <w:outlineLvl w:val="0"/>
        <w:rPr>
          <w:rFonts w:ascii="方正小标宋简体" w:eastAsia="方正小标宋简体"/>
          <w:color w:val="auto"/>
          <w:sz w:val="72"/>
          <w:szCs w:val="72"/>
          <w:highlight w:val="none"/>
        </w:rPr>
      </w:pPr>
    </w:p>
    <w:p>
      <w:pPr>
        <w:spacing w:line="600" w:lineRule="exact"/>
        <w:jc w:val="center"/>
        <w:outlineLvl w:val="0"/>
        <w:rPr>
          <w:rFonts w:ascii="方正小标宋简体" w:eastAsia="方正小标宋简体"/>
          <w:color w:val="auto"/>
          <w:sz w:val="72"/>
          <w:szCs w:val="72"/>
          <w:highlight w:val="none"/>
        </w:rPr>
      </w:pPr>
    </w:p>
    <w:p>
      <w:pPr>
        <w:adjustRightInd w:val="0"/>
        <w:snapToGrid w:val="0"/>
        <w:spacing w:line="360" w:lineRule="auto"/>
        <w:jc w:val="center"/>
        <w:outlineLvl w:val="0"/>
        <w:rPr>
          <w:rFonts w:hint="eastAsia" w:ascii="方正小标宋简体" w:eastAsia="方正小标宋简体" w:cs="方正小标宋简体"/>
          <w:color w:val="auto"/>
          <w:sz w:val="72"/>
          <w:szCs w:val="72"/>
          <w:highlight w:val="none"/>
        </w:rPr>
      </w:pPr>
      <w:bookmarkStart w:id="1" w:name="_Toc15396475"/>
      <w:bookmarkStart w:id="2" w:name="_Toc15377193"/>
      <w:bookmarkStart w:id="3" w:name="_Toc15396597"/>
      <w:bookmarkStart w:id="4" w:name="_Toc15377425"/>
      <w:bookmarkStart w:id="5" w:name="_Toc15378441"/>
      <w:r>
        <w:rPr>
          <w:rFonts w:hint="eastAsia" w:ascii="方正小标宋简体" w:eastAsia="方正小标宋简体" w:cs="方正小标宋简体"/>
          <w:color w:val="auto"/>
          <w:sz w:val="72"/>
          <w:szCs w:val="72"/>
          <w:highlight w:val="none"/>
        </w:rPr>
        <w:t>20</w:t>
      </w:r>
      <w:r>
        <w:rPr>
          <w:rFonts w:hint="eastAsia" w:ascii="方正小标宋简体" w:eastAsia="方正小标宋简体" w:cs="方正小标宋简体"/>
          <w:color w:val="auto"/>
          <w:sz w:val="72"/>
          <w:szCs w:val="72"/>
          <w:highlight w:val="none"/>
          <w:lang w:val="en-US" w:eastAsia="zh-CN"/>
        </w:rPr>
        <w:t>21</w:t>
      </w:r>
      <w:r>
        <w:rPr>
          <w:rFonts w:hint="eastAsia" w:asci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eastAsia="方正小标宋简体" w:cs="方正小标宋简体"/>
          <w:color w:val="auto"/>
          <w:sz w:val="72"/>
          <w:szCs w:val="72"/>
          <w:highlight w:val="none"/>
        </w:rPr>
      </w:pPr>
      <w:bookmarkStart w:id="6" w:name="_Toc15377426"/>
      <w:bookmarkStart w:id="7" w:name="_Toc15378442"/>
      <w:bookmarkStart w:id="8" w:name="_Toc15396598"/>
      <w:bookmarkStart w:id="9" w:name="_Toc15377194"/>
      <w:bookmarkStart w:id="10" w:name="_Toc15396476"/>
      <w:r>
        <w:rPr>
          <w:rFonts w:hint="eastAsia" w:ascii="方正小标宋简体" w:eastAsia="方正小标宋简体" w:cs="方正小标宋简体"/>
          <w:color w:val="auto"/>
          <w:sz w:val="72"/>
          <w:szCs w:val="72"/>
          <w:highlight w:val="none"/>
        </w:rPr>
        <w:t>四川省</w:t>
      </w:r>
      <w:bookmarkEnd w:id="0"/>
      <w:bookmarkStart w:id="11" w:name="_Toc15306268"/>
      <w:r>
        <w:rPr>
          <w:rFonts w:ascii="方正小标宋简体" w:eastAsia="方正小标宋简体" w:cs="方正小标宋简体"/>
          <w:color w:val="auto"/>
          <w:sz w:val="72"/>
          <w:szCs w:val="72"/>
          <w:highlight w:val="none"/>
        </w:rPr>
        <w:t>攀枝花市教育和体育局</w:t>
      </w:r>
      <w:r>
        <w:rPr>
          <w:rFonts w:hint="eastAsia" w:ascii="方正小标宋简体" w:eastAsia="方正小标宋简体" w:cs="方正小标宋简体"/>
          <w:color w:val="auto"/>
          <w:sz w:val="72"/>
          <w:szCs w:val="72"/>
          <w:highlight w:val="none"/>
          <w:lang w:eastAsia="zh-CN"/>
        </w:rPr>
        <w:t>单位</w:t>
      </w:r>
      <w:r>
        <w:rPr>
          <w:rFonts w:hint="eastAsia" w:asci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eastAsia="黑体"/>
          <w:color w:val="auto"/>
          <w:sz w:val="48"/>
          <w:szCs w:val="48"/>
          <w:highlight w:val="none"/>
        </w:rPr>
      </w:pPr>
      <w:r>
        <w:rPr>
          <w:rFonts w:ascii="方正小标宋简体" w:eastAsia="方正小标宋简体"/>
          <w:color w:val="auto"/>
          <w:sz w:val="36"/>
          <w:szCs w:val="36"/>
          <w:highlight w:val="none"/>
        </w:rPr>
        <w:br w:type="page"/>
      </w:r>
      <w:r>
        <w:rPr>
          <w:rFonts w:hint="eastAsia" w:ascii="黑体" w:eastAsia="黑体"/>
          <w:color w:val="auto"/>
          <w:sz w:val="48"/>
          <w:szCs w:val="48"/>
          <w:highlight w:val="none"/>
        </w:rPr>
        <w:t>目录</w:t>
      </w:r>
    </w:p>
    <w:p>
      <w:pPr>
        <w:widowControl/>
        <w:jc w:val="center"/>
        <w:rPr>
          <w:rFonts w:ascii="黑体" w:eastAsia="黑体" w:cs="Arial"/>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Arial"/>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color w:val="auto"/>
          <w:sz w:val="24"/>
          <w:highlight w:val="none"/>
          <w:lang w:val="en-US" w:eastAsia="zh-CN"/>
        </w:rPr>
        <w:t>4</w:t>
      </w:r>
    </w:p>
    <w:p>
      <w:pPr>
        <w:pStyle w:val="11"/>
        <w:adjustRightInd w:val="0"/>
        <w:snapToGrid w:val="0"/>
        <w:spacing w:line="440" w:lineRule="exact"/>
        <w:jc w:val="left"/>
        <w:rPr>
          <w:rFonts w:hint="eastAsia" w:ascii="宋体" w:cs="宋体"/>
          <w:color w:val="auto"/>
          <w:sz w:val="24"/>
          <w:highlight w:val="none"/>
          <w:lang w:val="en-US" w:eastAsia="zh-CN"/>
        </w:rPr>
      </w:pPr>
      <w:r>
        <w:rPr>
          <w:rFonts w:hint="eastAsia" w:ascii="宋体" w:eastAsia="宋体" w:cs="宋体"/>
          <w:color w:val="auto"/>
          <w:sz w:val="24"/>
          <w:highlight w:val="none"/>
          <w:lang w:eastAsia="zh-CN"/>
        </w:rPr>
        <w:t>二、</w:t>
      </w:r>
      <w:r>
        <w:rPr>
          <w:rFonts w:hint="eastAsia" w:ascii="宋体" w:eastAsia="宋体" w:cs="宋体"/>
          <w:color w:val="auto"/>
          <w:sz w:val="24"/>
          <w:highlight w:val="none"/>
          <w:lang w:val="en-US" w:eastAsia="zh-CN"/>
        </w:rPr>
        <w:t>2021年重点</w:t>
      </w:r>
      <w:r>
        <w:rPr>
          <w:rFonts w:hint="eastAsia" w:ascii="宋体" w:eastAsia="宋体" w:cs="宋体"/>
          <w:color w:val="auto"/>
          <w:sz w:val="24"/>
          <w:highlight w:val="none"/>
        </w:rPr>
        <w:t>工作</w:t>
      </w:r>
      <w:r>
        <w:rPr>
          <w:rFonts w:hint="eastAsia" w:ascii="宋体" w:eastAsia="宋体" w:cs="宋体"/>
          <w:color w:val="auto"/>
          <w:sz w:val="24"/>
          <w:highlight w:val="none"/>
          <w:lang w:eastAsia="zh-CN"/>
        </w:rPr>
        <w:t>完成情况</w:t>
      </w:r>
      <w:r>
        <w:rPr>
          <w:rFonts w:hint="eastAsia" w:ascii="宋体" w:cs="宋体"/>
          <w:color w:val="auto"/>
          <w:sz w:val="24"/>
          <w:highlight w:val="none"/>
          <w:lang w:eastAsia="zh-CN"/>
        </w:rPr>
        <w:t>…………………………………………………</w:t>
      </w:r>
      <w:r>
        <w:rPr>
          <w:rFonts w:hint="eastAsia" w:ascii="宋体" w:cs="宋体"/>
          <w:color w:val="auto"/>
          <w:sz w:val="24"/>
          <w:highlight w:val="none"/>
          <w:lang w:val="en-US" w:eastAsia="zh-CN"/>
        </w:rPr>
        <w:t>7</w:t>
      </w:r>
    </w:p>
    <w:p>
      <w:pPr>
        <w:rPr>
          <w:rFonts w:hint="default"/>
          <w:lang w:val="en-US" w:eastAsia="zh-CN"/>
        </w:rPr>
      </w:pPr>
      <w:r>
        <w:rPr>
          <w:rFonts w:hint="eastAsia"/>
          <w:lang w:val="en-US" w:eastAsia="zh-CN"/>
        </w:rPr>
        <w:t xml:space="preserve">    </w:t>
      </w:r>
      <w:r>
        <w:rPr>
          <w:rFonts w:hint="eastAsia" w:ascii="Times New Roman" w:hAnsi="Times New Roman" w:eastAsia="宋体" w:cs="Times New Roman"/>
          <w:color w:val="auto"/>
          <w:kern w:val="2"/>
          <w:sz w:val="24"/>
          <w:szCs w:val="24"/>
          <w:highlight w:val="none"/>
          <w:lang w:val="en" w:eastAsia="zh-CN" w:bidi="ar-SA"/>
        </w:rPr>
        <w:t>三、机构设置情况</w:t>
      </w:r>
      <w:r>
        <w:rPr>
          <w:rFonts w:hint="eastAsia" w:ascii="宋体" w:cs="宋体"/>
          <w:color w:val="auto"/>
          <w:sz w:val="24"/>
          <w:highlight w:val="none"/>
          <w:lang w:eastAsia="zh-CN"/>
        </w:rPr>
        <w:t>………………………………………………………………</w:t>
      </w:r>
      <w:r>
        <w:rPr>
          <w:rFonts w:hint="eastAsia" w:ascii="宋体" w:cs="宋体"/>
          <w:color w:val="auto"/>
          <w:sz w:val="24"/>
          <w:highlight w:val="none"/>
          <w:lang w:val="en-US" w:eastAsia="zh-CN"/>
        </w:rPr>
        <w:t>9</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10</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11</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12</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13</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14</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17</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eastAsia="zh-CN"/>
        </w:rPr>
        <w:t>………………………………</w:t>
      </w:r>
      <w:r>
        <w:rPr>
          <w:rFonts w:hint="eastAsia"/>
          <w:color w:val="auto"/>
          <w:sz w:val="24"/>
          <w:highlight w:val="none"/>
          <w:lang w:val="en-US" w:eastAsia="zh-CN"/>
        </w:rPr>
        <w:t>17</w:t>
      </w:r>
    </w:p>
    <w:p>
      <w:pPr>
        <w:pStyle w:val="11"/>
        <w:adjustRightInd w:val="0"/>
        <w:snapToGrid w:val="0"/>
        <w:spacing w:line="440" w:lineRule="exact"/>
        <w:jc w:val="left"/>
        <w:rPr>
          <w:rFonts w:hint="default" w:ascii="仿宋" w:eastAsia="宋体" w:cs="Arial"/>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eastAsia="zh-CN"/>
        </w:rPr>
        <w:t>……………………………………</w:t>
      </w:r>
      <w:r>
        <w:rPr>
          <w:rFonts w:hint="eastAsia"/>
          <w:color w:val="auto"/>
          <w:sz w:val="24"/>
          <w:highlight w:val="none"/>
          <w:lang w:val="en-US" w:eastAsia="zh-CN"/>
        </w:rPr>
        <w:t>21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eastAsia="zh-CN"/>
        </w:rPr>
        <w:t>…………………………………………………</w:t>
      </w:r>
      <w:r>
        <w:rPr>
          <w:rFonts w:hint="eastAsia"/>
          <w:color w:val="auto"/>
          <w:sz w:val="24"/>
          <w:highlight w:val="none"/>
          <w:lang w:val="en-US" w:eastAsia="zh-CN"/>
        </w:rPr>
        <w:t>21</w:t>
      </w:r>
    </w:p>
    <w:p>
      <w:pPr>
        <w:pStyle w:val="10"/>
        <w:adjustRightInd w:val="0"/>
        <w:snapToGrid w:val="0"/>
        <w:spacing w:before="0" w:line="440" w:lineRule="exact"/>
        <w:jc w:val="left"/>
        <w:rPr>
          <w:rFonts w:hint="default" w:eastAsia="仿宋" w:cs="Arial"/>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23</w:t>
      </w:r>
    </w:p>
    <w:p>
      <w:pPr>
        <w:pStyle w:val="10"/>
        <w:adjustRightInd w:val="0"/>
        <w:snapToGrid w:val="0"/>
        <w:spacing w:before="0" w:line="440" w:lineRule="exact"/>
        <w:jc w:val="left"/>
        <w:rPr>
          <w:rFonts w:hint="default" w:eastAsia="仿宋" w:cs="Arial"/>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26</w:t>
      </w:r>
    </w:p>
    <w:p>
      <w:pPr>
        <w:pStyle w:val="10"/>
        <w:adjustRightInd w:val="0"/>
        <w:snapToGrid w:val="0"/>
        <w:spacing w:before="0" w:line="440" w:lineRule="exact"/>
        <w:jc w:val="left"/>
        <w:rPr>
          <w:rFonts w:hint="default" w:eastAsia="仿宋" w:cs="Arial"/>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29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eastAsia="仿宋"/>
          <w:bCs/>
          <w:color w:val="auto"/>
          <w:kern w:val="44"/>
          <w:sz w:val="24"/>
          <w:highlight w:val="none"/>
        </w:rPr>
      </w:pPr>
      <w:bookmarkStart w:id="12" w:name="_Toc15377196"/>
      <w:bookmarkStart w:id="13" w:name="_Toc15396599"/>
      <w:r>
        <w:rPr>
          <w:rFonts w:ascii="仿宋" w:eastAsia="仿宋"/>
          <w:b/>
          <w:color w:val="auto"/>
          <w:sz w:val="24"/>
          <w:highlight w:val="none"/>
        </w:rPr>
        <w:br w:type="page"/>
      </w:r>
    </w:p>
    <w:p>
      <w:pPr>
        <w:pStyle w:val="3"/>
        <w:jc w:val="center"/>
        <w:rPr>
          <w:rStyle w:val="16"/>
          <w:rFonts w:ascii="黑体" w:eastAsia="黑体"/>
          <w:b/>
          <w:bCs w:val="0"/>
          <w:color w:val="auto"/>
          <w:highlight w:val="none"/>
        </w:rPr>
      </w:pPr>
      <w:r>
        <w:rPr>
          <w:rFonts w:hint="eastAsia" w:ascii="黑体" w:eastAsia="黑体"/>
          <w:b w:val="0"/>
          <w:color w:val="auto"/>
          <w:highlight w:val="none"/>
        </w:rPr>
        <w:t xml:space="preserve">第一部分 </w:t>
      </w:r>
      <w:r>
        <w:rPr>
          <w:rFonts w:hint="eastAsia" w:ascii="黑体" w:eastAsia="黑体"/>
          <w:b w:val="0"/>
          <w:color w:val="auto"/>
          <w:highlight w:val="none"/>
          <w:lang w:eastAsia="zh-CN"/>
        </w:rPr>
        <w:t>单位</w:t>
      </w:r>
      <w:r>
        <w:rPr>
          <w:rStyle w:val="16"/>
          <w:rFonts w:hint="eastAsia" w:asci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17"/>
          <w:rFonts w:hint="eastAsia" w:ascii="黑体" w:eastAsia="黑体"/>
          <w:b w:val="0"/>
          <w:bCs w:val="0"/>
          <w:color w:val="auto"/>
          <w:highlight w:val="none"/>
          <w:lang w:eastAsia="zh-CN"/>
        </w:rPr>
      </w:pPr>
      <w:bookmarkStart w:id="14" w:name="_Toc15377197"/>
      <w:bookmarkStart w:id="15" w:name="_Toc15396600"/>
      <w:r>
        <w:rPr>
          <w:rStyle w:val="17"/>
          <w:rFonts w:hint="eastAsia" w:ascii="黑体" w:eastAsia="黑体"/>
          <w:b w:val="0"/>
          <w:bCs w:val="0"/>
          <w:color w:val="auto"/>
          <w:highlight w:val="none"/>
        </w:rPr>
        <w:t>职能</w:t>
      </w:r>
      <w:r>
        <w:rPr>
          <w:rStyle w:val="17"/>
          <w:rFonts w:hint="eastAsia" w:ascii="黑体" w:eastAsia="黑体"/>
          <w:b w:val="0"/>
          <w:bCs w:val="0"/>
          <w:color w:val="auto"/>
          <w:highlight w:val="none"/>
          <w:lang w:eastAsia="zh-CN"/>
        </w:rPr>
        <w:t>简介</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攀枝花市教育</w:t>
      </w:r>
      <w:r>
        <w:rPr>
          <w:rFonts w:hint="eastAsia" w:ascii="仿宋_GB2312" w:eastAsia="仿宋_GB2312" w:cs="仿宋_GB2312"/>
          <w:sz w:val="32"/>
          <w:szCs w:val="32"/>
          <w:lang w:eastAsia="zh-CN"/>
        </w:rPr>
        <w:t>和</w:t>
      </w:r>
      <w:r>
        <w:rPr>
          <w:rFonts w:hint="eastAsia" w:ascii="仿宋_GB2312" w:eastAsia="仿宋_GB2312" w:cs="仿宋_GB2312"/>
          <w:sz w:val="32"/>
          <w:szCs w:val="32"/>
        </w:rPr>
        <w:t>体育局是2014年由原攀枝花市教育局和原攀枝花市体育局合并成立的，为市政府工作部门。</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主要职责：</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（1）贯彻执行国家和省有关教育体育工作的方针、政策和法律、法规，研究制定有关贯彻意见并组织实施。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（3）负责义务教育的指导与协调，推进全市义务教育均衡发展和促进教育公平。指导普通高中教育、学前教育和特殊教育工作。推进基础教育教学改革，全面实施素质教育。</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（4）指导基础教育、中等职业教育和成人教育学校开展思想政治、德育、体育卫生与艺术教育、国防教育、心理健康教育、安全和稳定工作。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（5）指导职业教育发展与改革，组织实施民族地区免费中等职业教育工作。完成省里下达的藏（彝）区学生“9+3”免费职业教育任务。</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（6）综合管理全市成人教育和广播电视教育及扫除青壮年文盲工作，协调普通高等教育发展。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(7)负责全市教育督导工作。负责组织对中等及以下各级各类教育、广播电视教育以及扫除青壮年文盲工作的督导检查和评估考核工作；开展基础教育发展水平和质量监测工作。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(8)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(9)指导少数民族教育工作，协调对少数民族地区的教育援助。</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(10)统筹规划、综合管理全市民办教育，规范民办教育办学秩序，促进民办教育事业健康发展。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(11)负责全市中小学校教师队伍建设和教育体育系统干部队伍建设工作；组织和指导县(区)域内义务教育学校校长教师交流轮岗工作，推进义务教育教师“县管校用”管理制度改革。</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(12)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(13)贯彻执行国家语言文字的方针政策，拟订语言文字工作中长期规划和工作计划，指导普通话推广和普通话师资培训工作，承担市语言文字工作委员会的具体工作。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(14)指导教育体育系统对外交流与合作，负责全市中小学出国留学人员和教育体育系统来攀外籍教师、教练、专家及留学人员的有关管理工作。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(15)管理、指导大中专招生和自学考试工作；制定中小学和中等职业学校招生计划并组织实施。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(16)统筹规划全市群众体育发展。负责推行全民健身计划，监督实施国家体育锻炼标准，承担全市国民体质监测和社会体育指导工作队伍制度建设；指导公共体育设施的建设，负责对公共体育设施的管理。</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(17)统筹规划全市竞技体育发展。指导体育训练、体育竞赛和运动员队伍建设；组织和统筹参加省级以上综合运动会，负责组织协调市级综合性运动会的竞赛工作，协调运动员社会保障工作。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(18)统筹规划全市青少年体育发展。指导和管理学校体育工作；制定全市学校体育、青少年业余训练的规划和工作意见，并负责组织实施、督促和检查。</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(19)指导全市学校后勤改革和体育产业发展，负责全市学校后勤和体育产业管理。拟定全市体育产业发展政策、措施，规范体育服务管理，推动体育标准化建设；协助管理全市体育彩票市场。</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(20)指导教育体育科研、技术攻关及成果推广工作；负责组织、监督全市体育运动中的反兴奋剂工作。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(21)负责指导、检查、督促全市学校安全管理工作。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(22)承担市政府公布的有关行政审批事项。</w:t>
      </w:r>
    </w:p>
    <w:p>
      <w:pPr>
        <w:snapToGrid w:val="0"/>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(23)承办市政府交办的其他事项。</w:t>
      </w:r>
    </w:p>
    <w:p>
      <w:pPr>
        <w:pStyle w:val="4"/>
        <w:rPr>
          <w:rFonts w:hint="eastAsia" w:ascii="黑体" w:eastAsia="黑体"/>
          <w:b w:val="0"/>
          <w:color w:val="auto"/>
          <w:highlight w:val="none"/>
        </w:rPr>
      </w:pPr>
      <w:r>
        <w:rPr>
          <w:rFonts w:hint="eastAsia" w:ascii="黑体" w:eastAsia="黑体"/>
          <w:b w:val="0"/>
          <w:color w:val="auto"/>
          <w:highlight w:val="none"/>
          <w:lang w:val="en-US" w:eastAsia="zh-CN"/>
        </w:rPr>
        <w:t>二、2021年重点</w:t>
      </w:r>
      <w:r>
        <w:rPr>
          <w:rFonts w:hint="eastAsia" w:ascii="黑体" w:eastAsia="黑体"/>
          <w:b w:val="0"/>
          <w:color w:val="auto"/>
          <w:highlight w:val="none"/>
        </w:rPr>
        <w:t>工作</w:t>
      </w:r>
      <w:bookmarkEnd w:id="14"/>
      <w:bookmarkEnd w:id="15"/>
      <w:r>
        <w:rPr>
          <w:rFonts w:hint="eastAsia" w:ascii="黑体" w:eastAsia="黑体"/>
          <w:b w:val="0"/>
          <w:color w:val="auto"/>
          <w:highlight w:val="none"/>
          <w:lang w:eastAsia="zh-CN"/>
        </w:rPr>
        <w:t>完成情况</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（一）高质量谋划教育体育发展。</w:t>
      </w:r>
      <w:r>
        <w:rPr>
          <w:rFonts w:ascii="Times New Roman" w:hAnsi="Times New Roman" w:eastAsia="仿宋_GB2312"/>
          <w:sz w:val="32"/>
          <w:szCs w:val="32"/>
        </w:rPr>
        <w:t>草拟《攀枝花市教育体育事业发展“十四五”规划》，编制《攀枝花市教育现代化2035（初稿）》。制定“教育鼎兴”省级改革试验区（攀西教育综合改革试验区）建设方案。出台并实施《攀枝花市中小学心理健康教育实施规划（2021—2025）》。</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（二）巩固提高教育教学质量。</w:t>
      </w:r>
      <w:r>
        <w:rPr>
          <w:rFonts w:ascii="Times New Roman" w:hAnsi="Times New Roman" w:eastAsia="仿宋_GB2312"/>
          <w:sz w:val="32"/>
          <w:szCs w:val="32"/>
        </w:rPr>
        <w:t>出台《攀枝花市学前教育规范发展实施办法》《攀枝花市普惠性民办幼儿园认定、扶持和管理办法》。规范义务教育阶段学校招生。落实中考改革，实现平安中高考目标。继续实施中等职业教育质量提升工程，成功申报8个1+X证书制度试点院校试点项目。高质量举办中等职业教育技能大赛，在全省职业院校技能大赛中荣获市州优秀组织奖（全省共8个市州获奖）。</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（三）全面实施素质教育。</w:t>
      </w:r>
      <w:r>
        <w:rPr>
          <w:rFonts w:ascii="Times New Roman" w:hAnsi="Times New Roman" w:eastAsia="仿宋_GB2312"/>
          <w:sz w:val="32"/>
          <w:szCs w:val="32"/>
        </w:rPr>
        <w:t>全面加强和改进新时代学校体育、美育工作方案，加强新时代学校卫生与心理健康教育。举办“庆祝建党100周年” 暨第十五届中小学生艺术展演活动、“从小学党史，永远跟党走”主题教育活动、高雅艺术和戏剧进校园活动。</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（四）加强教育体育人才队伍建设。</w:t>
      </w:r>
      <w:r>
        <w:rPr>
          <w:rFonts w:ascii="Times New Roman" w:hAnsi="Times New Roman" w:eastAsia="仿宋_GB2312"/>
          <w:sz w:val="32"/>
          <w:szCs w:val="32"/>
        </w:rPr>
        <w:t>印发《攀枝花市教育系统师德专题教育活动方案》，建立师德失范行为通报警示制度。引进新教师30名，安置省属公费师范生45人；15个市级名师、名校长工作室和1个省级天府名师工作室通过学科研讨、跟岗研修等培训校长教师800余人次；推荐省委直接掌握联系高层次人才1名，综合考察高层次人才70名，组织24名人才参加2021 年全市高层次人才健康体检工作。加强与成都市、重庆市、凉山州、常州市等地区的合作与交流，凉山州104名骨干教师在攀参加国培项目。</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（五）全力助推体育事业发展。</w:t>
      </w:r>
      <w:r>
        <w:rPr>
          <w:rFonts w:ascii="Times New Roman" w:hAnsi="Times New Roman" w:eastAsia="仿宋_GB2312"/>
          <w:sz w:val="32"/>
          <w:szCs w:val="32"/>
        </w:rPr>
        <w:t>推进免费或低收费开放体育场馆。截至10月底，累计开放服务128万人次。成功承办国家射箭队东京奥运会选拔赛、第十四届全国运动会皮划艇激流回旋比赛、2021年全国女子垒球锦标赛、2021年全国青年女子垒球锦标赛。积极组队参加省级以上赛事活动，我市32名运动员在第十四届全国运动会荣获2金7银3铜。印发《攀枝花市体育赛事活动专项整顿工作方案》，从6月2日至8月31日，在全市范围内开展体育赛事活动专项整顿。对我市51项赛事进行了全面评估，暂停举办7项，取消1项。吸引国内外棒垒球、曲棍球、足球等15个项目的75支运动队2173余名官员、教练员、运动员来攀冬夏训。</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（六）大力改善办学条件。</w:t>
      </w:r>
      <w:r>
        <w:rPr>
          <w:rFonts w:ascii="Times New Roman" w:hAnsi="Times New Roman" w:eastAsia="仿宋_GB2312"/>
          <w:sz w:val="32"/>
          <w:szCs w:val="32"/>
        </w:rPr>
        <w:t>继续推进公办幼儿园建设。西区第一幼儿园迁建、仁和区沙贝路幼儿园、市实验幼儿园科技城园区建成投入使用。完成国家登山健身步道第三期100公里建设工作，并通过国家登山协会验收。继续改善城乡学校办学条件，截至10月底，已开工建设项目13个，开工建设校舍3.6万平方米。全面精准落实各项教育资助政策，累计资助学生17.69万人次，资助资金 1.49亿元。</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（七）充分发挥教育督导作用。</w:t>
      </w:r>
      <w:r>
        <w:rPr>
          <w:rFonts w:ascii="Times New Roman" w:hAnsi="Times New Roman" w:eastAsia="仿宋_GB2312"/>
          <w:sz w:val="32"/>
          <w:szCs w:val="32"/>
        </w:rPr>
        <w:t>建立健全督学责任区工作台账，严格问题整改追踪督察制度。开展中小学生睡眠管理、义务教育作业管理等“五项管理”及校园安全稳定专项督导。健全义务教育教师工资收入随当地公务员工资收入动态调整机制。建立校外培训机构违规行为及时处罚并曝光制度。</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（八）抓实行业安全稳定工作。</w:t>
      </w:r>
      <w:r>
        <w:rPr>
          <w:rFonts w:ascii="Times New Roman" w:hAnsi="Times New Roman" w:eastAsia="仿宋_GB2312"/>
          <w:sz w:val="32"/>
          <w:szCs w:val="32"/>
        </w:rPr>
        <w:t>持续抓好新冠肺炎疫情常态化防控和传染病防治工作。进一步压实各级各类学校安全主体责任，组织200余名专兼职教育督学对全市110余所中小学校进行全覆盖专项督导，督促整改安全隐患50余条次，确保全市教育体育系统安全稳定。</w:t>
      </w:r>
    </w:p>
    <w:p>
      <w:pPr>
        <w:pStyle w:val="4"/>
        <w:rPr>
          <w:rFonts w:hint="eastAsia" w:ascii="黑体" w:eastAsia="黑体"/>
          <w:b w:val="0"/>
          <w:color w:val="auto"/>
          <w:highlight w:val="none"/>
          <w:lang w:val="en-US" w:eastAsia="zh-CN"/>
        </w:rPr>
      </w:pPr>
      <w:r>
        <w:rPr>
          <w:rFonts w:hint="eastAsia" w:ascii="黑体" w:hAnsi="黑体" w:eastAsia="黑体"/>
          <w:b w:val="0"/>
          <w:lang w:eastAsia="zh-CN"/>
        </w:rPr>
        <w:t>三、</w:t>
      </w:r>
      <w:r>
        <w:rPr>
          <w:rFonts w:hint="eastAsia" w:ascii="黑体" w:hAnsi="黑体" w:eastAsia="黑体"/>
          <w:b w:val="0"/>
        </w:rPr>
        <w:t>机</w:t>
      </w:r>
      <w:r>
        <w:rPr>
          <w:rFonts w:hint="eastAsia" w:ascii="黑体" w:eastAsia="黑体"/>
          <w:b w:val="0"/>
          <w:color w:val="auto"/>
          <w:highlight w:val="none"/>
          <w:lang w:val="en-US" w:eastAsia="zh-CN"/>
        </w:rPr>
        <w:t>构设置情况</w:t>
      </w:r>
    </w:p>
    <w:p>
      <w:pPr>
        <w:widowControl/>
        <w:jc w:val="left"/>
        <w:rPr>
          <w:rFonts w:ascii="仿宋" w:eastAsia="仿宋"/>
          <w:color w:val="auto"/>
          <w:kern w:val="0"/>
          <w:sz w:val="32"/>
          <w:szCs w:val="32"/>
          <w:highlight w:val="none"/>
        </w:rPr>
      </w:pPr>
      <w:r>
        <w:rPr>
          <w:rFonts w:hint="eastAsia" w:hAnsi="仿宋_GB2312" w:eastAsia="仿宋_GB2312"/>
          <w:bCs/>
          <w:color w:val="000000"/>
          <w:sz w:val="32"/>
          <w:szCs w:val="32"/>
          <w:lang w:val="en-US" w:eastAsia="zh-CN"/>
        </w:rPr>
        <w:t xml:space="preserve">    </w:t>
      </w:r>
      <w:bookmarkStart w:id="67" w:name="_GoBack"/>
      <w:bookmarkEnd w:id="67"/>
      <w:r>
        <w:rPr>
          <w:rFonts w:hint="eastAsia" w:hAnsi="仿宋_GB2312" w:eastAsia="仿宋_GB2312"/>
          <w:bCs/>
          <w:color w:val="000000"/>
          <w:sz w:val="32"/>
          <w:szCs w:val="32"/>
        </w:rPr>
        <w:t>办公室、政策法规与综合改革科(行政审批与民办教育科) 、计划基建财务科、审计科、基础教育科(民族教育科、市语言文字工作委员会办公室)、</w:t>
      </w:r>
      <w:r>
        <w:rPr>
          <w:rFonts w:hAnsi="仿宋_GB2312" w:eastAsia="仿宋_GB2312"/>
          <w:bCs/>
          <w:color w:val="000000"/>
          <w:sz w:val="32"/>
          <w:szCs w:val="32"/>
        </w:rPr>
        <w:t>职业成人高等教育科(民族地区免费中职教育办公室)</w:t>
      </w:r>
      <w:r>
        <w:rPr>
          <w:rFonts w:hint="eastAsia" w:hAnsi="仿宋_GB2312" w:eastAsia="仿宋_GB2312"/>
          <w:bCs/>
          <w:color w:val="000000"/>
          <w:sz w:val="32"/>
          <w:szCs w:val="32"/>
        </w:rPr>
        <w:t>、</w:t>
      </w:r>
      <w:r>
        <w:rPr>
          <w:rFonts w:hAnsi="仿宋_GB2312" w:eastAsia="仿宋_GB2312"/>
          <w:bCs/>
          <w:color w:val="000000"/>
          <w:sz w:val="32"/>
          <w:szCs w:val="32"/>
        </w:rPr>
        <w:t>教育督导委员会办公室</w:t>
      </w:r>
      <w:r>
        <w:rPr>
          <w:rFonts w:hint="eastAsia" w:hAnsi="仿宋_GB2312" w:eastAsia="仿宋_GB2312"/>
          <w:bCs/>
          <w:color w:val="000000"/>
          <w:sz w:val="32"/>
          <w:szCs w:val="32"/>
        </w:rPr>
        <w:t>、体育产业科、</w:t>
      </w:r>
      <w:r>
        <w:rPr>
          <w:rFonts w:hAnsi="仿宋_GB2312" w:eastAsia="仿宋_GB2312"/>
          <w:bCs/>
          <w:color w:val="000000"/>
          <w:sz w:val="32"/>
          <w:szCs w:val="32"/>
        </w:rPr>
        <w:t>学校后勤管理与学生资助</w:t>
      </w:r>
      <w:r>
        <w:rPr>
          <w:rFonts w:hint="eastAsia" w:hAnsi="仿宋_GB2312" w:eastAsia="仿宋_GB2312"/>
          <w:bCs/>
          <w:color w:val="000000"/>
          <w:sz w:val="32"/>
          <w:szCs w:val="32"/>
        </w:rPr>
        <w:t>科、</w:t>
      </w:r>
      <w:r>
        <w:rPr>
          <w:rFonts w:hAnsi="仿宋_GB2312" w:eastAsia="仿宋_GB2312"/>
          <w:bCs/>
          <w:color w:val="000000"/>
          <w:sz w:val="32"/>
          <w:szCs w:val="32"/>
        </w:rPr>
        <w:t>学校思想政治教育科</w:t>
      </w:r>
      <w:r>
        <w:rPr>
          <w:rFonts w:hint="eastAsia" w:hAnsi="仿宋_GB2312" w:eastAsia="仿宋_GB2312"/>
          <w:bCs/>
          <w:color w:val="000000"/>
          <w:sz w:val="32"/>
          <w:szCs w:val="32"/>
        </w:rPr>
        <w:t>、</w:t>
      </w:r>
      <w:r>
        <w:rPr>
          <w:rFonts w:hAnsi="仿宋_GB2312" w:eastAsia="仿宋_GB2312"/>
          <w:bCs/>
          <w:color w:val="000000"/>
          <w:sz w:val="32"/>
          <w:szCs w:val="32"/>
        </w:rPr>
        <w:t>学校体育卫生艺术教育科(学校国防军训办公室)</w:t>
      </w:r>
      <w:r>
        <w:rPr>
          <w:rFonts w:hint="eastAsia" w:hAnsi="仿宋_GB2312" w:eastAsia="仿宋_GB2312"/>
          <w:bCs/>
          <w:color w:val="000000"/>
          <w:sz w:val="32"/>
          <w:szCs w:val="32"/>
        </w:rPr>
        <w:t>、竞赛训练科、社会体育科、</w:t>
      </w:r>
      <w:r>
        <w:rPr>
          <w:rFonts w:hint="eastAsia" w:hAnsi="仿宋_GB2312" w:eastAsia="仿宋_GB2312"/>
          <w:bCs/>
          <w:color w:val="000000"/>
          <w:sz w:val="32"/>
          <w:szCs w:val="32"/>
          <w:lang w:eastAsia="zh-CN"/>
        </w:rPr>
        <w:t>驻局纪检监察组综合科</w:t>
      </w:r>
      <w:r>
        <w:rPr>
          <w:rFonts w:hint="eastAsia" w:hAnsi="仿宋_GB2312" w:eastAsia="仿宋_GB2312"/>
          <w:bCs/>
          <w:color w:val="000000"/>
          <w:sz w:val="32"/>
          <w:szCs w:val="32"/>
        </w:rPr>
        <w:t>、安全管理科、</w:t>
      </w:r>
      <w:r>
        <w:rPr>
          <w:rFonts w:hAnsi="仿宋_GB2312" w:eastAsia="仿宋_GB2312"/>
          <w:bCs/>
          <w:color w:val="000000"/>
          <w:sz w:val="32"/>
          <w:szCs w:val="32"/>
        </w:rPr>
        <w:t>党工委办公室(统战科、组织干部科)</w:t>
      </w:r>
      <w:r>
        <w:rPr>
          <w:rFonts w:hint="eastAsia" w:hAnsi="仿宋_GB2312" w:eastAsia="仿宋_GB2312"/>
          <w:bCs/>
          <w:color w:val="000000"/>
          <w:sz w:val="32"/>
          <w:szCs w:val="32"/>
        </w:rPr>
        <w:t>、人事科(离退休人员管理科)共17个内设科室。</w:t>
      </w:r>
      <w:r>
        <w:rPr>
          <w:rFonts w:ascii="仿宋" w:eastAsia="仿宋"/>
          <w:color w:val="auto"/>
          <w:sz w:val="32"/>
          <w:szCs w:val="32"/>
          <w:highlight w:val="none"/>
        </w:rPr>
        <w:br w:type="page"/>
      </w:r>
    </w:p>
    <w:p>
      <w:pPr>
        <w:pStyle w:val="3"/>
        <w:ind w:right="440"/>
        <w:jc w:val="center"/>
        <w:rPr>
          <w:rStyle w:val="16"/>
          <w:rFonts w:ascii="黑体" w:eastAsia="黑体"/>
          <w:b w:val="0"/>
          <w:bCs/>
          <w:color w:val="auto"/>
          <w:highlight w:val="none"/>
        </w:rPr>
      </w:pPr>
      <w:bookmarkStart w:id="16" w:name="_Toc15377204"/>
      <w:bookmarkStart w:id="17" w:name="_Toc15396602"/>
      <w:r>
        <w:rPr>
          <w:rFonts w:hint="eastAsia" w:ascii="黑体" w:eastAsia="黑体"/>
          <w:b w:val="0"/>
          <w:bCs/>
          <w:color w:val="auto"/>
          <w:highlight w:val="none"/>
        </w:rPr>
        <w:t xml:space="preserve">第二部分 </w:t>
      </w:r>
      <w:r>
        <w:rPr>
          <w:rFonts w:hint="eastAsia" w:ascii="黑体" w:eastAsia="黑体"/>
          <w:b w:val="0"/>
          <w:bCs/>
          <w:color w:val="auto"/>
          <w:highlight w:val="none"/>
          <w:lang w:val="en-US" w:eastAsia="zh-CN"/>
        </w:rPr>
        <w:t>2021年度</w:t>
      </w:r>
      <w:r>
        <w:rPr>
          <w:rStyle w:val="16"/>
          <w:rFonts w:hint="eastAsia" w:ascii="黑体" w:eastAsia="黑体"/>
          <w:b w:val="0"/>
          <w:bCs/>
          <w:color w:val="auto"/>
          <w:highlight w:val="none"/>
          <w:lang w:eastAsia="zh-CN"/>
        </w:rPr>
        <w:t>单位</w:t>
      </w:r>
      <w:r>
        <w:rPr>
          <w:rStyle w:val="16"/>
          <w:rFonts w:hint="eastAsia" w:ascii="黑体" w:eastAsia="黑体"/>
          <w:b w:val="0"/>
          <w:bCs/>
          <w:color w:val="auto"/>
          <w:highlight w:val="none"/>
        </w:rPr>
        <w:t>决算情况说明</w:t>
      </w:r>
      <w:bookmarkEnd w:id="16"/>
      <w:bookmarkEnd w:id="17"/>
    </w:p>
    <w:p>
      <w:pPr>
        <w:rPr>
          <w:color w:val="auto"/>
          <w:highlight w:val="none"/>
        </w:rPr>
      </w:pPr>
    </w:p>
    <w:p>
      <w:pPr>
        <w:pStyle w:val="22"/>
        <w:numPr>
          <w:ilvl w:val="0"/>
          <w:numId w:val="2"/>
        </w:numPr>
        <w:spacing w:line="600" w:lineRule="exact"/>
        <w:ind w:firstLineChars="0"/>
        <w:outlineLvl w:val="1"/>
        <w:rPr>
          <w:rStyle w:val="17"/>
          <w:rFonts w:ascii="黑体" w:eastAsia="黑体"/>
          <w:b w:val="0"/>
          <w:color w:val="auto"/>
          <w:highlight w:val="none"/>
        </w:rPr>
      </w:pPr>
      <w:bookmarkStart w:id="18" w:name="_Toc15377205"/>
      <w:bookmarkStart w:id="19" w:name="_Toc15396603"/>
      <w:r>
        <w:rPr>
          <w:rFonts w:hint="eastAsia" w:ascii="黑体" w:eastAsia="黑体"/>
          <w:color w:val="auto"/>
          <w:sz w:val="32"/>
          <w:szCs w:val="32"/>
          <w:highlight w:val="none"/>
        </w:rPr>
        <w:t>收</w:t>
      </w:r>
      <w:r>
        <w:rPr>
          <w:rStyle w:val="17"/>
          <w:rFonts w:hint="eastAsia" w:ascii="黑体" w:eastAsia="黑体"/>
          <w:b w:val="0"/>
          <w:color w:val="auto"/>
          <w:highlight w:val="none"/>
        </w:rPr>
        <w:t>入支出决算总体情况说明</w:t>
      </w:r>
      <w:bookmarkEnd w:id="18"/>
      <w:bookmarkEnd w:id="19"/>
    </w:p>
    <w:p>
      <w:pPr>
        <w:spacing w:line="600" w:lineRule="exact"/>
        <w:ind w:firstLine="640" w:firstLineChars="200"/>
        <w:rPr>
          <w:rFonts w:hint="eastAsia" w:ascii="仿宋" w:eastAsia="仿宋"/>
          <w:color w:val="auto"/>
          <w:sz w:val="32"/>
          <w:szCs w:val="32"/>
          <w:highlight w:val="none"/>
          <w:lang w:val="en-US" w:eastAsia="zh-CN"/>
        </w:rPr>
      </w:pPr>
      <w:r>
        <w:rPr>
          <w:rFonts w:hint="eastAsia"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年度收、支总计</w:t>
      </w:r>
      <w:r>
        <w:rPr>
          <w:rFonts w:hint="eastAsia" w:ascii="仿宋" w:eastAsia="仿宋"/>
          <w:color w:val="auto"/>
          <w:sz w:val="32"/>
          <w:szCs w:val="32"/>
          <w:highlight w:val="none"/>
          <w:lang w:val="en-US" w:eastAsia="zh-CN"/>
        </w:rPr>
        <w:t>2889.04</w:t>
      </w:r>
      <w:r>
        <w:rPr>
          <w:rFonts w:hint="eastAsia" w:ascii="仿宋" w:eastAsia="仿宋"/>
          <w:color w:val="auto"/>
          <w:sz w:val="32"/>
          <w:szCs w:val="32"/>
          <w:highlight w:val="none"/>
        </w:rPr>
        <w:t>万元。与20</w:t>
      </w:r>
      <w:r>
        <w:rPr>
          <w:rFonts w:hint="eastAsia" w:ascii="仿宋" w:eastAsia="仿宋"/>
          <w:color w:val="auto"/>
          <w:sz w:val="32"/>
          <w:szCs w:val="32"/>
          <w:highlight w:val="none"/>
          <w:lang w:val="en-US" w:eastAsia="zh-CN"/>
        </w:rPr>
        <w:t>20</w:t>
      </w:r>
      <w:r>
        <w:rPr>
          <w:rFonts w:hint="eastAsia" w:ascii="仿宋" w:eastAsia="仿宋"/>
          <w:color w:val="auto"/>
          <w:sz w:val="32"/>
          <w:szCs w:val="32"/>
          <w:highlight w:val="none"/>
        </w:rPr>
        <w:t>年相比，收、支总计各减少</w:t>
      </w:r>
      <w:r>
        <w:rPr>
          <w:rFonts w:hint="eastAsia" w:ascii="仿宋" w:eastAsia="仿宋"/>
          <w:color w:val="auto"/>
          <w:sz w:val="32"/>
          <w:szCs w:val="32"/>
          <w:highlight w:val="none"/>
          <w:lang w:val="en-US" w:eastAsia="zh-CN"/>
        </w:rPr>
        <w:t>1144.08</w:t>
      </w:r>
      <w:r>
        <w:rPr>
          <w:rFonts w:hint="eastAsia" w:ascii="仿宋" w:eastAsia="仿宋"/>
          <w:color w:val="auto"/>
          <w:sz w:val="32"/>
          <w:szCs w:val="32"/>
          <w:highlight w:val="none"/>
        </w:rPr>
        <w:t>万元，下降</w:t>
      </w:r>
      <w:r>
        <w:rPr>
          <w:rFonts w:hint="eastAsia" w:ascii="仿宋" w:eastAsia="仿宋"/>
          <w:color w:val="auto"/>
          <w:sz w:val="32"/>
          <w:szCs w:val="32"/>
          <w:highlight w:val="none"/>
          <w:lang w:val="en-US" w:eastAsia="zh-CN"/>
        </w:rPr>
        <w:t>28.37</w:t>
      </w:r>
      <w:r>
        <w:rPr>
          <w:rFonts w:ascii="仿宋" w:eastAsia="仿宋"/>
          <w:color w:val="auto"/>
          <w:sz w:val="32"/>
          <w:szCs w:val="32"/>
          <w:highlight w:val="none"/>
        </w:rPr>
        <w:t>%</w:t>
      </w:r>
      <w:r>
        <w:rPr>
          <w:rFonts w:hint="eastAsia" w:ascii="仿宋" w:eastAsia="仿宋"/>
          <w:color w:val="auto"/>
          <w:sz w:val="32"/>
          <w:szCs w:val="32"/>
          <w:highlight w:val="none"/>
        </w:rPr>
        <w:t>。主要变动原因是</w:t>
      </w:r>
      <w:r>
        <w:rPr>
          <w:rFonts w:hint="eastAsia" w:ascii="仿宋" w:eastAsia="仿宋"/>
          <w:color w:val="000000"/>
          <w:sz w:val="32"/>
          <w:szCs w:val="32"/>
        </w:rPr>
        <w:t>受疫情影响，各项财政收入减少，相应的</w:t>
      </w:r>
      <w:r>
        <w:rPr>
          <w:rFonts w:hint="eastAsia" w:ascii="仿宋" w:eastAsia="仿宋"/>
          <w:color w:val="000000"/>
          <w:sz w:val="32"/>
          <w:szCs w:val="32"/>
          <w:lang w:eastAsia="zh-CN"/>
        </w:rPr>
        <w:t>收支</w:t>
      </w:r>
      <w:r>
        <w:rPr>
          <w:rFonts w:hint="eastAsia" w:ascii="仿宋" w:eastAsia="仿宋"/>
          <w:color w:val="000000"/>
          <w:sz w:val="32"/>
          <w:szCs w:val="32"/>
        </w:rPr>
        <w:t>减少</w:t>
      </w:r>
      <w:r>
        <w:rPr>
          <w:rFonts w:hint="eastAsia" w:ascii="仿宋" w:eastAsia="仿宋"/>
          <w:color w:val="000000"/>
          <w:sz w:val="32"/>
          <w:szCs w:val="32"/>
          <w:lang w:eastAsia="zh-CN"/>
        </w:rPr>
        <w:t>。</w:t>
      </w:r>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（图</w:t>
      </w:r>
      <w:r>
        <w:rPr>
          <w:rFonts w:ascii="仿宋" w:eastAsia="仿宋"/>
          <w:color w:val="auto"/>
          <w:sz w:val="32"/>
          <w:szCs w:val="32"/>
          <w:highlight w:val="none"/>
        </w:rPr>
        <w:t>1</w:t>
      </w:r>
      <w:r>
        <w:rPr>
          <w:rFonts w:hint="eastAsia" w:asci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2"/>
        <w:numPr>
          <w:ilvl w:val="0"/>
          <w:numId w:val="2"/>
        </w:numPr>
        <w:spacing w:line="600" w:lineRule="exact"/>
        <w:ind w:firstLineChars="0"/>
        <w:outlineLvl w:val="1"/>
        <w:rPr>
          <w:rStyle w:val="17"/>
          <w:rFonts w:ascii="黑体" w:eastAsia="黑体"/>
          <w:b w:val="0"/>
          <w:color w:val="auto"/>
          <w:highlight w:val="none"/>
        </w:rPr>
      </w:pPr>
      <w:bookmarkStart w:id="20" w:name="_Toc15396604"/>
      <w:bookmarkStart w:id="21" w:name="_Toc15377206"/>
      <w:r>
        <w:rPr>
          <w:rFonts w:hint="eastAsia" w:ascii="黑体" w:eastAsia="黑体"/>
          <w:color w:val="auto"/>
          <w:sz w:val="32"/>
          <w:szCs w:val="32"/>
          <w:highlight w:val="none"/>
        </w:rPr>
        <w:t>收</w:t>
      </w:r>
      <w:r>
        <w:rPr>
          <w:rStyle w:val="17"/>
          <w:rFonts w:hint="eastAsia" w:ascii="黑体" w:eastAsia="黑体"/>
          <w:b w:val="0"/>
          <w:color w:val="auto"/>
          <w:highlight w:val="none"/>
        </w:rPr>
        <w:t>入决算情况说明</w:t>
      </w:r>
      <w:bookmarkEnd w:id="20"/>
      <w:bookmarkEnd w:id="21"/>
    </w:p>
    <w:p>
      <w:pPr>
        <w:spacing w:line="600" w:lineRule="exact"/>
        <w:ind w:firstLine="640" w:firstLineChars="200"/>
        <w:outlineLvl w:val="1"/>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年本年收入合计</w:t>
      </w:r>
      <w:r>
        <w:rPr>
          <w:rFonts w:hint="eastAsia" w:ascii="仿宋" w:eastAsia="仿宋"/>
          <w:color w:val="auto"/>
          <w:sz w:val="32"/>
          <w:szCs w:val="32"/>
          <w:highlight w:val="none"/>
          <w:lang w:val="en-US" w:eastAsia="zh-CN"/>
        </w:rPr>
        <w:t>2798.05</w:t>
      </w:r>
      <w:r>
        <w:rPr>
          <w:rFonts w:hint="eastAsia" w:ascii="仿宋" w:eastAsia="仿宋"/>
          <w:color w:val="auto"/>
          <w:sz w:val="32"/>
          <w:szCs w:val="32"/>
          <w:highlight w:val="none"/>
        </w:rPr>
        <w:t>万元，其中：一般公共预算财政拨款收入</w:t>
      </w:r>
      <w:r>
        <w:rPr>
          <w:rFonts w:hint="eastAsia" w:ascii="仿宋" w:eastAsia="仿宋"/>
          <w:color w:val="auto"/>
          <w:sz w:val="32"/>
          <w:szCs w:val="32"/>
          <w:highlight w:val="none"/>
          <w:lang w:val="en-US" w:eastAsia="zh-CN"/>
        </w:rPr>
        <w:t>2681.96</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95.85</w:t>
      </w:r>
      <w:r>
        <w:rPr>
          <w:rFonts w:ascii="仿宋" w:eastAsia="仿宋"/>
          <w:color w:val="auto"/>
          <w:sz w:val="32"/>
          <w:szCs w:val="32"/>
          <w:highlight w:val="none"/>
        </w:rPr>
        <w:t>%</w:t>
      </w:r>
      <w:r>
        <w:rPr>
          <w:rFonts w:hint="eastAsia" w:ascii="仿宋" w:eastAsia="仿宋"/>
          <w:color w:val="auto"/>
          <w:sz w:val="32"/>
          <w:szCs w:val="32"/>
          <w:highlight w:val="none"/>
        </w:rPr>
        <w:t>；政府性基金预算财政拨款收入</w:t>
      </w:r>
      <w:r>
        <w:rPr>
          <w:rFonts w:hint="eastAsia" w:ascii="仿宋" w:eastAsia="仿宋"/>
          <w:color w:val="auto"/>
          <w:sz w:val="32"/>
          <w:szCs w:val="32"/>
          <w:highlight w:val="none"/>
          <w:lang w:val="en-US" w:eastAsia="zh-CN"/>
        </w:rPr>
        <w:t>116.1</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4.15</w:t>
      </w:r>
      <w:r>
        <w:rPr>
          <w:rFonts w:ascii="仿宋" w:eastAsia="仿宋"/>
          <w:color w:val="auto"/>
          <w:sz w:val="32"/>
          <w:szCs w:val="32"/>
          <w:highlight w:val="none"/>
        </w:rPr>
        <w:t>%</w:t>
      </w:r>
      <w:r>
        <w:rPr>
          <w:rFonts w:hint="eastAsia" w:ascii="仿宋" w:eastAsia="仿宋"/>
          <w:color w:val="auto"/>
          <w:sz w:val="32"/>
          <w:szCs w:val="32"/>
          <w:highlight w:val="none"/>
        </w:rPr>
        <w:t>；</w:t>
      </w:r>
      <w:r>
        <w:rPr>
          <w:rFonts w:hint="eastAsia" w:ascii="仿宋" w:eastAsia="仿宋"/>
          <w:color w:val="auto"/>
          <w:sz w:val="32"/>
          <w:szCs w:val="32"/>
          <w:highlight w:val="none"/>
          <w:lang w:eastAsia="zh-CN"/>
        </w:rPr>
        <w:t>国有资本经营预算财政拨款收入</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；上级补助收入</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；事业收入</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；经营收入</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；附属单位上缴收入</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；其他收入</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w:t>
      </w:r>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inline distT="0" distB="0" distL="114300" distR="114300">
            <wp:extent cx="5909945" cy="4013835"/>
            <wp:effectExtent l="4445" t="4445" r="10160" b="203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2"/>
        <w:numPr>
          <w:ilvl w:val="0"/>
          <w:numId w:val="2"/>
        </w:numPr>
        <w:spacing w:line="600" w:lineRule="exact"/>
        <w:ind w:firstLineChars="0"/>
        <w:outlineLvl w:val="1"/>
        <w:rPr>
          <w:rStyle w:val="17"/>
          <w:rFonts w:ascii="黑体" w:eastAsia="黑体"/>
          <w:b w:val="0"/>
          <w:color w:val="auto"/>
          <w:highlight w:val="none"/>
        </w:rPr>
      </w:pPr>
      <w:bookmarkStart w:id="22" w:name="_Toc15377207"/>
      <w:bookmarkStart w:id="23" w:name="_Toc15396605"/>
      <w:r>
        <w:rPr>
          <w:rFonts w:hint="eastAsia" w:ascii="黑体" w:eastAsia="黑体"/>
          <w:color w:val="auto"/>
          <w:sz w:val="32"/>
          <w:szCs w:val="32"/>
          <w:highlight w:val="none"/>
        </w:rPr>
        <w:t>支</w:t>
      </w:r>
      <w:r>
        <w:rPr>
          <w:rStyle w:val="17"/>
          <w:rFonts w:hint="eastAsia" w:ascii="黑体" w:eastAsia="黑体"/>
          <w:b w:val="0"/>
          <w:color w:val="auto"/>
          <w:highlight w:val="none"/>
        </w:rPr>
        <w:t>出决算情况说明</w:t>
      </w:r>
      <w:bookmarkEnd w:id="22"/>
      <w:bookmarkEnd w:id="23"/>
    </w:p>
    <w:p>
      <w:pPr>
        <w:spacing w:line="600" w:lineRule="exact"/>
        <w:ind w:firstLine="640" w:firstLineChars="200"/>
        <w:outlineLvl w:val="1"/>
        <w:rPr>
          <w:rFonts w:ascii="仿宋" w:eastAsia="仿宋"/>
          <w:color w:val="auto"/>
          <w:sz w:val="32"/>
          <w:szCs w:val="32"/>
          <w:highlight w:val="none"/>
          <w:shd w:val="pct10" w:color="auto" w:fill="FFFFFF"/>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年本年支出合计</w:t>
      </w:r>
      <w:r>
        <w:rPr>
          <w:rFonts w:hint="eastAsia" w:ascii="仿宋" w:eastAsia="仿宋"/>
          <w:color w:val="auto"/>
          <w:sz w:val="32"/>
          <w:szCs w:val="32"/>
          <w:highlight w:val="none"/>
          <w:lang w:val="en-US" w:eastAsia="zh-CN"/>
        </w:rPr>
        <w:t>2885.11</w:t>
      </w:r>
      <w:r>
        <w:rPr>
          <w:rFonts w:hint="eastAsia" w:ascii="仿宋" w:eastAsia="仿宋"/>
          <w:color w:val="auto"/>
          <w:sz w:val="32"/>
          <w:szCs w:val="32"/>
          <w:highlight w:val="none"/>
        </w:rPr>
        <w:t>万元，其中：基本支出</w:t>
      </w:r>
      <w:r>
        <w:rPr>
          <w:rFonts w:hint="eastAsia" w:ascii="仿宋" w:eastAsia="仿宋"/>
          <w:color w:val="auto"/>
          <w:sz w:val="32"/>
          <w:szCs w:val="32"/>
          <w:highlight w:val="none"/>
          <w:lang w:val="en-US" w:eastAsia="zh-CN"/>
        </w:rPr>
        <w:t>1534.21</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53.18</w:t>
      </w:r>
      <w:r>
        <w:rPr>
          <w:rFonts w:ascii="仿宋" w:eastAsia="仿宋"/>
          <w:color w:val="auto"/>
          <w:sz w:val="32"/>
          <w:szCs w:val="32"/>
          <w:highlight w:val="none"/>
        </w:rPr>
        <w:t>%</w:t>
      </w:r>
      <w:r>
        <w:rPr>
          <w:rFonts w:hint="eastAsia" w:ascii="仿宋" w:eastAsia="仿宋"/>
          <w:color w:val="auto"/>
          <w:sz w:val="32"/>
          <w:szCs w:val="32"/>
          <w:highlight w:val="none"/>
        </w:rPr>
        <w:t>；项目支出</w:t>
      </w:r>
      <w:r>
        <w:rPr>
          <w:rFonts w:hint="eastAsia" w:ascii="仿宋" w:eastAsia="仿宋"/>
          <w:color w:val="auto"/>
          <w:sz w:val="32"/>
          <w:szCs w:val="32"/>
          <w:highlight w:val="none"/>
          <w:lang w:val="en-US" w:eastAsia="zh-CN"/>
        </w:rPr>
        <w:t>1350.9</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46.82</w:t>
      </w:r>
      <w:r>
        <w:rPr>
          <w:rFonts w:ascii="仿宋" w:eastAsia="仿宋"/>
          <w:color w:val="auto"/>
          <w:sz w:val="32"/>
          <w:szCs w:val="32"/>
          <w:highlight w:val="none"/>
        </w:rPr>
        <w:t>%</w:t>
      </w:r>
      <w:r>
        <w:rPr>
          <w:rFonts w:hint="eastAsia" w:ascii="仿宋" w:eastAsia="仿宋"/>
          <w:color w:val="auto"/>
          <w:sz w:val="32"/>
          <w:szCs w:val="32"/>
          <w:highlight w:val="none"/>
        </w:rPr>
        <w:t>；上缴上级支出</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；经营支出</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；对附属单位补助支出</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w:t>
      </w:r>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inline distT="0" distB="0" distL="114300" distR="114300">
            <wp:extent cx="5909945" cy="4013835"/>
            <wp:effectExtent l="4445" t="4445" r="10160"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rPr>
          <w:rFonts w:hint="eastAsia" w:ascii="仿宋_GB2312" w:eastAsia="仿宋_GB2312"/>
          <w:color w:val="auto"/>
          <w:sz w:val="32"/>
          <w:szCs w:val="32"/>
          <w:highlight w:val="none"/>
          <w:lang w:eastAsia="zh-CN"/>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spacing w:line="600" w:lineRule="exact"/>
        <w:ind w:firstLine="640" w:firstLineChars="200"/>
        <w:outlineLvl w:val="1"/>
        <w:rPr>
          <w:rStyle w:val="17"/>
          <w:rFonts w:ascii="黑体" w:eastAsia="黑体"/>
          <w:b w:val="0"/>
          <w:color w:val="auto"/>
          <w:highlight w:val="none"/>
        </w:rPr>
      </w:pPr>
      <w:bookmarkStart w:id="24" w:name="_Toc15377208"/>
      <w:bookmarkStart w:id="25" w:name="_Toc15396606"/>
      <w:r>
        <w:rPr>
          <w:rFonts w:hint="eastAsia" w:ascii="黑体" w:eastAsia="黑体"/>
          <w:color w:val="auto"/>
          <w:sz w:val="32"/>
          <w:szCs w:val="32"/>
          <w:highlight w:val="none"/>
        </w:rPr>
        <w:t>四、财</w:t>
      </w:r>
      <w:r>
        <w:rPr>
          <w:rStyle w:val="17"/>
          <w:rFonts w:hint="eastAsia" w:ascii="黑体" w:eastAsia="黑体"/>
          <w:b w:val="0"/>
          <w:color w:val="auto"/>
          <w:highlight w:val="none"/>
        </w:rPr>
        <w:t>政拨款收入支出决算总体情况说明</w:t>
      </w:r>
      <w:bookmarkEnd w:id="24"/>
      <w:bookmarkEnd w:id="25"/>
    </w:p>
    <w:p>
      <w:pPr>
        <w:spacing w:line="600" w:lineRule="exact"/>
        <w:ind w:firstLine="640"/>
        <w:rPr>
          <w:rFonts w:hint="eastAsia" w:ascii="仿宋" w:eastAsia="仿宋"/>
          <w:color w:val="auto"/>
          <w:sz w:val="32"/>
          <w:szCs w:val="32"/>
          <w:highlight w:val="none"/>
          <w:lang w:eastAsia="zh-CN"/>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年财政拨款收、支总计</w:t>
      </w:r>
      <w:r>
        <w:rPr>
          <w:rFonts w:hint="eastAsia" w:ascii="仿宋" w:eastAsia="仿宋"/>
          <w:color w:val="auto"/>
          <w:sz w:val="32"/>
          <w:szCs w:val="32"/>
          <w:highlight w:val="none"/>
          <w:lang w:val="en-US" w:eastAsia="zh-CN"/>
        </w:rPr>
        <w:t>2889.04</w:t>
      </w:r>
      <w:r>
        <w:rPr>
          <w:rFonts w:hint="eastAsia" w:ascii="仿宋" w:eastAsia="仿宋"/>
          <w:color w:val="auto"/>
          <w:sz w:val="32"/>
          <w:szCs w:val="32"/>
          <w:highlight w:val="none"/>
        </w:rPr>
        <w:t>万元。与</w:t>
      </w:r>
      <w:r>
        <w:rPr>
          <w:rFonts w:ascii="仿宋" w:eastAsia="仿宋"/>
          <w:color w:val="auto"/>
          <w:sz w:val="32"/>
          <w:szCs w:val="32"/>
          <w:highlight w:val="none"/>
        </w:rPr>
        <w:t>20</w:t>
      </w:r>
      <w:r>
        <w:rPr>
          <w:rFonts w:hint="eastAsia" w:ascii="仿宋" w:eastAsia="仿宋"/>
          <w:color w:val="auto"/>
          <w:sz w:val="32"/>
          <w:szCs w:val="32"/>
          <w:highlight w:val="none"/>
          <w:lang w:val="en-US" w:eastAsia="zh-CN"/>
        </w:rPr>
        <w:t>20</w:t>
      </w:r>
      <w:r>
        <w:rPr>
          <w:rFonts w:hint="eastAsia" w:ascii="仿宋" w:eastAsia="仿宋"/>
          <w:color w:val="auto"/>
          <w:sz w:val="32"/>
          <w:szCs w:val="32"/>
          <w:highlight w:val="none"/>
        </w:rPr>
        <w:t>年相比，财政拨款收、支总计各减少</w:t>
      </w:r>
      <w:r>
        <w:rPr>
          <w:rFonts w:hint="eastAsia" w:ascii="仿宋" w:eastAsia="仿宋"/>
          <w:color w:val="auto"/>
          <w:sz w:val="32"/>
          <w:szCs w:val="32"/>
          <w:highlight w:val="none"/>
          <w:lang w:val="en-US" w:eastAsia="zh-CN"/>
        </w:rPr>
        <w:t>1144.08</w:t>
      </w:r>
      <w:r>
        <w:rPr>
          <w:rFonts w:hint="eastAsia" w:ascii="仿宋" w:eastAsia="仿宋"/>
          <w:color w:val="auto"/>
          <w:sz w:val="32"/>
          <w:szCs w:val="32"/>
          <w:highlight w:val="none"/>
        </w:rPr>
        <w:t>万元，下降</w:t>
      </w:r>
      <w:r>
        <w:rPr>
          <w:rFonts w:hint="eastAsia" w:ascii="仿宋" w:eastAsia="仿宋"/>
          <w:color w:val="auto"/>
          <w:sz w:val="32"/>
          <w:szCs w:val="32"/>
          <w:highlight w:val="none"/>
          <w:lang w:val="en-US" w:eastAsia="zh-CN"/>
        </w:rPr>
        <w:t>28.37</w:t>
      </w:r>
      <w:r>
        <w:rPr>
          <w:rFonts w:ascii="仿宋" w:eastAsia="仿宋"/>
          <w:color w:val="auto"/>
          <w:sz w:val="32"/>
          <w:szCs w:val="32"/>
          <w:highlight w:val="none"/>
        </w:rPr>
        <w:t>%</w:t>
      </w:r>
      <w:r>
        <w:rPr>
          <w:rFonts w:hint="eastAsia" w:ascii="仿宋" w:eastAsia="仿宋"/>
          <w:color w:val="auto"/>
          <w:sz w:val="32"/>
          <w:szCs w:val="32"/>
          <w:highlight w:val="none"/>
        </w:rPr>
        <w:t>。主要变动原因是</w:t>
      </w:r>
      <w:r>
        <w:rPr>
          <w:rFonts w:hint="eastAsia" w:ascii="仿宋" w:eastAsia="仿宋"/>
          <w:color w:val="000000"/>
          <w:sz w:val="32"/>
          <w:szCs w:val="32"/>
        </w:rPr>
        <w:t>受疫情影响，各项财政收入减少，相应的支出减少，如校园艺术节、青少年体育赛事等</w:t>
      </w:r>
      <w:r>
        <w:rPr>
          <w:rFonts w:hint="eastAsia" w:ascii="仿宋" w:eastAsia="仿宋"/>
          <w:color w:val="000000"/>
          <w:sz w:val="32"/>
          <w:szCs w:val="32"/>
          <w:lang w:eastAsia="zh-CN"/>
        </w:rPr>
        <w:t>。</w:t>
      </w:r>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（图4：财政拨款收、支决算总计变动情况）（柱状图）</w:t>
      </w:r>
    </w:p>
    <w:p>
      <w:pPr>
        <w:spacing w:line="600" w:lineRule="exact"/>
        <w:ind w:firstLine="640"/>
        <w:rPr>
          <w:rFonts w:ascii="仿宋" w:eastAsia="仿宋"/>
          <w:b/>
          <w:color w:val="auto"/>
          <w:sz w:val="32"/>
          <w:szCs w:val="32"/>
          <w:highlight w:val="none"/>
        </w:rPr>
      </w:pPr>
    </w:p>
    <w:p>
      <w:pPr>
        <w:pStyle w:val="2"/>
        <w:rPr>
          <w:rFonts w:ascii="仿宋" w:eastAsia="仿宋"/>
          <w:b/>
          <w:color w:val="auto"/>
          <w:sz w:val="32"/>
          <w:szCs w:val="32"/>
          <w:highlight w:val="none"/>
        </w:rPr>
      </w:pPr>
    </w:p>
    <w:p>
      <w:pPr>
        <w:pStyle w:val="2"/>
        <w:rPr>
          <w:rFonts w:ascii="仿宋" w:eastAsia="仿宋"/>
          <w:b/>
          <w:color w:val="auto"/>
          <w:sz w:val="32"/>
          <w:szCs w:val="32"/>
          <w:highlight w:val="none"/>
        </w:rPr>
      </w:pPr>
      <w:r>
        <w:rPr>
          <w:rFonts w:hint="eastAsia" w:ascii="仿宋_GB2312" w:eastAsia="仿宋_GB2312"/>
          <w:color w:val="auto"/>
          <w:sz w:val="32"/>
          <w:szCs w:val="32"/>
          <w:highlight w:val="none"/>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rPr>
          <w:rFonts w:ascii="仿宋" w:eastAsia="仿宋"/>
          <w:b/>
          <w:color w:val="auto"/>
          <w:sz w:val="32"/>
          <w:szCs w:val="32"/>
          <w:highlight w:val="none"/>
        </w:rPr>
      </w:pPr>
    </w:p>
    <w:p>
      <w:pPr>
        <w:pStyle w:val="2"/>
        <w:rPr>
          <w:rFonts w:ascii="仿宋" w:eastAsia="仿宋"/>
          <w:b/>
          <w:color w:val="auto"/>
          <w:sz w:val="32"/>
          <w:szCs w:val="32"/>
          <w:highlight w:val="none"/>
        </w:rPr>
      </w:pPr>
    </w:p>
    <w:p>
      <w:pPr>
        <w:pStyle w:val="2"/>
        <w:rPr>
          <w:rFonts w:ascii="仿宋" w:eastAsia="仿宋"/>
          <w:b/>
          <w:color w:val="auto"/>
          <w:sz w:val="32"/>
          <w:szCs w:val="32"/>
          <w:highlight w:val="none"/>
        </w:rPr>
      </w:pPr>
    </w:p>
    <w:p>
      <w:pPr>
        <w:spacing w:line="600" w:lineRule="exact"/>
        <w:ind w:firstLine="640" w:firstLineChars="200"/>
        <w:outlineLvl w:val="1"/>
        <w:rPr>
          <w:rStyle w:val="17"/>
          <w:rFonts w:ascii="黑体" w:eastAsia="黑体"/>
          <w:b w:val="0"/>
          <w:color w:val="auto"/>
          <w:highlight w:val="none"/>
        </w:rPr>
      </w:pPr>
      <w:bookmarkStart w:id="26" w:name="_Toc15377209"/>
      <w:bookmarkStart w:id="27" w:name="_Toc15396607"/>
      <w:r>
        <w:rPr>
          <w:rFonts w:hint="eastAsia" w:ascii="黑体" w:eastAsia="黑体"/>
          <w:color w:val="auto"/>
          <w:sz w:val="32"/>
          <w:szCs w:val="32"/>
          <w:highlight w:val="none"/>
        </w:rPr>
        <w:t>五、</w:t>
      </w:r>
      <w:r>
        <w:rPr>
          <w:rFonts w:hint="eastAsia" w:ascii="黑体" w:eastAsia="黑体"/>
          <w:b/>
          <w:color w:val="auto"/>
          <w:sz w:val="32"/>
          <w:szCs w:val="32"/>
          <w:highlight w:val="none"/>
        </w:rPr>
        <w:t>一</w:t>
      </w:r>
      <w:r>
        <w:rPr>
          <w:rStyle w:val="17"/>
          <w:rFonts w:hint="eastAsia" w:asci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eastAsia="仿宋"/>
          <w:b/>
          <w:color w:val="auto"/>
          <w:sz w:val="32"/>
          <w:szCs w:val="32"/>
          <w:highlight w:val="none"/>
        </w:rPr>
      </w:pPr>
      <w:bookmarkStart w:id="28" w:name="_Toc15377210"/>
      <w:r>
        <w:rPr>
          <w:rFonts w:hint="eastAsia" w:asci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eastAsia="仿宋"/>
          <w:color w:val="auto"/>
          <w:sz w:val="32"/>
          <w:szCs w:val="32"/>
          <w:highlight w:val="none"/>
          <w:lang w:val="en-US" w:eastAsia="zh-CN"/>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年一般公共预算财政拨款支出</w:t>
      </w:r>
      <w:r>
        <w:rPr>
          <w:rFonts w:hint="eastAsia" w:ascii="仿宋" w:eastAsia="仿宋"/>
          <w:color w:val="auto"/>
          <w:sz w:val="32"/>
          <w:szCs w:val="32"/>
          <w:highlight w:val="none"/>
          <w:lang w:val="en-US" w:eastAsia="zh-CN"/>
        </w:rPr>
        <w:t>2769.01</w:t>
      </w:r>
      <w:r>
        <w:rPr>
          <w:rFonts w:hint="eastAsia" w:ascii="仿宋" w:eastAsia="仿宋"/>
          <w:color w:val="auto"/>
          <w:sz w:val="32"/>
          <w:szCs w:val="32"/>
          <w:highlight w:val="none"/>
        </w:rPr>
        <w:t>万元，占本年支出合计的</w:t>
      </w:r>
      <w:r>
        <w:rPr>
          <w:rFonts w:hint="eastAsia" w:ascii="仿宋" w:eastAsia="仿宋"/>
          <w:color w:val="auto"/>
          <w:sz w:val="32"/>
          <w:szCs w:val="32"/>
          <w:highlight w:val="none"/>
          <w:lang w:val="en-US" w:eastAsia="zh-CN"/>
        </w:rPr>
        <w:t>95.98</w:t>
      </w:r>
      <w:r>
        <w:rPr>
          <w:rFonts w:ascii="仿宋" w:eastAsia="仿宋"/>
          <w:color w:val="auto"/>
          <w:sz w:val="32"/>
          <w:szCs w:val="32"/>
          <w:highlight w:val="none"/>
        </w:rPr>
        <w:t>%</w:t>
      </w:r>
      <w:r>
        <w:rPr>
          <w:rFonts w:hint="eastAsia" w:ascii="仿宋" w:eastAsia="仿宋"/>
          <w:color w:val="auto"/>
          <w:sz w:val="32"/>
          <w:szCs w:val="32"/>
          <w:highlight w:val="none"/>
        </w:rPr>
        <w:t>。与</w:t>
      </w:r>
      <w:r>
        <w:rPr>
          <w:rFonts w:ascii="仿宋" w:eastAsia="仿宋"/>
          <w:color w:val="auto"/>
          <w:sz w:val="32"/>
          <w:szCs w:val="32"/>
          <w:highlight w:val="none"/>
        </w:rPr>
        <w:t>20</w:t>
      </w:r>
      <w:r>
        <w:rPr>
          <w:rFonts w:hint="eastAsia" w:ascii="仿宋" w:eastAsia="仿宋"/>
          <w:color w:val="auto"/>
          <w:sz w:val="32"/>
          <w:szCs w:val="32"/>
          <w:highlight w:val="none"/>
          <w:lang w:val="en-US" w:eastAsia="zh-CN"/>
        </w:rPr>
        <w:t>20</w:t>
      </w:r>
      <w:r>
        <w:rPr>
          <w:rFonts w:hint="eastAsia" w:ascii="仿宋" w:eastAsia="仿宋"/>
          <w:color w:val="auto"/>
          <w:sz w:val="32"/>
          <w:szCs w:val="32"/>
          <w:highlight w:val="none"/>
        </w:rPr>
        <w:t>年相比，一般公共预算财政拨款</w:t>
      </w:r>
      <w:r>
        <w:rPr>
          <w:rFonts w:hint="eastAsia" w:ascii="仿宋" w:eastAsia="仿宋"/>
          <w:color w:val="auto"/>
          <w:sz w:val="32"/>
          <w:szCs w:val="32"/>
          <w:highlight w:val="none"/>
          <w:lang w:eastAsia="zh-CN"/>
        </w:rPr>
        <w:t>支出</w:t>
      </w:r>
      <w:r>
        <w:rPr>
          <w:rFonts w:hint="eastAsia" w:ascii="仿宋" w:eastAsia="仿宋"/>
          <w:color w:val="auto"/>
          <w:sz w:val="32"/>
          <w:szCs w:val="32"/>
          <w:highlight w:val="none"/>
        </w:rPr>
        <w:t>减少</w:t>
      </w:r>
      <w:r>
        <w:rPr>
          <w:rFonts w:hint="eastAsia" w:ascii="仿宋" w:eastAsia="仿宋"/>
          <w:color w:val="auto"/>
          <w:sz w:val="32"/>
          <w:szCs w:val="32"/>
          <w:highlight w:val="none"/>
          <w:lang w:val="en-US" w:eastAsia="zh-CN"/>
        </w:rPr>
        <w:t>599.11</w:t>
      </w:r>
      <w:r>
        <w:rPr>
          <w:rFonts w:hint="eastAsia" w:ascii="仿宋" w:eastAsia="仿宋"/>
          <w:color w:val="auto"/>
          <w:sz w:val="32"/>
          <w:szCs w:val="32"/>
          <w:highlight w:val="none"/>
        </w:rPr>
        <w:t>万元</w:t>
      </w:r>
      <w:r>
        <w:rPr>
          <w:rFonts w:hint="eastAsia" w:ascii="仿宋" w:eastAsia="仿宋"/>
          <w:color w:val="auto"/>
          <w:sz w:val="32"/>
          <w:szCs w:val="32"/>
          <w:highlight w:val="none"/>
          <w:lang w:eastAsia="zh-CN"/>
        </w:rPr>
        <w:t>，</w:t>
      </w:r>
      <w:r>
        <w:rPr>
          <w:rFonts w:hint="eastAsia" w:ascii="仿宋" w:eastAsia="仿宋"/>
          <w:color w:val="auto"/>
          <w:sz w:val="32"/>
          <w:szCs w:val="32"/>
          <w:highlight w:val="none"/>
        </w:rPr>
        <w:t>下降</w:t>
      </w:r>
      <w:r>
        <w:rPr>
          <w:rFonts w:hint="eastAsia" w:ascii="仿宋" w:eastAsia="仿宋"/>
          <w:color w:val="auto"/>
          <w:sz w:val="32"/>
          <w:szCs w:val="32"/>
          <w:highlight w:val="none"/>
          <w:lang w:val="en-US" w:eastAsia="zh-CN"/>
        </w:rPr>
        <w:t>17.79</w:t>
      </w:r>
      <w:r>
        <w:rPr>
          <w:rFonts w:ascii="仿宋" w:eastAsia="仿宋"/>
          <w:color w:val="auto"/>
          <w:sz w:val="32"/>
          <w:szCs w:val="32"/>
          <w:highlight w:val="none"/>
        </w:rPr>
        <w:t>%</w:t>
      </w:r>
      <w:r>
        <w:rPr>
          <w:rFonts w:hint="eastAsia" w:ascii="仿宋" w:eastAsia="仿宋"/>
          <w:color w:val="auto"/>
          <w:sz w:val="32"/>
          <w:szCs w:val="32"/>
          <w:highlight w:val="none"/>
        </w:rPr>
        <w:t>。主要变动原因是</w:t>
      </w:r>
      <w:r>
        <w:rPr>
          <w:rFonts w:hint="eastAsia" w:ascii="仿宋" w:eastAsia="仿宋"/>
          <w:color w:val="000000"/>
          <w:sz w:val="32"/>
          <w:szCs w:val="32"/>
        </w:rPr>
        <w:t>受疫情影响，各项财政收入减少，相应的支出减少</w:t>
      </w:r>
      <w:r>
        <w:rPr>
          <w:rFonts w:hint="eastAsia" w:ascii="仿宋" w:eastAsia="仿宋"/>
          <w:color w:val="000000"/>
          <w:sz w:val="32"/>
          <w:szCs w:val="32"/>
          <w:lang w:eastAsia="zh-CN"/>
        </w:rPr>
        <w:t>。</w:t>
      </w:r>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（图5：一般公共预算财政拨款支出决算变动情况）（柱状图）</w:t>
      </w:r>
    </w:p>
    <w:p>
      <w:pPr>
        <w:spacing w:line="600" w:lineRule="exact"/>
        <w:ind w:firstLine="640" w:firstLineChars="200"/>
        <w:rPr>
          <w:rFonts w:ascii="仿宋" w:eastAsia="仿宋"/>
          <w:color w:val="auto"/>
          <w:sz w:val="32"/>
          <w:szCs w:val="32"/>
          <w:highlight w:val="none"/>
        </w:rPr>
      </w:pPr>
    </w:p>
    <w:p>
      <w:pPr>
        <w:pStyle w:val="2"/>
        <w:rPr>
          <w:rFonts w:ascii="仿宋" w:eastAsia="仿宋"/>
          <w:color w:val="auto"/>
          <w:sz w:val="32"/>
          <w:szCs w:val="32"/>
          <w:highlight w:val="none"/>
        </w:rPr>
      </w:pPr>
    </w:p>
    <w:p>
      <w:pPr>
        <w:pStyle w:val="2"/>
        <w:rPr>
          <w:rFonts w:hint="eastAsia" w:ascii="仿宋"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ascii="仿宋" w:eastAsia="仿宋"/>
          <w:color w:val="auto"/>
          <w:sz w:val="32"/>
          <w:szCs w:val="32"/>
          <w:highlight w:val="none"/>
        </w:rPr>
      </w:pPr>
    </w:p>
    <w:p>
      <w:pPr>
        <w:pStyle w:val="2"/>
        <w:rPr>
          <w:rFonts w:ascii="仿宋" w:eastAsia="仿宋"/>
          <w:color w:val="auto"/>
          <w:sz w:val="32"/>
          <w:szCs w:val="32"/>
          <w:highlight w:val="none"/>
        </w:rPr>
      </w:pPr>
    </w:p>
    <w:p>
      <w:pPr>
        <w:spacing w:line="600" w:lineRule="exact"/>
        <w:ind w:firstLine="642" w:firstLineChars="200"/>
        <w:outlineLvl w:val="2"/>
        <w:rPr>
          <w:rFonts w:ascii="仿宋" w:eastAsia="仿宋"/>
          <w:b/>
          <w:color w:val="auto"/>
          <w:sz w:val="32"/>
          <w:szCs w:val="32"/>
          <w:highlight w:val="none"/>
        </w:rPr>
      </w:pPr>
      <w:bookmarkStart w:id="29" w:name="_Toc15377211"/>
      <w:r>
        <w:rPr>
          <w:rFonts w:hint="eastAsia" w:ascii="仿宋" w:eastAsia="仿宋"/>
          <w:b/>
          <w:color w:val="auto"/>
          <w:sz w:val="32"/>
          <w:szCs w:val="32"/>
          <w:highlight w:val="none"/>
        </w:rPr>
        <w:t>（二）一般公共预算财政拨款支出决算结构情况</w:t>
      </w:r>
      <w:bookmarkEnd w:id="29"/>
    </w:p>
    <w:p>
      <w:pPr>
        <w:spacing w:line="600" w:lineRule="exact"/>
        <w:ind w:firstLine="640"/>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年一般公共预算财政拨款支出</w:t>
      </w:r>
      <w:r>
        <w:rPr>
          <w:rFonts w:hint="eastAsia" w:ascii="仿宋" w:eastAsia="仿宋"/>
          <w:color w:val="auto"/>
          <w:sz w:val="32"/>
          <w:szCs w:val="32"/>
          <w:highlight w:val="none"/>
          <w:lang w:val="en-US" w:eastAsia="zh-CN"/>
        </w:rPr>
        <w:t>2769.01</w:t>
      </w:r>
      <w:r>
        <w:rPr>
          <w:rFonts w:hint="eastAsia" w:ascii="仿宋" w:eastAsia="仿宋"/>
          <w:color w:val="auto"/>
          <w:sz w:val="32"/>
          <w:szCs w:val="32"/>
          <w:highlight w:val="none"/>
        </w:rPr>
        <w:t>万元，主要用于以下方面</w:t>
      </w:r>
      <w:r>
        <w:rPr>
          <w:rFonts w:ascii="仿宋" w:eastAsia="仿宋"/>
          <w:color w:val="auto"/>
          <w:sz w:val="32"/>
          <w:szCs w:val="32"/>
          <w:highlight w:val="none"/>
        </w:rPr>
        <w:t>:</w:t>
      </w:r>
      <w:r>
        <w:rPr>
          <w:rFonts w:hint="eastAsia" w:ascii="仿宋" w:eastAsia="仿宋"/>
          <w:color w:val="000000"/>
          <w:sz w:val="32"/>
          <w:szCs w:val="32"/>
        </w:rPr>
        <w:t>一般公共服务（类）支出</w:t>
      </w:r>
      <w:r>
        <w:rPr>
          <w:rFonts w:hint="eastAsia" w:ascii="仿宋" w:eastAsia="仿宋"/>
          <w:color w:val="000000"/>
          <w:sz w:val="32"/>
          <w:szCs w:val="32"/>
          <w:lang w:val="en-US" w:eastAsia="zh-CN"/>
        </w:rPr>
        <w:t>37.84</w:t>
      </w:r>
      <w:r>
        <w:rPr>
          <w:rFonts w:hint="eastAsia" w:ascii="仿宋" w:eastAsia="仿宋"/>
          <w:color w:val="000000"/>
          <w:sz w:val="32"/>
          <w:szCs w:val="32"/>
        </w:rPr>
        <w:t>万元，占</w:t>
      </w:r>
      <w:r>
        <w:rPr>
          <w:rFonts w:hint="eastAsia" w:ascii="仿宋" w:eastAsia="仿宋"/>
          <w:color w:val="000000"/>
          <w:sz w:val="32"/>
          <w:szCs w:val="32"/>
          <w:lang w:val="en-US" w:eastAsia="zh-CN"/>
        </w:rPr>
        <w:t>1.37</w:t>
      </w:r>
      <w:r>
        <w:rPr>
          <w:rFonts w:hint="eastAsia" w:ascii="仿宋" w:eastAsia="仿宋"/>
          <w:color w:val="000000"/>
          <w:sz w:val="32"/>
          <w:szCs w:val="32"/>
        </w:rPr>
        <w:t>%；教育支出（类）</w:t>
      </w:r>
      <w:r>
        <w:rPr>
          <w:rFonts w:hint="eastAsia" w:ascii="仿宋" w:eastAsia="仿宋"/>
          <w:color w:val="000000"/>
          <w:sz w:val="32"/>
          <w:szCs w:val="32"/>
          <w:lang w:val="en-US" w:eastAsia="zh-CN"/>
        </w:rPr>
        <w:t>2241.44</w:t>
      </w:r>
      <w:r>
        <w:rPr>
          <w:rFonts w:hint="eastAsia" w:ascii="仿宋" w:eastAsia="仿宋"/>
          <w:color w:val="000000"/>
          <w:sz w:val="32"/>
          <w:szCs w:val="32"/>
        </w:rPr>
        <w:t>万元，占</w:t>
      </w:r>
      <w:r>
        <w:rPr>
          <w:rFonts w:hint="eastAsia" w:ascii="仿宋" w:eastAsia="仿宋"/>
          <w:color w:val="000000"/>
          <w:sz w:val="32"/>
          <w:szCs w:val="32"/>
          <w:lang w:val="en-US" w:eastAsia="zh-CN"/>
        </w:rPr>
        <w:t>80.95</w:t>
      </w:r>
      <w:r>
        <w:rPr>
          <w:rFonts w:hint="eastAsia" w:ascii="仿宋" w:eastAsia="仿宋"/>
          <w:color w:val="000000"/>
          <w:sz w:val="32"/>
          <w:szCs w:val="32"/>
        </w:rPr>
        <w:t>%；文化旅游体育与传媒（类）支出</w:t>
      </w:r>
      <w:r>
        <w:rPr>
          <w:rFonts w:hint="eastAsia" w:ascii="仿宋" w:eastAsia="仿宋"/>
          <w:color w:val="000000"/>
          <w:sz w:val="32"/>
          <w:szCs w:val="32"/>
          <w:lang w:val="en-US" w:eastAsia="zh-CN"/>
        </w:rPr>
        <w:t>40</w:t>
      </w:r>
      <w:r>
        <w:rPr>
          <w:rFonts w:hint="eastAsia" w:ascii="仿宋" w:eastAsia="仿宋"/>
          <w:color w:val="000000"/>
          <w:sz w:val="32"/>
          <w:szCs w:val="32"/>
        </w:rPr>
        <w:t>万元，占</w:t>
      </w:r>
      <w:r>
        <w:rPr>
          <w:rFonts w:hint="eastAsia" w:ascii="仿宋" w:eastAsia="仿宋"/>
          <w:color w:val="000000"/>
          <w:sz w:val="32"/>
          <w:szCs w:val="32"/>
          <w:lang w:val="en-US" w:eastAsia="zh-CN"/>
        </w:rPr>
        <w:t>1.44</w:t>
      </w:r>
      <w:r>
        <w:rPr>
          <w:rFonts w:hint="eastAsia" w:ascii="仿宋" w:eastAsia="仿宋"/>
          <w:color w:val="000000"/>
          <w:sz w:val="32"/>
          <w:szCs w:val="32"/>
        </w:rPr>
        <w:t>%；社会保障和就业（类）支出</w:t>
      </w:r>
      <w:r>
        <w:rPr>
          <w:rFonts w:hint="eastAsia" w:ascii="仿宋" w:eastAsia="仿宋"/>
          <w:color w:val="000000"/>
          <w:sz w:val="32"/>
          <w:szCs w:val="32"/>
          <w:lang w:val="en-US" w:eastAsia="zh-CN"/>
        </w:rPr>
        <w:t>339.14</w:t>
      </w:r>
      <w:r>
        <w:rPr>
          <w:rFonts w:hint="eastAsia" w:ascii="仿宋" w:eastAsia="仿宋"/>
          <w:color w:val="000000"/>
          <w:sz w:val="32"/>
          <w:szCs w:val="32"/>
        </w:rPr>
        <w:t>万元，占</w:t>
      </w:r>
      <w:r>
        <w:rPr>
          <w:rFonts w:hint="eastAsia" w:ascii="仿宋" w:eastAsia="仿宋"/>
          <w:color w:val="000000"/>
          <w:sz w:val="32"/>
          <w:szCs w:val="32"/>
          <w:lang w:val="en-US" w:eastAsia="zh-CN"/>
        </w:rPr>
        <w:t>12.25</w:t>
      </w:r>
      <w:r>
        <w:rPr>
          <w:rFonts w:hint="eastAsia" w:ascii="仿宋" w:eastAsia="仿宋"/>
          <w:color w:val="000000"/>
          <w:sz w:val="32"/>
          <w:szCs w:val="32"/>
        </w:rPr>
        <w:t>%；住房保障支出</w:t>
      </w:r>
      <w:r>
        <w:rPr>
          <w:rFonts w:hint="eastAsia" w:ascii="仿宋" w:eastAsia="仿宋"/>
          <w:color w:val="000000"/>
          <w:sz w:val="32"/>
          <w:szCs w:val="32"/>
          <w:lang w:val="en-US" w:eastAsia="zh-CN"/>
        </w:rPr>
        <w:t>110.6</w:t>
      </w:r>
      <w:r>
        <w:rPr>
          <w:rFonts w:hint="eastAsia" w:ascii="仿宋" w:eastAsia="仿宋"/>
          <w:color w:val="000000"/>
          <w:sz w:val="32"/>
          <w:szCs w:val="32"/>
        </w:rPr>
        <w:t>万元，占</w:t>
      </w:r>
      <w:r>
        <w:rPr>
          <w:rFonts w:hint="eastAsia" w:ascii="仿宋" w:eastAsia="仿宋"/>
          <w:color w:val="000000"/>
          <w:sz w:val="32"/>
          <w:szCs w:val="32"/>
          <w:lang w:val="en-US" w:eastAsia="zh-CN"/>
        </w:rPr>
        <w:t>3.99</w:t>
      </w:r>
      <w:r>
        <w:rPr>
          <w:rFonts w:hint="eastAsia" w:ascii="仿宋" w:eastAsia="仿宋"/>
          <w:color w:val="000000"/>
          <w:sz w:val="32"/>
          <w:szCs w:val="32"/>
        </w:rPr>
        <w:t>%。</w:t>
      </w:r>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（图6：一般公共预算财政拨款支出决算结构）（饼状图）</w:t>
      </w:r>
    </w:p>
    <w:p>
      <w:pPr>
        <w:spacing w:line="600" w:lineRule="exact"/>
        <w:ind w:firstLine="640" w:firstLineChars="200"/>
        <w:rPr>
          <w:rFonts w:ascii="仿宋" w:eastAsia="仿宋"/>
          <w:color w:val="auto"/>
          <w:sz w:val="32"/>
          <w:szCs w:val="32"/>
          <w:highlight w:val="none"/>
        </w:rPr>
      </w:pPr>
    </w:p>
    <w:p>
      <w:pPr>
        <w:pStyle w:val="2"/>
        <w:rPr>
          <w:rFonts w:ascii="仿宋" w:eastAsia="仿宋"/>
          <w:color w:val="auto"/>
          <w:sz w:val="32"/>
          <w:szCs w:val="32"/>
          <w:highlight w:val="none"/>
        </w:rPr>
      </w:pPr>
      <w:r>
        <w:rPr>
          <w:rFonts w:hint="eastAsia" w:ascii="仿宋_GB2312" w:eastAsia="仿宋_GB2312"/>
          <w:color w:val="auto"/>
          <w:sz w:val="32"/>
          <w:szCs w:val="32"/>
          <w:highlight w:val="none"/>
          <w:lang w:eastAsia="zh-CN"/>
        </w:rPr>
        <w:drawing>
          <wp:inline distT="0" distB="0" distL="114300" distR="114300">
            <wp:extent cx="5909945" cy="4013835"/>
            <wp:effectExtent l="4445" t="4445" r="10160" b="203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rPr>
          <w:rFonts w:ascii="仿宋" w:eastAsia="仿宋"/>
          <w:color w:val="auto"/>
          <w:sz w:val="32"/>
          <w:szCs w:val="32"/>
          <w:highlight w:val="none"/>
        </w:rPr>
      </w:pPr>
    </w:p>
    <w:p>
      <w:pPr>
        <w:pStyle w:val="2"/>
        <w:rPr>
          <w:rFonts w:ascii="仿宋" w:eastAsia="仿宋"/>
          <w:color w:val="auto"/>
          <w:sz w:val="32"/>
          <w:szCs w:val="32"/>
          <w:highlight w:val="none"/>
        </w:rPr>
      </w:pPr>
    </w:p>
    <w:p>
      <w:pPr>
        <w:spacing w:line="600" w:lineRule="exact"/>
        <w:ind w:firstLine="642" w:firstLineChars="200"/>
        <w:outlineLvl w:val="2"/>
        <w:rPr>
          <w:rFonts w:ascii="仿宋" w:eastAsia="仿宋"/>
          <w:b/>
          <w:color w:val="auto"/>
          <w:sz w:val="32"/>
          <w:szCs w:val="32"/>
          <w:highlight w:val="none"/>
        </w:rPr>
      </w:pPr>
      <w:bookmarkStart w:id="30" w:name="_Toc15377212"/>
      <w:r>
        <w:rPr>
          <w:rFonts w:hint="eastAsia" w:asci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eastAsia="仿宋"/>
          <w:color w:val="auto"/>
          <w:sz w:val="32"/>
          <w:szCs w:val="32"/>
          <w:highlight w:val="none"/>
        </w:rPr>
      </w:pPr>
      <w:bookmarkStart w:id="31" w:name="_Toc15377444"/>
      <w:bookmarkStart w:id="32" w:name="_Toc15378460"/>
      <w:bookmarkStart w:id="33" w:name="_Toc15377213"/>
      <w:r>
        <w:rPr>
          <w:rFonts w:hint="eastAsia" w:ascii="仿宋" w:eastAsia="仿宋"/>
          <w:b/>
          <w:color w:val="auto"/>
          <w:sz w:val="32"/>
          <w:szCs w:val="32"/>
          <w:highlight w:val="none"/>
        </w:rPr>
        <w:t>20</w:t>
      </w:r>
      <w:r>
        <w:rPr>
          <w:rFonts w:hint="eastAsia" w:ascii="仿宋" w:eastAsia="仿宋"/>
          <w:b/>
          <w:color w:val="auto"/>
          <w:sz w:val="32"/>
          <w:szCs w:val="32"/>
          <w:highlight w:val="none"/>
          <w:lang w:val="en-US" w:eastAsia="zh-CN"/>
        </w:rPr>
        <w:t>21</w:t>
      </w:r>
      <w:r>
        <w:rPr>
          <w:rFonts w:hint="eastAsia" w:ascii="仿宋" w:eastAsia="仿宋"/>
          <w:b/>
          <w:color w:val="auto"/>
          <w:sz w:val="32"/>
          <w:szCs w:val="32"/>
          <w:highlight w:val="none"/>
        </w:rPr>
        <w:t>年</w:t>
      </w:r>
      <w:r>
        <w:rPr>
          <w:rFonts w:hint="eastAsia" w:ascii="仿宋" w:eastAsia="仿宋"/>
          <w:b/>
          <w:color w:val="auto"/>
          <w:sz w:val="32"/>
          <w:szCs w:val="32"/>
          <w:highlight w:val="none"/>
          <w:lang w:eastAsia="zh-CN"/>
        </w:rPr>
        <w:t>一</w:t>
      </w:r>
      <w:r>
        <w:rPr>
          <w:rFonts w:hint="eastAsia" w:ascii="仿宋" w:eastAsia="仿宋"/>
          <w:b/>
          <w:color w:val="auto"/>
          <w:sz w:val="32"/>
          <w:szCs w:val="32"/>
          <w:highlight w:val="none"/>
        </w:rPr>
        <w:t>般公共预算支出决算数为</w:t>
      </w:r>
      <w:r>
        <w:rPr>
          <w:rFonts w:hint="eastAsia" w:ascii="仿宋" w:eastAsia="仿宋"/>
          <w:b/>
          <w:color w:val="auto"/>
          <w:sz w:val="32"/>
          <w:szCs w:val="32"/>
          <w:highlight w:val="none"/>
          <w:lang w:val="en-US" w:eastAsia="zh-CN"/>
        </w:rPr>
        <w:t>2769.01万元</w:t>
      </w:r>
      <w:r>
        <w:rPr>
          <w:rFonts w:hint="eastAsia" w:ascii="仿宋" w:eastAsia="仿宋"/>
          <w:color w:val="auto"/>
          <w:sz w:val="32"/>
          <w:szCs w:val="32"/>
          <w:highlight w:val="none"/>
        </w:rPr>
        <w:t>，</w:t>
      </w:r>
      <w:r>
        <w:rPr>
          <w:rStyle w:val="14"/>
          <w:rFonts w:hint="eastAsia" w:ascii="仿宋" w:eastAsia="仿宋"/>
          <w:bCs/>
          <w:color w:val="auto"/>
          <w:sz w:val="32"/>
          <w:szCs w:val="32"/>
          <w:highlight w:val="none"/>
        </w:rPr>
        <w:t>完成预算</w:t>
      </w:r>
      <w:r>
        <w:rPr>
          <w:rStyle w:val="14"/>
          <w:rFonts w:hint="eastAsia" w:ascii="仿宋" w:eastAsia="仿宋"/>
          <w:bCs/>
          <w:color w:val="auto"/>
          <w:sz w:val="32"/>
          <w:szCs w:val="32"/>
          <w:highlight w:val="none"/>
          <w:lang w:val="en-US" w:eastAsia="zh-CN"/>
        </w:rPr>
        <w:t>100</w:t>
      </w:r>
      <w:r>
        <w:rPr>
          <w:rStyle w:val="14"/>
          <w:rFonts w:ascii="仿宋" w:eastAsia="仿宋"/>
          <w:bCs/>
          <w:color w:val="auto"/>
          <w:sz w:val="32"/>
          <w:szCs w:val="32"/>
          <w:highlight w:val="none"/>
        </w:rPr>
        <w:t>%</w:t>
      </w:r>
      <w:r>
        <w:rPr>
          <w:rStyle w:val="14"/>
          <w:rFonts w:hint="eastAsia" w:ascii="仿宋" w:eastAsia="仿宋"/>
          <w:bCs/>
          <w:color w:val="auto"/>
          <w:sz w:val="32"/>
          <w:szCs w:val="32"/>
          <w:highlight w:val="none"/>
        </w:rPr>
        <w:t>。其中：</w:t>
      </w:r>
      <w:bookmarkEnd w:id="31"/>
      <w:bookmarkEnd w:id="32"/>
      <w:bookmarkEnd w:id="33"/>
    </w:p>
    <w:p>
      <w:pPr>
        <w:numPr>
          <w:ilvl w:val="0"/>
          <w:numId w:val="3"/>
        </w:numPr>
        <w:spacing w:line="600" w:lineRule="exact"/>
        <w:ind w:firstLine="642" w:firstLineChars="200"/>
        <w:rPr>
          <w:rStyle w:val="14"/>
          <w:rFonts w:hint="eastAsia" w:ascii="仿宋" w:eastAsia="仿宋"/>
          <w:b w:val="0"/>
          <w:bCs/>
          <w:color w:val="auto"/>
          <w:sz w:val="32"/>
          <w:szCs w:val="32"/>
          <w:highlight w:val="none"/>
          <w:lang w:eastAsia="zh-CN"/>
        </w:rPr>
      </w:pPr>
      <w:r>
        <w:rPr>
          <w:rStyle w:val="14"/>
          <w:rFonts w:hint="eastAsia" w:ascii="仿宋" w:eastAsia="仿宋"/>
          <w:bCs/>
          <w:color w:val="auto"/>
          <w:sz w:val="32"/>
          <w:szCs w:val="32"/>
          <w:highlight w:val="none"/>
        </w:rPr>
        <w:t>一般公共服务（类）</w:t>
      </w:r>
      <w:r>
        <w:rPr>
          <w:rStyle w:val="14"/>
          <w:rFonts w:hint="eastAsia" w:ascii="仿宋" w:eastAsia="仿宋"/>
          <w:bCs/>
          <w:color w:val="auto"/>
          <w:sz w:val="32"/>
          <w:szCs w:val="32"/>
          <w:highlight w:val="none"/>
          <w:lang w:eastAsia="zh-CN"/>
        </w:rPr>
        <w:t>组织事务（</w:t>
      </w:r>
      <w:r>
        <w:rPr>
          <w:rStyle w:val="14"/>
          <w:rFonts w:hint="eastAsia" w:ascii="仿宋" w:eastAsia="仿宋"/>
          <w:bCs/>
          <w:color w:val="auto"/>
          <w:sz w:val="32"/>
          <w:szCs w:val="32"/>
          <w:highlight w:val="none"/>
        </w:rPr>
        <w:t>款）</w:t>
      </w:r>
      <w:r>
        <w:rPr>
          <w:rStyle w:val="14"/>
          <w:rFonts w:hint="eastAsia" w:ascii="仿宋" w:eastAsia="仿宋"/>
          <w:bCs/>
          <w:color w:val="auto"/>
          <w:sz w:val="32"/>
          <w:szCs w:val="32"/>
          <w:highlight w:val="none"/>
          <w:lang w:eastAsia="zh-CN"/>
        </w:rPr>
        <w:t>其他组织事务支出</w:t>
      </w:r>
      <w:r>
        <w:rPr>
          <w:rStyle w:val="14"/>
          <w:rFonts w:hint="eastAsia" w:ascii="仿宋" w:eastAsia="仿宋"/>
          <w:bCs/>
          <w:color w:val="auto"/>
          <w:sz w:val="32"/>
          <w:szCs w:val="32"/>
          <w:highlight w:val="none"/>
        </w:rPr>
        <w:t>（项）</w:t>
      </w:r>
      <w:r>
        <w:rPr>
          <w:rStyle w:val="14"/>
          <w:rFonts w:ascii="仿宋" w:eastAsia="仿宋"/>
          <w:bCs/>
          <w:color w:val="auto"/>
          <w:sz w:val="32"/>
          <w:szCs w:val="32"/>
          <w:highlight w:val="none"/>
        </w:rPr>
        <w:t>:</w:t>
      </w:r>
      <w:r>
        <w:rPr>
          <w:rStyle w:val="14"/>
          <w:rFonts w:ascii="仿宋" w:eastAsia="仿宋"/>
          <w:b w:val="0"/>
          <w:bCs/>
          <w:color w:val="auto"/>
          <w:sz w:val="32"/>
          <w:szCs w:val="32"/>
          <w:highlight w:val="none"/>
        </w:rPr>
        <w:t xml:space="preserve"> </w:t>
      </w:r>
      <w:r>
        <w:rPr>
          <w:rStyle w:val="14"/>
          <w:rFonts w:hint="eastAsia" w:ascii="仿宋" w:eastAsia="仿宋"/>
          <w:b w:val="0"/>
          <w:bCs/>
          <w:color w:val="auto"/>
          <w:sz w:val="32"/>
          <w:szCs w:val="32"/>
          <w:highlight w:val="none"/>
        </w:rPr>
        <w:t>支出决算为</w:t>
      </w:r>
      <w:r>
        <w:rPr>
          <w:rStyle w:val="14"/>
          <w:rFonts w:hint="eastAsia" w:ascii="仿宋" w:eastAsia="仿宋"/>
          <w:b w:val="0"/>
          <w:bCs/>
          <w:color w:val="auto"/>
          <w:sz w:val="32"/>
          <w:szCs w:val="32"/>
          <w:highlight w:val="none"/>
          <w:lang w:val="en-US" w:eastAsia="zh-CN"/>
        </w:rPr>
        <w:t>4.25万</w:t>
      </w:r>
      <w:r>
        <w:rPr>
          <w:rStyle w:val="14"/>
          <w:rFonts w:hint="eastAsia" w:ascii="仿宋" w:eastAsia="仿宋"/>
          <w:b w:val="0"/>
          <w:bCs/>
          <w:color w:val="auto"/>
          <w:sz w:val="32"/>
          <w:szCs w:val="32"/>
          <w:highlight w:val="none"/>
        </w:rPr>
        <w:t>元，完成预算</w:t>
      </w:r>
      <w:r>
        <w:rPr>
          <w:rStyle w:val="14"/>
          <w:rFonts w:hint="eastAsia" w:ascii="仿宋" w:eastAsia="仿宋"/>
          <w:b w:val="0"/>
          <w:bCs/>
          <w:color w:val="auto"/>
          <w:sz w:val="32"/>
          <w:szCs w:val="32"/>
          <w:highlight w:val="none"/>
          <w:lang w:val="en-US" w:eastAsia="zh-CN"/>
        </w:rPr>
        <w:t>100</w:t>
      </w:r>
      <w:r>
        <w:rPr>
          <w:rStyle w:val="14"/>
          <w:rFonts w:ascii="仿宋" w:eastAsia="仿宋"/>
          <w:b w:val="0"/>
          <w:bCs/>
          <w:color w:val="auto"/>
          <w:sz w:val="32"/>
          <w:szCs w:val="32"/>
          <w:highlight w:val="none"/>
        </w:rPr>
        <w:t>%</w:t>
      </w:r>
      <w:r>
        <w:rPr>
          <w:rStyle w:val="14"/>
          <w:rFonts w:hint="eastAsia" w:ascii="仿宋" w:eastAsia="仿宋"/>
          <w:b w:val="0"/>
          <w:bCs/>
          <w:color w:val="auto"/>
          <w:sz w:val="32"/>
          <w:szCs w:val="32"/>
          <w:highlight w:val="none"/>
          <w:lang w:eastAsia="zh-CN"/>
        </w:rPr>
        <w:t>。</w:t>
      </w:r>
    </w:p>
    <w:p>
      <w:pPr>
        <w:numPr>
          <w:ilvl w:val="0"/>
          <w:numId w:val="0"/>
        </w:numPr>
        <w:spacing w:line="600" w:lineRule="exact"/>
        <w:ind w:firstLine="642" w:firstLineChars="200"/>
        <w:rPr>
          <w:rFonts w:hint="eastAsia"/>
          <w:lang w:eastAsia="zh-CN"/>
        </w:rPr>
      </w:pPr>
      <w:r>
        <w:rPr>
          <w:rStyle w:val="14"/>
          <w:rFonts w:hint="eastAsia" w:ascii="仿宋" w:eastAsia="仿宋"/>
          <w:bCs/>
          <w:color w:val="auto"/>
          <w:sz w:val="32"/>
          <w:szCs w:val="32"/>
          <w:highlight w:val="none"/>
          <w:lang w:val="en-US" w:eastAsia="zh-CN"/>
        </w:rPr>
        <w:t>2.</w:t>
      </w:r>
      <w:r>
        <w:rPr>
          <w:rStyle w:val="14"/>
          <w:rFonts w:hint="eastAsia" w:ascii="仿宋" w:eastAsia="仿宋"/>
          <w:bCs/>
          <w:color w:val="auto"/>
          <w:sz w:val="32"/>
          <w:szCs w:val="32"/>
          <w:highlight w:val="none"/>
        </w:rPr>
        <w:t>一般公共服务（类）</w:t>
      </w:r>
      <w:r>
        <w:rPr>
          <w:rStyle w:val="14"/>
          <w:rFonts w:hint="eastAsia" w:ascii="仿宋" w:eastAsia="仿宋"/>
          <w:bCs/>
          <w:color w:val="auto"/>
          <w:sz w:val="32"/>
          <w:szCs w:val="32"/>
          <w:highlight w:val="none"/>
          <w:lang w:eastAsia="zh-CN"/>
        </w:rPr>
        <w:t>其他一般公共服务支出（</w:t>
      </w:r>
      <w:r>
        <w:rPr>
          <w:rStyle w:val="14"/>
          <w:rFonts w:hint="eastAsia" w:ascii="仿宋" w:eastAsia="仿宋"/>
          <w:bCs/>
          <w:color w:val="auto"/>
          <w:sz w:val="32"/>
          <w:szCs w:val="32"/>
          <w:highlight w:val="none"/>
        </w:rPr>
        <w:t>款）</w:t>
      </w:r>
      <w:r>
        <w:rPr>
          <w:rStyle w:val="14"/>
          <w:rFonts w:hint="eastAsia" w:ascii="仿宋" w:eastAsia="仿宋"/>
          <w:bCs/>
          <w:color w:val="auto"/>
          <w:sz w:val="32"/>
          <w:szCs w:val="32"/>
          <w:highlight w:val="none"/>
          <w:lang w:eastAsia="zh-CN"/>
        </w:rPr>
        <w:t>其他一般公共服务支出</w:t>
      </w:r>
      <w:r>
        <w:rPr>
          <w:rStyle w:val="14"/>
          <w:rFonts w:hint="eastAsia" w:ascii="仿宋" w:eastAsia="仿宋"/>
          <w:bCs/>
          <w:color w:val="auto"/>
          <w:sz w:val="32"/>
          <w:szCs w:val="32"/>
          <w:highlight w:val="none"/>
        </w:rPr>
        <w:t>（项）</w:t>
      </w:r>
      <w:r>
        <w:rPr>
          <w:rStyle w:val="14"/>
          <w:rFonts w:ascii="仿宋" w:eastAsia="仿宋"/>
          <w:bCs/>
          <w:color w:val="auto"/>
          <w:sz w:val="32"/>
          <w:szCs w:val="32"/>
          <w:highlight w:val="none"/>
        </w:rPr>
        <w:t>:</w:t>
      </w:r>
      <w:r>
        <w:rPr>
          <w:rStyle w:val="14"/>
          <w:rFonts w:ascii="仿宋" w:eastAsia="仿宋"/>
          <w:b w:val="0"/>
          <w:bCs/>
          <w:color w:val="auto"/>
          <w:sz w:val="32"/>
          <w:szCs w:val="32"/>
          <w:highlight w:val="none"/>
        </w:rPr>
        <w:t xml:space="preserve"> </w:t>
      </w:r>
      <w:r>
        <w:rPr>
          <w:rStyle w:val="14"/>
          <w:rFonts w:hint="eastAsia" w:ascii="仿宋" w:eastAsia="仿宋"/>
          <w:b w:val="0"/>
          <w:bCs/>
          <w:color w:val="auto"/>
          <w:sz w:val="32"/>
          <w:szCs w:val="32"/>
          <w:highlight w:val="none"/>
        </w:rPr>
        <w:t>支出决算为</w:t>
      </w:r>
      <w:r>
        <w:rPr>
          <w:rStyle w:val="14"/>
          <w:rFonts w:hint="eastAsia" w:ascii="仿宋" w:eastAsia="仿宋"/>
          <w:b w:val="0"/>
          <w:bCs/>
          <w:color w:val="auto"/>
          <w:sz w:val="32"/>
          <w:szCs w:val="32"/>
          <w:highlight w:val="none"/>
          <w:lang w:val="en-US" w:eastAsia="zh-CN"/>
        </w:rPr>
        <w:t>33.59万</w:t>
      </w:r>
      <w:r>
        <w:rPr>
          <w:rStyle w:val="14"/>
          <w:rFonts w:hint="eastAsia" w:ascii="仿宋" w:eastAsia="仿宋"/>
          <w:b w:val="0"/>
          <w:bCs/>
          <w:color w:val="auto"/>
          <w:sz w:val="32"/>
          <w:szCs w:val="32"/>
          <w:highlight w:val="none"/>
        </w:rPr>
        <w:t>元，完成预算</w:t>
      </w:r>
      <w:r>
        <w:rPr>
          <w:rStyle w:val="14"/>
          <w:rFonts w:hint="eastAsia" w:ascii="仿宋" w:eastAsia="仿宋"/>
          <w:b w:val="0"/>
          <w:bCs/>
          <w:color w:val="auto"/>
          <w:sz w:val="32"/>
          <w:szCs w:val="32"/>
          <w:highlight w:val="none"/>
          <w:lang w:val="en-US" w:eastAsia="zh-CN"/>
        </w:rPr>
        <w:t>100</w:t>
      </w:r>
      <w:r>
        <w:rPr>
          <w:rStyle w:val="14"/>
          <w:rFonts w:ascii="仿宋" w:eastAsia="仿宋"/>
          <w:b w:val="0"/>
          <w:bCs/>
          <w:color w:val="auto"/>
          <w:sz w:val="32"/>
          <w:szCs w:val="32"/>
          <w:highlight w:val="none"/>
        </w:rPr>
        <w:t>%</w:t>
      </w:r>
      <w:r>
        <w:rPr>
          <w:rStyle w:val="14"/>
          <w:rFonts w:hint="eastAsia" w:ascii="仿宋" w:eastAsia="仿宋"/>
          <w:b w:val="0"/>
          <w:bCs/>
          <w:color w:val="auto"/>
          <w:sz w:val="32"/>
          <w:szCs w:val="32"/>
          <w:highlight w:val="none"/>
          <w:lang w:eastAsia="zh-CN"/>
        </w:rPr>
        <w:t>。</w:t>
      </w:r>
    </w:p>
    <w:p>
      <w:pPr>
        <w:numPr>
          <w:ilvl w:val="0"/>
          <w:numId w:val="0"/>
        </w:numPr>
        <w:spacing w:line="600" w:lineRule="exact"/>
        <w:ind w:firstLine="642" w:firstLineChars="200"/>
        <w:rPr>
          <w:rFonts w:hint="eastAsia" w:ascii="仿宋" w:eastAsia="仿宋"/>
          <w:b/>
          <w:color w:val="auto"/>
          <w:sz w:val="32"/>
          <w:szCs w:val="32"/>
          <w:highlight w:val="none"/>
          <w:lang w:eastAsia="zh-CN"/>
        </w:rPr>
      </w:pPr>
      <w:r>
        <w:rPr>
          <w:rStyle w:val="14"/>
          <w:rFonts w:hint="eastAsia" w:ascii="仿宋" w:eastAsia="仿宋"/>
          <w:bCs/>
          <w:color w:val="auto"/>
          <w:sz w:val="32"/>
          <w:szCs w:val="32"/>
          <w:highlight w:val="none"/>
          <w:lang w:val="en-US" w:eastAsia="zh-CN"/>
        </w:rPr>
        <w:t>3</w:t>
      </w:r>
      <w:r>
        <w:rPr>
          <w:rStyle w:val="14"/>
          <w:rFonts w:ascii="仿宋" w:eastAsia="仿宋"/>
          <w:bCs/>
          <w:color w:val="auto"/>
          <w:sz w:val="32"/>
          <w:szCs w:val="32"/>
          <w:highlight w:val="none"/>
        </w:rPr>
        <w:t>.</w:t>
      </w:r>
      <w:r>
        <w:rPr>
          <w:rStyle w:val="14"/>
          <w:rFonts w:hint="eastAsia" w:ascii="仿宋" w:hAnsi="仿宋" w:eastAsia="仿宋"/>
          <w:bCs/>
          <w:color w:val="000000"/>
          <w:sz w:val="32"/>
          <w:szCs w:val="32"/>
        </w:rPr>
        <w:t>教育（类）教育管理事务（款）行政运行（项）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1084.98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Style w:val="14"/>
          <w:rFonts w:hint="eastAsia" w:ascii="仿宋" w:eastAsia="仿宋"/>
          <w:b w:val="0"/>
          <w:bCs/>
          <w:color w:val="auto"/>
          <w:sz w:val="32"/>
          <w:szCs w:val="32"/>
          <w:highlight w:val="none"/>
        </w:rPr>
      </w:pPr>
      <w:r>
        <w:rPr>
          <w:rStyle w:val="14"/>
          <w:rFonts w:hint="eastAsia" w:ascii="仿宋" w:eastAsia="仿宋"/>
          <w:bCs/>
          <w:color w:val="auto"/>
          <w:sz w:val="32"/>
          <w:szCs w:val="32"/>
          <w:highlight w:val="none"/>
          <w:lang w:val="en-US" w:eastAsia="zh-CN"/>
        </w:rPr>
        <w:t>4</w:t>
      </w:r>
      <w:r>
        <w:rPr>
          <w:rStyle w:val="14"/>
          <w:rFonts w:ascii="仿宋" w:eastAsia="仿宋"/>
          <w:bCs/>
          <w:color w:val="auto"/>
          <w:sz w:val="32"/>
          <w:szCs w:val="32"/>
          <w:highlight w:val="none"/>
        </w:rPr>
        <w:t>.</w:t>
      </w:r>
      <w:r>
        <w:rPr>
          <w:rStyle w:val="14"/>
          <w:rFonts w:hint="eastAsia" w:ascii="仿宋" w:hAnsi="仿宋" w:eastAsia="仿宋"/>
          <w:bCs/>
          <w:color w:val="000000"/>
          <w:sz w:val="32"/>
          <w:szCs w:val="32"/>
        </w:rPr>
        <w:t>教育（类）教育管理事务（款）</w:t>
      </w:r>
      <w:r>
        <w:rPr>
          <w:rStyle w:val="14"/>
          <w:rFonts w:hint="eastAsia" w:ascii="仿宋" w:hAnsi="仿宋" w:eastAsia="仿宋"/>
          <w:bCs/>
          <w:color w:val="000000"/>
          <w:sz w:val="32"/>
          <w:szCs w:val="32"/>
          <w:lang w:eastAsia="zh-CN"/>
        </w:rPr>
        <w:t>一般行政管理事务</w:t>
      </w:r>
      <w:r>
        <w:rPr>
          <w:rStyle w:val="14"/>
          <w:rFonts w:hint="eastAsia" w:ascii="仿宋" w:hAnsi="仿宋" w:eastAsia="仿宋"/>
          <w:bCs/>
          <w:color w:val="000000"/>
          <w:sz w:val="32"/>
          <w:szCs w:val="32"/>
        </w:rPr>
        <w:t>（项）</w:t>
      </w:r>
      <w:r>
        <w:rPr>
          <w:rStyle w:val="14"/>
          <w:rFonts w:ascii="仿宋" w:eastAsia="仿宋"/>
          <w:bCs/>
          <w:color w:val="auto"/>
          <w:sz w:val="32"/>
          <w:szCs w:val="32"/>
          <w:highlight w:val="none"/>
        </w:rPr>
        <w:t>:</w:t>
      </w:r>
      <w:r>
        <w:rPr>
          <w:rStyle w:val="14"/>
          <w:rFonts w:ascii="仿宋" w:eastAsia="仿宋"/>
          <w:b w:val="0"/>
          <w:bCs/>
          <w:color w:val="auto"/>
          <w:sz w:val="32"/>
          <w:szCs w:val="32"/>
          <w:highlight w:val="none"/>
        </w:rPr>
        <w:t xml:space="preserve"> </w:t>
      </w:r>
      <w:r>
        <w:rPr>
          <w:rStyle w:val="14"/>
          <w:rFonts w:hint="eastAsia" w:ascii="仿宋" w:eastAsia="仿宋"/>
          <w:b w:val="0"/>
          <w:bCs/>
          <w:color w:val="auto"/>
          <w:sz w:val="32"/>
          <w:szCs w:val="32"/>
          <w:highlight w:val="none"/>
        </w:rPr>
        <w:t>支出决算为</w:t>
      </w:r>
      <w:r>
        <w:rPr>
          <w:rStyle w:val="14"/>
          <w:rFonts w:hint="eastAsia" w:ascii="仿宋" w:eastAsia="仿宋"/>
          <w:b w:val="0"/>
          <w:bCs/>
          <w:color w:val="auto"/>
          <w:sz w:val="32"/>
          <w:szCs w:val="32"/>
          <w:highlight w:val="none"/>
          <w:lang w:val="en-US" w:eastAsia="zh-CN"/>
        </w:rPr>
        <w:t>68.11</w:t>
      </w:r>
      <w:r>
        <w:rPr>
          <w:rStyle w:val="14"/>
          <w:rFonts w:hint="eastAsia" w:ascii="仿宋" w:eastAsia="仿宋"/>
          <w:b w:val="0"/>
          <w:bCs/>
          <w:color w:val="auto"/>
          <w:sz w:val="32"/>
          <w:szCs w:val="32"/>
          <w:highlight w:val="none"/>
        </w:rPr>
        <w:t>万元，完成预算</w:t>
      </w:r>
      <w:r>
        <w:rPr>
          <w:rStyle w:val="14"/>
          <w:rFonts w:hint="eastAsia" w:ascii="仿宋" w:eastAsia="仿宋"/>
          <w:b w:val="0"/>
          <w:bCs/>
          <w:color w:val="auto"/>
          <w:sz w:val="32"/>
          <w:szCs w:val="32"/>
          <w:highlight w:val="none"/>
          <w:lang w:val="en-US" w:eastAsia="zh-CN"/>
        </w:rPr>
        <w:t>100</w:t>
      </w:r>
      <w:r>
        <w:rPr>
          <w:rStyle w:val="14"/>
          <w:rFonts w:ascii="仿宋" w:eastAsia="仿宋"/>
          <w:b w:val="0"/>
          <w:bCs/>
          <w:color w:val="auto"/>
          <w:sz w:val="32"/>
          <w:szCs w:val="32"/>
          <w:highlight w:val="none"/>
        </w:rPr>
        <w:t>%</w:t>
      </w:r>
      <w:r>
        <w:rPr>
          <w:rStyle w:val="14"/>
          <w:rFonts w:hint="eastAsia" w:ascii="仿宋" w:eastAsia="仿宋"/>
          <w:b w:val="0"/>
          <w:bCs/>
          <w:color w:val="auto"/>
          <w:sz w:val="32"/>
          <w:szCs w:val="32"/>
          <w:highlight w:val="none"/>
        </w:rPr>
        <w:t>。</w:t>
      </w:r>
    </w:p>
    <w:p>
      <w:pPr>
        <w:numPr>
          <w:ilvl w:val="0"/>
          <w:numId w:val="0"/>
        </w:numPr>
        <w:spacing w:line="600" w:lineRule="exact"/>
        <w:ind w:firstLine="642"/>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5.</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职业教育</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中等职业教育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904.85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2"/>
        <w:rPr>
          <w:rFonts w:hint="default"/>
          <w:lang w:val="en-US" w:eastAsia="zh-CN"/>
        </w:rPr>
      </w:pPr>
      <w:r>
        <w:rPr>
          <w:rStyle w:val="14"/>
          <w:rFonts w:hint="eastAsia" w:ascii="仿宋" w:hAnsi="仿宋" w:eastAsia="仿宋" w:cs="Times New Roman"/>
          <w:bCs/>
          <w:color w:val="000000"/>
          <w:kern w:val="2"/>
          <w:sz w:val="32"/>
          <w:szCs w:val="32"/>
          <w:lang w:val="en-US" w:eastAsia="zh-CN" w:bidi="ar-SA"/>
        </w:rPr>
        <w:t>6.</w:t>
      </w:r>
      <w:r>
        <w:rPr>
          <w:rStyle w:val="14"/>
          <w:rFonts w:hint="eastAsia" w:ascii="仿宋" w:hAnsi="仿宋" w:eastAsia="仿宋"/>
          <w:bCs/>
          <w:color w:val="000000"/>
          <w:sz w:val="32"/>
          <w:szCs w:val="32"/>
        </w:rPr>
        <w:t>教育（类）教育附加安排的支出（款）其他教育费附加安排的支出（项）</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183.5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Style w:val="14"/>
          <w:rFonts w:hint="eastAsia" w:ascii="仿宋" w:eastAsia="仿宋"/>
          <w:b w:val="0"/>
          <w:bCs/>
          <w:color w:val="auto"/>
          <w:sz w:val="32"/>
          <w:szCs w:val="32"/>
          <w:highlight w:val="none"/>
          <w:lang w:eastAsia="zh-CN"/>
        </w:rPr>
      </w:pPr>
      <w:r>
        <w:rPr>
          <w:rStyle w:val="14"/>
          <w:rFonts w:hint="eastAsia" w:ascii="仿宋" w:eastAsia="仿宋"/>
          <w:bCs/>
          <w:color w:val="auto"/>
          <w:sz w:val="32"/>
          <w:szCs w:val="32"/>
          <w:highlight w:val="none"/>
          <w:lang w:val="en-US" w:eastAsia="zh-CN"/>
        </w:rPr>
        <w:t>7</w:t>
      </w:r>
      <w:r>
        <w:rPr>
          <w:rStyle w:val="14"/>
          <w:rFonts w:ascii="仿宋" w:eastAsia="仿宋"/>
          <w:bCs/>
          <w:color w:val="auto"/>
          <w:sz w:val="32"/>
          <w:szCs w:val="32"/>
          <w:highlight w:val="none"/>
        </w:rPr>
        <w:t>.</w:t>
      </w:r>
      <w:r>
        <w:rPr>
          <w:rStyle w:val="14"/>
          <w:rFonts w:hint="eastAsia" w:ascii="仿宋" w:eastAsia="仿宋"/>
          <w:bCs/>
          <w:color w:val="auto"/>
          <w:sz w:val="32"/>
          <w:szCs w:val="32"/>
          <w:highlight w:val="none"/>
        </w:rPr>
        <w:t>文化旅游体育与传媒（类）</w:t>
      </w:r>
      <w:r>
        <w:rPr>
          <w:rStyle w:val="14"/>
          <w:rFonts w:hint="eastAsia" w:ascii="仿宋" w:eastAsia="仿宋"/>
          <w:bCs/>
          <w:color w:val="auto"/>
          <w:sz w:val="32"/>
          <w:szCs w:val="32"/>
          <w:highlight w:val="none"/>
          <w:lang w:eastAsia="zh-CN"/>
        </w:rPr>
        <w:t>体育</w:t>
      </w:r>
      <w:r>
        <w:rPr>
          <w:rStyle w:val="14"/>
          <w:rFonts w:hint="eastAsia" w:ascii="仿宋" w:eastAsia="仿宋"/>
          <w:bCs/>
          <w:color w:val="auto"/>
          <w:sz w:val="32"/>
          <w:szCs w:val="32"/>
          <w:highlight w:val="none"/>
        </w:rPr>
        <w:t>（款）</w:t>
      </w:r>
      <w:r>
        <w:rPr>
          <w:rStyle w:val="14"/>
          <w:rFonts w:hint="eastAsia" w:ascii="仿宋" w:hAnsi="仿宋" w:eastAsia="仿宋"/>
          <w:bCs/>
          <w:color w:val="000000"/>
          <w:sz w:val="32"/>
          <w:szCs w:val="32"/>
          <w:lang w:eastAsia="zh-CN"/>
        </w:rPr>
        <w:t>一般行政管理事务</w:t>
      </w:r>
      <w:r>
        <w:rPr>
          <w:rStyle w:val="14"/>
          <w:rFonts w:hint="eastAsia" w:ascii="仿宋" w:eastAsia="仿宋"/>
          <w:bCs/>
          <w:color w:val="auto"/>
          <w:sz w:val="32"/>
          <w:szCs w:val="32"/>
          <w:highlight w:val="none"/>
        </w:rPr>
        <w:t>（项）</w:t>
      </w:r>
      <w:r>
        <w:rPr>
          <w:rStyle w:val="14"/>
          <w:rFonts w:ascii="仿宋" w:eastAsia="仿宋"/>
          <w:bCs/>
          <w:color w:val="auto"/>
          <w:sz w:val="32"/>
          <w:szCs w:val="32"/>
          <w:highlight w:val="none"/>
        </w:rPr>
        <w:t>:</w:t>
      </w:r>
      <w:r>
        <w:rPr>
          <w:rStyle w:val="14"/>
          <w:rFonts w:ascii="仿宋" w:eastAsia="仿宋"/>
          <w:b w:val="0"/>
          <w:bCs/>
          <w:color w:val="auto"/>
          <w:sz w:val="32"/>
          <w:szCs w:val="32"/>
          <w:highlight w:val="none"/>
        </w:rPr>
        <w:t xml:space="preserve"> </w:t>
      </w:r>
      <w:r>
        <w:rPr>
          <w:rStyle w:val="14"/>
          <w:rFonts w:hint="eastAsia" w:ascii="仿宋" w:eastAsia="仿宋"/>
          <w:b w:val="0"/>
          <w:bCs/>
          <w:color w:val="auto"/>
          <w:sz w:val="32"/>
          <w:szCs w:val="32"/>
          <w:highlight w:val="none"/>
        </w:rPr>
        <w:t>支出决算为</w:t>
      </w:r>
      <w:r>
        <w:rPr>
          <w:rStyle w:val="14"/>
          <w:rFonts w:hint="eastAsia" w:ascii="仿宋" w:eastAsia="仿宋"/>
          <w:b w:val="0"/>
          <w:bCs/>
          <w:color w:val="auto"/>
          <w:sz w:val="32"/>
          <w:szCs w:val="32"/>
          <w:highlight w:val="none"/>
          <w:lang w:val="en-US" w:eastAsia="zh-CN"/>
        </w:rPr>
        <w:t>40</w:t>
      </w:r>
      <w:r>
        <w:rPr>
          <w:rStyle w:val="14"/>
          <w:rFonts w:hint="eastAsia" w:ascii="仿宋" w:eastAsia="仿宋"/>
          <w:b w:val="0"/>
          <w:bCs/>
          <w:color w:val="auto"/>
          <w:sz w:val="32"/>
          <w:szCs w:val="32"/>
          <w:highlight w:val="none"/>
        </w:rPr>
        <w:t>万元，完成预算</w:t>
      </w:r>
      <w:r>
        <w:rPr>
          <w:rStyle w:val="14"/>
          <w:rFonts w:hint="eastAsia" w:ascii="仿宋" w:eastAsia="仿宋"/>
          <w:b w:val="0"/>
          <w:bCs/>
          <w:color w:val="auto"/>
          <w:sz w:val="32"/>
          <w:szCs w:val="32"/>
          <w:highlight w:val="none"/>
          <w:lang w:val="en-US" w:eastAsia="zh-CN"/>
        </w:rPr>
        <w:t>100</w:t>
      </w:r>
      <w:r>
        <w:rPr>
          <w:rStyle w:val="14"/>
          <w:rFonts w:ascii="仿宋" w:eastAsia="仿宋"/>
          <w:b w:val="0"/>
          <w:bCs/>
          <w:color w:val="auto"/>
          <w:sz w:val="32"/>
          <w:szCs w:val="32"/>
          <w:highlight w:val="none"/>
        </w:rPr>
        <w:t>%</w:t>
      </w:r>
      <w:r>
        <w:rPr>
          <w:rStyle w:val="14"/>
          <w:rFonts w:hint="eastAsia" w:ascii="仿宋" w:eastAsia="仿宋"/>
          <w:b w:val="0"/>
          <w:bCs/>
          <w:color w:val="auto"/>
          <w:sz w:val="32"/>
          <w:szCs w:val="32"/>
          <w:highlight w:val="none"/>
          <w:lang w:eastAsia="zh-CN"/>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8.</w:t>
      </w:r>
      <w:r>
        <w:rPr>
          <w:rStyle w:val="14"/>
          <w:rFonts w:hint="eastAsia" w:ascii="仿宋" w:hAnsi="仿宋" w:eastAsia="仿宋"/>
          <w:bCs/>
          <w:color w:val="000000"/>
          <w:sz w:val="32"/>
          <w:szCs w:val="32"/>
        </w:rPr>
        <w:t>社会保障和就业（类）行政事业单位养老保险（款）行政单位离退休（项）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255.17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Style w:val="2"/>
        <w:ind w:firstLine="642"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9.</w:t>
      </w:r>
      <w:r>
        <w:rPr>
          <w:rStyle w:val="14"/>
          <w:rFonts w:hint="eastAsia" w:ascii="仿宋" w:hAnsi="仿宋" w:eastAsia="仿宋"/>
          <w:bCs/>
          <w:color w:val="000000"/>
          <w:sz w:val="32"/>
          <w:szCs w:val="32"/>
        </w:rPr>
        <w:t>社会保障和就业（类）行政事业单位养老保险（款）机关事业单位养老保险缴费支出（项）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83.47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pStyle w:val="2"/>
        <w:ind w:firstLine="642" w:firstLineChars="200"/>
        <w:rPr>
          <w:rStyle w:val="14"/>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10.</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社会福利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儿童福利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0.5万</w:t>
      </w:r>
      <w:r>
        <w:rPr>
          <w:rStyle w:val="14"/>
          <w:rFonts w:hint="eastAsia" w:ascii="仿宋" w:hAnsi="仿宋" w:eastAsia="仿宋"/>
          <w:b w:val="0"/>
          <w:bCs/>
          <w:color w:val="000000"/>
          <w:sz w:val="32"/>
          <w:szCs w:val="32"/>
        </w:rPr>
        <w:t>元，完成预算100</w:t>
      </w:r>
      <w:r>
        <w:rPr>
          <w:rStyle w:val="14"/>
          <w:rFonts w:ascii="仿宋" w:hAnsi="仿宋" w:eastAsia="仿宋"/>
          <w:b w:val="0"/>
          <w:bCs/>
          <w:color w:val="000000"/>
          <w:sz w:val="32"/>
          <w:szCs w:val="32"/>
        </w:rPr>
        <w:t>%</w:t>
      </w:r>
    </w:p>
    <w:p>
      <w:pPr>
        <w:spacing w:line="600" w:lineRule="exact"/>
        <w:ind w:firstLine="642" w:firstLineChars="200"/>
        <w:rPr>
          <w:rFonts w:hint="eastAsia" w:ascii="仿宋" w:eastAsia="仿宋"/>
          <w:b/>
          <w:color w:val="auto"/>
          <w:sz w:val="32"/>
          <w:szCs w:val="32"/>
          <w:highlight w:val="none"/>
        </w:rPr>
      </w:pPr>
      <w:r>
        <w:rPr>
          <w:rFonts w:hint="eastAsia" w:ascii="仿宋" w:hAnsi="仿宋" w:eastAsia="仿宋"/>
          <w:b/>
          <w:bCs/>
          <w:color w:val="000000"/>
          <w:sz w:val="32"/>
          <w:szCs w:val="32"/>
          <w:lang w:val="en-US" w:eastAsia="zh-CN"/>
        </w:rPr>
        <w:t>11.</w:t>
      </w:r>
      <w:r>
        <w:rPr>
          <w:rFonts w:hint="eastAsia" w:ascii="仿宋" w:hAnsi="仿宋" w:eastAsia="仿宋"/>
          <w:b/>
          <w:bCs/>
          <w:color w:val="000000"/>
          <w:sz w:val="32"/>
          <w:szCs w:val="32"/>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110.6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p>
    <w:p>
      <w:pPr>
        <w:tabs>
          <w:tab w:val="right" w:pos="8306"/>
        </w:tabs>
        <w:spacing w:line="600" w:lineRule="exact"/>
        <w:ind w:firstLine="640"/>
        <w:outlineLvl w:val="1"/>
        <w:rPr>
          <w:rStyle w:val="1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、一</w:t>
      </w:r>
      <w:r>
        <w:rPr>
          <w:rStyle w:val="17"/>
          <w:rFonts w:hint="eastAsia" w:ascii="黑体" w:eastAsia="黑体"/>
          <w:b w:val="0"/>
          <w:color w:val="auto"/>
          <w:highlight w:val="none"/>
        </w:rPr>
        <w:t>般公共预算财政拨款基本支出决算情况说明</w:t>
      </w:r>
      <w:bookmarkEnd w:id="34"/>
      <w:bookmarkEnd w:id="35"/>
      <w:r>
        <w:rPr>
          <w:rStyle w:val="17"/>
          <w:rFonts w:ascii="黑体" w:eastAsia="黑体"/>
          <w:b w:val="0"/>
          <w:color w:val="auto"/>
          <w:highlight w:val="none"/>
        </w:rPr>
        <w:tab/>
      </w:r>
    </w:p>
    <w:p>
      <w:pPr>
        <w:spacing w:line="600" w:lineRule="exact"/>
        <w:ind w:firstLine="645"/>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年一般公共预算财政拨款基本支出</w:t>
      </w:r>
      <w:r>
        <w:rPr>
          <w:rFonts w:hint="eastAsia" w:ascii="仿宋" w:eastAsia="仿宋"/>
          <w:color w:val="auto"/>
          <w:sz w:val="32"/>
          <w:szCs w:val="32"/>
          <w:highlight w:val="none"/>
          <w:lang w:val="en-US" w:eastAsia="zh-CN"/>
        </w:rPr>
        <w:t>1534.21</w:t>
      </w:r>
      <w:r>
        <w:rPr>
          <w:rFonts w:hint="eastAsia" w:ascii="仿宋" w:eastAsia="仿宋"/>
          <w:color w:val="auto"/>
          <w:sz w:val="32"/>
          <w:szCs w:val="32"/>
          <w:highlight w:val="none"/>
        </w:rPr>
        <w:t>万元，其中：</w:t>
      </w:r>
    </w:p>
    <w:p>
      <w:pPr>
        <w:spacing w:line="600" w:lineRule="exact"/>
        <w:ind w:firstLine="645"/>
        <w:rPr>
          <w:rFonts w:ascii="仿宋" w:eastAsia="仿宋"/>
          <w:b/>
          <w:color w:val="auto"/>
          <w:sz w:val="32"/>
          <w:szCs w:val="32"/>
          <w:highlight w:val="none"/>
        </w:rPr>
      </w:pPr>
      <w:r>
        <w:rPr>
          <w:rFonts w:hint="eastAsia" w:ascii="仿宋" w:eastAsia="仿宋"/>
          <w:color w:val="auto"/>
          <w:sz w:val="32"/>
          <w:szCs w:val="32"/>
          <w:highlight w:val="none"/>
        </w:rPr>
        <w:t>人员经费</w:t>
      </w:r>
      <w:r>
        <w:rPr>
          <w:rFonts w:hint="eastAsia" w:ascii="仿宋" w:eastAsia="仿宋"/>
          <w:color w:val="auto"/>
          <w:sz w:val="32"/>
          <w:szCs w:val="32"/>
          <w:highlight w:val="none"/>
          <w:lang w:val="en-US" w:eastAsia="zh-CN"/>
        </w:rPr>
        <w:t>1345.38</w:t>
      </w:r>
      <w:r>
        <w:rPr>
          <w:rFonts w:hint="eastAsia" w:asci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color w:val="auto"/>
          <w:sz w:val="32"/>
          <w:szCs w:val="32"/>
          <w:highlight w:val="none"/>
        </w:rPr>
        <w:br w:type="textWrapping"/>
      </w:r>
      <w:r>
        <w:rPr>
          <w:rFonts w:hint="eastAsia" w:ascii="仿宋" w:eastAsia="仿宋"/>
          <w:color w:val="auto"/>
          <w:sz w:val="32"/>
          <w:szCs w:val="32"/>
          <w:highlight w:val="none"/>
        </w:rPr>
        <w:t>　　公用经费</w:t>
      </w:r>
      <w:r>
        <w:rPr>
          <w:rFonts w:hint="eastAsia" w:ascii="仿宋" w:eastAsia="仿宋"/>
          <w:color w:val="auto"/>
          <w:sz w:val="32"/>
          <w:szCs w:val="32"/>
          <w:highlight w:val="none"/>
          <w:lang w:val="en-US" w:eastAsia="zh-CN"/>
        </w:rPr>
        <w:t>188.83</w:t>
      </w:r>
      <w:r>
        <w:rPr>
          <w:rFonts w:hint="eastAsia" w:asci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17"/>
          <w:rFonts w:hint="eastAsia" w:ascii="黑体" w:eastAsia="黑体"/>
          <w:color w:val="auto"/>
          <w:highlight w:val="none"/>
        </w:rPr>
        <w:t>“</w:t>
      </w:r>
      <w:r>
        <w:rPr>
          <w:rStyle w:val="17"/>
          <w:rFonts w:hint="eastAsia" w:ascii="黑体" w:eastAsia="黑体"/>
          <w:b w:val="0"/>
          <w:color w:val="auto"/>
          <w:highlight w:val="none"/>
        </w:rPr>
        <w:t>三公”经费财政拨款支出决算情况说明</w:t>
      </w:r>
      <w:bookmarkEnd w:id="36"/>
      <w:bookmarkEnd w:id="37"/>
    </w:p>
    <w:p>
      <w:pPr>
        <w:spacing w:line="600" w:lineRule="exact"/>
        <w:ind w:firstLine="640"/>
        <w:outlineLvl w:val="2"/>
        <w:rPr>
          <w:rFonts w:ascii="仿宋" w:eastAsia="仿宋"/>
          <w:b/>
          <w:color w:val="auto"/>
          <w:sz w:val="32"/>
          <w:szCs w:val="32"/>
          <w:highlight w:val="none"/>
        </w:rPr>
      </w:pPr>
      <w:bookmarkStart w:id="38" w:name="_Toc15377216"/>
      <w:r>
        <w:rPr>
          <w:rFonts w:hint="eastAsia" w:ascii="仿宋" w:eastAsia="仿宋"/>
          <w:b/>
          <w:color w:val="auto"/>
          <w:sz w:val="32"/>
          <w:szCs w:val="32"/>
          <w:highlight w:val="none"/>
        </w:rPr>
        <w:t>（一）“三公”经费财政拨款支出决算总体情况说明</w:t>
      </w:r>
      <w:bookmarkEnd w:id="38"/>
    </w:p>
    <w:p>
      <w:pPr>
        <w:rPr>
          <w:rFonts w:ascii="仿宋" w:eastAsia="仿宋"/>
          <w:b/>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年“三公”经费财政拨款支出决算为</w:t>
      </w:r>
      <w:r>
        <w:rPr>
          <w:rFonts w:hint="eastAsia" w:ascii="仿宋" w:eastAsia="仿宋"/>
          <w:color w:val="auto"/>
          <w:sz w:val="32"/>
          <w:szCs w:val="32"/>
          <w:highlight w:val="none"/>
          <w:lang w:val="en-US" w:eastAsia="zh-CN"/>
        </w:rPr>
        <w:t>1.68</w:t>
      </w:r>
      <w:r>
        <w:rPr>
          <w:rFonts w:hint="eastAsia" w:ascii="仿宋" w:eastAsia="仿宋"/>
          <w:color w:val="auto"/>
          <w:sz w:val="32"/>
          <w:szCs w:val="32"/>
          <w:highlight w:val="none"/>
        </w:rPr>
        <w:t>万元，完成预算</w:t>
      </w:r>
      <w:r>
        <w:rPr>
          <w:rFonts w:hint="eastAsia" w:ascii="仿宋" w:eastAsia="仿宋"/>
          <w:color w:val="auto"/>
          <w:sz w:val="32"/>
          <w:szCs w:val="32"/>
          <w:highlight w:val="none"/>
          <w:lang w:val="en-US" w:eastAsia="zh-CN"/>
        </w:rPr>
        <w:t>39.81</w:t>
      </w:r>
      <w:r>
        <w:rPr>
          <w:rFonts w:ascii="仿宋" w:eastAsia="仿宋"/>
          <w:color w:val="auto"/>
          <w:sz w:val="32"/>
          <w:szCs w:val="32"/>
          <w:highlight w:val="none"/>
        </w:rPr>
        <w:t>%</w:t>
      </w:r>
      <w:r>
        <w:rPr>
          <w:rFonts w:hint="eastAsia" w:ascii="仿宋" w:eastAsia="仿宋"/>
          <w:color w:val="auto"/>
          <w:sz w:val="32"/>
          <w:szCs w:val="32"/>
          <w:highlight w:val="none"/>
        </w:rPr>
        <w:t>，决算数小于预算数的主要原因是市教育和体育局严格执行中央八项规定和省、市十项规定以及《党政机关厉行节约反对浪费条例》等相关文件要求，厉行节约，反对浪费，严格控制公务接待和公务用车。</w:t>
      </w:r>
    </w:p>
    <w:p>
      <w:pPr>
        <w:spacing w:line="600" w:lineRule="exact"/>
        <w:ind w:firstLine="640"/>
        <w:outlineLvl w:val="2"/>
        <w:rPr>
          <w:rFonts w:ascii="仿宋" w:eastAsia="仿宋"/>
          <w:b/>
          <w:color w:val="auto"/>
          <w:sz w:val="32"/>
          <w:szCs w:val="32"/>
          <w:highlight w:val="none"/>
        </w:rPr>
      </w:pPr>
      <w:bookmarkStart w:id="39" w:name="_Toc15377217"/>
      <w:r>
        <w:rPr>
          <w:rFonts w:hint="eastAsia" w:ascii="仿宋" w:eastAsia="仿宋"/>
          <w:b/>
          <w:color w:val="auto"/>
          <w:sz w:val="32"/>
          <w:szCs w:val="32"/>
          <w:highlight w:val="none"/>
        </w:rPr>
        <w:t>（二）“三公”经费财政拨款支出决算具体情况说明</w:t>
      </w:r>
      <w:bookmarkEnd w:id="39"/>
    </w:p>
    <w:p>
      <w:pPr>
        <w:spacing w:line="600" w:lineRule="exact"/>
        <w:ind w:firstLine="640"/>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年“三公”经费财政拨款支出决算中，因公出国（境）费支出决算</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；公务用车购置及运行维护费支出决算</w:t>
      </w:r>
      <w:r>
        <w:rPr>
          <w:rFonts w:hint="eastAsia" w:ascii="仿宋" w:eastAsia="仿宋"/>
          <w:color w:val="auto"/>
          <w:sz w:val="32"/>
          <w:szCs w:val="32"/>
          <w:highlight w:val="none"/>
          <w:lang w:val="en-US" w:eastAsia="zh-CN"/>
        </w:rPr>
        <w:t>0.49</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29.17</w:t>
      </w:r>
      <w:r>
        <w:rPr>
          <w:rFonts w:hint="eastAsia" w:ascii="仿宋" w:eastAsia="仿宋"/>
          <w:color w:val="auto"/>
          <w:sz w:val="32"/>
          <w:szCs w:val="32"/>
          <w:highlight w:val="none"/>
        </w:rPr>
        <w:t>；公务接待费支出决算</w:t>
      </w:r>
      <w:r>
        <w:rPr>
          <w:rFonts w:hint="eastAsia" w:ascii="仿宋" w:eastAsia="仿宋"/>
          <w:color w:val="auto"/>
          <w:sz w:val="32"/>
          <w:szCs w:val="32"/>
          <w:highlight w:val="none"/>
          <w:lang w:val="en-US" w:eastAsia="zh-CN"/>
        </w:rPr>
        <w:t>1.19</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70.83</w:t>
      </w:r>
      <w:r>
        <w:rPr>
          <w:rFonts w:ascii="仿宋" w:eastAsia="仿宋"/>
          <w:color w:val="auto"/>
          <w:sz w:val="32"/>
          <w:szCs w:val="32"/>
          <w:highlight w:val="none"/>
        </w:rPr>
        <w:t>%</w:t>
      </w:r>
      <w:r>
        <w:rPr>
          <w:rFonts w:hint="eastAsia" w:ascii="仿宋" w:eastAsia="仿宋"/>
          <w:color w:val="auto"/>
          <w:sz w:val="32"/>
          <w:szCs w:val="32"/>
          <w:highlight w:val="none"/>
        </w:rPr>
        <w:t>。具体情况如下：</w:t>
      </w:r>
    </w:p>
    <w:p>
      <w:pPr>
        <w:spacing w:line="600" w:lineRule="exact"/>
        <w:ind w:firstLine="640"/>
        <w:rPr>
          <w:rFonts w:hint="eastAsia" w:ascii="仿宋" w:eastAsia="仿宋"/>
          <w:color w:val="auto"/>
          <w:sz w:val="32"/>
          <w:szCs w:val="32"/>
          <w:highlight w:val="none"/>
        </w:rPr>
      </w:pPr>
      <w:r>
        <w:rPr>
          <w:rFonts w:hint="eastAsia" w:ascii="仿宋" w:eastAsia="仿宋"/>
          <w:color w:val="auto"/>
          <w:sz w:val="32"/>
          <w:szCs w:val="32"/>
          <w:highlight w:val="none"/>
        </w:rPr>
        <w:t>（图7：“三公”经费财政拨款支出结构）（饼状图）</w:t>
      </w:r>
    </w:p>
    <w:p>
      <w:pPr>
        <w:pStyle w:val="2"/>
        <w:rPr>
          <w:rFonts w:hint="eastAsia" w:ascii="仿宋" w:eastAsia="仿宋"/>
          <w:color w:val="auto"/>
          <w:sz w:val="32"/>
          <w:szCs w:val="32"/>
          <w:highlight w:val="none"/>
        </w:rPr>
      </w:pPr>
      <w:r>
        <w:rPr>
          <w:rFonts w:hint="eastAsia" w:ascii="仿宋_GB2312" w:eastAsia="仿宋_GB2312"/>
          <w:color w:val="auto"/>
          <w:sz w:val="32"/>
          <w:szCs w:val="32"/>
          <w:highlight w:val="none"/>
          <w:lang w:eastAsia="zh-CN"/>
        </w:rPr>
        <w:drawing>
          <wp:inline distT="0" distB="0" distL="114300" distR="114300">
            <wp:extent cx="5909945" cy="4013835"/>
            <wp:effectExtent l="4445" t="4445" r="10160" b="203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eastAsia="仿宋"/>
          <w:b w:val="0"/>
          <w:bCs/>
          <w:color w:val="auto"/>
          <w:sz w:val="32"/>
          <w:szCs w:val="32"/>
          <w:highlight w:val="none"/>
        </w:rPr>
        <w:t>完成预算</w:t>
      </w:r>
      <w:r>
        <w:rPr>
          <w:rStyle w:val="14"/>
          <w:rFonts w:hint="eastAsia" w:ascii="仿宋" w:eastAsia="仿宋"/>
          <w:b w:val="0"/>
          <w:bCs/>
          <w:color w:val="auto"/>
          <w:sz w:val="32"/>
          <w:szCs w:val="32"/>
          <w:highlight w:val="none"/>
          <w:lang w:val="en-US" w:eastAsia="zh-CN"/>
        </w:rPr>
        <w:t>0</w:t>
      </w:r>
      <w:r>
        <w:rPr>
          <w:rStyle w:val="14"/>
          <w:rFonts w:ascii="仿宋" w:eastAsia="仿宋"/>
          <w:b w:val="0"/>
          <w:bCs/>
          <w:color w:val="auto"/>
          <w:sz w:val="32"/>
          <w:szCs w:val="32"/>
          <w:highlight w:val="none"/>
        </w:rPr>
        <w:t>%</w:t>
      </w:r>
      <w:r>
        <w:rPr>
          <w:rStyle w:val="14"/>
          <w:rFonts w:hint="eastAsia" w:asci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lang w:val="en-US" w:eastAsia="zh-CN"/>
        </w:rPr>
        <w:t>2020年持平</w:t>
      </w:r>
      <w:r>
        <w:rPr>
          <w:rFonts w:hint="eastAsia" w:ascii="仿宋_GB2312" w:eastAsia="仿宋_GB2312"/>
          <w:color w:val="auto"/>
          <w:sz w:val="32"/>
          <w:szCs w:val="32"/>
          <w:highlight w:val="none"/>
        </w:rPr>
        <w:t>。</w:t>
      </w:r>
    </w:p>
    <w:p>
      <w:pPr>
        <w:spacing w:line="600" w:lineRule="exact"/>
        <w:ind w:firstLine="640"/>
        <w:rPr>
          <w:rFonts w:hint="eastAsia" w:ascii="仿宋" w:eastAsia="仿宋"/>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0.49</w:t>
      </w:r>
      <w:r>
        <w:rPr>
          <w:rFonts w:hint="eastAsia" w:ascii="仿宋_GB2312" w:eastAsia="仿宋_GB2312"/>
          <w:color w:val="auto"/>
          <w:sz w:val="32"/>
          <w:szCs w:val="32"/>
          <w:highlight w:val="none"/>
        </w:rPr>
        <w:t>万元,</w:t>
      </w:r>
      <w:r>
        <w:rPr>
          <w:rFonts w:hint="eastAsia" w:ascii="仿宋" w:eastAsia="仿宋"/>
          <w:color w:val="auto"/>
          <w:sz w:val="32"/>
          <w:szCs w:val="32"/>
          <w:highlight w:val="none"/>
        </w:rPr>
        <w:t>完成预算</w:t>
      </w:r>
      <w:r>
        <w:rPr>
          <w:rFonts w:hint="eastAsia" w:ascii="仿宋" w:eastAsia="仿宋"/>
          <w:color w:val="auto"/>
          <w:sz w:val="32"/>
          <w:szCs w:val="32"/>
          <w:highlight w:val="none"/>
          <w:lang w:val="en-US" w:eastAsia="zh-CN"/>
        </w:rPr>
        <w:t>30.25</w:t>
      </w:r>
      <w:r>
        <w:rPr>
          <w:rFonts w:hint="eastAsia" w:ascii="仿宋" w:eastAsia="仿宋"/>
          <w:color w:val="auto"/>
          <w:sz w:val="32"/>
          <w:szCs w:val="32"/>
          <w:highlight w:val="none"/>
        </w:rPr>
        <w:t>%。公务用车购置及运行维护费支出决算比20</w:t>
      </w:r>
      <w:r>
        <w:rPr>
          <w:rFonts w:hint="eastAsia" w:ascii="仿宋" w:eastAsia="仿宋"/>
          <w:color w:val="auto"/>
          <w:sz w:val="32"/>
          <w:szCs w:val="32"/>
          <w:highlight w:val="none"/>
          <w:lang w:val="en-US" w:eastAsia="zh-CN"/>
        </w:rPr>
        <w:t>20</w:t>
      </w:r>
      <w:r>
        <w:rPr>
          <w:rFonts w:hint="eastAsia" w:ascii="仿宋" w:eastAsia="仿宋"/>
          <w:color w:val="auto"/>
          <w:sz w:val="32"/>
          <w:szCs w:val="32"/>
          <w:highlight w:val="none"/>
        </w:rPr>
        <w:t>年减少</w:t>
      </w:r>
      <w:r>
        <w:rPr>
          <w:rFonts w:hint="eastAsia" w:ascii="仿宋" w:eastAsia="仿宋"/>
          <w:color w:val="auto"/>
          <w:sz w:val="32"/>
          <w:szCs w:val="32"/>
          <w:highlight w:val="none"/>
          <w:lang w:val="en-US" w:eastAsia="zh-CN"/>
        </w:rPr>
        <w:t>1.8</w:t>
      </w:r>
      <w:r>
        <w:rPr>
          <w:rFonts w:hint="eastAsia" w:ascii="仿宋" w:eastAsia="仿宋"/>
          <w:color w:val="auto"/>
          <w:sz w:val="32"/>
          <w:szCs w:val="32"/>
          <w:highlight w:val="none"/>
        </w:rPr>
        <w:t>万元，下降</w:t>
      </w:r>
      <w:r>
        <w:rPr>
          <w:rFonts w:hint="eastAsia" w:ascii="仿宋" w:eastAsia="仿宋"/>
          <w:color w:val="auto"/>
          <w:sz w:val="32"/>
          <w:szCs w:val="32"/>
          <w:highlight w:val="none"/>
          <w:lang w:val="en-US" w:eastAsia="zh-CN"/>
        </w:rPr>
        <w:t>78.6</w:t>
      </w:r>
      <w:r>
        <w:rPr>
          <w:rFonts w:hint="eastAsia" w:ascii="仿宋" w:eastAsia="仿宋"/>
          <w:color w:val="auto"/>
          <w:sz w:val="32"/>
          <w:szCs w:val="32"/>
          <w:highlight w:val="none"/>
        </w:rPr>
        <w:t>%。主要原因是单位坚决贯彻执行中央八项规定和省、市“十项规定”以及《党政机关厉行节约反对浪费条例》等相关规定，同时受疫情影响，同时单位制定了严格的公务车管理制度，因此提高了公务车的使用效率，公务车运行维护费相应减少。</w:t>
      </w:r>
    </w:p>
    <w:p>
      <w:pPr>
        <w:spacing w:line="600" w:lineRule="exact"/>
        <w:ind w:firstLine="640" w:firstLineChars="200"/>
        <w:rPr>
          <w:rFonts w:hint="eastAsia" w:ascii="仿宋" w:eastAsia="仿宋"/>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000000"/>
          <w:sz w:val="32"/>
          <w:szCs w:val="32"/>
        </w:rPr>
        <w:t>公务用车购置支出</w:t>
      </w:r>
      <w:r>
        <w:rPr>
          <w:rFonts w:hint="eastAsia" w:ascii="仿宋" w:eastAsia="仿宋"/>
          <w:color w:val="auto"/>
          <w:sz w:val="32"/>
          <w:szCs w:val="32"/>
          <w:highlight w:val="none"/>
        </w:rPr>
        <w:t>0万元。全年按规定更新购置公务用车0辆，其中：轿车0辆、金额0万元，越野车0辆、金额0万元，载客汽车0辆、金额0万元。截至202</w:t>
      </w:r>
      <w:r>
        <w:rPr>
          <w:rFonts w:hint="eastAsia" w:ascii="仿宋" w:eastAsia="仿宋"/>
          <w:color w:val="auto"/>
          <w:sz w:val="32"/>
          <w:szCs w:val="32"/>
          <w:highlight w:val="none"/>
          <w:lang w:val="en-US" w:eastAsia="zh-CN"/>
        </w:rPr>
        <w:t>1</w:t>
      </w:r>
      <w:r>
        <w:rPr>
          <w:rFonts w:hint="eastAsia" w:ascii="仿宋" w:eastAsia="仿宋"/>
          <w:color w:val="auto"/>
          <w:sz w:val="32"/>
          <w:szCs w:val="32"/>
          <w:highlight w:val="none"/>
        </w:rPr>
        <w:t>年12月底，单位共有公务用车1辆，其中：轿车0辆、越野车1辆、载客汽车0辆。</w:t>
      </w:r>
    </w:p>
    <w:p>
      <w:pPr>
        <w:spacing w:line="600" w:lineRule="exact"/>
        <w:ind w:firstLine="640"/>
        <w:rPr>
          <w:rFonts w:hint="eastAsia" w:ascii="仿宋" w:eastAsia="仿宋" w:cs="仿宋"/>
          <w:color w:val="000000"/>
          <w:sz w:val="32"/>
          <w:szCs w:val="32"/>
        </w:rPr>
      </w:pPr>
      <w:r>
        <w:rPr>
          <w:rFonts w:hint="eastAsia" w:ascii="仿宋_GB2312" w:eastAsia="仿宋_GB2312"/>
          <w:b/>
          <w:color w:val="auto"/>
          <w:sz w:val="32"/>
          <w:szCs w:val="32"/>
          <w:highlight w:val="none"/>
        </w:rPr>
        <w:t>公务用车运行维护费支出</w:t>
      </w:r>
      <w:r>
        <w:rPr>
          <w:rFonts w:hint="eastAsia" w:ascii="仿宋" w:eastAsia="仿宋"/>
          <w:color w:val="auto"/>
          <w:sz w:val="32"/>
          <w:szCs w:val="32"/>
          <w:highlight w:val="none"/>
          <w:lang w:val="en-US" w:eastAsia="zh-CN"/>
        </w:rPr>
        <w:t>0.49</w:t>
      </w:r>
      <w:r>
        <w:rPr>
          <w:rFonts w:hint="eastAsia" w:ascii="仿宋" w:eastAsia="仿宋"/>
          <w:color w:val="auto"/>
          <w:sz w:val="32"/>
          <w:szCs w:val="32"/>
          <w:highlight w:val="none"/>
        </w:rPr>
        <w:t>万元</w:t>
      </w:r>
      <w:r>
        <w:rPr>
          <w:rFonts w:hint="eastAsia" w:ascii="仿宋_GB2312" w:eastAsia="仿宋_GB2312"/>
          <w:color w:val="auto"/>
          <w:sz w:val="32"/>
          <w:szCs w:val="32"/>
          <w:highlight w:val="none"/>
        </w:rPr>
        <w:t>。</w:t>
      </w:r>
      <w:r>
        <w:rPr>
          <w:rFonts w:hint="eastAsia" w:ascii="仿宋" w:eastAsia="仿宋" w:cs="仿宋"/>
          <w:color w:val="000000"/>
          <w:sz w:val="32"/>
          <w:szCs w:val="32"/>
        </w:rPr>
        <w:t>主要用于教育教学管理、学校安全工作、教师培训、普通初中教育、教育督导、普通高中教育、职业教育、</w:t>
      </w:r>
      <w:r>
        <w:rPr>
          <w:rFonts w:hint="eastAsia" w:ascii="仿宋" w:eastAsia="仿宋"/>
          <w:color w:val="000000"/>
          <w:sz w:val="32"/>
          <w:szCs w:val="32"/>
        </w:rPr>
        <w:t>“</w:t>
      </w:r>
      <w:r>
        <w:rPr>
          <w:rFonts w:hint="eastAsia" w:ascii="仿宋" w:eastAsia="仿宋" w:cs="仿宋"/>
          <w:color w:val="000000"/>
          <w:sz w:val="32"/>
          <w:szCs w:val="32"/>
        </w:rPr>
        <w:t>9+3”工作、校安工程、学生营养改善计划、高寒山区温暖工程、农村薄弱学校改造以及单位日常公务等所需的公务用车燃料费、维修费、过路过桥费、保险费等支出。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1.19</w:t>
      </w:r>
      <w:r>
        <w:rPr>
          <w:rFonts w:hint="eastAsia" w:ascii="仿宋_GB2312" w:eastAsia="仿宋_GB2312"/>
          <w:color w:val="auto"/>
          <w:sz w:val="32"/>
          <w:szCs w:val="32"/>
          <w:highlight w:val="none"/>
        </w:rPr>
        <w:t>万元，</w:t>
      </w:r>
      <w:r>
        <w:rPr>
          <w:rStyle w:val="14"/>
          <w:rFonts w:hint="eastAsia" w:ascii="仿宋" w:eastAsia="仿宋"/>
          <w:b w:val="0"/>
          <w:bCs/>
          <w:color w:val="auto"/>
          <w:sz w:val="32"/>
          <w:szCs w:val="32"/>
          <w:highlight w:val="none"/>
        </w:rPr>
        <w:t>完成预算</w:t>
      </w:r>
      <w:r>
        <w:rPr>
          <w:rStyle w:val="14"/>
          <w:rFonts w:hint="eastAsia" w:ascii="仿宋" w:eastAsia="仿宋"/>
          <w:b w:val="0"/>
          <w:bCs/>
          <w:color w:val="auto"/>
          <w:sz w:val="32"/>
          <w:szCs w:val="32"/>
          <w:highlight w:val="none"/>
          <w:lang w:val="en-US" w:eastAsia="zh-CN"/>
        </w:rPr>
        <w:t>45.77</w:t>
      </w:r>
      <w:r>
        <w:rPr>
          <w:rStyle w:val="14"/>
          <w:rFonts w:ascii="仿宋" w:eastAsia="仿宋"/>
          <w:b w:val="0"/>
          <w:bCs/>
          <w:color w:val="auto"/>
          <w:sz w:val="32"/>
          <w:szCs w:val="32"/>
          <w:highlight w:val="none"/>
        </w:rPr>
        <w:t>%</w:t>
      </w:r>
      <w:r>
        <w:rPr>
          <w:rStyle w:val="14"/>
          <w:rFonts w:hint="eastAsia" w:ascii="仿宋" w:eastAsia="仿宋"/>
          <w:b w:val="0"/>
          <w:bCs/>
          <w:color w:val="auto"/>
          <w:sz w:val="32"/>
          <w:szCs w:val="32"/>
          <w:highlight w:val="none"/>
        </w:rPr>
        <w:t>。公务接待费支出决算比20</w:t>
      </w:r>
      <w:r>
        <w:rPr>
          <w:rStyle w:val="14"/>
          <w:rFonts w:hint="eastAsia" w:ascii="仿宋" w:eastAsia="仿宋"/>
          <w:b w:val="0"/>
          <w:bCs/>
          <w:color w:val="auto"/>
          <w:sz w:val="32"/>
          <w:szCs w:val="32"/>
          <w:highlight w:val="none"/>
          <w:lang w:val="en-US" w:eastAsia="zh-CN"/>
        </w:rPr>
        <w:t>20</w:t>
      </w:r>
      <w:r>
        <w:rPr>
          <w:rStyle w:val="14"/>
          <w:rFonts w:hint="eastAsia" w:ascii="仿宋" w:eastAsia="仿宋"/>
          <w:b w:val="0"/>
          <w:bCs/>
          <w:color w:val="auto"/>
          <w:sz w:val="32"/>
          <w:szCs w:val="32"/>
          <w:highlight w:val="none"/>
        </w:rPr>
        <w:t>年增加</w:t>
      </w:r>
      <w:r>
        <w:rPr>
          <w:rStyle w:val="14"/>
          <w:rFonts w:hint="eastAsia" w:ascii="仿宋" w:eastAsia="仿宋"/>
          <w:b w:val="0"/>
          <w:bCs/>
          <w:color w:val="auto"/>
          <w:sz w:val="32"/>
          <w:szCs w:val="32"/>
          <w:highlight w:val="none"/>
          <w:lang w:val="en-US" w:eastAsia="zh-CN"/>
        </w:rPr>
        <w:t>0.18</w:t>
      </w:r>
      <w:r>
        <w:rPr>
          <w:rStyle w:val="14"/>
          <w:rFonts w:hint="eastAsia" w:ascii="仿宋" w:eastAsia="仿宋"/>
          <w:b w:val="0"/>
          <w:bCs/>
          <w:color w:val="auto"/>
          <w:sz w:val="32"/>
          <w:szCs w:val="32"/>
          <w:highlight w:val="none"/>
        </w:rPr>
        <w:t>万元，增长</w:t>
      </w:r>
      <w:r>
        <w:rPr>
          <w:rStyle w:val="14"/>
          <w:rFonts w:hint="eastAsia" w:ascii="仿宋" w:eastAsia="仿宋"/>
          <w:b w:val="0"/>
          <w:bCs/>
          <w:color w:val="auto"/>
          <w:sz w:val="32"/>
          <w:szCs w:val="32"/>
          <w:highlight w:val="none"/>
          <w:lang w:val="en-US" w:eastAsia="zh-CN"/>
        </w:rPr>
        <w:t>15.13</w:t>
      </w:r>
      <w:r>
        <w:rPr>
          <w:rStyle w:val="14"/>
          <w:rFonts w:hint="eastAsia" w:ascii="仿宋" w:eastAsia="仿宋"/>
          <w:b w:val="0"/>
          <w:bCs/>
          <w:color w:val="auto"/>
          <w:sz w:val="32"/>
          <w:szCs w:val="32"/>
          <w:highlight w:val="none"/>
        </w:rPr>
        <w:t>%。主</w:t>
      </w:r>
      <w:r>
        <w:rPr>
          <w:rFonts w:hint="eastAsia" w:ascii="仿宋_GB2312" w:eastAsia="仿宋_GB2312"/>
          <w:color w:val="auto"/>
          <w:sz w:val="32"/>
          <w:szCs w:val="32"/>
          <w:highlight w:val="none"/>
        </w:rPr>
        <w:t>要</w:t>
      </w:r>
      <w:r>
        <w:rPr>
          <w:rFonts w:hint="eastAsia" w:ascii="仿宋" w:hAnsi="仿宋" w:eastAsia="仿宋" w:cs="仿宋"/>
          <w:color w:val="000000"/>
          <w:sz w:val="32"/>
          <w:szCs w:val="32"/>
        </w:rPr>
        <w:t>原因是省级相关部门来攀调研及大型体育赛事考察接待次数较上年增加</w:t>
      </w:r>
      <w:r>
        <w:rPr>
          <w:rFonts w:hint="eastAsia" w:ascii="仿宋_GB2312" w:eastAsia="仿宋_GB2312"/>
          <w:color w:val="auto"/>
          <w:sz w:val="32"/>
          <w:szCs w:val="32"/>
          <w:highlight w:val="none"/>
        </w:rPr>
        <w:t>。其中：</w:t>
      </w:r>
    </w:p>
    <w:p>
      <w:pPr>
        <w:spacing w:line="600" w:lineRule="exact"/>
        <w:ind w:firstLine="640"/>
        <w:rPr>
          <w:rFonts w:hint="eastAsia" w:ascii="仿宋" w:hAnsi="仿宋" w:eastAsia="仿宋" w:cs="仿宋"/>
          <w:color w:val="000000"/>
          <w:sz w:val="32"/>
          <w:szCs w:val="32"/>
        </w:rPr>
      </w:pPr>
      <w:r>
        <w:rPr>
          <w:rFonts w:hint="eastAsia" w:ascii="仿宋" w:eastAsia="仿宋"/>
          <w:b/>
          <w:color w:val="auto"/>
          <w:sz w:val="32"/>
          <w:szCs w:val="32"/>
          <w:highlight w:val="none"/>
        </w:rPr>
        <w:t>国内公务接待支出</w:t>
      </w:r>
      <w:r>
        <w:rPr>
          <w:rFonts w:hint="eastAsia" w:ascii="仿宋" w:hAnsi="仿宋" w:eastAsia="仿宋" w:cs="仿宋"/>
          <w:color w:val="000000"/>
          <w:sz w:val="32"/>
          <w:szCs w:val="32"/>
          <w:lang w:val="en-US" w:eastAsia="zh-CN"/>
        </w:rPr>
        <w:t>1.19</w:t>
      </w:r>
      <w:r>
        <w:rPr>
          <w:rFonts w:hint="eastAsia" w:ascii="仿宋" w:hAnsi="仿宋" w:eastAsia="仿宋" w:cs="仿宋"/>
          <w:color w:val="000000"/>
          <w:sz w:val="32"/>
          <w:szCs w:val="32"/>
        </w:rPr>
        <w:t>万元，主要用于执行公务、开展业务活动开支的交通费、住宿费、用餐费等。国内公务接待</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64</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1.19</w:t>
      </w:r>
      <w:r>
        <w:rPr>
          <w:rFonts w:hint="eastAsia" w:ascii="仿宋" w:hAnsi="仿宋" w:eastAsia="仿宋" w:cs="仿宋"/>
          <w:color w:val="000000"/>
          <w:sz w:val="32"/>
          <w:szCs w:val="32"/>
        </w:rPr>
        <w:t>万元，具体内容包括：</w:t>
      </w:r>
    </w:p>
    <w:p>
      <w:pPr>
        <w:pStyle w:val="2"/>
        <w:rPr>
          <w:rFonts w:hint="default" w:eastAsia="仿宋"/>
          <w:lang w:val="en-US" w:eastAsia="zh-CN"/>
        </w:rPr>
      </w:pPr>
      <w:r>
        <w:rPr>
          <w:rFonts w:hint="eastAsia" w:ascii="仿宋" w:hAnsi="仿宋" w:eastAsia="仿宋" w:cs="仿宋"/>
          <w:color w:val="000000"/>
          <w:sz w:val="32"/>
          <w:szCs w:val="32"/>
          <w:lang w:val="en-US" w:eastAsia="zh-CN"/>
        </w:rPr>
        <w:t xml:space="preserve">   1.接待2020年省安全生产巡察工作餐费0.13万元；2.接待市政府教育督导委员会办公室对我市2020年教育工作综合督导工作餐费0.09万元；3.四川省健身气功中心领导来攀调研接待费0.05万元；4.接待省教育工作委员会2021年到攀春节走访慰问优秀教师、高校专家0.07万元；5.接待中智华信投资控股有限公司考察团来攀考体育产业餐费0.09万元；6.接待参加康养论坛嘉宾0.05万元；7.国家体育总局开展实地评估和调研工作接待费0.09万元；8.职业院校实习实训专项检查接待费0.11万元；9.接待省体育彩票中心赴攀调研体彩工作餐费0.05万元；10.四川省对攀枝花2018-2000年中职教育发展资金政策绩效评估接待费0.06万元；11.接待凉山卫生学校交流学习0.16万元；12.接待四川省档案学校来攀调研0.16万元；13.接待市政协21号重点提案督办会0.08万元。</w:t>
      </w:r>
    </w:p>
    <w:p>
      <w:pPr>
        <w:spacing w:line="600" w:lineRule="exact"/>
        <w:ind w:firstLine="642" w:firstLineChars="200"/>
        <w:rPr>
          <w:rFonts w:ascii="黑体" w:eastAsia="黑体"/>
          <w:color w:val="auto"/>
          <w:sz w:val="32"/>
          <w:szCs w:val="32"/>
          <w:highlight w:val="none"/>
        </w:rPr>
      </w:pPr>
      <w:r>
        <w:rPr>
          <w:rFonts w:hint="eastAsia" w:ascii="仿宋" w:eastAsia="仿宋"/>
          <w:b/>
          <w:color w:val="auto"/>
          <w:sz w:val="32"/>
          <w:szCs w:val="32"/>
          <w:highlight w:val="none"/>
        </w:rPr>
        <w:t>外事接待支出</w:t>
      </w:r>
      <w:r>
        <w:rPr>
          <w:rFonts w:hint="eastAsia" w:asci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40" w:name="_Toc15396610"/>
      <w:bookmarkStart w:id="41" w:name="_Toc15377218"/>
    </w:p>
    <w:p>
      <w:pPr>
        <w:spacing w:line="600" w:lineRule="exact"/>
        <w:ind w:firstLine="640"/>
        <w:outlineLvl w:val="1"/>
        <w:rPr>
          <w:rStyle w:val="17"/>
          <w:rFonts w:ascii="黑体" w:eastAsia="黑体"/>
          <w:color w:val="auto"/>
          <w:highlight w:val="none"/>
        </w:rPr>
      </w:pPr>
      <w:r>
        <w:rPr>
          <w:rFonts w:hint="eastAsia" w:ascii="黑体" w:eastAsia="黑体"/>
          <w:color w:val="auto"/>
          <w:sz w:val="32"/>
          <w:szCs w:val="32"/>
          <w:highlight w:val="none"/>
        </w:rPr>
        <w:t>八、</w:t>
      </w:r>
      <w:r>
        <w:rPr>
          <w:rStyle w:val="17"/>
          <w:rFonts w:hint="eastAsia" w:asci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116.1</w:t>
      </w:r>
      <w:r>
        <w:rPr>
          <w:rFonts w:hint="eastAsia" w:ascii="仿宋_GB2312" w:eastAsia="仿宋_GB2312"/>
          <w:color w:val="auto"/>
          <w:sz w:val="32"/>
          <w:szCs w:val="32"/>
          <w:highlight w:val="none"/>
        </w:rPr>
        <w:t>万元。</w:t>
      </w:r>
    </w:p>
    <w:p>
      <w:pPr>
        <w:numPr>
          <w:ilvl w:val="0"/>
          <w:numId w:val="4"/>
        </w:numPr>
        <w:spacing w:line="600" w:lineRule="exact"/>
        <w:ind w:left="0" w:firstLine="640"/>
        <w:outlineLvl w:val="1"/>
        <w:rPr>
          <w:rStyle w:val="17"/>
          <w:rFonts w:ascii="黑体" w:eastAsia="黑体"/>
          <w:b w:val="0"/>
          <w:color w:val="auto"/>
          <w:highlight w:val="none"/>
        </w:rPr>
      </w:pPr>
      <w:bookmarkStart w:id="42" w:name="_Toc15377219"/>
      <w:bookmarkStart w:id="43" w:name="_Toc15396611"/>
      <w:r>
        <w:rPr>
          <w:rStyle w:val="17"/>
          <w:rFonts w:hint="eastAsia" w:ascii="黑体" w:eastAsia="黑体"/>
          <w:b w:val="0"/>
          <w:color w:val="auto"/>
          <w:highlight w:val="none"/>
        </w:rPr>
        <w:t>国有资本经营预算支出决算情况说明</w:t>
      </w:r>
      <w:bookmarkEnd w:id="42"/>
      <w:bookmarkEnd w:id="43"/>
    </w:p>
    <w:p>
      <w:pPr>
        <w:spacing w:line="600" w:lineRule="exact"/>
        <w:ind w:firstLine="640"/>
        <w:rPr>
          <w:rFonts w:asci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left="0" w:firstLine="640"/>
        <w:outlineLvl w:val="1"/>
        <w:rPr>
          <w:rStyle w:val="17"/>
          <w:rFonts w:hint="eastAsia" w:ascii="黑体" w:eastAsia="黑体"/>
          <w:b w:val="0"/>
          <w:color w:val="auto"/>
          <w:highlight w:val="none"/>
        </w:rPr>
      </w:pPr>
      <w:bookmarkStart w:id="44" w:name="_Toc15396612"/>
      <w:bookmarkStart w:id="45" w:name="_Toc15377221"/>
      <w:r>
        <w:rPr>
          <w:rStyle w:val="17"/>
          <w:rFonts w:hint="eastAsia" w:asci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eastAsia="仿宋"/>
          <w:color w:val="auto"/>
          <w:sz w:val="32"/>
          <w:szCs w:val="32"/>
          <w:highlight w:val="none"/>
        </w:rPr>
      </w:pPr>
      <w:bookmarkStart w:id="46" w:name="_Toc15377222"/>
      <w:r>
        <w:rPr>
          <w:rFonts w:hint="eastAsia" w:ascii="仿宋" w:eastAsia="仿宋"/>
          <w:b/>
          <w:color w:val="auto"/>
          <w:sz w:val="32"/>
          <w:szCs w:val="32"/>
          <w:highlight w:val="none"/>
        </w:rPr>
        <w:t>（一）机关运行经费支出情况</w:t>
      </w:r>
      <w:bookmarkEnd w:id="46"/>
    </w:p>
    <w:p>
      <w:pPr>
        <w:spacing w:line="600" w:lineRule="exact"/>
        <w:ind w:firstLine="640" w:firstLineChars="200"/>
        <w:rPr>
          <w:rFonts w:asci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rPr>
        <w:t>市教育和体育局机关运行经费支出</w:t>
      </w:r>
      <w:r>
        <w:rPr>
          <w:rFonts w:hint="eastAsia" w:ascii="仿宋_GB2312" w:eastAsia="仿宋_GB2312"/>
          <w:color w:val="000000"/>
          <w:sz w:val="32"/>
          <w:szCs w:val="32"/>
          <w:lang w:val="en-US" w:eastAsia="zh-CN"/>
        </w:rPr>
        <w:t>188.83</w:t>
      </w:r>
      <w:r>
        <w:rPr>
          <w:rFonts w:hint="eastAsia" w:ascii="仿宋_GB2312" w:eastAsia="仿宋_GB2312"/>
          <w:color w:val="000000"/>
          <w:sz w:val="32"/>
          <w:szCs w:val="32"/>
        </w:rPr>
        <w:t>万元，比20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3.91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2.03</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财政拨款总数减少，公用经费相应压缩。</w:t>
      </w:r>
    </w:p>
    <w:p>
      <w:pPr>
        <w:autoSpaceDE w:val="0"/>
        <w:autoSpaceDN w:val="0"/>
        <w:adjustRightInd w:val="0"/>
        <w:spacing w:line="600" w:lineRule="exact"/>
        <w:ind w:firstLine="642" w:firstLineChars="200"/>
        <w:jc w:val="left"/>
        <w:outlineLvl w:val="2"/>
        <w:rPr>
          <w:rFonts w:ascii="仿宋" w:eastAsia="仿宋"/>
          <w:b/>
          <w:color w:val="auto"/>
          <w:sz w:val="32"/>
          <w:szCs w:val="32"/>
          <w:highlight w:val="none"/>
        </w:rPr>
      </w:pPr>
      <w:bookmarkStart w:id="47" w:name="_Toc15377223"/>
      <w:r>
        <w:rPr>
          <w:rFonts w:hint="eastAsia" w:asci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rPr>
        <w:t>市教育和体育局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1167.6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987.6</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180</w:t>
      </w:r>
      <w:r>
        <w:rPr>
          <w:rFonts w:hint="eastAsia" w:ascii="仿宋_GB2312" w:eastAsia="仿宋_GB2312"/>
          <w:color w:val="auto"/>
          <w:sz w:val="32"/>
          <w:szCs w:val="32"/>
          <w:highlight w:val="none"/>
        </w:rPr>
        <w:t>万元。主要用于</w:t>
      </w:r>
      <w:r>
        <w:rPr>
          <w:rFonts w:hint="eastAsia" w:ascii="仿宋_GB2312" w:eastAsia="仿宋_GB2312" w:cs="仿宋_GB2312"/>
          <w:color w:val="000000"/>
          <w:sz w:val="32"/>
          <w:szCs w:val="32"/>
        </w:rPr>
        <w:t>电脑、桌椅、广播器材、体育用品等用品采购，校园监控系统、</w:t>
      </w:r>
      <w:r>
        <w:rPr>
          <w:rFonts w:hint="eastAsia" w:ascii="仿宋_GB2312" w:eastAsia="仿宋_GB2312"/>
          <w:color w:val="000000"/>
          <w:sz w:val="32"/>
          <w:szCs w:val="32"/>
        </w:rPr>
        <w:t>高考防暑降温空调设备、电力线路</w:t>
      </w:r>
      <w:r>
        <w:rPr>
          <w:rFonts w:hint="eastAsia" w:ascii="仿宋_GB2312" w:eastAsia="仿宋_GB2312" w:cs="仿宋_GB2312"/>
          <w:color w:val="000000"/>
          <w:sz w:val="32"/>
          <w:szCs w:val="32"/>
        </w:rPr>
        <w:t>、改造工程、楼房修缮等服务和工程</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1167.6</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eastAsia="仿宋"/>
          <w:b/>
          <w:color w:val="auto"/>
          <w:sz w:val="32"/>
          <w:szCs w:val="32"/>
          <w:highlight w:val="none"/>
        </w:rPr>
      </w:pPr>
      <w:bookmarkStart w:id="48" w:name="_Toc15377224"/>
      <w:r>
        <w:rPr>
          <w:rFonts w:hint="eastAsia" w:asci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 w:eastAsia="仿宋"/>
          <w:b/>
          <w:color w:val="FF0000"/>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rPr>
        <w:t>市教育和体育局共有车辆1辆，其中：</w:t>
      </w:r>
      <w:r>
        <w:rPr>
          <w:rFonts w:hint="eastAsia" w:ascii="仿宋_GB2312" w:eastAsia="仿宋_GB2312" w:cs="仿宋_GB2312"/>
          <w:color w:val="000000"/>
          <w:sz w:val="32"/>
          <w:szCs w:val="32"/>
        </w:rPr>
        <w:t>主要领导干部用车0辆、机要通信用车0辆、应急保障用车0辆、其他用车1辆，执法执勤用车0辆，特种专业技术用车0辆，离退休干部用车其他用车0辆。主要是用于单位日常公务使用，汽车专业教育教学和通勤车。</w:t>
      </w:r>
      <w:r>
        <w:rPr>
          <w:rFonts w:hint="eastAsia" w:ascii="仿宋_GB2312" w:eastAsia="仿宋_GB2312"/>
          <w:color w:val="000000"/>
          <w:sz w:val="32"/>
          <w:szCs w:val="32"/>
        </w:rPr>
        <w:t>单价50万元以上通用设备0台（套），单价100万元以上专用设备0台（套）。</w:t>
      </w:r>
    </w:p>
    <w:p>
      <w:pPr>
        <w:autoSpaceDE w:val="0"/>
        <w:autoSpaceDN w:val="0"/>
        <w:adjustRightInd w:val="0"/>
        <w:spacing w:line="600" w:lineRule="exact"/>
        <w:ind w:firstLine="642" w:firstLineChars="200"/>
        <w:jc w:val="left"/>
        <w:outlineLvl w:val="2"/>
        <w:rPr>
          <w:rFonts w:hint="eastAsia" w:ascii="仿宋" w:eastAsia="仿宋"/>
          <w:b/>
          <w:color w:val="auto"/>
          <w:sz w:val="32"/>
          <w:szCs w:val="32"/>
          <w:highlight w:val="none"/>
          <w:lang w:eastAsia="zh-CN"/>
        </w:rPr>
      </w:pPr>
      <w:r>
        <w:rPr>
          <w:rFonts w:hint="eastAsia" w:ascii="仿宋" w:eastAsia="仿宋"/>
          <w:b/>
          <w:color w:val="auto"/>
          <w:sz w:val="32"/>
          <w:szCs w:val="32"/>
          <w:highlight w:val="none"/>
        </w:rPr>
        <w:t>（四）预算绩效管理情况</w:t>
      </w:r>
    </w:p>
    <w:p>
      <w:pPr>
        <w:spacing w:line="580" w:lineRule="exact"/>
        <w:ind w:firstLine="640" w:firstLineChars="200"/>
        <w:rPr>
          <w:highlight w:val="yellow"/>
        </w:rPr>
      </w:pPr>
      <w:r>
        <w:rPr>
          <w:rFonts w:hint="eastAsia" w:ascii="仿宋_GB2312" w:eastAsia="仿宋_GB2312" w:cs="仿宋_GB2312"/>
          <w:color w:val="auto"/>
          <w:sz w:val="32"/>
          <w:szCs w:val="32"/>
          <w:highlight w:val="none"/>
        </w:rPr>
        <w:t>根据预算绩效管理要求，本单位在</w:t>
      </w:r>
      <w:r>
        <w:rPr>
          <w:rFonts w:hint="eastAsia" w:ascii="仿宋_GB2312" w:eastAsia="仿宋_GB2312" w:cs="仿宋_GB2312"/>
          <w:color w:val="auto"/>
          <w:sz w:val="32"/>
          <w:szCs w:val="32"/>
          <w:highlight w:val="none"/>
          <w:lang w:val="en-US" w:eastAsia="zh-CN"/>
        </w:rPr>
        <w:t>2021年度</w:t>
      </w:r>
      <w:r>
        <w:rPr>
          <w:rFonts w:hint="eastAsia" w:ascii="仿宋_GB2312" w:eastAsia="仿宋_GB2312" w:cs="仿宋_GB2312"/>
          <w:color w:val="auto"/>
          <w:sz w:val="32"/>
          <w:szCs w:val="32"/>
          <w:highlight w:val="none"/>
        </w:rPr>
        <w:t>预算编制阶段，组织对</w:t>
      </w:r>
      <w:r>
        <w:rPr>
          <w:rFonts w:hint="eastAsia" w:ascii="仿宋_GB2312" w:eastAsia="仿宋_GB2312" w:cs="仿宋_GB2312"/>
          <w:color w:val="auto"/>
          <w:sz w:val="32"/>
          <w:szCs w:val="32"/>
          <w:highlight w:val="none"/>
          <w:lang w:eastAsia="zh-CN"/>
        </w:rPr>
        <w:t>业务运行费项目、财政教育资金</w:t>
      </w:r>
      <w:r>
        <w:rPr>
          <w:rFonts w:hint="eastAsia" w:ascii="仿宋_GB2312" w:eastAsia="仿宋_GB2312" w:cs="仿宋_GB2312"/>
          <w:color w:val="auto"/>
          <w:sz w:val="32"/>
          <w:szCs w:val="32"/>
          <w:highlight w:val="none"/>
        </w:rPr>
        <w:t>项目</w:t>
      </w:r>
      <w:r>
        <w:rPr>
          <w:rFonts w:hint="eastAsia" w:ascii="仿宋_GB2312" w:eastAsia="仿宋_GB2312" w:cs="仿宋_GB2312"/>
          <w:color w:val="auto"/>
          <w:sz w:val="32"/>
          <w:szCs w:val="32"/>
          <w:highlight w:val="none"/>
          <w:lang w:eastAsia="zh-CN"/>
        </w:rPr>
        <w:t>等</w:t>
      </w:r>
      <w:r>
        <w:rPr>
          <w:rFonts w:hint="eastAsia" w:ascii="仿宋_GB2312" w:eastAsia="仿宋_GB2312" w:cs="仿宋_GB2312"/>
          <w:color w:val="auto"/>
          <w:sz w:val="32"/>
          <w:szCs w:val="32"/>
          <w:highlight w:val="none"/>
          <w:lang w:val="en-US" w:eastAsia="zh-CN"/>
        </w:rPr>
        <w:t>12个项目</w:t>
      </w:r>
      <w:r>
        <w:rPr>
          <w:rFonts w:hint="eastAsia" w:ascii="仿宋_GB2312" w:eastAsia="仿宋_GB2312" w:cs="仿宋_GB2312"/>
          <w:color w:val="auto"/>
          <w:sz w:val="32"/>
          <w:szCs w:val="32"/>
          <w:highlight w:val="none"/>
        </w:rPr>
        <w:t>开展了预算事前绩效评估，对</w:t>
      </w:r>
      <w:r>
        <w:rPr>
          <w:rFonts w:hint="eastAsia" w:ascii="仿宋_GB2312" w:eastAsia="仿宋_GB2312" w:cs="仿宋_GB2312"/>
          <w:color w:val="auto"/>
          <w:sz w:val="32"/>
          <w:szCs w:val="32"/>
          <w:highlight w:val="none"/>
          <w:lang w:val="en-US" w:eastAsia="zh-CN"/>
        </w:rPr>
        <w:t>12</w:t>
      </w:r>
      <w:r>
        <w:rPr>
          <w:rFonts w:hint="eastAsia" w:ascii="仿宋_GB2312" w:eastAsia="仿宋_GB2312" w:cs="仿宋_GB2312"/>
          <w:color w:val="auto"/>
          <w:sz w:val="32"/>
          <w:szCs w:val="32"/>
          <w:highlight w:val="none"/>
        </w:rPr>
        <w:t>个项目编制了绩效目标，预算执行过程中，选取</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个项目开展绩效监控，年终执行完毕后，对</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个项目开展了绩效自评</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left="0" w:firstLine="660" w:firstLineChars="150"/>
        <w:jc w:val="center"/>
        <w:outlineLvl w:val="0"/>
        <w:rPr>
          <w:rStyle w:val="16"/>
          <w:rFonts w:ascii="黑体" w:eastAsia="黑体"/>
          <w:b w:val="0"/>
          <w:color w:val="auto"/>
          <w:highlight w:val="none"/>
        </w:rPr>
      </w:pPr>
      <w:bookmarkStart w:id="49" w:name="_Toc15396613"/>
      <w:bookmarkStart w:id="50" w:name="_Toc15377225"/>
      <w:r>
        <w:rPr>
          <w:rFonts w:hint="eastAsia" w:ascii="黑体" w:eastAsia="黑体"/>
          <w:color w:val="auto"/>
          <w:sz w:val="44"/>
          <w:szCs w:val="44"/>
          <w:highlight w:val="none"/>
        </w:rPr>
        <w:t>名</w:t>
      </w:r>
      <w:r>
        <w:rPr>
          <w:rStyle w:val="16"/>
          <w:rFonts w:hint="eastAsia" w:asci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其他收入：指单位取得的除上述收入以外的各项收入。主要是利息收入、除财政外其他相关单位拨款等。</w:t>
      </w:r>
      <w:r>
        <w:rPr>
          <w:rFonts w:ascii="仿宋_GB2312" w:eastAsia="仿宋_GB2312" w:cs="仿宋_GB2312"/>
          <w:sz w:val="32"/>
          <w:szCs w:val="32"/>
        </w:rPr>
        <w:t xml:space="preserve"> </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年初结转和结余：指以前年度尚未完成、结转到本年按有关规定继续使用的资金。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一般公共服务（类）组织事务（款）其他组织事务支出（项）：指其他用于中国共产党组织部门的事业支出。</w:t>
      </w:r>
    </w:p>
    <w:p>
      <w:pPr>
        <w:widowControl/>
        <w:spacing w:line="560" w:lineRule="exact"/>
        <w:ind w:firstLine="660"/>
        <w:rPr>
          <w:rFonts w:hint="eastAsia"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附加安排的支出（款）其他教育附加安排的支出（项）</w:t>
      </w:r>
      <w:r>
        <w:rPr>
          <w:rFonts w:ascii="仿宋_GB2312" w:eastAsia="仿宋_GB2312" w:cs="仿宋_GB2312"/>
          <w:sz w:val="32"/>
          <w:szCs w:val="32"/>
        </w:rPr>
        <w:t>:</w:t>
      </w:r>
      <w:r>
        <w:rPr>
          <w:rFonts w:hint="eastAsia" w:ascii="仿宋_GB2312" w:eastAsia="仿宋_GB2312" w:cs="仿宋_GB2312"/>
          <w:sz w:val="32"/>
          <w:szCs w:val="32"/>
        </w:rPr>
        <w:t>反映除农村中小学校舍建设、农村中小学教学设施、城市中小学校舍建设、城市中小学教学设施、中等职业学校教学设施以外的教育费附加支出。</w:t>
      </w:r>
    </w:p>
    <w:p>
      <w:pPr>
        <w:widowControl/>
        <w:spacing w:line="560" w:lineRule="exact"/>
        <w:ind w:firstLine="660"/>
        <w:rPr>
          <w:rFonts w:hint="eastAsia" w:ascii="仿宋_GB2312" w:eastAsia="仿宋_GB2312" w:cs="仿宋_GB2312"/>
          <w:sz w:val="32"/>
          <w:szCs w:val="32"/>
          <w:lang w:eastAsia="zh-CN"/>
        </w:rPr>
      </w:pPr>
      <w:r>
        <w:rPr>
          <w:rFonts w:ascii="仿宋_GB2312" w:eastAsia="仿宋_GB2312" w:cs="仿宋_GB2312"/>
          <w:sz w:val="32"/>
          <w:szCs w:val="32"/>
        </w:rPr>
        <w:t>7.</w:t>
      </w:r>
      <w:r>
        <w:rPr>
          <w:rFonts w:hint="eastAsia" w:ascii="仿宋_GB2312" w:eastAsia="仿宋_GB2312" w:cs="仿宋_GB2312"/>
          <w:sz w:val="32"/>
          <w:szCs w:val="32"/>
        </w:rPr>
        <w:t>文化体育与传媒（类）体育（款）一般行政管理事务（项）：指反映行政单位（包括实行公务员管理的事业单位）未单独设置项级科目的其他项目支出。</w:t>
      </w:r>
    </w:p>
    <w:p>
      <w:pPr>
        <w:widowControl/>
        <w:spacing w:line="560" w:lineRule="exact"/>
        <w:ind w:firstLine="660"/>
        <w:rPr>
          <w:rFonts w:hint="eastAsia"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社会保障和就业（类）行政事业单位离退休（款）机关事业单位基本养老保险缴费支出（项）：反映机关事业单位实施养老保险制度由单位缴纳的基本养老保险费支出。社会保障和就业（类）社会福利（款）儿童福利（项）：反映对儿童提供福利服务方面的支出。</w:t>
      </w:r>
    </w:p>
    <w:p>
      <w:pPr>
        <w:widowControl/>
        <w:spacing w:line="560" w:lineRule="exact"/>
        <w:ind w:firstLine="660"/>
        <w:rPr>
          <w:rFonts w:ascii="仿宋_GB2312" w:eastAsia="仿宋_GB2312"/>
          <w:sz w:val="32"/>
          <w:szCs w:val="32"/>
        </w:rPr>
      </w:pPr>
      <w:r>
        <w:rPr>
          <w:rFonts w:hint="eastAsia" w:ascii="仿宋_GB2312" w:eastAsia="仿宋_GB2312" w:cs="仿宋_GB2312"/>
          <w:sz w:val="32"/>
          <w:szCs w:val="32"/>
          <w:lang w:val="en-US" w:eastAsia="zh-CN"/>
        </w:rPr>
        <w:t>9</w:t>
      </w:r>
      <w:r>
        <w:rPr>
          <w:rFonts w:ascii="仿宋_GB2312" w:eastAsia="仿宋_GB2312" w:cs="仿宋_GB2312"/>
          <w:sz w:val="32"/>
          <w:szCs w:val="32"/>
        </w:rPr>
        <w:t>.</w:t>
      </w:r>
      <w:r>
        <w:rPr>
          <w:rFonts w:hint="eastAsia" w:ascii="仿宋_GB2312" w:eastAsia="仿宋_GB2312" w:cs="仿宋_GB2312"/>
          <w:sz w:val="32"/>
          <w:szCs w:val="32"/>
        </w:rPr>
        <w:t>基本支出：指为保障机构正常运转、完成日常工作任务而发生的人员支出和公用支出。</w:t>
      </w:r>
    </w:p>
    <w:p>
      <w:pPr>
        <w:pStyle w:val="2"/>
        <w:ind w:firstLine="640" w:firstLineChars="200"/>
        <w:rPr>
          <w:rFonts w:hint="eastAsia"/>
        </w:rPr>
      </w:pPr>
      <w:r>
        <w:rPr>
          <w:rFonts w:ascii="仿宋_GB2312" w:eastAsia="仿宋_GB2312" w:cs="仿宋_GB2312"/>
          <w:sz w:val="32"/>
          <w:szCs w:val="32"/>
        </w:rPr>
        <w:t>1</w:t>
      </w:r>
      <w:r>
        <w:rPr>
          <w:rFonts w:hint="eastAsia" w:cs="仿宋_GB2312"/>
          <w:sz w:val="32"/>
          <w:szCs w:val="32"/>
          <w:lang w:val="en-US" w:eastAsia="zh-CN"/>
        </w:rPr>
        <w:t>0</w:t>
      </w:r>
      <w:r>
        <w:rPr>
          <w:rFonts w:ascii="仿宋_GB2312" w:eastAsia="仿宋_GB2312" w:cs="仿宋_GB2312"/>
          <w:sz w:val="32"/>
          <w:szCs w:val="32"/>
        </w:rPr>
        <w:t>.</w:t>
      </w:r>
      <w:r>
        <w:rPr>
          <w:rFonts w:hint="eastAsia" w:ascii="仿宋_GB2312" w:eastAsia="仿宋_GB2312" w:cs="仿宋_GB2312"/>
          <w:sz w:val="32"/>
          <w:szCs w:val="32"/>
        </w:rPr>
        <w:t>项目支出：指在基本支出之外为完成特定行政任务和事业发展目标所发生的支出。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1</w:t>
      </w:r>
      <w:r>
        <w:rPr>
          <w:rFonts w:ascii="仿宋_GB2312" w:eastAsia="仿宋_GB2312" w:cs="仿宋_GB2312"/>
          <w:sz w:val="32"/>
          <w:szCs w:val="32"/>
        </w:rPr>
        <w:t>.</w:t>
      </w:r>
      <w:r>
        <w:rPr>
          <w:rFonts w:hint="eastAsia" w:ascii="仿宋_GB2312" w:eastAsia="仿宋_GB2312" w:cs="仿宋_GB2312"/>
          <w:sz w:val="32"/>
          <w:szCs w:val="32"/>
        </w:rPr>
        <w:t>住房保障（类）住房改革支出（款）住房公积金（项）：指反映行政事业单位按人力资源和社会保障部、财政部规定的基本工资和津贴补贴以及规定比列为职工缴纳的住房公积金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2</w:t>
      </w:r>
      <w:r>
        <w:rPr>
          <w:rFonts w:ascii="仿宋_GB2312" w:eastAsia="仿宋_GB2312" w:cs="仿宋_GB2312"/>
          <w:sz w:val="32"/>
          <w:szCs w:val="32"/>
        </w:rPr>
        <w:t>.</w:t>
      </w:r>
      <w:r>
        <w:rPr>
          <w:rFonts w:hint="eastAsia" w:ascii="仿宋_GB2312" w:eastAsia="仿宋_GB2312" w:cs="仿宋_GB2312"/>
          <w:sz w:val="32"/>
          <w:szCs w:val="32"/>
        </w:rPr>
        <w:t>其他支出（类）彩票公益金及对应专项债务收入安排的支出（款）用于体育事业的彩票公益金支出（项）：反映用于体育事业的彩票公益金支出。</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3</w:t>
      </w:r>
      <w:r>
        <w:rPr>
          <w:rFonts w:ascii="仿宋_GB2312" w:eastAsia="仿宋_GB2312" w:cs="仿宋_GB2312"/>
          <w:sz w:val="32"/>
          <w:szCs w:val="32"/>
        </w:rPr>
        <w:t>.</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ascii="仿宋_GB2312" w:eastAsia="仿宋_GB2312"/>
          <w:sz w:val="32"/>
          <w:szCs w:val="32"/>
        </w:rPr>
        <w:t>“</w:t>
      </w:r>
      <w:r>
        <w:rPr>
          <w:rFonts w:hint="eastAsia" w:ascii="仿宋_GB2312" w:eastAsia="仿宋_GB2312" w:cs="仿宋_GB2312"/>
          <w:sz w:val="32"/>
          <w:szCs w:val="32"/>
        </w:rPr>
        <w:t>三公</w:t>
      </w:r>
      <w:r>
        <w:rPr>
          <w:rFonts w:ascii="仿宋_GB2312" w:eastAsia="仿宋_GB2312"/>
          <w:sz w:val="32"/>
          <w:szCs w:val="32"/>
        </w:rPr>
        <w:t>”</w:t>
      </w:r>
      <w:r>
        <w:rPr>
          <w:rFonts w:hint="eastAsia" w:ascii="仿宋_GB2312" w:eastAsia="仿宋_GB2312"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auto"/>
          <w:sz w:val="32"/>
          <w:szCs w:val="32"/>
          <w:highlight w:val="none"/>
        </w:rPr>
      </w:pPr>
    </w:p>
    <w:p>
      <w:pPr>
        <w:spacing w:line="600" w:lineRule="exact"/>
        <w:jc w:val="center"/>
        <w:outlineLvl w:val="0"/>
        <w:rPr>
          <w:rFonts w:hint="eastAsia" w:ascii="黑体" w:eastAsia="黑体"/>
          <w:color w:val="auto"/>
          <w:sz w:val="44"/>
          <w:szCs w:val="44"/>
          <w:highlight w:val="none"/>
        </w:rPr>
      </w:pPr>
      <w:bookmarkStart w:id="51" w:name="_Toc15396614"/>
      <w:bookmarkStart w:id="52" w:name="_Toc15377226"/>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both"/>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Style w:val="16"/>
          <w:rFonts w:ascii="黑体" w:eastAsia="黑体"/>
          <w:b w:val="0"/>
          <w:color w:val="auto"/>
          <w:highlight w:val="none"/>
        </w:rPr>
      </w:pPr>
      <w:r>
        <w:rPr>
          <w:rFonts w:hint="eastAsia" w:ascii="黑体" w:eastAsia="黑体"/>
          <w:color w:val="auto"/>
          <w:sz w:val="44"/>
          <w:szCs w:val="44"/>
          <w:highlight w:val="none"/>
        </w:rPr>
        <w:t>第</w:t>
      </w:r>
      <w:r>
        <w:rPr>
          <w:rStyle w:val="16"/>
          <w:rFonts w:hint="eastAsia" w:ascii="黑体" w:eastAsia="黑体"/>
          <w:b w:val="0"/>
          <w:color w:val="auto"/>
          <w:highlight w:val="none"/>
        </w:rPr>
        <w:t>四部分 附件</w:t>
      </w:r>
      <w:bookmarkEnd w:id="51"/>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仿宋_GB2312" w:eastAsia="仿宋_GB2312" w:cs="仿宋_GB2312"/>
          <w:color w:val="auto"/>
          <w:sz w:val="32"/>
          <w:szCs w:val="32"/>
          <w:highlight w:val="none"/>
        </w:rPr>
      </w:pPr>
      <w:r>
        <w:rPr>
          <w:rFonts w:hint="eastAsia" w:ascii="黑体" w:eastAsia="黑体" w:cs="黑体"/>
          <w:color w:val="auto"/>
          <w:sz w:val="32"/>
          <w:szCs w:val="32"/>
          <w:highlight w:val="none"/>
        </w:rPr>
        <w:t>附件</w:t>
      </w:r>
    </w:p>
    <w:tbl>
      <w:tblPr>
        <w:tblStyle w:val="12"/>
        <w:tblpPr w:leftFromText="180" w:rightFromText="180" w:vertAnchor="text" w:horzAnchor="page" w:tblpX="1196" w:tblpY="32"/>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noWrap/>
            <w:vAlign w:val="center"/>
          </w:tcPr>
          <w:p>
            <w:pPr>
              <w:keepNext w:val="0"/>
              <w:keepLines w:val="0"/>
              <w:widowControl/>
              <w:suppressLineNumbers w:val="0"/>
              <w:spacing w:beforeAutospacing="0"/>
              <w:jc w:val="both"/>
              <w:textAlignment w:val="center"/>
              <w:rPr>
                <w:rFonts w:hint="eastAsia" w:ascii="宋体" w:eastAsia="宋体" w:cs="宋体"/>
                <w:b/>
                <w:i w:val="0"/>
                <w:color w:val="auto"/>
                <w:sz w:val="32"/>
                <w:szCs w:val="32"/>
                <w:u w:val="none"/>
              </w:rPr>
            </w:pPr>
            <w:bookmarkStart w:id="53" w:name="_Toc15396618"/>
            <w:r>
              <w:rPr>
                <w:rFonts w:hint="eastAsia" w:ascii="宋体" w:eastAsia="宋体" w:cs="宋体"/>
                <w:b/>
                <w:i w:val="0"/>
                <w:color w:val="auto"/>
                <w:sz w:val="32"/>
                <w:szCs w:val="32"/>
                <w:u w:val="none"/>
                <w:lang w:val="en-US" w:eastAsia="zh-CN"/>
              </w:rPr>
              <w:t>2021年特定目标类部门预算项目绩效目标自评</w:t>
            </w:r>
          </w:p>
        </w:tc>
        <w:tc>
          <w:tcPr>
            <w:tcW w:w="23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eastAsia="宋体" w:cs="宋体"/>
                <w:i w:val="0"/>
                <w:color w:val="auto"/>
                <w:sz w:val="24"/>
                <w:szCs w:val="24"/>
                <w:u w:val="none"/>
              </w:rPr>
              <w:t>攀枝花市教育和体育局</w:t>
            </w:r>
            <w:r>
              <w:rPr>
                <w:rFonts w:hint="eastAsia" w:ascii="宋体" w:cs="宋体"/>
                <w:i w:val="0"/>
                <w:color w:val="auto"/>
                <w:sz w:val="24"/>
                <w:szCs w:val="24"/>
                <w:u w:val="none"/>
                <w:lang w:val="en-US" w:eastAsia="zh-CN"/>
              </w:rPr>
              <w:t>203001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sz w:val="24"/>
                <w:szCs w:val="24"/>
                <w:u w:val="none"/>
              </w:rPr>
              <w:t>攀枝花市教育和体育局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项目预算</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执行情况</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组织开展初、中级教师（教练）职称评审和高级教师职称的申报、高中学业水平考试、教师资格 认定。促进各级各类教育协调发展。进一步加强教师队伍建设，加大名师、名家的培养力度，建立表扬激励机制。</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组织开展初、中级教师（教练）职称评审和高级教师职称的申报、高中学业水平考试、教师资格 认定。促进各级各类教育协调发展。进一步加强教师队伍建设，加大名师、名家的培养力度，建立表扬激励机制。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385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8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高中学业水平考试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教师职称评定</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10所高中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不少于200人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不少于200人</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50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5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10所高中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50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50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高中学业水平考试</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合格人数95%以上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合格人数95%以上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2021年全年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2021年全年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385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38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高中学业水平考试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教师职称评定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其他相关费用</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1万元</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50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效益</w:t>
            </w:r>
            <w:r>
              <w:rPr>
                <w:rFonts w:hint="eastAsia" w:ascii="仿宋_GB2312" w:eastAsia="仿宋_GB2312" w:cs="仿宋_GB2312"/>
                <w:i w:val="0"/>
                <w:color w:val="auto"/>
                <w:kern w:val="0"/>
                <w:sz w:val="28"/>
                <w:szCs w:val="28"/>
                <w:u w:val="none"/>
                <w:lang w:val="en-US" w:eastAsia="zh-CN"/>
              </w:rPr>
              <w:br w:type="textWrapping"/>
            </w:r>
            <w:r>
              <w:rPr>
                <w:rFonts w:hint="eastAsia" w:ascii="仿宋_GB2312" w:eastAsia="仿宋_GB2312" w:cs="仿宋_GB2312"/>
                <w:i w:val="0"/>
                <w:color w:val="auto"/>
                <w:kern w:val="0"/>
                <w:sz w:val="28"/>
                <w:szCs w:val="28"/>
                <w:u w:val="none"/>
                <w:lang w:val="en-US" w:eastAsia="zh-CN"/>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促进教育事业发展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确保各级各类考试正常进行，促进义务教育均衡发展，保证教育公平，促进其他各类教育协调发展，培养正确、科学的公众意识和理念，为社会发展培养具有科学的价值观，正确的公众意识和理念的合格的人才。</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20"/>
                <w:szCs w:val="20"/>
                <w:u w:val="none"/>
                <w:lang w:val="en-US" w:eastAsia="zh-CN" w:bidi="ar"/>
              </w:rPr>
              <w:t>确保各级各类考试正常进行，促进义务教育均衡发展，保证教育公平，促进其他各类教育协调发展，培养正确、科学的公众意识和理念，为社会发展培养具有科学的价值观，正确的公众意识和理念的合格的人才。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满意</w:t>
            </w:r>
            <w:r>
              <w:rPr>
                <w:rFonts w:hint="eastAsia" w:ascii="仿宋_GB2312" w:eastAsia="仿宋_GB2312" w:cs="仿宋_GB2312"/>
                <w:i w:val="0"/>
                <w:color w:val="auto"/>
                <w:kern w:val="0"/>
                <w:sz w:val="28"/>
                <w:szCs w:val="28"/>
                <w:u w:val="none"/>
                <w:lang w:val="en-US" w:eastAsia="zh-CN"/>
              </w:rPr>
              <w:br w:type="textWrapping"/>
            </w:r>
            <w:r>
              <w:rPr>
                <w:rFonts w:hint="eastAsia" w:ascii="仿宋_GB2312" w:eastAsia="仿宋_GB2312" w:cs="仿宋_GB2312"/>
                <w:i w:val="0"/>
                <w:color w:val="auto"/>
                <w:kern w:val="0"/>
                <w:sz w:val="28"/>
                <w:szCs w:val="28"/>
                <w:u w:val="none"/>
                <w:lang w:val="en-US" w:eastAsia="zh-CN"/>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385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38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3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教师满意度</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2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50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5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50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bl>
    <w:p>
      <w:pPr>
        <w:spacing w:line="600" w:lineRule="exact"/>
        <w:jc w:val="center"/>
        <w:outlineLvl w:val="0"/>
        <w:rPr>
          <w:rFonts w:hint="eastAsia" w:ascii="黑体" w:eastAsia="黑体"/>
          <w:color w:val="auto"/>
          <w:sz w:val="44"/>
          <w:szCs w:val="44"/>
          <w:highlight w:val="none"/>
        </w:rPr>
      </w:pP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noWrap/>
            <w:vAlign w:val="center"/>
          </w:tcPr>
          <w:p>
            <w:pPr>
              <w:keepNext w:val="0"/>
              <w:keepLines w:val="0"/>
              <w:widowControl/>
              <w:suppressLineNumbers w:val="0"/>
              <w:spacing w:beforeAutospacing="0"/>
              <w:jc w:val="both"/>
              <w:textAlignment w:val="center"/>
              <w:rPr>
                <w:rFonts w:hint="eastAsia" w:ascii="宋体" w:eastAsia="宋体" w:cs="宋体"/>
                <w:b/>
                <w:i w:val="0"/>
                <w:color w:val="auto"/>
                <w:sz w:val="32"/>
                <w:szCs w:val="32"/>
                <w:u w:val="none"/>
              </w:rPr>
            </w:pPr>
            <w:r>
              <w:rPr>
                <w:rFonts w:hint="eastAsia" w:ascii="宋体" w:eastAsia="宋体" w:cs="宋体"/>
                <w:b/>
                <w:i w:val="0"/>
                <w:color w:val="auto"/>
                <w:sz w:val="32"/>
                <w:szCs w:val="32"/>
                <w:u w:val="none"/>
                <w:lang w:val="en-US" w:eastAsia="zh-CN"/>
              </w:rPr>
              <w:t>2021年特定目标类部门预算项目绩效目标自评</w:t>
            </w:r>
          </w:p>
        </w:tc>
        <w:tc>
          <w:tcPr>
            <w:tcW w:w="23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eastAsia="宋体" w:cs="宋体"/>
                <w:i w:val="0"/>
                <w:color w:val="auto"/>
                <w:sz w:val="24"/>
                <w:szCs w:val="24"/>
                <w:u w:val="none"/>
              </w:rPr>
              <w:t>攀枝花市教育和体育局</w:t>
            </w:r>
            <w:r>
              <w:rPr>
                <w:rFonts w:hint="eastAsia" w:ascii="宋体" w:cs="宋体"/>
                <w:i w:val="0"/>
                <w:color w:val="auto"/>
                <w:sz w:val="24"/>
                <w:szCs w:val="24"/>
                <w:u w:val="none"/>
                <w:lang w:val="en-US" w:eastAsia="zh-CN"/>
              </w:rPr>
              <w:t>203001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sz w:val="24"/>
                <w:szCs w:val="24"/>
                <w:u w:val="none"/>
              </w:rPr>
              <w:t>攀枝花市教育和体育局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项目预算</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执行情况</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sz w:val="24"/>
                <w:szCs w:val="24"/>
                <w:u w:val="none"/>
              </w:rPr>
              <w:t>257.852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sz w:val="24"/>
                <w:szCs w:val="24"/>
                <w:u w:val="none"/>
              </w:rPr>
              <w:t>257.852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高质量谋划教育体育发展,巩固提高教育教学质量,全面实施素质教育,加强教育体育人才队伍建设,全力助推体育事业发展,大力改善办学条件,充分发挥教育督导作用,抓实行业安全稳定工作。</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高质量谋划教育体育发展,巩固提高教育教学质量,全面实施素质教育,加强教育体育人才队伍建设,全力助推体育事业发展,大力改善办学条件,充分发挥教育督导作用,抓实行业安全稳定工作。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385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开展各项检查督导工作</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慰问教师200人次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各工作阶段以及各领域分别开展20次以上检查</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19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慰问教师200人次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各工作阶段以及各领域分别开展20次以上检查</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385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提高教学水平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稳定教师队伍，营造尊师重教良好氛围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统筹安排，保证各项教育体育工作顺利进行</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新教师深度参与培训活动，解决其教学重大问题和困惑。进一步加强教师队伍建设，加大名师、名家的培养力度；进一步提升全市中小学校课堂教学重构能力；丰富我市课程改革策略，进行正确路径选择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做好教师队伍建设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完成教育体育各项工作</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19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新教师深度参与培训活动，解决其教学重大问题和困惑。进一步加强教师队伍建设，加大名师、名家的培养力度；进一步提升全市中小学校课堂教学重构能力；丰富我市课程改革策略，进行正确路径选择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做好教师队伍建设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完成教育体育各项工作</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18"/>
                <w:szCs w:val="18"/>
                <w:u w:val="none"/>
                <w:lang w:val="en-US" w:eastAsia="zh-CN" w:bidi="ar"/>
              </w:rPr>
              <w:t>按照工作计划执行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18"/>
                <w:szCs w:val="18"/>
                <w:u w:val="none"/>
                <w:lang w:val="en-US" w:eastAsia="zh-CN" w:bidi="ar"/>
              </w:rPr>
              <w:t>2021年全年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18"/>
                <w:szCs w:val="18"/>
                <w:u w:val="none"/>
                <w:lang w:val="en-US" w:eastAsia="zh-CN" w:bidi="ar"/>
              </w:rPr>
              <w:t>2021年全年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385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855"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管理经费</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含讲课费、场地费、培训费、差旅费等，全年预计30万元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共计120000元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1000000元</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19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共计120000元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 000元</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效益</w:t>
            </w:r>
            <w:r>
              <w:rPr>
                <w:rFonts w:hint="eastAsia" w:ascii="仿宋_GB2312" w:eastAsia="仿宋_GB2312" w:cs="仿宋_GB2312"/>
                <w:i w:val="0"/>
                <w:color w:val="auto"/>
                <w:kern w:val="0"/>
                <w:sz w:val="28"/>
                <w:szCs w:val="28"/>
                <w:u w:val="none"/>
                <w:lang w:val="en-US" w:eastAsia="zh-CN"/>
              </w:rPr>
              <w:br w:type="textWrapping"/>
            </w:r>
            <w:r>
              <w:rPr>
                <w:rFonts w:hint="eastAsia" w:ascii="仿宋_GB2312" w:eastAsia="仿宋_GB2312" w:cs="仿宋_GB2312"/>
                <w:i w:val="0"/>
                <w:color w:val="auto"/>
                <w:kern w:val="0"/>
                <w:sz w:val="28"/>
                <w:szCs w:val="28"/>
                <w:u w:val="none"/>
                <w:lang w:val="en-US" w:eastAsia="zh-CN"/>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18"/>
                <w:szCs w:val="18"/>
                <w:u w:val="none"/>
                <w:lang w:val="en-US" w:eastAsia="zh-CN" w:bidi="ar"/>
              </w:rPr>
              <w:t>确保各级各类考试正常进行，促进义务教育均衡发展，保证教育公平，促进其他各类教育协调发展，培养正确、科学的公众意识和理念，为社会发展培养具有科学的价值观，正确的公众意识和理念的合格的人才。</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18"/>
                <w:szCs w:val="18"/>
                <w:u w:val="none"/>
                <w:lang w:val="en-US" w:eastAsia="zh-CN" w:bidi="ar"/>
              </w:rPr>
              <w:t>办人民满意的教育</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auto"/>
                <w:sz w:val="28"/>
                <w:szCs w:val="28"/>
                <w:u w:val="none"/>
              </w:rPr>
            </w:pPr>
            <w:r>
              <w:rPr>
                <w:rFonts w:hint="eastAsia" w:ascii="宋体" w:hAnsi="宋体" w:eastAsia="宋体" w:cs="宋体"/>
                <w:i w:val="0"/>
                <w:color w:val="000000"/>
                <w:kern w:val="0"/>
                <w:sz w:val="18"/>
                <w:szCs w:val="18"/>
                <w:u w:val="none"/>
                <w:lang w:val="en-US" w:eastAsia="zh-CN" w:bidi="ar"/>
              </w:rPr>
              <w:t>办人民满意的教育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满意</w:t>
            </w:r>
            <w:r>
              <w:rPr>
                <w:rFonts w:hint="eastAsia" w:ascii="仿宋_GB2312" w:eastAsia="仿宋_GB2312" w:cs="仿宋_GB2312"/>
                <w:i w:val="0"/>
                <w:color w:val="auto"/>
                <w:kern w:val="0"/>
                <w:sz w:val="28"/>
                <w:szCs w:val="28"/>
                <w:u w:val="none"/>
                <w:lang w:val="en-US" w:eastAsia="zh-CN"/>
              </w:rPr>
              <w:br w:type="textWrapping"/>
            </w:r>
            <w:r>
              <w:rPr>
                <w:rFonts w:hint="eastAsia" w:ascii="仿宋_GB2312" w:eastAsia="仿宋_GB2312" w:cs="仿宋_GB2312"/>
                <w:i w:val="0"/>
                <w:color w:val="auto"/>
                <w:kern w:val="0"/>
                <w:sz w:val="28"/>
                <w:szCs w:val="28"/>
                <w:u w:val="none"/>
                <w:lang w:val="en-US" w:eastAsia="zh-CN"/>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385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
              <w:gridCol w:w="385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312" w:hRule="atLeast"/>
              </w:trPr>
              <w:tc>
                <w:tcPr>
                  <w:tcW w:w="3855"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 w:type="dxa"/>
                <w:trHeight w:val="312" w:hRule="atLeast"/>
              </w:trPr>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 w:type="dxa"/>
                <w:trHeight w:val="312" w:hRule="atLeast"/>
              </w:trPr>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学生满意度</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bottom"/>
          </w:tcPr>
          <w:tbl>
            <w:tblPr>
              <w:tblStyle w:val="12"/>
              <w:tblW w:w="22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p>
        </w:tc>
      </w:tr>
    </w:tbl>
    <w:p>
      <w:pPr>
        <w:spacing w:line="600" w:lineRule="exact"/>
        <w:jc w:val="center"/>
        <w:outlineLvl w:val="0"/>
        <w:rPr>
          <w:rFonts w:hint="eastAsia" w:ascii="黑体" w:eastAsia="黑体"/>
          <w:color w:val="auto"/>
          <w:sz w:val="44"/>
          <w:szCs w:val="44"/>
          <w:highlight w:val="none"/>
        </w:rPr>
      </w:pPr>
    </w:p>
    <w:p>
      <w:pPr>
        <w:spacing w:line="600" w:lineRule="exact"/>
        <w:jc w:val="both"/>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Style w:val="16"/>
          <w:rFonts w:hint="eastAsia" w:ascii="黑体" w:eastAsia="黑体"/>
          <w:b w:val="0"/>
          <w:color w:val="auto"/>
          <w:highlight w:val="none"/>
        </w:rPr>
      </w:pPr>
      <w:r>
        <w:rPr>
          <w:rFonts w:hint="eastAsia" w:ascii="黑体" w:eastAsia="黑体"/>
          <w:color w:val="auto"/>
          <w:sz w:val="44"/>
          <w:szCs w:val="44"/>
          <w:highlight w:val="none"/>
        </w:rPr>
        <w:t>第</w:t>
      </w:r>
      <w:r>
        <w:rPr>
          <w:rStyle w:val="16"/>
          <w:rFonts w:hint="eastAsia" w:ascii="黑体" w:eastAsia="黑体"/>
          <w:b w:val="0"/>
          <w:color w:val="auto"/>
          <w:highlight w:val="none"/>
        </w:rPr>
        <w:t>五部分 附表</w:t>
      </w:r>
      <w:bookmarkEnd w:id="52"/>
      <w:bookmarkEnd w:id="53"/>
      <w:bookmarkStart w:id="54" w:name="_Toc15396619"/>
    </w:p>
    <w:p>
      <w:pPr>
        <w:pStyle w:val="4"/>
        <w:rPr>
          <w:rStyle w:val="17"/>
          <w:rFonts w:hint="eastAsia" w:ascii="仿宋" w:eastAsia="仿宋"/>
          <w:b w:val="0"/>
          <w:bCs w:val="0"/>
          <w:color w:val="auto"/>
          <w:highlight w:val="none"/>
        </w:rPr>
      </w:pPr>
      <w:r>
        <w:rPr>
          <w:rFonts w:hint="eastAsia" w:ascii="仿宋" w:eastAsia="仿宋"/>
          <w:b w:val="0"/>
          <w:color w:val="auto"/>
          <w:highlight w:val="none"/>
        </w:rPr>
        <w:t>一、收</w:t>
      </w:r>
      <w:r>
        <w:rPr>
          <w:rStyle w:val="17"/>
          <w:rFonts w:hint="eastAsia" w:ascii="仿宋" w:eastAsia="仿宋"/>
          <w:b w:val="0"/>
          <w:bCs w:val="0"/>
          <w:color w:val="auto"/>
          <w:highlight w:val="none"/>
        </w:rPr>
        <w:t>入支出决算总表</w:t>
      </w:r>
    </w:p>
    <w:p>
      <w:pPr>
        <w:pStyle w:val="4"/>
        <w:rPr>
          <w:rFonts w:ascii="仿宋" w:eastAsia="仿宋"/>
          <w:color w:val="auto"/>
          <w:highlight w:val="none"/>
        </w:rPr>
      </w:pPr>
      <w:bookmarkStart w:id="55" w:name="_Toc15396620"/>
      <w:r>
        <w:rPr>
          <w:rFonts w:hint="eastAsia" w:ascii="仿宋" w:eastAsia="仿宋"/>
          <w:b w:val="0"/>
          <w:color w:val="auto"/>
          <w:highlight w:val="none"/>
        </w:rPr>
        <w:t>二、收</w:t>
      </w:r>
      <w:r>
        <w:rPr>
          <w:rStyle w:val="17"/>
          <w:rFonts w:hint="eastAsia" w:ascii="仿宋" w:eastAsia="仿宋"/>
          <w:b w:val="0"/>
          <w:bCs w:val="0"/>
          <w:color w:val="auto"/>
          <w:highlight w:val="none"/>
        </w:rPr>
        <w:t>入决算表</w:t>
      </w:r>
      <w:bookmarkEnd w:id="55"/>
    </w:p>
    <w:p>
      <w:pPr>
        <w:pStyle w:val="4"/>
        <w:rPr>
          <w:rFonts w:ascii="仿宋" w:eastAsia="仿宋"/>
          <w:color w:val="auto"/>
          <w:highlight w:val="none"/>
        </w:rPr>
      </w:pPr>
      <w:bookmarkStart w:id="56" w:name="_Toc15396621"/>
      <w:r>
        <w:rPr>
          <w:rStyle w:val="17"/>
          <w:rFonts w:hint="eastAsia" w:ascii="仿宋" w:eastAsia="仿宋"/>
          <w:b w:val="0"/>
          <w:bCs w:val="0"/>
          <w:color w:val="auto"/>
          <w:highlight w:val="none"/>
        </w:rPr>
        <w:t>三、</w:t>
      </w:r>
      <w:r>
        <w:rPr>
          <w:rFonts w:hint="eastAsia" w:ascii="仿宋" w:eastAsia="仿宋"/>
          <w:b w:val="0"/>
          <w:color w:val="auto"/>
          <w:highlight w:val="none"/>
        </w:rPr>
        <w:t>支</w:t>
      </w:r>
      <w:r>
        <w:rPr>
          <w:rStyle w:val="17"/>
          <w:rFonts w:hint="eastAsia" w:ascii="仿宋" w:eastAsia="仿宋"/>
          <w:b w:val="0"/>
          <w:bCs w:val="0"/>
          <w:color w:val="auto"/>
          <w:highlight w:val="none"/>
        </w:rPr>
        <w:t>出决算表</w:t>
      </w:r>
      <w:bookmarkEnd w:id="56"/>
    </w:p>
    <w:p>
      <w:pPr>
        <w:pStyle w:val="4"/>
        <w:rPr>
          <w:rFonts w:ascii="仿宋" w:eastAsia="仿宋"/>
          <w:b w:val="0"/>
          <w:color w:val="auto"/>
          <w:highlight w:val="none"/>
        </w:rPr>
      </w:pPr>
      <w:bookmarkStart w:id="57" w:name="_Toc15396622"/>
      <w:r>
        <w:rPr>
          <w:rStyle w:val="17"/>
          <w:rFonts w:hint="eastAsia" w:ascii="仿宋" w:eastAsia="仿宋"/>
          <w:b w:val="0"/>
          <w:bCs w:val="0"/>
          <w:color w:val="auto"/>
          <w:highlight w:val="none"/>
        </w:rPr>
        <w:t>四、</w:t>
      </w:r>
      <w:r>
        <w:rPr>
          <w:rFonts w:hint="eastAsia" w:ascii="仿宋" w:eastAsia="仿宋"/>
          <w:b w:val="0"/>
          <w:color w:val="auto"/>
          <w:highlight w:val="none"/>
        </w:rPr>
        <w:t>财</w:t>
      </w:r>
      <w:r>
        <w:rPr>
          <w:rStyle w:val="17"/>
          <w:rFonts w:hint="eastAsia" w:ascii="仿宋" w:eastAsia="仿宋"/>
          <w:b w:val="0"/>
          <w:bCs w:val="0"/>
          <w:color w:val="auto"/>
          <w:highlight w:val="none"/>
        </w:rPr>
        <w:t>政拨款收入支出决算总表</w:t>
      </w:r>
      <w:bookmarkEnd w:id="57"/>
    </w:p>
    <w:p>
      <w:pPr>
        <w:pStyle w:val="4"/>
        <w:rPr>
          <w:rStyle w:val="17"/>
          <w:rFonts w:ascii="仿宋" w:eastAsia="仿宋"/>
          <w:b w:val="0"/>
          <w:bCs w:val="0"/>
          <w:color w:val="auto"/>
          <w:highlight w:val="none"/>
        </w:rPr>
      </w:pPr>
      <w:bookmarkStart w:id="58" w:name="_Toc15396623"/>
      <w:r>
        <w:rPr>
          <w:rStyle w:val="17"/>
          <w:rFonts w:hint="eastAsia" w:ascii="仿宋" w:eastAsia="仿宋"/>
          <w:b w:val="0"/>
          <w:bCs w:val="0"/>
          <w:color w:val="auto"/>
          <w:highlight w:val="none"/>
        </w:rPr>
        <w:t>五、</w:t>
      </w:r>
      <w:r>
        <w:rPr>
          <w:rFonts w:hint="eastAsia" w:ascii="仿宋" w:eastAsia="仿宋"/>
          <w:b w:val="0"/>
          <w:color w:val="auto"/>
          <w:highlight w:val="none"/>
        </w:rPr>
        <w:t>财</w:t>
      </w:r>
      <w:r>
        <w:rPr>
          <w:rStyle w:val="17"/>
          <w:rFonts w:hint="eastAsia" w:ascii="仿宋" w:eastAsia="仿宋"/>
          <w:b w:val="0"/>
          <w:bCs w:val="0"/>
          <w:color w:val="auto"/>
          <w:highlight w:val="none"/>
        </w:rPr>
        <w:t>政拨款支出决算明细表</w:t>
      </w:r>
      <w:bookmarkEnd w:id="58"/>
    </w:p>
    <w:p>
      <w:pPr>
        <w:rPr>
          <w:rFonts w:hint="eastAsia"/>
        </w:rPr>
      </w:pPr>
    </w:p>
    <w:bookmarkEnd w:id="54"/>
    <w:p>
      <w:pPr>
        <w:pStyle w:val="4"/>
        <w:rPr>
          <w:rFonts w:ascii="仿宋" w:eastAsia="仿宋"/>
          <w:color w:val="auto"/>
          <w:highlight w:val="none"/>
        </w:rPr>
      </w:pPr>
      <w:bookmarkStart w:id="59" w:name="_Toc15396624"/>
      <w:r>
        <w:rPr>
          <w:rStyle w:val="17"/>
          <w:rFonts w:hint="eastAsia" w:ascii="仿宋" w:eastAsia="仿宋"/>
          <w:b w:val="0"/>
          <w:bCs w:val="0"/>
          <w:color w:val="auto"/>
          <w:highlight w:val="none"/>
        </w:rPr>
        <w:t>六、</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般公共预算财政拨款支出决算表</w:t>
      </w:r>
      <w:bookmarkEnd w:id="59"/>
    </w:p>
    <w:p>
      <w:pPr>
        <w:pStyle w:val="4"/>
        <w:rPr>
          <w:rFonts w:ascii="仿宋" w:eastAsia="仿宋"/>
          <w:color w:val="auto"/>
          <w:highlight w:val="none"/>
        </w:rPr>
      </w:pPr>
      <w:bookmarkStart w:id="60" w:name="_Toc15396625"/>
      <w:r>
        <w:rPr>
          <w:rStyle w:val="17"/>
          <w:rFonts w:hint="eastAsia" w:ascii="仿宋" w:eastAsia="仿宋"/>
          <w:b w:val="0"/>
          <w:bCs w:val="0"/>
          <w:color w:val="auto"/>
          <w:highlight w:val="none"/>
        </w:rPr>
        <w:t>七、</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般公共预算财政拨款支出决算明细表</w:t>
      </w:r>
      <w:bookmarkEnd w:id="60"/>
    </w:p>
    <w:p>
      <w:pPr>
        <w:pStyle w:val="4"/>
        <w:rPr>
          <w:rFonts w:ascii="仿宋" w:eastAsia="仿宋"/>
          <w:color w:val="auto"/>
          <w:highlight w:val="none"/>
        </w:rPr>
      </w:pPr>
      <w:bookmarkStart w:id="61" w:name="_Toc15396626"/>
      <w:r>
        <w:rPr>
          <w:rStyle w:val="17"/>
          <w:rFonts w:hint="eastAsia" w:ascii="仿宋" w:eastAsia="仿宋"/>
          <w:b w:val="0"/>
          <w:bCs w:val="0"/>
          <w:color w:val="auto"/>
          <w:highlight w:val="none"/>
        </w:rPr>
        <w:t>八、</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般公共预算财政拨款基本支出决算表</w:t>
      </w:r>
      <w:bookmarkEnd w:id="61"/>
    </w:p>
    <w:p>
      <w:pPr>
        <w:pStyle w:val="4"/>
        <w:rPr>
          <w:rFonts w:ascii="仿宋" w:eastAsia="仿宋"/>
          <w:color w:val="auto"/>
          <w:highlight w:val="none"/>
        </w:rPr>
      </w:pPr>
      <w:bookmarkStart w:id="62" w:name="_Toc15396627"/>
      <w:r>
        <w:rPr>
          <w:rStyle w:val="17"/>
          <w:rFonts w:hint="eastAsia" w:ascii="仿宋" w:eastAsia="仿宋"/>
          <w:b w:val="0"/>
          <w:bCs w:val="0"/>
          <w:color w:val="auto"/>
          <w:highlight w:val="none"/>
        </w:rPr>
        <w:t>九、</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般公共预算财政拨款项目支出决算表</w:t>
      </w:r>
      <w:bookmarkEnd w:id="62"/>
    </w:p>
    <w:p>
      <w:pPr>
        <w:pStyle w:val="4"/>
        <w:rPr>
          <w:rFonts w:ascii="仿宋" w:eastAsia="仿宋"/>
          <w:color w:val="auto"/>
          <w:highlight w:val="none"/>
        </w:rPr>
      </w:pPr>
      <w:bookmarkStart w:id="63" w:name="_Toc15396628"/>
      <w:r>
        <w:rPr>
          <w:rStyle w:val="17"/>
          <w:rFonts w:hint="eastAsia" w:ascii="仿宋" w:eastAsia="仿宋"/>
          <w:b w:val="0"/>
          <w:bCs w:val="0"/>
          <w:color w:val="auto"/>
          <w:highlight w:val="none"/>
        </w:rPr>
        <w:t>十、</w:t>
      </w:r>
      <w:r>
        <w:rPr>
          <w:rFonts w:hint="eastAsia" w:ascii="仿宋" w:eastAsia="仿宋"/>
          <w:b w:val="0"/>
          <w:color w:val="auto"/>
          <w:highlight w:val="none"/>
        </w:rPr>
        <w:t>一</w:t>
      </w:r>
      <w:r>
        <w:rPr>
          <w:rStyle w:val="17"/>
          <w:rFonts w:hint="eastAsia" w:ascii="仿宋" w:eastAsia="仿宋"/>
          <w:b w:val="0"/>
          <w:bCs w:val="0"/>
          <w:color w:val="auto"/>
          <w:highlight w:val="none"/>
        </w:rPr>
        <w:t>般公共预算财政拨款“三公”经费支出决算表</w:t>
      </w:r>
      <w:bookmarkEnd w:id="63"/>
    </w:p>
    <w:p>
      <w:pPr>
        <w:pStyle w:val="4"/>
        <w:rPr>
          <w:rStyle w:val="17"/>
          <w:rFonts w:hint="eastAsia" w:ascii="仿宋" w:eastAsia="仿宋"/>
          <w:b w:val="0"/>
          <w:bCs w:val="0"/>
          <w:color w:val="auto"/>
          <w:highlight w:val="none"/>
        </w:rPr>
      </w:pPr>
      <w:bookmarkStart w:id="64" w:name="_Toc15396629"/>
      <w:r>
        <w:rPr>
          <w:rStyle w:val="17"/>
          <w:rFonts w:hint="eastAsia" w:ascii="仿宋" w:eastAsia="仿宋"/>
          <w:b w:val="0"/>
          <w:bCs w:val="0"/>
          <w:color w:val="auto"/>
          <w:highlight w:val="none"/>
        </w:rPr>
        <w:t>十一、</w:t>
      </w:r>
      <w:r>
        <w:rPr>
          <w:rFonts w:hint="eastAsia" w:ascii="仿宋" w:eastAsia="仿宋"/>
          <w:b w:val="0"/>
          <w:color w:val="auto"/>
          <w:highlight w:val="none"/>
        </w:rPr>
        <w:t>政</w:t>
      </w:r>
      <w:r>
        <w:rPr>
          <w:rStyle w:val="17"/>
          <w:rFonts w:hint="eastAsia" w:ascii="仿宋" w:eastAsia="仿宋"/>
          <w:b w:val="0"/>
          <w:bCs w:val="0"/>
          <w:color w:val="auto"/>
          <w:highlight w:val="none"/>
        </w:rPr>
        <w:t>府性基金预算财政拨款收入支出决算表</w:t>
      </w:r>
      <w:bookmarkEnd w:id="64"/>
      <w:bookmarkStart w:id="65" w:name="_Toc15396630"/>
    </w:p>
    <w:p>
      <w:pPr>
        <w:pStyle w:val="4"/>
        <w:rPr>
          <w:rFonts w:ascii="仿宋" w:eastAsia="仿宋"/>
          <w:color w:val="auto"/>
          <w:highlight w:val="none"/>
        </w:rPr>
      </w:pPr>
      <w:r>
        <w:rPr>
          <w:rStyle w:val="17"/>
          <w:rFonts w:hint="eastAsia" w:ascii="仿宋" w:eastAsia="仿宋"/>
          <w:b w:val="0"/>
          <w:bCs w:val="0"/>
          <w:color w:val="auto"/>
          <w:highlight w:val="none"/>
        </w:rPr>
        <w:t>十二、</w:t>
      </w:r>
      <w:r>
        <w:rPr>
          <w:rFonts w:hint="eastAsia" w:ascii="仿宋" w:eastAsia="仿宋"/>
          <w:b w:val="0"/>
          <w:color w:val="auto"/>
          <w:highlight w:val="none"/>
        </w:rPr>
        <w:t>政</w:t>
      </w:r>
      <w:r>
        <w:rPr>
          <w:rStyle w:val="17"/>
          <w:rFonts w:hint="eastAsia" w:ascii="仿宋" w:eastAsia="仿宋"/>
          <w:b w:val="0"/>
          <w:bCs w:val="0"/>
          <w:color w:val="auto"/>
          <w:highlight w:val="none"/>
        </w:rPr>
        <w:t>府性基金预算财政拨款“三公”经费支出决算表</w:t>
      </w:r>
      <w:bookmarkEnd w:id="65"/>
      <w:r>
        <w:rPr>
          <w:rStyle w:val="17"/>
          <w:rFonts w:hint="eastAsia" w:ascii="仿宋" w:eastAsia="仿宋"/>
          <w:b w:val="0"/>
          <w:bCs w:val="0"/>
          <w:color w:val="auto"/>
          <w:highlight w:val="none"/>
        </w:rPr>
        <w:t>（此表无数据）</w:t>
      </w:r>
    </w:p>
    <w:p>
      <w:pPr>
        <w:pStyle w:val="4"/>
        <w:rPr>
          <w:rStyle w:val="17"/>
          <w:rFonts w:hint="eastAsia" w:ascii="仿宋" w:eastAsia="仿宋"/>
          <w:b w:val="0"/>
          <w:bCs w:val="0"/>
          <w:color w:val="auto"/>
          <w:highlight w:val="none"/>
        </w:rPr>
      </w:pPr>
      <w:bookmarkStart w:id="66" w:name="_Toc15396631"/>
      <w:r>
        <w:rPr>
          <w:rStyle w:val="17"/>
          <w:rFonts w:hint="eastAsia" w:ascii="仿宋" w:eastAsia="仿宋"/>
          <w:b w:val="0"/>
          <w:bCs w:val="0"/>
          <w:color w:val="auto"/>
          <w:highlight w:val="none"/>
        </w:rPr>
        <w:t>十三、</w:t>
      </w:r>
      <w:r>
        <w:rPr>
          <w:rFonts w:hint="eastAsia" w:ascii="仿宋" w:eastAsia="仿宋"/>
          <w:b w:val="0"/>
          <w:color w:val="auto"/>
          <w:highlight w:val="none"/>
        </w:rPr>
        <w:t>国</w:t>
      </w:r>
      <w:r>
        <w:rPr>
          <w:rStyle w:val="17"/>
          <w:rFonts w:hint="eastAsia" w:ascii="仿宋" w:eastAsia="仿宋"/>
          <w:b w:val="0"/>
          <w:bCs w:val="0"/>
          <w:color w:val="auto"/>
          <w:highlight w:val="none"/>
        </w:rPr>
        <w:t>有资本经营预算</w:t>
      </w:r>
      <w:r>
        <w:rPr>
          <w:rStyle w:val="17"/>
          <w:rFonts w:hint="eastAsia" w:ascii="仿宋" w:eastAsia="仿宋"/>
          <w:b w:val="0"/>
          <w:bCs w:val="0"/>
          <w:color w:val="auto"/>
          <w:highlight w:val="none"/>
          <w:lang w:eastAsia="zh-CN"/>
        </w:rPr>
        <w:t>财政拨款收入</w:t>
      </w:r>
      <w:r>
        <w:rPr>
          <w:rStyle w:val="17"/>
          <w:rFonts w:hint="eastAsia" w:ascii="仿宋" w:eastAsia="仿宋"/>
          <w:b w:val="0"/>
          <w:bCs w:val="0"/>
          <w:color w:val="auto"/>
          <w:highlight w:val="none"/>
        </w:rPr>
        <w:t>支出决算表</w:t>
      </w:r>
      <w:bookmarkEnd w:id="66"/>
      <w:r>
        <w:rPr>
          <w:rStyle w:val="17"/>
          <w:rFonts w:hint="eastAsia" w:ascii="仿宋" w:eastAsia="仿宋"/>
          <w:b w:val="0"/>
          <w:bCs w:val="0"/>
          <w:color w:val="auto"/>
          <w:highlight w:val="none"/>
        </w:rPr>
        <w:t>（此表无数据）</w:t>
      </w:r>
    </w:p>
    <w:p>
      <w:pPr>
        <w:pStyle w:val="4"/>
        <w:rPr>
          <w:rFonts w:hint="eastAsia" w:eastAsia="仿宋"/>
          <w:color w:val="auto"/>
          <w:highlight w:val="none"/>
          <w:lang w:eastAsia="zh-CN"/>
        </w:rPr>
      </w:pPr>
      <w:r>
        <w:rPr>
          <w:rStyle w:val="17"/>
          <w:rFonts w:hint="eastAsia" w:ascii="仿宋" w:eastAsia="仿宋"/>
          <w:b w:val="0"/>
          <w:bCs w:val="0"/>
          <w:color w:val="auto"/>
          <w:highlight w:val="none"/>
          <w:lang w:eastAsia="zh-CN"/>
        </w:rPr>
        <w:t>十四、国有资本经营预算财政拨款支出决算表</w:t>
      </w:r>
      <w:r>
        <w:rPr>
          <w:rStyle w:val="17"/>
          <w:rFonts w:hint="eastAsia" w:ascii="仿宋" w:eastAsia="仿宋"/>
          <w:b w:val="0"/>
          <w:bCs w:val="0"/>
          <w:color w:val="auto"/>
          <w:highlight w:val="none"/>
        </w:rPr>
        <w:t>（此表无数据）</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583807"/>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40A83"/>
    <w:multiLevelType w:val="singleLevel"/>
    <w:tmpl w:val="90C40A83"/>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2">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4">
    <w:nsid w:val="1C8A353D"/>
    <w:multiLevelType w:val="singleLevel"/>
    <w:tmpl w:val="1C8A353D"/>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zRiNmY5NzM0MTEwNDEwNWY2ZWY1YWM3NTlhMjYyNWYifQ=="/>
  </w:docVars>
  <w:rsids>
    <w:rsidRoot w:val="00000000"/>
    <w:rsid w:val="026A5BA1"/>
    <w:rsid w:val="0656538D"/>
    <w:rsid w:val="09E14395"/>
    <w:rsid w:val="0A3B0BDE"/>
    <w:rsid w:val="0B332A2C"/>
    <w:rsid w:val="0FB2199B"/>
    <w:rsid w:val="14D912E0"/>
    <w:rsid w:val="170424FC"/>
    <w:rsid w:val="22033056"/>
    <w:rsid w:val="2296422E"/>
    <w:rsid w:val="22FE3AA3"/>
    <w:rsid w:val="23042EA0"/>
    <w:rsid w:val="2D7513C2"/>
    <w:rsid w:val="3F983271"/>
    <w:rsid w:val="44F236B0"/>
    <w:rsid w:val="4887716C"/>
    <w:rsid w:val="48EF70DF"/>
    <w:rsid w:val="48F07B26"/>
    <w:rsid w:val="49853B50"/>
    <w:rsid w:val="524113B4"/>
    <w:rsid w:val="548C0E98"/>
    <w:rsid w:val="54980661"/>
    <w:rsid w:val="5B463AB9"/>
    <w:rsid w:val="5BB4322F"/>
    <w:rsid w:val="5E4473EC"/>
    <w:rsid w:val="60750A84"/>
    <w:rsid w:val="66D33F90"/>
    <w:rsid w:val="685C22E7"/>
    <w:rsid w:val="69294FB8"/>
    <w:rsid w:val="6A5C6C94"/>
    <w:rsid w:val="6BCB5F19"/>
    <w:rsid w:val="6C4404DD"/>
    <w:rsid w:val="704C5E18"/>
    <w:rsid w:val="71947ABF"/>
    <w:rsid w:val="7422468A"/>
    <w:rsid w:val="74F64B9B"/>
    <w:rsid w:val="761F04A0"/>
    <w:rsid w:val="77DE0057"/>
    <w:rsid w:val="7C451315"/>
    <w:rsid w:val="7F823E8B"/>
    <w:rsid w:val="B9BEEA82"/>
    <w:rsid w:val="D982B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3"/>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4"/>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4">
    <w:name w:val="TOC Heading"/>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83"/>
          <c:y val="0.0165"/>
        </c:manualLayout>
      </c:layout>
      <c:overlay val="false"/>
      <c:spPr>
        <a:noFill/>
        <a:ln>
          <a:noFill/>
        </a:ln>
        <a:effectLst/>
      </c:spPr>
    </c:title>
    <c:autoTitleDeleted val="false"/>
    <c:plotArea>
      <c:layout>
        <c:manualLayout>
          <c:layoutTarget val="inner"/>
          <c:xMode val="edge"/>
          <c:yMode val="edge"/>
          <c:x val="0.0902"/>
          <c:y val="0.1275"/>
          <c:w val="0.8823"/>
          <c:h val="0.711733333333333"/>
        </c:manualLayout>
      </c:layout>
      <c:barChart>
        <c:barDir val="col"/>
        <c:grouping val="clustered"/>
        <c:varyColors val="false"/>
        <c:ser>
          <c:idx val="0"/>
          <c:order val="0"/>
          <c:tx>
            <c:strRef>
              <c:f>Sheet1!$B$1</c:f>
              <c:strCache>
                <c:ptCount val="1"/>
                <c:pt idx="0">
                  <c:v>年度收、支总计</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c:v>
                </c:pt>
                <c:pt idx="1">
                  <c:v>2020年</c:v>
                </c:pt>
              </c:strCache>
            </c:strRef>
          </c:cat>
          <c:val>
            <c:numRef>
              <c:f>Sheet1!$B$2:$B$3</c:f>
              <c:numCache>
                <c:formatCode>General</c:formatCode>
                <c:ptCount val="2"/>
                <c:pt idx="0">
                  <c:v>2889.04</c:v>
                </c:pt>
                <c:pt idx="1">
                  <c:v>4033.12</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2021</c:v>
                </c:pt>
                <c:pt idx="1">
                  <c:v>2020年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631038442"/>
        <c:axId val="387486372"/>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2021</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310384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7486372"/>
        <c:crosses val="autoZero"/>
        <c:auto val="true"/>
        <c:lblAlgn val="ctr"/>
        <c:lblOffset val="100"/>
        <c:noMultiLvlLbl val="false"/>
      </c:catAx>
      <c:valAx>
        <c:axId val="38748637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1038442"/>
        <c:crosses val="autoZero"/>
        <c:crossBetween val="between"/>
      </c:valAx>
      <c:spPr>
        <a:noFill/>
        <a:ln>
          <a:noFill/>
        </a:ln>
        <a:effectLst/>
      </c:spPr>
    </c:plotArea>
    <c:legend>
      <c:legendPos val="b"/>
      <c:layout>
        <c:manualLayout>
          <c:xMode val="edge"/>
          <c:yMode val="edge"/>
          <c:x val="0.3735"/>
          <c:y val="0.91733333333333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Pt>
            <c:idx val="5"/>
            <c:bubble3D val="false"/>
            <c:spPr>
              <a:solidFill>
                <a:schemeClr val="accent6"/>
              </a:solidFill>
              <a:ln w="25400">
                <a:solidFill>
                  <a:schemeClr val="lt1"/>
                </a:solidFill>
              </a:ln>
              <a:effectLst/>
              <a:scene3d>
                <a:camera prst="orthographicFront"/>
                <a:lightRig rig="threePt" dir="t"/>
              </a:scene3d>
              <a:sp3d contourW="25400"/>
            </c:spPr>
          </c:dPt>
          <c:dPt>
            <c:idx val="6"/>
            <c:bubble3D val="false"/>
            <c:spPr>
              <a:solidFill>
                <a:schemeClr val="accent1">
                  <a:lumMod val="60000"/>
                </a:schemeClr>
              </a:solidFill>
              <a:ln w="25400">
                <a:solidFill>
                  <a:schemeClr val="lt1"/>
                </a:solidFill>
              </a:ln>
              <a:effectLst/>
              <a:scene3d>
                <a:camera prst="orthographicFront"/>
                <a:lightRig rig="threePt" dir="t"/>
              </a:scene3d>
              <a:sp3d contourW="25400"/>
            </c:spPr>
          </c:dPt>
          <c:dPt>
            <c:idx val="7"/>
            <c:bubble3D val="false"/>
            <c:spPr>
              <a:solidFill>
                <a:schemeClr val="accent2">
                  <a:lumMod val="60000"/>
                </a:schemeClr>
              </a:solidFill>
              <a:ln w="25400">
                <a:solidFill>
                  <a:schemeClr val="lt1"/>
                </a:solidFill>
              </a:ln>
              <a:effectLst/>
              <a:scene3d>
                <a:camera prst="orthographicFront"/>
                <a:lightRig rig="threePt" dir="t"/>
              </a:scene3d>
              <a:sp3d contourW="25400"/>
            </c:spPr>
          </c:dPt>
          <c:dLbls>
            <c:dLbl>
              <c:idx val="0"/>
              <c:layout>
                <c:manualLayout>
                  <c:x val="0.10841382923355"/>
                  <c:y val="0.062394429250565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93875577522295"/>
                  <c:y val="-0.079101408005062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c:v>
                </c:pt>
                <c:pt idx="1">
                  <c:v>政府性基金预算财政拨款</c:v>
                </c:pt>
                <c:pt idx="2">
                  <c:v>国有资本经营预算财政拨款</c:v>
                </c:pt>
                <c:pt idx="3">
                  <c:v>上级补助</c:v>
                </c:pt>
                <c:pt idx="4">
                  <c:v>事业收入</c:v>
                </c:pt>
                <c:pt idx="5">
                  <c:v>经营收入</c:v>
                </c:pt>
                <c:pt idx="6">
                  <c:v>附属单位上缴收入</c:v>
                </c:pt>
                <c:pt idx="7">
                  <c:v>其他收入</c:v>
                </c:pt>
              </c:strCache>
            </c:strRef>
          </c:cat>
          <c:val>
            <c:numRef>
              <c:f>Sheet1!$B$2:$B$9</c:f>
              <c:numCache>
                <c:formatCode>General</c:formatCode>
                <c:ptCount val="8"/>
                <c:pt idx="0">
                  <c:v>2681.96</c:v>
                </c:pt>
                <c:pt idx="1">
                  <c:v>116.1</c:v>
                </c:pt>
                <c:pt idx="2">
                  <c:v>0</c:v>
                </c:pt>
                <c:pt idx="3">
                  <c:v>0</c:v>
                </c:pt>
                <c:pt idx="4">
                  <c:v>0</c:v>
                </c:pt>
                <c:pt idx="5">
                  <c:v>0</c:v>
                </c:pt>
                <c:pt idx="6">
                  <c:v>0</c:v>
                </c:pt>
                <c:pt idx="7">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5"/>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6"/>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7"/>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07125"/>
          <c:y val="0.7895"/>
          <c:w val="0.891875"/>
          <c:h val="0.193"/>
        </c:manualLayout>
      </c:layout>
      <c:overlay val="false"/>
      <c:spPr>
        <a:noFill/>
        <a:ln>
          <a:noFill/>
        </a:ln>
        <a:effectLst/>
      </c:spPr>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86322123133126"/>
          <c:y val="0.0156620787850024"/>
        </c:manualLayout>
      </c:layout>
      <c:overlay val="false"/>
      <c:spPr>
        <a:noFill/>
        <a:ln>
          <a:noFill/>
        </a:ln>
        <a:effectLst/>
      </c:spPr>
    </c:title>
    <c:autoTitleDeleted val="false"/>
    <c:plotArea>
      <c:layout>
        <c:manualLayout>
          <c:layoutTarget val="inner"/>
          <c:xMode val="edge"/>
          <c:yMode val="edge"/>
          <c:x val="0.0808015472225207"/>
          <c:y val="0.162613510520487"/>
          <c:w val="0.838396905554959"/>
          <c:h val="0.674931181775036"/>
        </c:manualLayout>
      </c:layout>
      <c:pieChart>
        <c:varyColors val="true"/>
        <c:ser>
          <c:idx val="0"/>
          <c:order val="0"/>
          <c:tx>
            <c:strRef>
              <c:f>Sheet1!$B$1</c:f>
              <c:strCache>
                <c:ptCount val="1"/>
                <c:pt idx="0">
                  <c:v>支出决算结构图</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Lbls>
            <c:dLbl>
              <c:idx val="0"/>
              <c:layout>
                <c:manualLayout>
                  <c:x val="0.0418477689387626"/>
                  <c:y val="-0.25402602651762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33965805247824"/>
                  <c:y val="-0.093218534558991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对附属单位补助支出</c:v>
                </c:pt>
                <c:pt idx="3">
                  <c:v>经营支出</c:v>
                </c:pt>
                <c:pt idx="4">
                  <c:v>上缴上级支出</c:v>
                </c:pt>
              </c:strCache>
            </c:strRef>
          </c:cat>
          <c:val>
            <c:numRef>
              <c:f>Sheet1!$B$2:$B$6</c:f>
              <c:numCache>
                <c:formatCode>General</c:formatCode>
                <c:ptCount val="5"/>
                <c:pt idx="0">
                  <c:v>1534.21</c:v>
                </c:pt>
                <c:pt idx="1">
                  <c:v>1350.9</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07125"/>
          <c:y val="0.7895"/>
          <c:w val="0.891875"/>
          <c:h val="0.193"/>
        </c:manualLayout>
      </c:layout>
      <c:overlay val="false"/>
      <c:spPr>
        <a:noFill/>
        <a:ln>
          <a:noFill/>
        </a:ln>
        <a:effectLst/>
      </c:spPr>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false"/>
      <c:spPr>
        <a:noFill/>
        <a:ln>
          <a:noFill/>
        </a:ln>
        <a:effectLst/>
      </c:spPr>
    </c:title>
    <c:autoTitleDeleted val="false"/>
    <c:plotArea>
      <c:layout>
        <c:manualLayout>
          <c:layoutTarget val="inner"/>
          <c:xMode val="edge"/>
          <c:yMode val="edge"/>
          <c:x val="0.0902"/>
          <c:y val="0.123833333333333"/>
          <c:w val="0.8823"/>
          <c:h val="0.711733333333333"/>
        </c:manualLayout>
      </c:layout>
      <c:barChart>
        <c:barDir val="col"/>
        <c:grouping val="clustered"/>
        <c:varyColors val="false"/>
        <c:ser>
          <c:idx val="0"/>
          <c:order val="0"/>
          <c:tx>
            <c:strRef>
              <c:f>Sheet1!$B$1</c:f>
              <c:strCache>
                <c:ptCount val="1"/>
                <c:pt idx="0">
                  <c:v>年度收、支总计</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c:v>
                </c:pt>
                <c:pt idx="1">
                  <c:v>2020年</c:v>
                </c:pt>
              </c:strCache>
            </c:strRef>
          </c:cat>
          <c:val>
            <c:numRef>
              <c:f>Sheet1!$B$2:$B$3</c:f>
              <c:numCache>
                <c:formatCode>General</c:formatCode>
                <c:ptCount val="2"/>
                <c:pt idx="0">
                  <c:v>2889.04</c:v>
                </c:pt>
                <c:pt idx="1">
                  <c:v>4033.12</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2021</c:v>
                </c:pt>
                <c:pt idx="1">
                  <c:v>2020年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631038442"/>
        <c:axId val="387486372"/>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2021</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310384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7486372"/>
        <c:crosses val="autoZero"/>
        <c:auto val="true"/>
        <c:lblAlgn val="ctr"/>
        <c:lblOffset val="100"/>
        <c:noMultiLvlLbl val="false"/>
      </c:catAx>
      <c:valAx>
        <c:axId val="38748637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1038442"/>
        <c:crosses val="autoZero"/>
        <c:crossBetween val="between"/>
      </c:valAx>
      <c:spPr>
        <a:noFill/>
        <a:ln>
          <a:noFill/>
        </a:ln>
        <a:effectLst/>
      </c:spPr>
    </c:plotArea>
    <c:legend>
      <c:legendPos val="b"/>
      <c:layout>
        <c:manualLayout>
          <c:xMode val="edge"/>
          <c:yMode val="edge"/>
          <c:x val="0.3735"/>
          <c:y val="0.91733333333333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213"/>
          <c:y val="0.0163333333333333"/>
        </c:manualLayout>
      </c:layout>
      <c:overlay val="false"/>
      <c:spPr>
        <a:noFill/>
        <a:ln>
          <a:noFill/>
        </a:ln>
        <a:effectLst/>
      </c:spPr>
    </c:title>
    <c:autoTitleDeleted val="false"/>
    <c:plotArea>
      <c:layout>
        <c:manualLayout>
          <c:layoutTarget val="inner"/>
          <c:xMode val="edge"/>
          <c:yMode val="edge"/>
          <c:x val="0.0902"/>
          <c:y val="0.123833333333333"/>
          <c:w val="0.8823"/>
          <c:h val="0.711733333333333"/>
        </c:manualLayout>
      </c:layout>
      <c:barChart>
        <c:barDir val="col"/>
        <c:grouping val="clustered"/>
        <c:varyColors val="false"/>
        <c:ser>
          <c:idx val="0"/>
          <c:order val="0"/>
          <c:tx>
            <c:strRef>
              <c:f>Sheet1!$B$1</c:f>
              <c:strCache>
                <c:ptCount val="1"/>
                <c:pt idx="0">
                  <c:v>年度收、支总计</c:v>
                </c:pt>
              </c:strCache>
            </c:strRef>
          </c:tx>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22769.01</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
                  <c:y val="-0.003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3368</a:t>
                    </a:r>
                    <a:r>
                      <a:t>.12</a:t>
                    </a:r>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c:v>
                </c:pt>
                <c:pt idx="1">
                  <c:v>2020年</c:v>
                </c:pt>
              </c:strCache>
            </c:strRef>
          </c:cat>
          <c:val>
            <c:numRef>
              <c:f>Sheet1!$B$2:$B$3</c:f>
              <c:numCache>
                <c:formatCode>General</c:formatCode>
                <c:ptCount val="2"/>
                <c:pt idx="0">
                  <c:v>2889.04</c:v>
                </c:pt>
                <c:pt idx="1">
                  <c:v>4033.12</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2021</c:v>
                </c:pt>
                <c:pt idx="1">
                  <c:v>2020年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631038442"/>
        <c:axId val="387486372"/>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2021</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310384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7486372"/>
        <c:crosses val="autoZero"/>
        <c:auto val="true"/>
        <c:lblAlgn val="ctr"/>
        <c:lblOffset val="100"/>
        <c:noMultiLvlLbl val="false"/>
      </c:catAx>
      <c:valAx>
        <c:axId val="38748637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1038442"/>
        <c:crosses val="autoZero"/>
        <c:crossBetween val="between"/>
      </c:valAx>
      <c:spPr>
        <a:noFill/>
        <a:ln>
          <a:noFill/>
        </a:ln>
        <a:effectLst/>
      </c:spPr>
    </c:plotArea>
    <c:legend>
      <c:legendPos val="b"/>
      <c:layout>
        <c:manualLayout>
          <c:xMode val="edge"/>
          <c:yMode val="edge"/>
          <c:x val="0.3735"/>
          <c:y val="0.91733333333333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22789298377566"/>
          <c:y val="0.00885935769656703"/>
        </c:manualLayout>
      </c:layout>
      <c:overlay val="false"/>
      <c:spPr>
        <a:noFill/>
        <a:ln>
          <a:noFill/>
        </a:ln>
        <a:effectLst/>
      </c:spPr>
    </c:title>
    <c:autoTitleDeleted val="false"/>
    <c:plotArea>
      <c:layout>
        <c:manualLayout>
          <c:layoutTarget val="inner"/>
          <c:xMode val="edge"/>
          <c:yMode val="edge"/>
          <c:x val="0.0808015472225207"/>
          <c:y val="0.170049042872963"/>
          <c:w val="0.838396905554959"/>
          <c:h val="0.674931181775036"/>
        </c:manualLayout>
      </c:layout>
      <c:pieChart>
        <c:varyColors val="true"/>
        <c:ser>
          <c:idx val="0"/>
          <c:order val="0"/>
          <c:tx>
            <c:strRef>
              <c:f>Sheet1!$B$1</c:f>
              <c:strCache>
                <c:ptCount val="1"/>
                <c:pt idx="0">
                  <c:v>支出决算结构图</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Lbls>
            <c:dLbl>
              <c:idx val="0"/>
              <c:layout>
                <c:manualLayout>
                  <c:x val="0.0971251252579251"/>
                  <c:y val="-0.015604941621226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1646935462769"/>
                  <c:y val="-0.078228160874709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556857805322223"/>
                  <c:y val="-0.023616515158493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259362242167658"/>
                  <c:y val="-0.029804479337882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217637974718122"/>
                  <c:y val="-0.020363046029443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教育支出（类）</c:v>
                </c:pt>
                <c:pt idx="2">
                  <c:v>文化旅游体育与传媒（类）支出</c:v>
                </c:pt>
                <c:pt idx="3">
                  <c:v>社会保障和就业（类）支出</c:v>
                </c:pt>
                <c:pt idx="4">
                  <c:v>住房保障支出</c:v>
                </c:pt>
              </c:strCache>
            </c:strRef>
          </c:cat>
          <c:val>
            <c:numRef>
              <c:f>Sheet1!$B$2:$B$6</c:f>
              <c:numCache>
                <c:formatCode>General</c:formatCode>
                <c:ptCount val="5"/>
                <c:pt idx="0">
                  <c:v>37.84</c:v>
                </c:pt>
                <c:pt idx="1">
                  <c:v>2241.44</c:v>
                </c:pt>
                <c:pt idx="2">
                  <c:v>40</c:v>
                </c:pt>
                <c:pt idx="3">
                  <c:v>339.14</c:v>
                </c:pt>
                <c:pt idx="4">
                  <c:v>110.6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0712367035564629"/>
          <c:y val="0.83499446290144"/>
          <c:w val="0.891909315568927"/>
          <c:h val="0.147445024521436"/>
        </c:manualLayout>
      </c:layout>
      <c:overlay val="false"/>
      <c:spPr>
        <a:noFill/>
        <a:ln>
          <a:noFill/>
        </a:ln>
        <a:effectLst/>
      </c:spPr>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manualLayout>
          <c:xMode val="edge"/>
          <c:yMode val="edge"/>
          <c:x val="0.386322123133126"/>
          <c:y val="0.0123398196487898"/>
        </c:manualLayout>
      </c:layout>
      <c:overlay val="false"/>
      <c:spPr>
        <a:noFill/>
        <a:ln>
          <a:noFill/>
        </a:ln>
        <a:effectLst/>
      </c:spPr>
    </c:title>
    <c:autoTitleDeleted val="false"/>
    <c:plotArea>
      <c:layout>
        <c:manualLayout>
          <c:layoutTarget val="inner"/>
          <c:xMode val="edge"/>
          <c:yMode val="edge"/>
          <c:x val="0.083165359406898"/>
          <c:y val="0.16656858092074"/>
          <c:w val="0.838396905554959"/>
          <c:h val="0.674931181775036"/>
        </c:manualLayout>
      </c:layout>
      <c:pieChart>
        <c:varyColors val="true"/>
        <c:ser>
          <c:idx val="0"/>
          <c:order val="0"/>
          <c:tx>
            <c:strRef>
              <c:f>Sheet1!$B$1</c:f>
              <c:strCache>
                <c:ptCount val="1"/>
                <c:pt idx="0">
                  <c:v>支出决算结构图</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0.49</c:v>
                </c:pt>
                <c:pt idx="2">
                  <c:v>1.19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07125"/>
          <c:y val="0.7895"/>
          <c:w val="0.891875"/>
          <c:h val="0.193"/>
        </c:manualLayout>
      </c:layout>
      <c:overlay val="false"/>
      <c:spPr>
        <a:noFill/>
        <a:ln>
          <a:noFill/>
        </a:ln>
        <a:effectLst/>
      </c:spPr>
      <c:txPr>
        <a:bodyPr rot="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30</Pages>
  <Words>10448</Words>
  <Characters>11289</Characters>
  <Lines>404</Lines>
  <Paragraphs>203</Paragraphs>
  <TotalTime>0</TotalTime>
  <ScaleCrop>false</ScaleCrop>
  <LinksUpToDate>false</LinksUpToDate>
  <CharactersWithSpaces>11339</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2022-08-06T10:23:00Z</cp:lastPrinted>
  <dcterms:modified xsi:type="dcterms:W3CDTF">2023-09-27T08:43:32Z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B1EAF76658494839A89CB69C440EA601</vt:lpwstr>
  </property>
</Properties>
</file>