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AF" w:rsidRDefault="00FD6FAF">
      <w:pPr>
        <w:spacing w:line="600" w:lineRule="exact"/>
        <w:jc w:val="center"/>
        <w:outlineLvl w:val="0"/>
        <w:rPr>
          <w:rFonts w:ascii="方正小标宋简体" w:eastAsia="方正小标宋简体" w:hAnsi="宋体"/>
          <w:sz w:val="72"/>
          <w:szCs w:val="72"/>
        </w:rPr>
      </w:pPr>
      <w:bookmarkStart w:id="0" w:name="_Toc15306267"/>
    </w:p>
    <w:p w:rsidR="00FD6FAF" w:rsidRDefault="00FD6FAF">
      <w:pPr>
        <w:spacing w:line="600" w:lineRule="exact"/>
        <w:jc w:val="center"/>
        <w:outlineLvl w:val="0"/>
        <w:rPr>
          <w:rFonts w:ascii="方正小标宋简体" w:eastAsia="方正小标宋简体" w:hAnsi="宋体"/>
          <w:sz w:val="72"/>
          <w:szCs w:val="72"/>
        </w:rPr>
      </w:pPr>
    </w:p>
    <w:p w:rsidR="00FD6FAF" w:rsidRDefault="00FD6FAF">
      <w:pPr>
        <w:spacing w:line="600" w:lineRule="exact"/>
        <w:jc w:val="center"/>
        <w:outlineLvl w:val="0"/>
        <w:rPr>
          <w:rFonts w:ascii="方正小标宋简体" w:eastAsia="方正小标宋简体" w:hAnsi="宋体"/>
          <w:sz w:val="72"/>
          <w:szCs w:val="72"/>
        </w:rPr>
      </w:pPr>
    </w:p>
    <w:p w:rsidR="00FD6FAF" w:rsidRDefault="00FD6FAF">
      <w:pPr>
        <w:spacing w:line="600" w:lineRule="exact"/>
        <w:jc w:val="center"/>
        <w:outlineLvl w:val="0"/>
        <w:rPr>
          <w:rFonts w:ascii="方正小标宋简体" w:eastAsia="方正小标宋简体" w:hAnsi="宋体"/>
          <w:sz w:val="72"/>
          <w:szCs w:val="72"/>
        </w:rPr>
      </w:pPr>
    </w:p>
    <w:p w:rsidR="00FD6FAF" w:rsidRDefault="002A028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rsidR="00FD6FAF" w:rsidRDefault="002A028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598"/>
      <w:bookmarkStart w:id="7" w:name="_Toc15377426"/>
      <w:bookmarkStart w:id="8" w:name="_Toc15396476"/>
      <w:bookmarkStart w:id="9" w:name="_Toc15378442"/>
      <w:bookmarkStart w:id="10" w:name="_Toc15377194"/>
      <w:r>
        <w:rPr>
          <w:rFonts w:ascii="方正小标宋简体" w:eastAsia="方正小标宋简体" w:hAnsi="方正小标宋简体" w:cs="方正小标宋简体" w:hint="eastAsia"/>
          <w:sz w:val="72"/>
          <w:szCs w:val="72"/>
        </w:rPr>
        <w:t>四川省</w:t>
      </w:r>
      <w:bookmarkStart w:id="11" w:name="_Toc15306268"/>
      <w:bookmarkEnd w:id="0"/>
      <w:r w:rsidR="009910FD">
        <w:rPr>
          <w:rFonts w:ascii="方正小标宋简体" w:eastAsia="方正小标宋简体" w:hAnsi="方正小标宋简体" w:cs="方正小标宋简体" w:hint="eastAsia"/>
          <w:sz w:val="72"/>
          <w:szCs w:val="72"/>
        </w:rPr>
        <w:t>攀枝花市第七高级中学校</w:t>
      </w:r>
      <w:r>
        <w:rPr>
          <w:rFonts w:ascii="方正小标宋简体" w:eastAsia="方正小标宋简体" w:hAnsi="方正小标宋简体" w:cs="方正小标宋简体" w:hint="eastAsia"/>
          <w:sz w:val="72"/>
          <w:szCs w:val="72"/>
        </w:rPr>
        <w:t>决算</w:t>
      </w:r>
      <w:bookmarkEnd w:id="6"/>
      <w:bookmarkEnd w:id="7"/>
      <w:bookmarkEnd w:id="8"/>
      <w:bookmarkEnd w:id="9"/>
      <w:bookmarkEnd w:id="10"/>
      <w:bookmarkEnd w:id="11"/>
    </w:p>
    <w:p w:rsidR="00FD6FAF" w:rsidRDefault="002A028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FD6FAF" w:rsidRDefault="00FD6FAF">
      <w:pPr>
        <w:widowControl/>
        <w:jc w:val="center"/>
        <w:rPr>
          <w:rFonts w:ascii="黑体" w:eastAsia="黑体" w:hAnsi="黑体" w:cstheme="minorBidi"/>
          <w:sz w:val="28"/>
          <w:szCs w:val="28"/>
        </w:rPr>
      </w:pPr>
    </w:p>
    <w:p w:rsidR="00FD6FAF" w:rsidRDefault="002A0280">
      <w:pPr>
        <w:pStyle w:val="10"/>
      </w:pPr>
      <w:r>
        <w:rPr>
          <w:rFonts w:hint="eastAsia"/>
        </w:rPr>
        <w:t>公开时间：2022年9月</w:t>
      </w:r>
      <w:r w:rsidR="003E7AE1">
        <w:rPr>
          <w:rFonts w:hint="eastAsia"/>
        </w:rPr>
        <w:t>14</w:t>
      </w:r>
      <w:r>
        <w:rPr>
          <w:rFonts w:hint="eastAsia"/>
        </w:rPr>
        <w:t>日</w:t>
      </w:r>
    </w:p>
    <w:p w:rsidR="00FD6FAF" w:rsidRDefault="00FD6FAF"/>
    <w:p w:rsidR="00FD6FAF" w:rsidRDefault="002A0280">
      <w:pPr>
        <w:pStyle w:val="10"/>
        <w:adjustRightInd w:val="0"/>
        <w:snapToGrid w:val="0"/>
        <w:spacing w:before="0" w:line="440" w:lineRule="exact"/>
        <w:jc w:val="left"/>
        <w:rPr>
          <w:rFonts w:cstheme="minorBidi"/>
          <w:sz w:val="24"/>
          <w:szCs w:val="24"/>
        </w:rPr>
      </w:pPr>
      <w:r>
        <w:rPr>
          <w:rFonts w:hint="eastAsia"/>
          <w:sz w:val="24"/>
        </w:rPr>
        <w:t>第一部分单位概况</w:t>
      </w:r>
      <w:r w:rsidR="008A0A1E">
        <w:rPr>
          <w:sz w:val="24"/>
          <w:szCs w:val="24"/>
        </w:rPr>
        <w:tab/>
      </w:r>
      <w:r w:rsidR="008A0A1E">
        <w:rPr>
          <w:rFonts w:hint="eastAsia"/>
          <w:sz w:val="24"/>
          <w:szCs w:val="24"/>
        </w:rPr>
        <w:t>4</w:t>
      </w:r>
    </w:p>
    <w:p w:rsidR="00FD6FAF" w:rsidRPr="008A0A1E" w:rsidRDefault="002A0280" w:rsidP="008A0A1E">
      <w:pPr>
        <w:pStyle w:val="20"/>
        <w:adjustRightInd w:val="0"/>
        <w:snapToGrid w:val="0"/>
        <w:spacing w:line="440" w:lineRule="exact"/>
        <w:jc w:val="left"/>
        <w:rPr>
          <w:rFonts w:ascii="仿宋" w:eastAsia="仿宋" w:hAnsi="仿宋"/>
          <w:sz w:val="24"/>
        </w:rPr>
      </w:pPr>
      <w:r>
        <w:rPr>
          <w:rFonts w:hint="eastAsia"/>
          <w:sz w:val="24"/>
        </w:rPr>
        <w:t>一、职能简介</w:t>
      </w:r>
      <w:r w:rsidR="008A0A1E">
        <w:rPr>
          <w:rFonts w:ascii="仿宋" w:eastAsia="仿宋" w:hAnsi="仿宋"/>
          <w:sz w:val="24"/>
        </w:rPr>
        <w:tab/>
      </w:r>
      <w:r w:rsidR="008A0A1E">
        <w:rPr>
          <w:rFonts w:ascii="仿宋" w:eastAsia="仿宋" w:hAnsi="仿宋" w:hint="eastAsia"/>
          <w:sz w:val="24"/>
        </w:rPr>
        <w:t>4</w:t>
      </w:r>
    </w:p>
    <w:p w:rsidR="00FD6FAF" w:rsidRDefault="002A0280" w:rsidP="008A0A1E">
      <w:pPr>
        <w:pStyle w:val="20"/>
        <w:adjustRightInd w:val="0"/>
        <w:snapToGrid w:val="0"/>
        <w:spacing w:line="440" w:lineRule="exact"/>
        <w:jc w:val="left"/>
        <w:rPr>
          <w:rFonts w:ascii="仿宋" w:eastAsia="仿宋" w:hAnsi="仿宋" w:hint="eastAsia"/>
          <w:sz w:val="24"/>
        </w:rPr>
      </w:pPr>
      <w:r>
        <w:rPr>
          <w:rFonts w:asciiTheme="minorEastAsia" w:eastAsiaTheme="minorEastAsia" w:hAnsiTheme="minorEastAsia" w:cstheme="minorEastAsia" w:hint="eastAsia"/>
          <w:sz w:val="24"/>
        </w:rPr>
        <w:t>二、2021年重点工作完成情况</w:t>
      </w:r>
      <w:r w:rsidR="008A0A1E">
        <w:rPr>
          <w:rFonts w:ascii="仿宋" w:eastAsia="仿宋" w:hAnsi="仿宋"/>
          <w:sz w:val="24"/>
        </w:rPr>
        <w:tab/>
      </w:r>
      <w:r w:rsidR="008A0A1E">
        <w:rPr>
          <w:rFonts w:ascii="仿宋" w:eastAsia="仿宋" w:hAnsi="仿宋" w:hint="eastAsia"/>
          <w:sz w:val="24"/>
        </w:rPr>
        <w:t>4</w:t>
      </w:r>
    </w:p>
    <w:p w:rsidR="00364FB9" w:rsidRPr="00364FB9" w:rsidRDefault="00364FB9" w:rsidP="00364FB9">
      <w:pPr>
        <w:pStyle w:val="20"/>
        <w:adjustRightInd w:val="0"/>
        <w:snapToGrid w:val="0"/>
        <w:spacing w:line="440" w:lineRule="exact"/>
        <w:jc w:val="left"/>
        <w:rPr>
          <w:rFonts w:ascii="仿宋" w:eastAsia="仿宋" w:hAnsi="仿宋"/>
          <w:sz w:val="24"/>
        </w:rPr>
      </w:pPr>
      <w:r>
        <w:rPr>
          <w:rFonts w:hint="eastAsia"/>
        </w:rPr>
        <w:t>三、机构设置</w:t>
      </w:r>
      <w:r>
        <w:rPr>
          <w:rFonts w:ascii="仿宋" w:eastAsia="仿宋" w:hAnsi="仿宋"/>
          <w:sz w:val="24"/>
        </w:rPr>
        <w:tab/>
      </w:r>
      <w:r>
        <w:rPr>
          <w:rFonts w:ascii="仿宋" w:eastAsia="仿宋" w:hAnsi="仿宋" w:hint="eastAsia"/>
          <w:sz w:val="24"/>
        </w:rPr>
        <w:t>10</w:t>
      </w:r>
    </w:p>
    <w:p w:rsidR="00FD6FAF" w:rsidRDefault="002A0280">
      <w:pPr>
        <w:pStyle w:val="10"/>
        <w:adjustRightInd w:val="0"/>
        <w:snapToGrid w:val="0"/>
        <w:spacing w:before="0" w:line="440" w:lineRule="exact"/>
        <w:jc w:val="left"/>
        <w:rPr>
          <w:sz w:val="24"/>
          <w:szCs w:val="24"/>
        </w:rPr>
      </w:pPr>
      <w:r>
        <w:rPr>
          <w:rFonts w:hint="eastAsia"/>
          <w:sz w:val="24"/>
        </w:rPr>
        <w:t>第二部分 2021年度单位决算情况说明</w:t>
      </w:r>
      <w:r w:rsidR="008A0A1E">
        <w:rPr>
          <w:sz w:val="24"/>
        </w:rPr>
        <w:tab/>
      </w:r>
      <w:r w:rsidR="006C72E3">
        <w:rPr>
          <w:rFonts w:hint="eastAsia"/>
          <w:sz w:val="24"/>
        </w:rPr>
        <w:t>11</w:t>
      </w:r>
    </w:p>
    <w:p w:rsidR="00FD6FAF" w:rsidRDefault="002A0280">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8A0A1E">
        <w:rPr>
          <w:rFonts w:ascii="仿宋" w:eastAsia="仿宋" w:hAnsi="仿宋"/>
          <w:sz w:val="24"/>
        </w:rPr>
        <w:tab/>
      </w:r>
      <w:r w:rsidR="006C72E3">
        <w:rPr>
          <w:rFonts w:ascii="仿宋" w:eastAsia="仿宋" w:hAnsi="仿宋" w:hint="eastAsia"/>
          <w:sz w:val="24"/>
        </w:rPr>
        <w:t>11</w:t>
      </w:r>
    </w:p>
    <w:p w:rsidR="00FD6FAF" w:rsidRDefault="002A0280">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8A0A1E">
        <w:rPr>
          <w:rFonts w:ascii="仿宋" w:eastAsia="仿宋" w:hAnsi="仿宋"/>
          <w:sz w:val="24"/>
        </w:rPr>
        <w:tab/>
      </w:r>
      <w:r w:rsidR="006C72E3">
        <w:rPr>
          <w:rFonts w:ascii="仿宋" w:eastAsia="仿宋" w:hAnsi="仿宋" w:hint="eastAsia"/>
          <w:sz w:val="24"/>
        </w:rPr>
        <w:t>11</w:t>
      </w:r>
    </w:p>
    <w:p w:rsidR="00FD6FAF" w:rsidRDefault="002A0280">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8A0A1E">
        <w:rPr>
          <w:rFonts w:ascii="仿宋" w:eastAsia="仿宋" w:hAnsi="仿宋"/>
          <w:sz w:val="24"/>
        </w:rPr>
        <w:tab/>
      </w:r>
      <w:r w:rsidR="00867A63">
        <w:rPr>
          <w:rFonts w:ascii="仿宋" w:eastAsia="仿宋" w:hAnsi="仿宋" w:hint="eastAsia"/>
          <w:sz w:val="24"/>
        </w:rPr>
        <w:t>12</w:t>
      </w:r>
    </w:p>
    <w:p w:rsidR="00FD6FAF" w:rsidRDefault="002A0280">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8A0A1E">
        <w:rPr>
          <w:rFonts w:ascii="仿宋" w:eastAsia="仿宋" w:hAnsi="仿宋"/>
          <w:sz w:val="24"/>
        </w:rPr>
        <w:tab/>
      </w:r>
      <w:r w:rsidR="00867A63">
        <w:rPr>
          <w:rFonts w:ascii="仿宋" w:eastAsia="仿宋" w:hAnsi="仿宋" w:hint="eastAsia"/>
          <w:sz w:val="24"/>
        </w:rPr>
        <w:t>13</w:t>
      </w:r>
    </w:p>
    <w:p w:rsidR="00FD6FAF" w:rsidRDefault="002A0280">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8A0A1E">
        <w:rPr>
          <w:rFonts w:ascii="仿宋" w:eastAsia="仿宋" w:hAnsi="仿宋"/>
          <w:sz w:val="24"/>
        </w:rPr>
        <w:tab/>
      </w:r>
      <w:r w:rsidR="00F753A2">
        <w:rPr>
          <w:rFonts w:ascii="仿宋" w:eastAsia="仿宋" w:hAnsi="仿宋" w:hint="eastAsia"/>
          <w:sz w:val="24"/>
        </w:rPr>
        <w:t>13</w:t>
      </w:r>
    </w:p>
    <w:p w:rsidR="00FD6FAF" w:rsidRDefault="002A0280">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8A0A1E">
        <w:rPr>
          <w:rFonts w:ascii="仿宋" w:eastAsia="仿宋" w:hAnsi="仿宋"/>
          <w:sz w:val="24"/>
        </w:rPr>
        <w:tab/>
      </w:r>
      <w:r w:rsidR="00F753A2">
        <w:rPr>
          <w:rFonts w:ascii="仿宋" w:eastAsia="仿宋" w:hAnsi="仿宋" w:hint="eastAsia"/>
          <w:sz w:val="24"/>
        </w:rPr>
        <w:t>17</w:t>
      </w:r>
    </w:p>
    <w:p w:rsidR="00FD6FAF" w:rsidRDefault="002A0280">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sidR="008A0A1E">
        <w:rPr>
          <w:rFonts w:ascii="仿宋" w:eastAsia="仿宋" w:hAnsi="仿宋"/>
          <w:sz w:val="24"/>
        </w:rPr>
        <w:tab/>
      </w:r>
      <w:r w:rsidR="00F753A2">
        <w:rPr>
          <w:rFonts w:ascii="仿宋" w:eastAsia="仿宋" w:hAnsi="仿宋" w:hint="eastAsia"/>
          <w:sz w:val="24"/>
        </w:rPr>
        <w:t>17</w:t>
      </w:r>
    </w:p>
    <w:p w:rsidR="00FD6FAF" w:rsidRDefault="002A0280">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8A0A1E">
        <w:rPr>
          <w:rFonts w:ascii="仿宋" w:eastAsia="仿宋" w:hAnsi="仿宋"/>
          <w:sz w:val="24"/>
        </w:rPr>
        <w:tab/>
      </w:r>
      <w:r w:rsidR="00F753A2">
        <w:rPr>
          <w:rFonts w:ascii="仿宋" w:eastAsia="仿宋" w:hAnsi="仿宋" w:hint="eastAsia"/>
          <w:sz w:val="24"/>
        </w:rPr>
        <w:t>19</w:t>
      </w:r>
    </w:p>
    <w:p w:rsidR="00FD6FAF" w:rsidRDefault="002A0280">
      <w:pPr>
        <w:pStyle w:val="20"/>
        <w:adjustRightInd w:val="0"/>
        <w:snapToGrid w:val="0"/>
        <w:spacing w:line="440" w:lineRule="exact"/>
        <w:jc w:val="left"/>
        <w:rPr>
          <w:sz w:val="24"/>
        </w:rPr>
      </w:pPr>
      <w:r>
        <w:rPr>
          <w:rFonts w:hint="eastAsia"/>
          <w:sz w:val="24"/>
        </w:rPr>
        <w:t>九、国有资本经营预算支出决算情况说明</w:t>
      </w:r>
      <w:r w:rsidR="008A0A1E">
        <w:rPr>
          <w:rFonts w:ascii="仿宋" w:eastAsia="仿宋" w:hAnsi="仿宋"/>
          <w:sz w:val="24"/>
        </w:rPr>
        <w:tab/>
      </w:r>
      <w:r w:rsidR="00F753A2">
        <w:rPr>
          <w:rFonts w:ascii="仿宋" w:eastAsia="仿宋" w:hAnsi="仿宋" w:hint="eastAsia"/>
          <w:sz w:val="24"/>
        </w:rPr>
        <w:t>19</w:t>
      </w:r>
    </w:p>
    <w:p w:rsidR="00FD6FAF" w:rsidRDefault="002A0280">
      <w:pPr>
        <w:pStyle w:val="20"/>
        <w:adjustRightInd w:val="0"/>
        <w:snapToGrid w:val="0"/>
        <w:spacing w:line="440" w:lineRule="exact"/>
        <w:jc w:val="left"/>
        <w:rPr>
          <w:sz w:val="24"/>
        </w:rPr>
      </w:pPr>
      <w:r>
        <w:rPr>
          <w:rFonts w:hint="eastAsia"/>
          <w:sz w:val="24"/>
        </w:rPr>
        <w:t>十、其他重要事项的情况说明</w:t>
      </w:r>
      <w:r w:rsidR="008A0A1E">
        <w:rPr>
          <w:rFonts w:ascii="仿宋" w:eastAsia="仿宋" w:hAnsi="仿宋"/>
          <w:sz w:val="24"/>
        </w:rPr>
        <w:tab/>
      </w:r>
      <w:r w:rsidR="00F753A2">
        <w:rPr>
          <w:rFonts w:ascii="仿宋" w:eastAsia="仿宋" w:hAnsi="仿宋" w:hint="eastAsia"/>
          <w:sz w:val="24"/>
        </w:rPr>
        <w:t>19</w:t>
      </w:r>
    </w:p>
    <w:p w:rsidR="00FD6FAF" w:rsidRDefault="002A0280">
      <w:pPr>
        <w:pStyle w:val="10"/>
        <w:adjustRightInd w:val="0"/>
        <w:snapToGrid w:val="0"/>
        <w:spacing w:before="0" w:line="440" w:lineRule="exact"/>
        <w:jc w:val="left"/>
        <w:rPr>
          <w:rFonts w:cstheme="minorBidi"/>
          <w:sz w:val="24"/>
          <w:szCs w:val="24"/>
        </w:rPr>
      </w:pPr>
      <w:r>
        <w:rPr>
          <w:rFonts w:hint="eastAsia"/>
          <w:sz w:val="24"/>
        </w:rPr>
        <w:t>第三部分名词解释</w:t>
      </w:r>
      <w:r w:rsidR="008A0A1E">
        <w:rPr>
          <w:sz w:val="24"/>
        </w:rPr>
        <w:tab/>
      </w:r>
      <w:r w:rsidR="00F753A2">
        <w:rPr>
          <w:rFonts w:hint="eastAsia"/>
          <w:sz w:val="24"/>
        </w:rPr>
        <w:t>21</w:t>
      </w:r>
    </w:p>
    <w:p w:rsidR="00FD6FAF" w:rsidRDefault="002A0280">
      <w:pPr>
        <w:pStyle w:val="10"/>
        <w:adjustRightInd w:val="0"/>
        <w:snapToGrid w:val="0"/>
        <w:spacing w:before="0" w:line="440" w:lineRule="exact"/>
        <w:jc w:val="left"/>
        <w:rPr>
          <w:rFonts w:cstheme="minorBidi"/>
          <w:sz w:val="24"/>
          <w:szCs w:val="24"/>
        </w:rPr>
      </w:pPr>
      <w:r>
        <w:rPr>
          <w:rFonts w:hint="eastAsia"/>
          <w:sz w:val="24"/>
        </w:rPr>
        <w:t>第四部分附件</w:t>
      </w:r>
      <w:r w:rsidR="008A0A1E">
        <w:rPr>
          <w:sz w:val="24"/>
        </w:rPr>
        <w:tab/>
      </w:r>
      <w:r w:rsidR="00F753A2">
        <w:rPr>
          <w:rFonts w:hint="eastAsia"/>
          <w:sz w:val="24"/>
        </w:rPr>
        <w:t>24</w:t>
      </w:r>
    </w:p>
    <w:p w:rsidR="00FD6FAF" w:rsidRDefault="002A0280">
      <w:pPr>
        <w:pStyle w:val="10"/>
        <w:adjustRightInd w:val="0"/>
        <w:snapToGrid w:val="0"/>
        <w:spacing w:before="0" w:line="440" w:lineRule="exact"/>
        <w:jc w:val="left"/>
        <w:rPr>
          <w:rFonts w:cstheme="minorBidi"/>
          <w:sz w:val="24"/>
          <w:szCs w:val="24"/>
        </w:rPr>
      </w:pPr>
      <w:r>
        <w:rPr>
          <w:rFonts w:hint="eastAsia"/>
          <w:sz w:val="24"/>
        </w:rPr>
        <w:t>第五部分附表</w:t>
      </w:r>
      <w:r w:rsidR="008A0A1E">
        <w:rPr>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t>一、收入支出决算总表</w:t>
      </w:r>
      <w:r w:rsidR="008A0A1E">
        <w:rPr>
          <w:rFonts w:ascii="仿宋" w:eastAsia="仿宋" w:hAnsi="仿宋"/>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t>二、收入决算表</w:t>
      </w:r>
      <w:r w:rsidR="008A0A1E">
        <w:rPr>
          <w:rFonts w:ascii="仿宋" w:eastAsia="仿宋" w:hAnsi="仿宋"/>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t>三、支出决算表</w:t>
      </w:r>
      <w:r w:rsidR="008A0A1E">
        <w:rPr>
          <w:rFonts w:ascii="仿宋" w:eastAsia="仿宋" w:hAnsi="仿宋"/>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t>四、财政拨款收入支出决算总表</w:t>
      </w:r>
      <w:r w:rsidR="008A0A1E">
        <w:rPr>
          <w:rFonts w:ascii="仿宋" w:eastAsia="仿宋" w:hAnsi="仿宋"/>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t>五、财政拨款支出决算明细表</w:t>
      </w:r>
      <w:r w:rsidR="008A0A1E">
        <w:rPr>
          <w:rFonts w:ascii="仿宋" w:eastAsia="仿宋" w:hAnsi="仿宋"/>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t>六、一般公共预算财政拨款支出决算表</w:t>
      </w:r>
      <w:r w:rsidR="008A0A1E">
        <w:rPr>
          <w:rFonts w:ascii="仿宋" w:eastAsia="仿宋" w:hAnsi="仿宋"/>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t>七、一般公共预算财政拨款支出决算明细表</w:t>
      </w:r>
      <w:r w:rsidR="008A0A1E">
        <w:rPr>
          <w:rFonts w:ascii="仿宋" w:eastAsia="仿宋" w:hAnsi="仿宋"/>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t>八、一般公共预算财政拨款基本支出决算表</w:t>
      </w:r>
      <w:r w:rsidR="008A0A1E">
        <w:rPr>
          <w:rFonts w:ascii="仿宋" w:eastAsia="仿宋" w:hAnsi="仿宋"/>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lastRenderedPageBreak/>
        <w:t>九、一般公共预算财政拨款项目支出决算表</w:t>
      </w:r>
      <w:r w:rsidR="008A0A1E">
        <w:rPr>
          <w:rFonts w:ascii="仿宋" w:eastAsia="仿宋" w:hAnsi="仿宋"/>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t>十、一般公共预算财政拨款“三公”经费支出决算表</w:t>
      </w:r>
      <w:r w:rsidR="008A0A1E">
        <w:rPr>
          <w:rFonts w:ascii="仿宋" w:eastAsia="仿宋" w:hAnsi="仿宋"/>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t>十一、政府性基金预算财政拨款收入支出决算表</w:t>
      </w:r>
      <w:r w:rsidR="008A0A1E">
        <w:rPr>
          <w:rFonts w:ascii="仿宋" w:eastAsia="仿宋" w:hAnsi="仿宋"/>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t>十二、政府性基金预算财政拨款“三公”经费支出决算表</w:t>
      </w:r>
      <w:r w:rsidR="008A0A1E">
        <w:rPr>
          <w:rFonts w:ascii="仿宋" w:eastAsia="仿宋" w:hAnsi="仿宋"/>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t>十三、国有资本经营预算财政拨款收入支出决算表</w:t>
      </w:r>
      <w:r w:rsidR="008A0A1E">
        <w:rPr>
          <w:rFonts w:ascii="仿宋" w:eastAsia="仿宋" w:hAnsi="仿宋"/>
          <w:sz w:val="24"/>
        </w:rPr>
        <w:tab/>
      </w:r>
      <w:r w:rsidR="00F753A2">
        <w:rPr>
          <w:rFonts w:hint="eastAsia"/>
          <w:sz w:val="24"/>
        </w:rPr>
        <w:t>26</w:t>
      </w:r>
    </w:p>
    <w:p w:rsidR="00FD6FAF" w:rsidRDefault="002A0280">
      <w:pPr>
        <w:pStyle w:val="20"/>
        <w:adjustRightInd w:val="0"/>
        <w:snapToGrid w:val="0"/>
        <w:spacing w:line="440" w:lineRule="exact"/>
        <w:jc w:val="left"/>
        <w:rPr>
          <w:sz w:val="24"/>
        </w:rPr>
      </w:pPr>
      <w:r>
        <w:rPr>
          <w:rFonts w:hint="eastAsia"/>
          <w:sz w:val="24"/>
        </w:rPr>
        <w:t>十四、国有资本经营预算财政拨款支出决算表</w:t>
      </w:r>
      <w:r w:rsidR="008A0A1E">
        <w:rPr>
          <w:rFonts w:ascii="仿宋" w:eastAsia="仿宋" w:hAnsi="仿宋"/>
          <w:sz w:val="24"/>
        </w:rPr>
        <w:tab/>
      </w:r>
      <w:r w:rsidR="00F753A2">
        <w:rPr>
          <w:rFonts w:hint="eastAsia"/>
          <w:sz w:val="24"/>
        </w:rPr>
        <w:t>26</w:t>
      </w:r>
    </w:p>
    <w:p w:rsidR="00FD6FAF" w:rsidRDefault="002A0280">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FD6FAF" w:rsidRPr="007F2145" w:rsidRDefault="002A0280" w:rsidP="007F2145">
      <w:pPr>
        <w:pStyle w:val="1"/>
        <w:jc w:val="center"/>
        <w:rPr>
          <w:rFonts w:ascii="黑体" w:eastAsia="黑体" w:hAnsi="黑体"/>
          <w:bCs w:val="0"/>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FD6FAF" w:rsidRDefault="002A0280">
      <w:pPr>
        <w:pStyle w:val="2"/>
        <w:rPr>
          <w:rStyle w:val="2Char"/>
          <w:rFonts w:ascii="黑体" w:eastAsia="黑体" w:hAnsi="黑体"/>
        </w:rPr>
      </w:pPr>
      <w:bookmarkStart w:id="14" w:name="_Toc15396600"/>
      <w:bookmarkStart w:id="15" w:name="_Toc15377197"/>
      <w:r>
        <w:rPr>
          <w:rStyle w:val="2Char"/>
          <w:rFonts w:ascii="黑体" w:eastAsia="黑体" w:hAnsi="黑体" w:hint="eastAsia"/>
        </w:rPr>
        <w:t>一、职能简介</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攀枝花市第七高级中学校（攀枝花市民族中学）是攀枝花市教育和体育局直属下设的一个独立核算的二级预算单位，主要从事初中、高中和民族教育，促进基础教育发展，组织教育教学、科学研究活动。</w:t>
      </w:r>
    </w:p>
    <w:p w:rsidR="00FD6FAF" w:rsidRDefault="002A0280">
      <w:pPr>
        <w:pStyle w:val="2"/>
        <w:rPr>
          <w:rFonts w:ascii="黑体" w:eastAsia="黑体" w:hAnsi="黑体"/>
          <w:b w:val="0"/>
        </w:rPr>
      </w:pPr>
      <w:r>
        <w:rPr>
          <w:rFonts w:ascii="黑体" w:eastAsia="黑体" w:hAnsi="黑体" w:hint="eastAsia"/>
          <w:b w:val="0"/>
        </w:rPr>
        <w:t>二、2021年重点工作</w:t>
      </w:r>
      <w:bookmarkEnd w:id="14"/>
      <w:bookmarkEnd w:id="15"/>
      <w:r>
        <w:rPr>
          <w:rFonts w:ascii="黑体" w:eastAsia="黑体" w:hAnsi="黑体" w:hint="eastAsia"/>
          <w:b w:val="0"/>
        </w:rPr>
        <w:t>完成情况</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2021年是不平凡的一年。市七中全体师生以习近平新时代中国特色社会主义思想为引领，深入学习十九届五中全会、六中全会精神，贯彻执行省委十一届九次全会和攀枝花市第十一次党代会决议，以庆祝中国共产党成立100周年和举办学校办学40周年成果展示为载体，大力推进校园文化建设，落实“德智体美劳”五育并举，继续深化“五位一体”办学模式改革，创新驱动人才培养模式，为攀枝花市打造区域优质教育中心起好引领示范作用。</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本学年度，学校以巡察整改为契机，以党史学习教育和办学40周年成果展为平台，大力推动学校创新发展。四川大学、中国药科大学、中国地质大学、西南交通大学等11所著名高校与我校共建优质生源基地，授予我校优质生源基地的国内外著名高校增至38所；党建品牌初步建立，学校</w:t>
      </w:r>
      <w:r w:rsidRPr="008A0A1E">
        <w:rPr>
          <w:rFonts w:ascii="仿宋" w:eastAsia="仿宋" w:hAnsi="仿宋" w:hint="eastAsia"/>
          <w:color w:val="000000"/>
          <w:sz w:val="32"/>
          <w:szCs w:val="32"/>
        </w:rPr>
        <w:lastRenderedPageBreak/>
        <w:t>党委获得市教体系统先进基层党组织荣誉称号；教育科研持续发力，教学成果丰硕，名师效应日益凸显；教师队伍建设多措并举，人才培养效果显著；课堂教学改革不断深化，“五位一体”教学模式助力多元化成才；教育教学质量稳中有升，学校蝉联“攀枝花市义务教育阶段教学质量突出贡献单位”荣誉称号；办学四十周年成果展系列活动圆满收官，建立校友会、建设校园文化景观、出版办学成果书目、举办高质量庆典晚会等工作进一步扩大了学校的影响力。但是进一步深化改革，深入改善办学条件，深入推进课程建设，进一步提升教育教学质量，实现学校创新发展，加快构建学校发展新格局还任重道远。</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1</w:t>
      </w:r>
      <w:r w:rsidRPr="008A0A1E">
        <w:rPr>
          <w:rFonts w:ascii="仿宋" w:eastAsia="仿宋" w:hAnsi="仿宋"/>
          <w:color w:val="000000"/>
          <w:sz w:val="32"/>
          <w:szCs w:val="32"/>
        </w:rPr>
        <w:t>.</w:t>
      </w:r>
      <w:r w:rsidRPr="008A0A1E">
        <w:rPr>
          <w:rFonts w:ascii="仿宋" w:eastAsia="仿宋" w:hAnsi="仿宋" w:hint="eastAsia"/>
          <w:color w:val="000000"/>
          <w:sz w:val="32"/>
          <w:szCs w:val="32"/>
        </w:rPr>
        <w:t>党建工作“融创”出新</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一是深入开展党史学习教育，打造了一批特色活动，如党史进校园、红歌传唱、庆祝建党100周年暨“两优一先”表彰活动等；二是深入学习习近平总书记在庆祝中国共产党成立100周年大会上的讲话；三是充分发挥党员在党史学习教育中的先锋作用，如第一、第三教学部开展的由党员承担的踏线生一对一辅导。今年7月，我校党委被授予市教体系统先进基层党组织荣誉称号。</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2</w:t>
      </w:r>
      <w:r w:rsidRPr="008A0A1E">
        <w:rPr>
          <w:rFonts w:ascii="仿宋" w:eastAsia="仿宋" w:hAnsi="仿宋"/>
          <w:color w:val="000000"/>
          <w:sz w:val="32"/>
          <w:szCs w:val="32"/>
        </w:rPr>
        <w:t>.</w:t>
      </w:r>
      <w:r w:rsidRPr="008A0A1E">
        <w:rPr>
          <w:rFonts w:ascii="仿宋" w:eastAsia="仿宋" w:hAnsi="仿宋" w:hint="eastAsia"/>
          <w:color w:val="000000"/>
          <w:sz w:val="32"/>
          <w:szCs w:val="32"/>
        </w:rPr>
        <w:t>党风廉政建设持续推进</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认真履行党组织主体责任、纪检组织监督责任、分管领导和科室、年级负责人“一岗双责”，签订师德师风承诺书</w:t>
      </w:r>
      <w:r w:rsidRPr="008A0A1E">
        <w:rPr>
          <w:rFonts w:ascii="仿宋" w:eastAsia="仿宋" w:hAnsi="仿宋" w:hint="eastAsia"/>
          <w:color w:val="000000"/>
          <w:sz w:val="32"/>
          <w:szCs w:val="32"/>
        </w:rPr>
        <w:lastRenderedPageBreak/>
        <w:t>和减负“十严十不准”责任书，加强师德建设和教师行为监控。本年度党委、纪委开展中层干部廉政谈话2次，师德师风专项警示教育3次，组织观看党风廉政警示教育片、学习违反中央八项规定和教师职业行为十项准则的典型案例5次，开展“违规补课和收受礼金”专项警示教育2次；在教师节、中秋节、元旦节等节假日发送廉政风险提醒4次。</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3</w:t>
      </w:r>
      <w:r w:rsidRPr="008A0A1E">
        <w:rPr>
          <w:rFonts w:ascii="仿宋" w:eastAsia="仿宋" w:hAnsi="仿宋"/>
          <w:color w:val="000000"/>
          <w:sz w:val="32"/>
          <w:szCs w:val="32"/>
        </w:rPr>
        <w:t>.</w:t>
      </w:r>
      <w:r w:rsidRPr="008A0A1E">
        <w:rPr>
          <w:rFonts w:ascii="仿宋" w:eastAsia="仿宋" w:hAnsi="仿宋" w:hint="eastAsia"/>
          <w:color w:val="000000"/>
          <w:sz w:val="32"/>
          <w:szCs w:val="32"/>
        </w:rPr>
        <w:t>党建带团建、工会有新举措</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在党委的决策部署和引领下，学校团委、工会等推陈出新，促进学校党群团工作的发展。校团委依托各班团支部和志愿服队开展了丰富多彩的主题活动，开办了两期团课和业余青年党校培训，发展新团员59人，学校志愿服务队被评选为2020年度攀枝花市“阳光志愿 花城有爱”最佳志愿服务组织。工会大力组织关爱教职工、扶危济困的暖心活动，巩固了小槽村脱贫成果，走访慰问了退休教职工、军属、困难职工、老党员等特殊人群，组织了两次教代会，为今年退休的教师举办了隆重的荣退仪式，为党龄满50年的老同志送上“光荣在党50年”纪念章，充分发挥了党建工作的引领作用。</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4</w:t>
      </w:r>
      <w:r w:rsidRPr="008A0A1E">
        <w:rPr>
          <w:rFonts w:ascii="仿宋" w:eastAsia="仿宋" w:hAnsi="仿宋"/>
          <w:color w:val="000000"/>
          <w:sz w:val="32"/>
          <w:szCs w:val="32"/>
        </w:rPr>
        <w:t>.</w:t>
      </w:r>
      <w:r w:rsidRPr="008A0A1E">
        <w:rPr>
          <w:rFonts w:ascii="仿宋" w:eastAsia="仿宋" w:hAnsi="仿宋" w:hint="eastAsia"/>
          <w:color w:val="000000"/>
          <w:sz w:val="32"/>
          <w:szCs w:val="32"/>
        </w:rPr>
        <w:t>校园文化建设焕然一新</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为迎接办学40周年成果展，学校对两个校区进行了文化环境的升级打造。新修建了西城校区大门，改善了高三园厕所，新建了书山钟楼等文化地标，改建了停车场，树立了</w:t>
      </w:r>
      <w:r w:rsidRPr="008A0A1E">
        <w:rPr>
          <w:rFonts w:ascii="仿宋" w:eastAsia="仿宋" w:hAnsi="仿宋" w:hint="eastAsia"/>
          <w:color w:val="000000"/>
          <w:sz w:val="32"/>
          <w:szCs w:val="32"/>
        </w:rPr>
        <w:lastRenderedPageBreak/>
        <w:t>孔子像，修补了校园文化墙浮雕。一系列工程改善了学校条件，增添了校园文化底蕴。</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5</w:t>
      </w:r>
      <w:r w:rsidRPr="008A0A1E">
        <w:rPr>
          <w:rFonts w:ascii="仿宋" w:eastAsia="仿宋" w:hAnsi="仿宋"/>
          <w:color w:val="000000"/>
          <w:sz w:val="32"/>
          <w:szCs w:val="32"/>
        </w:rPr>
        <w:t>.</w:t>
      </w:r>
      <w:r w:rsidRPr="008A0A1E">
        <w:rPr>
          <w:rFonts w:ascii="仿宋" w:eastAsia="仿宋" w:hAnsi="仿宋" w:hint="eastAsia"/>
          <w:color w:val="000000"/>
          <w:sz w:val="32"/>
          <w:szCs w:val="32"/>
        </w:rPr>
        <w:t>智慧校园建设迈上新台阶</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学校移动网络升级改造全部完成；3间数字化学科实验室正在筹建中；学校为新高一年级配置了28块智慧黑板，截止2021年9月，高中部三个年级84个教学班全部采用“智慧课堂”教学。学校获得2020年度电化教育（技术装备）先进工作单位。内江市教育考察团到我校交流研讨云课堂和智慧学校建设。</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6</w:t>
      </w:r>
      <w:r w:rsidRPr="008A0A1E">
        <w:rPr>
          <w:rFonts w:ascii="仿宋" w:eastAsia="仿宋" w:hAnsi="仿宋"/>
          <w:color w:val="000000"/>
          <w:sz w:val="32"/>
          <w:szCs w:val="32"/>
        </w:rPr>
        <w:t>.</w:t>
      </w:r>
      <w:r w:rsidRPr="008A0A1E">
        <w:rPr>
          <w:rFonts w:ascii="仿宋" w:eastAsia="仿宋" w:hAnsi="仿宋" w:hint="eastAsia"/>
          <w:color w:val="000000"/>
          <w:sz w:val="32"/>
          <w:szCs w:val="32"/>
        </w:rPr>
        <w:t>教师队伍建设多措并举。</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一是充分发挥各级各类骨干教师的引领作用，坚持开展“献课”活动。二是继续发挥老教师“传帮带”的引领作用，开展师徒结对仪式，开展青年教师座谈会，分享进步经验。三是为青年教师提供专业成长的平台。四是组织教师参与专项培训。五是继续开启骨干教师外出研培分享系列工作，采用现场讲解和线上直播的方式展开全员培训。六是校内外培训相结合，如邀请山西忻州一中校长作“课改管理”和“优生培养”专题讲座，邀请市特校的师生进行师德展示等。七是从教师中选拔竞聘14名同志担任领导干部职务。八是完善了《攀枝花市七中职称评审及岗位竞聘量化考核方案（草案）》等制度，进一步激活教师队伍。</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7</w:t>
      </w:r>
      <w:r w:rsidRPr="008A0A1E">
        <w:rPr>
          <w:rFonts w:ascii="仿宋" w:eastAsia="仿宋" w:hAnsi="仿宋"/>
          <w:color w:val="000000"/>
          <w:sz w:val="32"/>
          <w:szCs w:val="32"/>
        </w:rPr>
        <w:t>.</w:t>
      </w:r>
      <w:r w:rsidRPr="008A0A1E">
        <w:rPr>
          <w:rFonts w:ascii="仿宋" w:eastAsia="仿宋" w:hAnsi="仿宋" w:hint="eastAsia"/>
          <w:color w:val="000000"/>
          <w:sz w:val="32"/>
          <w:szCs w:val="32"/>
        </w:rPr>
        <w:t>“五位一体”助力多元化成才。</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lastRenderedPageBreak/>
        <w:t>学校在“德智体美劳”五育并举和“中国学生发展核心素养”的理论基础上，继续深化“一体两翼两支撑”的办学模式，以“五位一体”助力学生多元化成才。一是深入推进尊重学生学习主体地位的“三助五段式”课堂教学模式与“云课堂”的深度结合，提升预备升学教育升学率，重本上线率接近50%，本科上线率接近90%；二是国际教育和艺体特长教育拓宽了学生求学成才的渠道，本年度学校继续开展中法留学项目，帮助申报者通过语言测试；艺体上线率达到98%， 2021届1人取得了体育专业满分的优异成绩，1人入围清华大学艺术专业录取线，2人被录取为空军飞行员。三是智能教育和STEAM教育全面提升核心素养，助力培养拔尖创新人才为“强基计划”提前布局。</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8</w:t>
      </w:r>
      <w:r w:rsidRPr="008A0A1E">
        <w:rPr>
          <w:rFonts w:ascii="仿宋" w:eastAsia="仿宋" w:hAnsi="仿宋"/>
          <w:color w:val="000000"/>
          <w:sz w:val="32"/>
          <w:szCs w:val="32"/>
        </w:rPr>
        <w:t>.</w:t>
      </w:r>
      <w:r w:rsidRPr="008A0A1E">
        <w:rPr>
          <w:rFonts w:ascii="仿宋" w:eastAsia="仿宋" w:hAnsi="仿宋" w:hint="eastAsia"/>
          <w:color w:val="000000"/>
          <w:sz w:val="32"/>
          <w:szCs w:val="32"/>
        </w:rPr>
        <w:t>名师效应凸显学校品牌。</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本学年度，名师效应进一步凸显，学校品牌影响力进一步提升。我校四川省特级教师新增1人，正高级教师新增1人，市学术和技术带头人新增1人；1人获评高级实验师，1人入选教育部财务司“教育经费监管专家库”； 2人成为市第二届青鹏人才。成功创建四川省“劳模和技能人才创新工作室”。四川省级课题《利用区域资源开发化学校本课程的研究》顺利结题，《高中群文阅读教学中培养学生思辨能力的实践》荣获全国教育科学“十三五”规划课题首批子课题中期成果二等奖。此外我校教师在四川省中小学德育、家庭</w:t>
      </w:r>
      <w:r w:rsidRPr="008A0A1E">
        <w:rPr>
          <w:rFonts w:ascii="仿宋" w:eastAsia="仿宋" w:hAnsi="仿宋" w:hint="eastAsia"/>
          <w:color w:val="000000"/>
          <w:sz w:val="32"/>
          <w:szCs w:val="32"/>
        </w:rPr>
        <w:lastRenderedPageBreak/>
        <w:t>教育及环境教育优秀成果评选，攀枝花市教育教学信息化大赛，四川省历史、生物、物理等学科论文评比，教育技术论文评选，全国群文阅读成果展评等活动中斩获多项大奖。</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9</w:t>
      </w:r>
      <w:r w:rsidRPr="008A0A1E">
        <w:rPr>
          <w:rFonts w:ascii="仿宋" w:eastAsia="仿宋" w:hAnsi="仿宋"/>
          <w:color w:val="000000"/>
          <w:sz w:val="32"/>
          <w:szCs w:val="32"/>
        </w:rPr>
        <w:t>.</w:t>
      </w:r>
      <w:r w:rsidRPr="008A0A1E">
        <w:rPr>
          <w:rFonts w:ascii="仿宋" w:eastAsia="仿宋" w:hAnsi="仿宋" w:hint="eastAsia"/>
          <w:color w:val="000000"/>
          <w:sz w:val="32"/>
          <w:szCs w:val="32"/>
        </w:rPr>
        <w:t>教学成绩再增新亮点。</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本学年，我校四个教学部取得了优异成绩。2021届高三高考成绩亮点纷呈：清华北大上线2人，录取1人；文理科全市前十名7人，其中夺得理科应届全市第一，空军海军招飞上线4人，录取2人， 2人获得生物单科全省第一（满分90分），8人夺得7个学科全市单科第一。2022届高二“四期”全市统考，取得重大突破；高三全市一统考试，2023届高一“二期”全市统考，继续领航全市。初中部连续三年夺得全市义务教育突出贡献单位称号，中考43人正录我校高一，录取人数较去年成倍增长。</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1</w:t>
      </w:r>
      <w:r w:rsidRPr="008A0A1E">
        <w:rPr>
          <w:rFonts w:ascii="仿宋" w:eastAsia="仿宋" w:hAnsi="仿宋"/>
          <w:color w:val="000000"/>
          <w:sz w:val="32"/>
          <w:szCs w:val="32"/>
        </w:rPr>
        <w:t>0.</w:t>
      </w:r>
      <w:r w:rsidRPr="008A0A1E">
        <w:rPr>
          <w:rFonts w:ascii="仿宋" w:eastAsia="仿宋" w:hAnsi="仿宋" w:hint="eastAsia"/>
          <w:color w:val="000000"/>
          <w:sz w:val="32"/>
          <w:szCs w:val="32"/>
        </w:rPr>
        <w:t>后勤保障服务持续提升</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学校完善了安全管理和后勤保障制度，提高了服务效率和实效。改建完善了校医务室；改造了高三园及教师办公楼的厕所；积极联系防疫医疗队进校园为2022届高三学生接种疫苗；积极开展疫情防控常态化工作，落实安全员值班制度，积极开展安全隐患排查，保障师生健康，维护校园安全。</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1</w:t>
      </w:r>
      <w:r w:rsidRPr="008A0A1E">
        <w:rPr>
          <w:rFonts w:ascii="仿宋" w:eastAsia="仿宋" w:hAnsi="仿宋"/>
          <w:color w:val="000000"/>
          <w:sz w:val="32"/>
          <w:szCs w:val="32"/>
        </w:rPr>
        <w:t>1.</w:t>
      </w:r>
      <w:r w:rsidRPr="008A0A1E">
        <w:rPr>
          <w:rFonts w:ascii="仿宋" w:eastAsia="仿宋" w:hAnsi="仿宋" w:hint="eastAsia"/>
          <w:color w:val="000000"/>
          <w:sz w:val="32"/>
          <w:szCs w:val="32"/>
        </w:rPr>
        <w:t>“双减”工作和“五项管理”落实到位</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依据国家的教育政策和教育形势的变化，学校积极响应，与时俱进，制定了《攀枝花市第七高级中学校初中部课后服</w:t>
      </w:r>
      <w:r w:rsidRPr="008A0A1E">
        <w:rPr>
          <w:rFonts w:ascii="仿宋" w:eastAsia="仿宋" w:hAnsi="仿宋" w:hint="eastAsia"/>
          <w:color w:val="000000"/>
          <w:sz w:val="32"/>
          <w:szCs w:val="32"/>
        </w:rPr>
        <w:lastRenderedPageBreak/>
        <w:t>务考核方案》和《攀枝花市第七高级中学校初中部课后服务劳务费分配方案》，从安全管理要求、课后服务内容、考核方式等方面明确了我校初中部的课后服务工作；制定了《五项管理实施细则》，进一步提升校内教育教学质量。</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1</w:t>
      </w:r>
      <w:r w:rsidRPr="008A0A1E">
        <w:rPr>
          <w:rFonts w:ascii="仿宋" w:eastAsia="仿宋" w:hAnsi="仿宋"/>
          <w:color w:val="000000"/>
          <w:sz w:val="32"/>
          <w:szCs w:val="32"/>
        </w:rPr>
        <w:t>2.</w:t>
      </w:r>
      <w:r w:rsidRPr="008A0A1E">
        <w:rPr>
          <w:rFonts w:ascii="仿宋" w:eastAsia="仿宋" w:hAnsi="仿宋" w:hint="eastAsia"/>
          <w:color w:val="000000"/>
          <w:sz w:val="32"/>
          <w:szCs w:val="32"/>
        </w:rPr>
        <w:t>尖子生培养和踏线生培优工作取得实效</w:t>
      </w:r>
    </w:p>
    <w:p w:rsidR="008A0A1E" w:rsidRPr="008A0A1E" w:rsidRDefault="008A0A1E"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hint="eastAsia"/>
          <w:color w:val="000000"/>
          <w:sz w:val="32"/>
          <w:szCs w:val="32"/>
        </w:rPr>
        <w:t>过去一学年，各年级都在尖子生培养和踏线生培养方面做了深入探索，包括学科方法指导讲座、培优补差工作、党员一对一帮扶、学科竞赛（特长生）培训等工作。尖子生培养实现新突破：第一教学部在四期考试中夺取全市文理科双双第一名，文理科全市前10名9人；在高三统考中获得文理科前三名，为历史最好成绩。第三教学部夺得全市文科第一，文理科全市前10名12人。第二教学部在高考中夺得理科应届全市第一，清华北大上线2人，文理科全市前10名7人。</w:t>
      </w:r>
    </w:p>
    <w:p w:rsidR="004B193C" w:rsidRDefault="004B193C" w:rsidP="004B193C">
      <w:pPr>
        <w:pStyle w:val="2"/>
        <w:rPr>
          <w:rFonts w:ascii="黑体" w:eastAsia="黑体" w:hAnsi="黑体"/>
          <w:b w:val="0"/>
        </w:rPr>
      </w:pPr>
      <w:r>
        <w:rPr>
          <w:rFonts w:ascii="黑体" w:eastAsia="黑体" w:hAnsi="黑体" w:hint="eastAsia"/>
          <w:b w:val="0"/>
        </w:rPr>
        <w:t>三、机构设置</w:t>
      </w:r>
    </w:p>
    <w:p w:rsidR="004B193C" w:rsidRDefault="004B193C" w:rsidP="004B193C">
      <w:pPr>
        <w:pStyle w:val="a0"/>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攀枝花市第七高级中学校是一</w:t>
      </w:r>
      <w:r>
        <w:rPr>
          <w:rFonts w:ascii="仿宋" w:eastAsia="仿宋" w:hAnsi="仿宋"/>
          <w:color w:val="000000"/>
          <w:sz w:val="32"/>
          <w:szCs w:val="32"/>
        </w:rPr>
        <w:t>个独立核算的二级预算机构</w:t>
      </w:r>
      <w:r>
        <w:rPr>
          <w:rFonts w:ascii="仿宋" w:eastAsia="仿宋" w:hAnsi="仿宋" w:hint="eastAsia"/>
          <w:color w:val="000000"/>
          <w:sz w:val="32"/>
          <w:szCs w:val="32"/>
        </w:rPr>
        <w:t>，下属非独立核算单位0个，其中行政单位0个，参照公务员法管理的事业单位0个，其他事业单位0个。</w:t>
      </w:r>
    </w:p>
    <w:p w:rsidR="008A0A1E" w:rsidRPr="008A0A1E" w:rsidRDefault="008A0A1E" w:rsidP="00B21042">
      <w:pPr>
        <w:pStyle w:val="a0"/>
        <w:adjustRightInd w:val="0"/>
        <w:snapToGrid w:val="0"/>
        <w:spacing w:before="93" w:line="600" w:lineRule="exact"/>
        <w:rPr>
          <w:rFonts w:ascii="仿宋" w:eastAsia="仿宋" w:hAnsi="仿宋"/>
          <w:color w:val="000000"/>
          <w:sz w:val="32"/>
          <w:szCs w:val="32"/>
        </w:rPr>
      </w:pPr>
    </w:p>
    <w:p w:rsidR="00FD6FAF" w:rsidRPr="008A0A1E" w:rsidRDefault="002A0280" w:rsidP="008A0A1E">
      <w:pPr>
        <w:pStyle w:val="a0"/>
        <w:adjustRightInd w:val="0"/>
        <w:snapToGrid w:val="0"/>
        <w:spacing w:before="93" w:line="600" w:lineRule="exact"/>
        <w:ind w:firstLineChars="210" w:firstLine="672"/>
        <w:rPr>
          <w:rFonts w:ascii="仿宋" w:eastAsia="仿宋" w:hAnsi="仿宋"/>
          <w:color w:val="000000"/>
          <w:sz w:val="32"/>
          <w:szCs w:val="32"/>
        </w:rPr>
      </w:pPr>
      <w:r w:rsidRPr="008A0A1E">
        <w:rPr>
          <w:rFonts w:ascii="仿宋" w:eastAsia="仿宋" w:hAnsi="仿宋"/>
          <w:color w:val="000000"/>
          <w:sz w:val="32"/>
          <w:szCs w:val="32"/>
        </w:rPr>
        <w:br w:type="page"/>
      </w:r>
    </w:p>
    <w:p w:rsidR="00FD6FAF" w:rsidRDefault="002A0280">
      <w:pPr>
        <w:pStyle w:val="1"/>
        <w:ind w:right="440"/>
        <w:jc w:val="center"/>
        <w:rPr>
          <w:rStyle w:val="1Char"/>
          <w:rFonts w:ascii="黑体" w:eastAsia="黑体" w:hAnsi="黑体"/>
          <w:bCs/>
        </w:rPr>
      </w:pPr>
      <w:bookmarkStart w:id="16" w:name="_Toc15396602"/>
      <w:bookmarkStart w:id="17" w:name="_Toc15377204"/>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16"/>
      <w:bookmarkEnd w:id="17"/>
    </w:p>
    <w:p w:rsidR="00FD6FAF" w:rsidRDefault="00FD6FAF"/>
    <w:p w:rsidR="00FD6FAF" w:rsidRDefault="002A0280">
      <w:pPr>
        <w:pStyle w:val="a9"/>
        <w:numPr>
          <w:ilvl w:val="0"/>
          <w:numId w:val="1"/>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FD6FAF" w:rsidRDefault="002A0280">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w:t>
      </w:r>
      <w:r w:rsidR="00B21042">
        <w:rPr>
          <w:rFonts w:ascii="仿宋" w:eastAsia="仿宋" w:hAnsi="仿宋" w:hint="eastAsia"/>
          <w:sz w:val="32"/>
          <w:szCs w:val="32"/>
        </w:rPr>
        <w:t>12,839.31</w:t>
      </w:r>
      <w:r>
        <w:rPr>
          <w:rFonts w:ascii="仿宋" w:eastAsia="仿宋" w:hAnsi="仿宋" w:hint="eastAsia"/>
          <w:sz w:val="32"/>
          <w:szCs w:val="32"/>
        </w:rPr>
        <w:t>万元。与2020年相比，收、支总计各增加</w:t>
      </w:r>
      <w:r w:rsidR="00B21042">
        <w:rPr>
          <w:rFonts w:ascii="仿宋" w:eastAsia="仿宋" w:hAnsi="仿宋" w:hint="eastAsia"/>
          <w:sz w:val="32"/>
          <w:szCs w:val="32"/>
        </w:rPr>
        <w:t>271.41</w:t>
      </w:r>
      <w:r>
        <w:rPr>
          <w:rFonts w:ascii="仿宋" w:eastAsia="仿宋" w:hAnsi="仿宋" w:hint="eastAsia"/>
          <w:sz w:val="32"/>
          <w:szCs w:val="32"/>
        </w:rPr>
        <w:t>万元，增长</w:t>
      </w:r>
      <w:r w:rsidR="00B21042">
        <w:rPr>
          <w:rFonts w:ascii="仿宋" w:eastAsia="仿宋" w:hAnsi="仿宋" w:hint="eastAsia"/>
          <w:sz w:val="32"/>
          <w:szCs w:val="32"/>
        </w:rPr>
        <w:t>2.16</w:t>
      </w:r>
      <w:r>
        <w:rPr>
          <w:rFonts w:ascii="仿宋" w:eastAsia="仿宋" w:hAnsi="仿宋"/>
          <w:sz w:val="32"/>
          <w:szCs w:val="32"/>
        </w:rPr>
        <w:t>%</w:t>
      </w:r>
      <w:r>
        <w:rPr>
          <w:rFonts w:ascii="仿宋" w:eastAsia="仿宋" w:hAnsi="仿宋" w:hint="eastAsia"/>
          <w:sz w:val="32"/>
          <w:szCs w:val="32"/>
        </w:rPr>
        <w:t>。主要变动原因是</w:t>
      </w:r>
      <w:r w:rsidR="00B21042">
        <w:rPr>
          <w:rFonts w:ascii="仿宋" w:eastAsia="仿宋" w:hAnsi="仿宋" w:hint="eastAsia"/>
          <w:sz w:val="32"/>
          <w:szCs w:val="32"/>
        </w:rPr>
        <w:t>人员经费增加导致的。</w:t>
      </w:r>
    </w:p>
    <w:p w:rsidR="00FD6FAF" w:rsidRDefault="002A028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FD6FAF" w:rsidRDefault="00B21042" w:rsidP="00B21042">
      <w:pPr>
        <w:spacing w:line="240" w:lineRule="atLeast"/>
        <w:ind w:firstLineChars="200" w:firstLine="640"/>
        <w:jc w:val="left"/>
        <w:rPr>
          <w:rFonts w:ascii="仿宋_GB2312" w:eastAsia="仿宋_GB2312"/>
          <w:sz w:val="32"/>
          <w:szCs w:val="32"/>
        </w:rPr>
      </w:pPr>
      <w:r w:rsidRPr="00B21042">
        <w:rPr>
          <w:rFonts w:ascii="仿宋_GB2312" w:eastAsia="仿宋_GB2312" w:hint="eastAsia"/>
          <w:noProof/>
          <w:sz w:val="32"/>
          <w:szCs w:val="32"/>
        </w:rPr>
        <w:drawing>
          <wp:inline distT="0" distB="0" distL="0" distR="0">
            <wp:extent cx="5274310" cy="3076575"/>
            <wp:effectExtent l="19050" t="0" r="2159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6FAF" w:rsidRDefault="002A0280">
      <w:pPr>
        <w:pStyle w:val="a9"/>
        <w:numPr>
          <w:ilvl w:val="0"/>
          <w:numId w:val="1"/>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FD6FAF" w:rsidRDefault="002A028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w:t>
      </w:r>
      <w:r w:rsidR="00DE68B6" w:rsidRPr="00DE68B6">
        <w:rPr>
          <w:rFonts w:ascii="仿宋" w:eastAsia="仿宋" w:hAnsi="仿宋"/>
          <w:sz w:val="32"/>
          <w:szCs w:val="32"/>
        </w:rPr>
        <w:t>12</w:t>
      </w:r>
      <w:r w:rsidR="00DE68B6">
        <w:rPr>
          <w:rFonts w:ascii="仿宋" w:eastAsia="仿宋" w:hAnsi="仿宋" w:hint="eastAsia"/>
          <w:sz w:val="32"/>
          <w:szCs w:val="32"/>
        </w:rPr>
        <w:t>,</w:t>
      </w:r>
      <w:r w:rsidR="00DE68B6" w:rsidRPr="00DE68B6">
        <w:rPr>
          <w:rFonts w:ascii="仿宋" w:eastAsia="仿宋" w:hAnsi="仿宋"/>
          <w:sz w:val="32"/>
          <w:szCs w:val="32"/>
        </w:rPr>
        <w:t>727.43</w:t>
      </w:r>
      <w:r>
        <w:rPr>
          <w:rFonts w:ascii="仿宋" w:eastAsia="仿宋" w:hAnsi="仿宋" w:hint="eastAsia"/>
          <w:sz w:val="32"/>
          <w:szCs w:val="32"/>
        </w:rPr>
        <w:t>万元，其中：一般公共预算财政拨款收入</w:t>
      </w:r>
      <w:r w:rsidR="00DE68B6">
        <w:rPr>
          <w:rFonts w:ascii="仿宋" w:eastAsia="仿宋" w:hAnsi="仿宋" w:hint="eastAsia"/>
          <w:sz w:val="32"/>
          <w:szCs w:val="32"/>
        </w:rPr>
        <w:t>12,005.59</w:t>
      </w:r>
      <w:r>
        <w:rPr>
          <w:rFonts w:ascii="仿宋" w:eastAsia="仿宋" w:hAnsi="仿宋" w:hint="eastAsia"/>
          <w:sz w:val="32"/>
          <w:szCs w:val="32"/>
        </w:rPr>
        <w:t>万元，占</w:t>
      </w:r>
      <w:r w:rsidR="00DE68B6">
        <w:rPr>
          <w:rFonts w:ascii="仿宋" w:eastAsia="仿宋" w:hAnsi="仿宋" w:hint="eastAsia"/>
          <w:sz w:val="32"/>
          <w:szCs w:val="32"/>
        </w:rPr>
        <w:t>94.33</w:t>
      </w:r>
      <w:r>
        <w:rPr>
          <w:rFonts w:ascii="仿宋" w:eastAsia="仿宋" w:hAnsi="仿宋"/>
          <w:sz w:val="32"/>
          <w:szCs w:val="32"/>
        </w:rPr>
        <w:t>%</w:t>
      </w:r>
      <w:r>
        <w:rPr>
          <w:rFonts w:ascii="仿宋" w:eastAsia="仿宋" w:hAnsi="仿宋" w:hint="eastAsia"/>
          <w:sz w:val="32"/>
          <w:szCs w:val="32"/>
        </w:rPr>
        <w:t>；政府性基金预算财政拨款收入</w:t>
      </w:r>
      <w:r w:rsidR="00DE68B6">
        <w:rPr>
          <w:rFonts w:ascii="仿宋" w:eastAsia="仿宋" w:hAnsi="仿宋" w:hint="eastAsia"/>
          <w:sz w:val="32"/>
          <w:szCs w:val="32"/>
        </w:rPr>
        <w:t>378</w:t>
      </w:r>
      <w:r>
        <w:rPr>
          <w:rFonts w:ascii="仿宋" w:eastAsia="仿宋" w:hAnsi="仿宋" w:hint="eastAsia"/>
          <w:sz w:val="32"/>
          <w:szCs w:val="32"/>
        </w:rPr>
        <w:t>万元，占</w:t>
      </w:r>
      <w:r w:rsidR="00DE68B6">
        <w:rPr>
          <w:rFonts w:ascii="仿宋" w:eastAsia="仿宋" w:hAnsi="仿宋" w:hint="eastAsia"/>
          <w:sz w:val="32"/>
          <w:szCs w:val="32"/>
        </w:rPr>
        <w:t>2.97</w:t>
      </w:r>
      <w:r>
        <w:rPr>
          <w:rFonts w:ascii="仿宋" w:eastAsia="仿宋" w:hAnsi="仿宋"/>
          <w:sz w:val="32"/>
          <w:szCs w:val="32"/>
        </w:rPr>
        <w:t>%</w:t>
      </w:r>
      <w:r>
        <w:rPr>
          <w:rFonts w:ascii="仿宋" w:eastAsia="仿宋" w:hAnsi="仿宋" w:hint="eastAsia"/>
          <w:sz w:val="32"/>
          <w:szCs w:val="32"/>
        </w:rPr>
        <w:t>；国有资本经营预算财政拨款收入</w:t>
      </w:r>
      <w:r w:rsidR="00DE68B6">
        <w:rPr>
          <w:rFonts w:ascii="仿宋" w:eastAsia="仿宋" w:hAnsi="仿宋" w:hint="eastAsia"/>
          <w:sz w:val="32"/>
          <w:szCs w:val="32"/>
        </w:rPr>
        <w:t>0</w:t>
      </w:r>
      <w:r>
        <w:rPr>
          <w:rFonts w:ascii="仿宋" w:eastAsia="仿宋" w:hAnsi="仿宋" w:hint="eastAsia"/>
          <w:sz w:val="32"/>
          <w:szCs w:val="32"/>
        </w:rPr>
        <w:t>万元，占</w:t>
      </w:r>
      <w:r w:rsidR="00DE68B6">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sidR="00DE68B6">
        <w:rPr>
          <w:rFonts w:ascii="仿宋" w:eastAsia="仿宋" w:hAnsi="仿宋" w:hint="eastAsia"/>
          <w:sz w:val="32"/>
          <w:szCs w:val="32"/>
        </w:rPr>
        <w:t>0</w:t>
      </w:r>
      <w:r>
        <w:rPr>
          <w:rFonts w:ascii="仿宋" w:eastAsia="仿宋" w:hAnsi="仿宋" w:hint="eastAsia"/>
          <w:sz w:val="32"/>
          <w:szCs w:val="32"/>
        </w:rPr>
        <w:t>万元，占</w:t>
      </w:r>
      <w:r w:rsidR="00DE68B6">
        <w:rPr>
          <w:rFonts w:ascii="仿宋" w:eastAsia="仿宋" w:hAnsi="仿宋" w:hint="eastAsia"/>
          <w:sz w:val="32"/>
          <w:szCs w:val="32"/>
        </w:rPr>
        <w:t>0</w:t>
      </w:r>
      <w:r>
        <w:rPr>
          <w:rFonts w:ascii="仿宋" w:eastAsia="仿宋" w:hAnsi="仿宋"/>
          <w:sz w:val="32"/>
          <w:szCs w:val="32"/>
        </w:rPr>
        <w:t>%</w:t>
      </w:r>
      <w:bookmarkStart w:id="22" w:name="_GoBack"/>
      <w:bookmarkEnd w:id="22"/>
      <w:r>
        <w:rPr>
          <w:rFonts w:ascii="仿宋" w:eastAsia="仿宋" w:hAnsi="仿宋" w:hint="eastAsia"/>
          <w:sz w:val="32"/>
          <w:szCs w:val="32"/>
        </w:rPr>
        <w:t>；事业收入</w:t>
      </w:r>
      <w:r w:rsidR="00DE68B6">
        <w:rPr>
          <w:rFonts w:ascii="仿宋" w:eastAsia="仿宋" w:hAnsi="仿宋" w:hint="eastAsia"/>
          <w:sz w:val="32"/>
          <w:szCs w:val="32"/>
        </w:rPr>
        <w:t>0</w:t>
      </w:r>
      <w:r>
        <w:rPr>
          <w:rFonts w:ascii="仿宋" w:eastAsia="仿宋" w:hAnsi="仿宋" w:hint="eastAsia"/>
          <w:sz w:val="32"/>
          <w:szCs w:val="32"/>
        </w:rPr>
        <w:t>万元，占</w:t>
      </w:r>
      <w:r w:rsidR="00DE68B6">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sidR="00DE68B6">
        <w:rPr>
          <w:rFonts w:ascii="仿宋" w:eastAsia="仿宋" w:hAnsi="仿宋" w:hint="eastAsia"/>
          <w:sz w:val="32"/>
          <w:szCs w:val="32"/>
        </w:rPr>
        <w:t>0</w:t>
      </w:r>
      <w:r>
        <w:rPr>
          <w:rFonts w:ascii="仿宋" w:eastAsia="仿宋" w:hAnsi="仿宋" w:hint="eastAsia"/>
          <w:sz w:val="32"/>
          <w:szCs w:val="32"/>
        </w:rPr>
        <w:t>万元，占</w:t>
      </w:r>
      <w:r w:rsidR="00DE68B6">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sidR="00DE68B6">
        <w:rPr>
          <w:rFonts w:ascii="仿宋" w:eastAsia="仿宋" w:hAnsi="仿宋" w:hint="eastAsia"/>
          <w:sz w:val="32"/>
          <w:szCs w:val="32"/>
        </w:rPr>
        <w:t>0</w:t>
      </w:r>
      <w:r>
        <w:rPr>
          <w:rFonts w:ascii="仿宋" w:eastAsia="仿宋" w:hAnsi="仿宋" w:hint="eastAsia"/>
          <w:sz w:val="32"/>
          <w:szCs w:val="32"/>
        </w:rPr>
        <w:t>万元，占</w:t>
      </w:r>
      <w:r w:rsidR="00DE68B6">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DE68B6">
        <w:rPr>
          <w:rFonts w:ascii="仿宋" w:eastAsia="仿宋" w:hAnsi="仿宋" w:hint="eastAsia"/>
          <w:sz w:val="32"/>
          <w:szCs w:val="32"/>
        </w:rPr>
        <w:t>343.84</w:t>
      </w:r>
      <w:r>
        <w:rPr>
          <w:rFonts w:ascii="仿宋" w:eastAsia="仿宋" w:hAnsi="仿宋" w:hint="eastAsia"/>
          <w:sz w:val="32"/>
          <w:szCs w:val="32"/>
        </w:rPr>
        <w:t>万元，占</w:t>
      </w:r>
      <w:r w:rsidR="00DE68B6">
        <w:rPr>
          <w:rFonts w:ascii="仿宋" w:eastAsia="仿宋" w:hAnsi="仿宋" w:hint="eastAsia"/>
          <w:sz w:val="32"/>
          <w:szCs w:val="32"/>
        </w:rPr>
        <w:t>2.7</w:t>
      </w:r>
      <w:r>
        <w:rPr>
          <w:rFonts w:ascii="仿宋" w:eastAsia="仿宋" w:hAnsi="仿宋"/>
          <w:sz w:val="32"/>
          <w:szCs w:val="32"/>
        </w:rPr>
        <w:t>%</w:t>
      </w:r>
      <w:r>
        <w:rPr>
          <w:rFonts w:ascii="仿宋" w:eastAsia="仿宋" w:hAnsi="仿宋" w:hint="eastAsia"/>
          <w:sz w:val="32"/>
          <w:szCs w:val="32"/>
        </w:rPr>
        <w:t>。</w:t>
      </w:r>
    </w:p>
    <w:p w:rsidR="00FD6FAF" w:rsidRDefault="002A0280" w:rsidP="000F0AB7">
      <w:pPr>
        <w:ind w:firstLineChars="200" w:firstLine="640"/>
        <w:rPr>
          <w:rFonts w:ascii="仿宋" w:eastAsia="仿宋" w:hAnsi="仿宋"/>
          <w:sz w:val="32"/>
          <w:szCs w:val="32"/>
        </w:rPr>
      </w:pPr>
      <w:r>
        <w:rPr>
          <w:rFonts w:ascii="仿宋" w:eastAsia="仿宋" w:hAnsi="仿宋" w:hint="eastAsia"/>
          <w:sz w:val="32"/>
          <w:szCs w:val="32"/>
        </w:rPr>
        <w:lastRenderedPageBreak/>
        <w:t>（图2：收入决算结构图）（饼状图）</w:t>
      </w:r>
    </w:p>
    <w:p w:rsidR="00FD6FAF" w:rsidRDefault="000F0AB7" w:rsidP="000F0AB7">
      <w:pPr>
        <w:ind w:firstLineChars="200" w:firstLine="640"/>
        <w:rPr>
          <w:rFonts w:ascii="仿宋_GB2312" w:eastAsia="仿宋_GB2312"/>
          <w:sz w:val="32"/>
          <w:szCs w:val="32"/>
        </w:rPr>
      </w:pPr>
      <w:r w:rsidRPr="000F0AB7">
        <w:rPr>
          <w:rFonts w:ascii="仿宋_GB2312" w:eastAsia="仿宋_GB2312"/>
          <w:noProof/>
          <w:sz w:val="32"/>
          <w:szCs w:val="32"/>
        </w:rPr>
        <w:drawing>
          <wp:inline distT="0" distB="0" distL="0" distR="0">
            <wp:extent cx="5274310" cy="3076575"/>
            <wp:effectExtent l="19050" t="0" r="21590" b="0"/>
            <wp:docPr id="1"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6FAF" w:rsidRDefault="002A0280">
      <w:pPr>
        <w:pStyle w:val="a9"/>
        <w:numPr>
          <w:ilvl w:val="0"/>
          <w:numId w:val="1"/>
        </w:numPr>
        <w:spacing w:line="600" w:lineRule="exact"/>
        <w:ind w:firstLineChars="0"/>
        <w:outlineLvl w:val="1"/>
        <w:rPr>
          <w:rStyle w:val="2Char"/>
          <w:rFonts w:ascii="黑体" w:eastAsia="黑体" w:hAnsi="黑体"/>
          <w:b w:val="0"/>
        </w:rPr>
      </w:pPr>
      <w:bookmarkStart w:id="23" w:name="_Toc15396605"/>
      <w:bookmarkStart w:id="24"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3"/>
      <w:bookmarkEnd w:id="24"/>
    </w:p>
    <w:p w:rsidR="00FD6FAF" w:rsidRPr="00827C60" w:rsidRDefault="002A0280" w:rsidP="00827C6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w:t>
      </w:r>
      <w:r w:rsidR="00444E88">
        <w:rPr>
          <w:rFonts w:ascii="仿宋" w:eastAsia="仿宋" w:hAnsi="仿宋" w:hint="eastAsia"/>
          <w:sz w:val="32"/>
          <w:szCs w:val="32"/>
        </w:rPr>
        <w:t>12,839.31</w:t>
      </w:r>
      <w:r>
        <w:rPr>
          <w:rFonts w:ascii="仿宋" w:eastAsia="仿宋" w:hAnsi="仿宋" w:hint="eastAsia"/>
          <w:sz w:val="32"/>
          <w:szCs w:val="32"/>
        </w:rPr>
        <w:t>万元，其中：基本支出</w:t>
      </w:r>
      <w:r w:rsidR="00444E88">
        <w:rPr>
          <w:rFonts w:ascii="仿宋" w:eastAsia="仿宋" w:hAnsi="仿宋" w:hint="eastAsia"/>
          <w:sz w:val="32"/>
          <w:szCs w:val="32"/>
        </w:rPr>
        <w:t>11,354.14</w:t>
      </w:r>
      <w:r>
        <w:rPr>
          <w:rFonts w:ascii="仿宋" w:eastAsia="仿宋" w:hAnsi="仿宋" w:hint="eastAsia"/>
          <w:sz w:val="32"/>
          <w:szCs w:val="32"/>
        </w:rPr>
        <w:t>万元，占</w:t>
      </w:r>
      <w:r w:rsidR="00444E88">
        <w:rPr>
          <w:rFonts w:ascii="仿宋" w:eastAsia="仿宋" w:hAnsi="仿宋" w:hint="eastAsia"/>
          <w:sz w:val="32"/>
          <w:szCs w:val="32"/>
        </w:rPr>
        <w:t>88.43</w:t>
      </w:r>
      <w:r>
        <w:rPr>
          <w:rFonts w:ascii="仿宋" w:eastAsia="仿宋" w:hAnsi="仿宋"/>
          <w:sz w:val="32"/>
          <w:szCs w:val="32"/>
        </w:rPr>
        <w:t>%</w:t>
      </w:r>
      <w:r>
        <w:rPr>
          <w:rFonts w:ascii="仿宋" w:eastAsia="仿宋" w:hAnsi="仿宋" w:hint="eastAsia"/>
          <w:sz w:val="32"/>
          <w:szCs w:val="32"/>
        </w:rPr>
        <w:t>；项目支出</w:t>
      </w:r>
      <w:r w:rsidR="00444E88">
        <w:rPr>
          <w:rFonts w:ascii="仿宋" w:eastAsia="仿宋" w:hAnsi="仿宋" w:hint="eastAsia"/>
          <w:sz w:val="32"/>
          <w:szCs w:val="32"/>
        </w:rPr>
        <w:t>1,485.17</w:t>
      </w:r>
      <w:r>
        <w:rPr>
          <w:rFonts w:ascii="仿宋" w:eastAsia="仿宋" w:hAnsi="仿宋" w:hint="eastAsia"/>
          <w:sz w:val="32"/>
          <w:szCs w:val="32"/>
        </w:rPr>
        <w:t>万元，占</w:t>
      </w:r>
      <w:r w:rsidR="00C8637E">
        <w:rPr>
          <w:rFonts w:ascii="仿宋" w:eastAsia="仿宋" w:hAnsi="仿宋" w:hint="eastAsia"/>
          <w:sz w:val="32"/>
          <w:szCs w:val="32"/>
        </w:rPr>
        <w:t>11.57</w:t>
      </w:r>
      <w:r>
        <w:rPr>
          <w:rFonts w:ascii="仿宋" w:eastAsia="仿宋" w:hAnsi="仿宋"/>
          <w:sz w:val="32"/>
          <w:szCs w:val="32"/>
        </w:rPr>
        <w:t>%</w:t>
      </w:r>
      <w:r>
        <w:rPr>
          <w:rFonts w:ascii="仿宋" w:eastAsia="仿宋" w:hAnsi="仿宋" w:hint="eastAsia"/>
          <w:sz w:val="32"/>
          <w:szCs w:val="32"/>
        </w:rPr>
        <w:t>；上缴上级支出</w:t>
      </w:r>
      <w:r w:rsidR="00444E88">
        <w:rPr>
          <w:rFonts w:ascii="仿宋" w:eastAsia="仿宋" w:hAnsi="仿宋" w:hint="eastAsia"/>
          <w:sz w:val="32"/>
          <w:szCs w:val="32"/>
        </w:rPr>
        <w:t>0</w:t>
      </w:r>
      <w:r>
        <w:rPr>
          <w:rFonts w:ascii="仿宋" w:eastAsia="仿宋" w:hAnsi="仿宋" w:hint="eastAsia"/>
          <w:sz w:val="32"/>
          <w:szCs w:val="32"/>
        </w:rPr>
        <w:t>万元，占</w:t>
      </w:r>
      <w:r w:rsidR="00712E83">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sidR="00444E88">
        <w:rPr>
          <w:rFonts w:ascii="仿宋" w:eastAsia="仿宋" w:hAnsi="仿宋" w:hint="eastAsia"/>
          <w:sz w:val="32"/>
          <w:szCs w:val="32"/>
        </w:rPr>
        <w:t>0</w:t>
      </w:r>
      <w:r>
        <w:rPr>
          <w:rFonts w:ascii="仿宋" w:eastAsia="仿宋" w:hAnsi="仿宋" w:hint="eastAsia"/>
          <w:sz w:val="32"/>
          <w:szCs w:val="32"/>
        </w:rPr>
        <w:t>万元，占</w:t>
      </w:r>
      <w:r w:rsidR="00712E83">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sidR="00444E88">
        <w:rPr>
          <w:rFonts w:ascii="仿宋" w:eastAsia="仿宋" w:hAnsi="仿宋" w:hint="eastAsia"/>
          <w:sz w:val="32"/>
          <w:szCs w:val="32"/>
        </w:rPr>
        <w:t>0</w:t>
      </w:r>
      <w:r>
        <w:rPr>
          <w:rFonts w:ascii="仿宋" w:eastAsia="仿宋" w:hAnsi="仿宋" w:hint="eastAsia"/>
          <w:sz w:val="32"/>
          <w:szCs w:val="32"/>
        </w:rPr>
        <w:t>万元，占</w:t>
      </w:r>
      <w:r w:rsidR="00712E83">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FD6FAF" w:rsidRDefault="002A0280">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FD6FAF" w:rsidRDefault="00507D7B" w:rsidP="00507D7B">
      <w:pPr>
        <w:ind w:firstLineChars="200" w:firstLine="640"/>
        <w:rPr>
          <w:rFonts w:ascii="仿宋_GB2312" w:eastAsia="仿宋_GB2312"/>
          <w:sz w:val="32"/>
          <w:szCs w:val="32"/>
        </w:rPr>
      </w:pPr>
      <w:r w:rsidRPr="00507D7B">
        <w:rPr>
          <w:rFonts w:ascii="仿宋_GB2312" w:eastAsia="仿宋_GB2312" w:hint="eastAsia"/>
          <w:noProof/>
          <w:sz w:val="32"/>
          <w:szCs w:val="32"/>
        </w:rPr>
        <w:lastRenderedPageBreak/>
        <w:drawing>
          <wp:inline distT="0" distB="0" distL="0" distR="0">
            <wp:extent cx="5274310" cy="3076575"/>
            <wp:effectExtent l="19050" t="0" r="2159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6FAF" w:rsidRDefault="002A0280">
      <w:pPr>
        <w:spacing w:line="600" w:lineRule="exact"/>
        <w:ind w:firstLineChars="200" w:firstLine="640"/>
        <w:outlineLvl w:val="1"/>
        <w:rPr>
          <w:rStyle w:val="2Char"/>
          <w:rFonts w:ascii="黑体" w:eastAsia="黑体" w:hAnsi="黑体"/>
          <w:b w:val="0"/>
        </w:rPr>
      </w:pPr>
      <w:bookmarkStart w:id="25" w:name="_Toc15377208"/>
      <w:bookmarkStart w:id="26"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5"/>
      <w:bookmarkEnd w:id="26"/>
    </w:p>
    <w:p w:rsidR="00FD6FAF" w:rsidRDefault="002A0280" w:rsidP="003C4543">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w:t>
      </w:r>
      <w:r w:rsidR="009B2527">
        <w:rPr>
          <w:rFonts w:ascii="仿宋" w:eastAsia="仿宋" w:hAnsi="仿宋" w:hint="eastAsia"/>
          <w:sz w:val="32"/>
          <w:szCs w:val="32"/>
        </w:rPr>
        <w:t>12</w:t>
      </w:r>
      <w:r w:rsidR="00B77B48">
        <w:rPr>
          <w:rFonts w:ascii="仿宋" w:eastAsia="仿宋" w:hAnsi="仿宋" w:hint="eastAsia"/>
          <w:sz w:val="32"/>
          <w:szCs w:val="32"/>
        </w:rPr>
        <w:t>,</w:t>
      </w:r>
      <w:r w:rsidR="009B2527">
        <w:rPr>
          <w:rFonts w:ascii="仿宋" w:eastAsia="仿宋" w:hAnsi="仿宋" w:hint="eastAsia"/>
          <w:sz w:val="32"/>
          <w:szCs w:val="32"/>
        </w:rPr>
        <w:t>431.08</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20年相比，财政拨款收、支总计各增加</w:t>
      </w:r>
      <w:r w:rsidR="009B2527">
        <w:rPr>
          <w:rFonts w:ascii="仿宋" w:eastAsia="仿宋" w:hAnsi="仿宋" w:hint="eastAsia"/>
          <w:sz w:val="32"/>
          <w:szCs w:val="32"/>
        </w:rPr>
        <w:t>286.54</w:t>
      </w:r>
      <w:r>
        <w:rPr>
          <w:rFonts w:ascii="仿宋" w:eastAsia="仿宋" w:hAnsi="仿宋" w:hint="eastAsia"/>
          <w:sz w:val="32"/>
          <w:szCs w:val="32"/>
        </w:rPr>
        <w:t>万元，增长</w:t>
      </w:r>
      <w:r w:rsidR="009B2527">
        <w:rPr>
          <w:rFonts w:ascii="仿宋" w:eastAsia="仿宋" w:hAnsi="仿宋" w:hint="eastAsia"/>
          <w:sz w:val="32"/>
          <w:szCs w:val="32"/>
        </w:rPr>
        <w:t>2.36</w:t>
      </w:r>
      <w:r>
        <w:rPr>
          <w:rFonts w:ascii="仿宋" w:eastAsia="仿宋" w:hAnsi="仿宋"/>
          <w:sz w:val="32"/>
          <w:szCs w:val="32"/>
        </w:rPr>
        <w:t>%</w:t>
      </w:r>
      <w:r>
        <w:rPr>
          <w:rFonts w:ascii="仿宋" w:eastAsia="仿宋" w:hAnsi="仿宋" w:hint="eastAsia"/>
          <w:sz w:val="32"/>
          <w:szCs w:val="32"/>
        </w:rPr>
        <w:t>。主要变动原因是</w:t>
      </w:r>
      <w:r w:rsidR="009B2527">
        <w:rPr>
          <w:rFonts w:ascii="仿宋" w:eastAsia="仿宋" w:hAnsi="仿宋" w:hint="eastAsia"/>
          <w:sz w:val="32"/>
          <w:szCs w:val="32"/>
        </w:rPr>
        <w:t>人员增加导致的。</w:t>
      </w:r>
    </w:p>
    <w:p w:rsidR="00FD6FAF" w:rsidRDefault="002A0280">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FD6FAF" w:rsidRDefault="009B2527" w:rsidP="009B2527">
      <w:pPr>
        <w:ind w:firstLine="641"/>
        <w:rPr>
          <w:rFonts w:ascii="仿宋" w:eastAsia="仿宋" w:hAnsi="仿宋"/>
          <w:b/>
          <w:sz w:val="32"/>
          <w:szCs w:val="32"/>
        </w:rPr>
      </w:pPr>
      <w:r w:rsidRPr="009B2527">
        <w:rPr>
          <w:rFonts w:ascii="仿宋" w:eastAsia="仿宋" w:hAnsi="仿宋" w:hint="eastAsia"/>
          <w:b/>
          <w:noProof/>
          <w:sz w:val="32"/>
          <w:szCs w:val="32"/>
        </w:rPr>
        <w:drawing>
          <wp:inline distT="0" distB="0" distL="0" distR="0">
            <wp:extent cx="5274310" cy="3076575"/>
            <wp:effectExtent l="19050" t="0" r="2159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6FAF" w:rsidRDefault="002A0280">
      <w:pPr>
        <w:spacing w:line="600" w:lineRule="exact"/>
        <w:ind w:firstLineChars="200" w:firstLine="640"/>
        <w:outlineLvl w:val="1"/>
        <w:rPr>
          <w:rStyle w:val="2Char"/>
          <w:rFonts w:ascii="黑体" w:eastAsia="黑体" w:hAnsi="黑体"/>
          <w:b w:val="0"/>
        </w:rPr>
      </w:pPr>
      <w:bookmarkStart w:id="27" w:name="_Toc15396607"/>
      <w:bookmarkStart w:id="28"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rsidR="00FD6FAF" w:rsidRDefault="002A0280">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lastRenderedPageBreak/>
        <w:t>（一）一般公共预算财政拨款支出决算总体情况</w:t>
      </w:r>
      <w:bookmarkEnd w:id="29"/>
    </w:p>
    <w:p w:rsidR="00FD6FAF" w:rsidRDefault="002A0280" w:rsidP="003327E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E50D8D">
        <w:rPr>
          <w:rFonts w:ascii="仿宋" w:eastAsia="仿宋" w:hAnsi="仿宋" w:hint="eastAsia"/>
          <w:sz w:val="32"/>
          <w:szCs w:val="32"/>
        </w:rPr>
        <w:t>1</w:t>
      </w:r>
      <w:r w:rsidR="00E67A1E">
        <w:rPr>
          <w:rFonts w:ascii="仿宋" w:eastAsia="仿宋" w:hAnsi="仿宋" w:hint="eastAsia"/>
          <w:sz w:val="32"/>
          <w:szCs w:val="32"/>
        </w:rPr>
        <w:t>2</w:t>
      </w:r>
      <w:r w:rsidR="00B77B48">
        <w:rPr>
          <w:rFonts w:ascii="仿宋" w:eastAsia="仿宋" w:hAnsi="仿宋" w:hint="eastAsia"/>
          <w:sz w:val="32"/>
          <w:szCs w:val="32"/>
        </w:rPr>
        <w:t>,</w:t>
      </w:r>
      <w:r w:rsidR="00E67A1E">
        <w:rPr>
          <w:rFonts w:ascii="仿宋" w:eastAsia="仿宋" w:hAnsi="仿宋" w:hint="eastAsia"/>
          <w:sz w:val="32"/>
          <w:szCs w:val="32"/>
        </w:rPr>
        <w:t>053.08</w:t>
      </w:r>
      <w:r>
        <w:rPr>
          <w:rFonts w:ascii="仿宋" w:eastAsia="仿宋" w:hAnsi="仿宋" w:hint="eastAsia"/>
          <w:sz w:val="32"/>
          <w:szCs w:val="32"/>
        </w:rPr>
        <w:t>万元，占本年支出合计的</w:t>
      </w:r>
      <w:r w:rsidR="00E67A1E">
        <w:rPr>
          <w:rFonts w:ascii="仿宋" w:eastAsia="仿宋" w:hAnsi="仿宋" w:hint="eastAsia"/>
          <w:sz w:val="32"/>
          <w:szCs w:val="32"/>
        </w:rPr>
        <w:t>96.96</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sidR="00E67A1E">
        <w:rPr>
          <w:rFonts w:ascii="仿宋" w:eastAsia="仿宋" w:hAnsi="仿宋" w:hint="eastAsia"/>
          <w:sz w:val="32"/>
          <w:szCs w:val="32"/>
        </w:rPr>
        <w:t>年相比，一般公共预算财政拨款支出</w:t>
      </w:r>
      <w:r>
        <w:rPr>
          <w:rFonts w:ascii="仿宋" w:eastAsia="仿宋" w:hAnsi="仿宋" w:hint="eastAsia"/>
          <w:sz w:val="32"/>
          <w:szCs w:val="32"/>
        </w:rPr>
        <w:t>减少</w:t>
      </w:r>
      <w:r w:rsidR="00E67A1E">
        <w:rPr>
          <w:rFonts w:ascii="仿宋" w:eastAsia="仿宋" w:hAnsi="仿宋" w:hint="eastAsia"/>
          <w:sz w:val="32"/>
          <w:szCs w:val="32"/>
        </w:rPr>
        <w:t>71.05</w:t>
      </w:r>
      <w:r>
        <w:rPr>
          <w:rFonts w:ascii="仿宋" w:eastAsia="仿宋" w:hAnsi="仿宋" w:hint="eastAsia"/>
          <w:sz w:val="32"/>
          <w:szCs w:val="32"/>
        </w:rPr>
        <w:t>万元，下降</w:t>
      </w:r>
      <w:r w:rsidR="003327E0">
        <w:rPr>
          <w:rFonts w:ascii="仿宋" w:eastAsia="仿宋" w:hAnsi="仿宋" w:hint="eastAsia"/>
          <w:sz w:val="32"/>
          <w:szCs w:val="32"/>
        </w:rPr>
        <w:t>0.59</w:t>
      </w:r>
      <w:r>
        <w:rPr>
          <w:rFonts w:ascii="仿宋" w:eastAsia="仿宋" w:hAnsi="仿宋"/>
          <w:sz w:val="32"/>
          <w:szCs w:val="32"/>
        </w:rPr>
        <w:t>%</w:t>
      </w:r>
      <w:r>
        <w:rPr>
          <w:rFonts w:ascii="仿宋" w:eastAsia="仿宋" w:hAnsi="仿宋" w:hint="eastAsia"/>
          <w:sz w:val="32"/>
          <w:szCs w:val="32"/>
        </w:rPr>
        <w:t>。主要变动原因是</w:t>
      </w:r>
      <w:r w:rsidR="003327E0">
        <w:rPr>
          <w:rFonts w:ascii="仿宋" w:eastAsia="仿宋" w:hAnsi="仿宋" w:hint="eastAsia"/>
          <w:sz w:val="32"/>
          <w:szCs w:val="32"/>
        </w:rPr>
        <w:t>因为</w:t>
      </w:r>
      <w:r w:rsidR="00997A48">
        <w:rPr>
          <w:rFonts w:ascii="仿宋" w:eastAsia="仿宋" w:hAnsi="仿宋" w:hint="eastAsia"/>
          <w:sz w:val="32"/>
          <w:szCs w:val="32"/>
        </w:rPr>
        <w:t>实行中央、省、市的</w:t>
      </w:r>
      <w:r w:rsidR="00E96BE6">
        <w:rPr>
          <w:rFonts w:ascii="仿宋" w:eastAsia="仿宋" w:hAnsi="仿宋" w:hint="eastAsia"/>
          <w:sz w:val="32"/>
          <w:szCs w:val="32"/>
        </w:rPr>
        <w:t>厉行节约</w:t>
      </w:r>
      <w:r w:rsidR="00610B3C">
        <w:rPr>
          <w:rFonts w:ascii="仿宋" w:eastAsia="仿宋" w:hAnsi="仿宋" w:hint="eastAsia"/>
          <w:sz w:val="32"/>
          <w:szCs w:val="32"/>
        </w:rPr>
        <w:t>过紧日子</w:t>
      </w:r>
      <w:r w:rsidR="00997A48">
        <w:rPr>
          <w:rFonts w:ascii="仿宋" w:eastAsia="仿宋" w:hAnsi="仿宋" w:hint="eastAsia"/>
          <w:sz w:val="32"/>
          <w:szCs w:val="32"/>
        </w:rPr>
        <w:t>要求</w:t>
      </w:r>
      <w:r w:rsidR="00610B3C">
        <w:rPr>
          <w:rFonts w:ascii="仿宋" w:eastAsia="仿宋" w:hAnsi="仿宋" w:hint="eastAsia"/>
          <w:sz w:val="32"/>
          <w:szCs w:val="32"/>
        </w:rPr>
        <w:t>，</w:t>
      </w:r>
      <w:r w:rsidR="00997A48">
        <w:rPr>
          <w:rFonts w:ascii="仿宋" w:eastAsia="仿宋" w:hAnsi="仿宋" w:hint="eastAsia"/>
          <w:sz w:val="32"/>
          <w:szCs w:val="32"/>
        </w:rPr>
        <w:t>节约</w:t>
      </w:r>
      <w:r w:rsidR="003327E0">
        <w:rPr>
          <w:rFonts w:ascii="仿宋" w:eastAsia="仿宋" w:hAnsi="仿宋" w:hint="eastAsia"/>
          <w:sz w:val="32"/>
          <w:szCs w:val="32"/>
        </w:rPr>
        <w:t>开支</w:t>
      </w:r>
      <w:r w:rsidR="00E96BE6">
        <w:rPr>
          <w:rFonts w:ascii="仿宋" w:eastAsia="仿宋" w:hAnsi="仿宋" w:hint="eastAsia"/>
          <w:sz w:val="32"/>
          <w:szCs w:val="32"/>
        </w:rPr>
        <w:t>。</w:t>
      </w:r>
    </w:p>
    <w:p w:rsidR="00FD6FAF" w:rsidRDefault="002A0280">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FD6FAF" w:rsidRPr="003327E0" w:rsidRDefault="003327E0" w:rsidP="003327E0">
      <w:pPr>
        <w:ind w:firstLineChars="200" w:firstLine="640"/>
        <w:rPr>
          <w:rFonts w:ascii="仿宋" w:eastAsia="仿宋" w:hAnsi="仿宋"/>
          <w:sz w:val="32"/>
          <w:szCs w:val="32"/>
        </w:rPr>
      </w:pPr>
      <w:r w:rsidRPr="003327E0">
        <w:rPr>
          <w:rFonts w:ascii="仿宋" w:eastAsia="仿宋" w:hAnsi="仿宋" w:hint="eastAsia"/>
          <w:noProof/>
          <w:sz w:val="32"/>
          <w:szCs w:val="32"/>
        </w:rPr>
        <w:drawing>
          <wp:inline distT="0" distB="0" distL="0" distR="0">
            <wp:extent cx="4610100" cy="4695825"/>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6FAF" w:rsidRDefault="002A0280">
      <w:pPr>
        <w:spacing w:line="600" w:lineRule="exact"/>
        <w:ind w:firstLineChars="200" w:firstLine="643"/>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rsidR="00FD6FAF" w:rsidRPr="0033598D" w:rsidRDefault="002A0280" w:rsidP="0033598D">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B77B48">
        <w:rPr>
          <w:rFonts w:ascii="仿宋" w:eastAsia="仿宋" w:hAnsi="仿宋" w:hint="eastAsia"/>
          <w:sz w:val="32"/>
          <w:szCs w:val="32"/>
        </w:rPr>
        <w:t>12053.08</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sidR="00B77B48">
        <w:rPr>
          <w:rFonts w:ascii="仿宋" w:eastAsia="仿宋" w:hAnsi="仿宋" w:hint="eastAsia"/>
          <w:sz w:val="32"/>
          <w:szCs w:val="32"/>
        </w:rPr>
        <w:t>14</w:t>
      </w:r>
      <w:r>
        <w:rPr>
          <w:rFonts w:ascii="仿宋" w:eastAsia="仿宋" w:hAnsi="仿宋" w:hint="eastAsia"/>
          <w:sz w:val="32"/>
          <w:szCs w:val="32"/>
        </w:rPr>
        <w:t>万元，占</w:t>
      </w:r>
      <w:r w:rsidR="0052379E">
        <w:rPr>
          <w:rFonts w:ascii="仿宋" w:eastAsia="仿宋" w:hAnsi="仿宋" w:hint="eastAsia"/>
          <w:sz w:val="32"/>
          <w:szCs w:val="32"/>
        </w:rPr>
        <w:t>0.12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lastRenderedPageBreak/>
        <w:t>教育支出（类）</w:t>
      </w:r>
      <w:r w:rsidR="00B77B48">
        <w:rPr>
          <w:rFonts w:ascii="仿宋" w:eastAsia="仿宋" w:hAnsi="仿宋" w:hint="eastAsia"/>
          <w:sz w:val="32"/>
          <w:szCs w:val="32"/>
        </w:rPr>
        <w:t>10</w:t>
      </w:r>
      <w:r w:rsidR="0052379E">
        <w:rPr>
          <w:rFonts w:ascii="仿宋" w:eastAsia="仿宋" w:hAnsi="仿宋" w:hint="eastAsia"/>
          <w:sz w:val="32"/>
          <w:szCs w:val="32"/>
        </w:rPr>
        <w:t>,</w:t>
      </w:r>
      <w:r w:rsidR="00B77B48">
        <w:rPr>
          <w:rFonts w:ascii="仿宋" w:eastAsia="仿宋" w:hAnsi="仿宋" w:hint="eastAsia"/>
          <w:sz w:val="32"/>
          <w:szCs w:val="32"/>
        </w:rPr>
        <w:t>210.22</w:t>
      </w:r>
      <w:r>
        <w:rPr>
          <w:rFonts w:ascii="仿宋" w:eastAsia="仿宋" w:hAnsi="仿宋" w:hint="eastAsia"/>
          <w:sz w:val="32"/>
          <w:szCs w:val="32"/>
        </w:rPr>
        <w:t>万元，占</w:t>
      </w:r>
      <w:r w:rsidR="0052379E">
        <w:rPr>
          <w:rFonts w:ascii="仿宋" w:eastAsia="仿宋" w:hAnsi="仿宋" w:hint="eastAsia"/>
          <w:sz w:val="32"/>
          <w:szCs w:val="32"/>
        </w:rPr>
        <w:t>84.71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52379E">
        <w:rPr>
          <w:rFonts w:ascii="仿宋" w:eastAsia="仿宋" w:hAnsi="仿宋" w:hint="eastAsia"/>
          <w:sz w:val="32"/>
          <w:szCs w:val="32"/>
        </w:rPr>
        <w:t>1,009.78</w:t>
      </w:r>
      <w:r>
        <w:rPr>
          <w:rFonts w:ascii="仿宋" w:eastAsia="仿宋" w:hAnsi="仿宋" w:hint="eastAsia"/>
          <w:sz w:val="32"/>
          <w:szCs w:val="32"/>
        </w:rPr>
        <w:t>万元，占</w:t>
      </w:r>
      <w:r w:rsidR="0052379E">
        <w:rPr>
          <w:rFonts w:ascii="仿宋" w:eastAsia="仿宋" w:hAnsi="仿宋" w:hint="eastAsia"/>
          <w:sz w:val="32"/>
          <w:szCs w:val="32"/>
        </w:rPr>
        <w:t>8.38</w:t>
      </w:r>
      <w:r>
        <w:rPr>
          <w:rFonts w:ascii="仿宋" w:eastAsia="仿宋" w:hAnsi="仿宋"/>
          <w:sz w:val="32"/>
          <w:szCs w:val="32"/>
        </w:rPr>
        <w:t>%</w:t>
      </w:r>
      <w:r>
        <w:rPr>
          <w:rFonts w:ascii="仿宋" w:eastAsia="仿宋" w:hAnsi="仿宋" w:hint="eastAsia"/>
          <w:sz w:val="32"/>
          <w:szCs w:val="32"/>
        </w:rPr>
        <w:t>；住房保障支出</w:t>
      </w:r>
      <w:r w:rsidR="0052379E">
        <w:rPr>
          <w:rFonts w:ascii="仿宋" w:eastAsia="仿宋" w:hAnsi="仿宋" w:hint="eastAsia"/>
          <w:sz w:val="32"/>
          <w:szCs w:val="32"/>
        </w:rPr>
        <w:t>819.08</w:t>
      </w:r>
      <w:r>
        <w:rPr>
          <w:rFonts w:ascii="仿宋" w:eastAsia="仿宋" w:hAnsi="仿宋" w:hint="eastAsia"/>
          <w:sz w:val="32"/>
          <w:szCs w:val="32"/>
        </w:rPr>
        <w:t>万元，占</w:t>
      </w:r>
      <w:r w:rsidR="0052379E">
        <w:rPr>
          <w:rFonts w:ascii="仿宋" w:eastAsia="仿宋" w:hAnsi="仿宋" w:hint="eastAsia"/>
          <w:sz w:val="32"/>
          <w:szCs w:val="32"/>
        </w:rPr>
        <w:t>6.79</w:t>
      </w:r>
      <w:r>
        <w:rPr>
          <w:rFonts w:ascii="仿宋" w:eastAsia="仿宋" w:hAnsi="仿宋"/>
          <w:sz w:val="32"/>
          <w:szCs w:val="32"/>
        </w:rPr>
        <w:t>%</w:t>
      </w:r>
      <w:r>
        <w:rPr>
          <w:rFonts w:ascii="仿宋" w:eastAsia="仿宋" w:hAnsi="仿宋" w:hint="eastAsia"/>
          <w:sz w:val="32"/>
          <w:szCs w:val="32"/>
        </w:rPr>
        <w:t>。</w:t>
      </w:r>
    </w:p>
    <w:p w:rsidR="00FD6FAF" w:rsidRDefault="002A0280">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FD6FAF" w:rsidRPr="0033598D" w:rsidRDefault="0033598D" w:rsidP="0033598D">
      <w:pPr>
        <w:ind w:firstLineChars="200" w:firstLine="640"/>
        <w:rPr>
          <w:rFonts w:ascii="仿宋" w:eastAsia="仿宋" w:hAnsi="仿宋"/>
          <w:sz w:val="32"/>
          <w:szCs w:val="32"/>
        </w:rPr>
      </w:pPr>
      <w:r w:rsidRPr="0033598D">
        <w:rPr>
          <w:rFonts w:ascii="仿宋" w:eastAsia="仿宋" w:hAnsi="仿宋" w:hint="eastAsia"/>
          <w:noProof/>
          <w:sz w:val="32"/>
          <w:szCs w:val="32"/>
        </w:rPr>
        <w:drawing>
          <wp:inline distT="0" distB="0" distL="0" distR="0">
            <wp:extent cx="4867275" cy="4419600"/>
            <wp:effectExtent l="1905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6FAF" w:rsidRDefault="002A0280">
      <w:pPr>
        <w:spacing w:line="60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t>（三）一般公共预算财政拨款支出决算具体情况</w:t>
      </w:r>
      <w:bookmarkEnd w:id="31"/>
    </w:p>
    <w:p w:rsidR="00FD6FAF" w:rsidRDefault="002A0280">
      <w:pPr>
        <w:spacing w:line="600" w:lineRule="exact"/>
        <w:ind w:firstLineChars="200" w:firstLine="643"/>
        <w:outlineLvl w:val="2"/>
        <w:rPr>
          <w:rFonts w:ascii="仿宋" w:eastAsia="仿宋" w:hAnsi="仿宋"/>
          <w:sz w:val="32"/>
          <w:szCs w:val="32"/>
        </w:rPr>
      </w:pPr>
      <w:bookmarkStart w:id="32" w:name="_Toc15378460"/>
      <w:bookmarkStart w:id="33" w:name="_Toc15377213"/>
      <w:bookmarkStart w:id="34" w:name="_Toc15377444"/>
      <w:r>
        <w:rPr>
          <w:rFonts w:ascii="仿宋" w:eastAsia="仿宋" w:hAnsi="仿宋" w:hint="eastAsia"/>
          <w:b/>
          <w:sz w:val="32"/>
          <w:szCs w:val="32"/>
        </w:rPr>
        <w:t>2021年一般公共预算支出决算数为</w:t>
      </w:r>
      <w:r w:rsidR="00FD3A14">
        <w:rPr>
          <w:rFonts w:ascii="仿宋" w:eastAsia="仿宋" w:hAnsi="仿宋" w:hint="eastAsia"/>
          <w:sz w:val="32"/>
          <w:szCs w:val="32"/>
        </w:rPr>
        <w:t>12</w:t>
      </w:r>
      <w:r w:rsidR="007F204A">
        <w:rPr>
          <w:rFonts w:ascii="仿宋" w:eastAsia="仿宋" w:hAnsi="仿宋" w:hint="eastAsia"/>
          <w:sz w:val="32"/>
          <w:szCs w:val="32"/>
        </w:rPr>
        <w:t>,</w:t>
      </w:r>
      <w:r w:rsidR="00FD3A14">
        <w:rPr>
          <w:rFonts w:ascii="仿宋" w:eastAsia="仿宋" w:hAnsi="仿宋" w:hint="eastAsia"/>
          <w:sz w:val="32"/>
          <w:szCs w:val="32"/>
        </w:rPr>
        <w:t>053.08万元</w:t>
      </w:r>
      <w:r>
        <w:rPr>
          <w:rFonts w:ascii="仿宋" w:eastAsia="仿宋" w:hAnsi="仿宋" w:hint="eastAsia"/>
          <w:sz w:val="32"/>
          <w:szCs w:val="32"/>
        </w:rPr>
        <w:t>，</w:t>
      </w:r>
      <w:r>
        <w:rPr>
          <w:rStyle w:val="a7"/>
          <w:rFonts w:ascii="仿宋" w:eastAsia="仿宋" w:hAnsi="仿宋" w:hint="eastAsia"/>
          <w:bCs/>
          <w:sz w:val="32"/>
          <w:szCs w:val="32"/>
        </w:rPr>
        <w:t>完成预算</w:t>
      </w:r>
      <w:r w:rsidR="00FD3A14">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2"/>
      <w:bookmarkEnd w:id="33"/>
      <w:bookmarkEnd w:id="34"/>
    </w:p>
    <w:p w:rsidR="00FD6FAF" w:rsidRDefault="002A0280">
      <w:pPr>
        <w:spacing w:line="600" w:lineRule="exact"/>
        <w:ind w:firstLineChars="200" w:firstLine="643"/>
        <w:rPr>
          <w:rFonts w:ascii="仿宋" w:eastAsia="仿宋" w:hAnsi="仿宋"/>
          <w:b/>
          <w:sz w:val="32"/>
          <w:szCs w:val="32"/>
        </w:rPr>
      </w:pPr>
      <w:r>
        <w:rPr>
          <w:rStyle w:val="a7"/>
          <w:rFonts w:ascii="仿宋" w:eastAsia="仿宋" w:hAnsi="仿宋"/>
          <w:bCs/>
          <w:sz w:val="32"/>
          <w:szCs w:val="32"/>
        </w:rPr>
        <w:t>1.</w:t>
      </w:r>
      <w:r>
        <w:rPr>
          <w:rStyle w:val="a7"/>
          <w:rFonts w:ascii="仿宋" w:eastAsia="仿宋" w:hAnsi="仿宋" w:hint="eastAsia"/>
          <w:bCs/>
          <w:sz w:val="32"/>
          <w:szCs w:val="32"/>
        </w:rPr>
        <w:t>一般公共服务（类）</w:t>
      </w:r>
      <w:r w:rsidR="005B35FF" w:rsidRPr="005B35FF">
        <w:rPr>
          <w:rStyle w:val="a7"/>
          <w:rFonts w:ascii="仿宋" w:eastAsia="仿宋" w:hAnsi="仿宋" w:hint="eastAsia"/>
          <w:bCs/>
          <w:sz w:val="32"/>
          <w:szCs w:val="32"/>
        </w:rPr>
        <w:t>组织事务</w:t>
      </w:r>
      <w:r>
        <w:rPr>
          <w:rStyle w:val="a7"/>
          <w:rFonts w:ascii="仿宋" w:eastAsia="仿宋" w:hAnsi="仿宋" w:hint="eastAsia"/>
          <w:bCs/>
          <w:sz w:val="32"/>
          <w:szCs w:val="32"/>
        </w:rPr>
        <w:t>（款）</w:t>
      </w:r>
      <w:r w:rsidR="005B35FF" w:rsidRPr="005B35FF">
        <w:rPr>
          <w:rStyle w:val="a7"/>
          <w:rFonts w:ascii="仿宋" w:eastAsia="仿宋" w:hAnsi="仿宋" w:hint="eastAsia"/>
          <w:bCs/>
          <w:sz w:val="32"/>
          <w:szCs w:val="32"/>
        </w:rPr>
        <w:t>其他组织事务支出</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5B35FF">
        <w:rPr>
          <w:rStyle w:val="a7"/>
          <w:rFonts w:ascii="仿宋" w:eastAsia="仿宋" w:hAnsi="仿宋" w:hint="eastAsia"/>
          <w:b w:val="0"/>
          <w:bCs/>
          <w:sz w:val="32"/>
          <w:szCs w:val="32"/>
        </w:rPr>
        <w:t>14</w:t>
      </w:r>
      <w:r>
        <w:rPr>
          <w:rStyle w:val="a7"/>
          <w:rFonts w:ascii="仿宋" w:eastAsia="仿宋" w:hAnsi="仿宋" w:hint="eastAsia"/>
          <w:b w:val="0"/>
          <w:bCs/>
          <w:sz w:val="32"/>
          <w:szCs w:val="32"/>
        </w:rPr>
        <w:t>万元，完成预算</w:t>
      </w:r>
      <w:r w:rsidR="005B35FF">
        <w:rPr>
          <w:rStyle w:val="a7"/>
          <w:rFonts w:ascii="仿宋" w:eastAsia="仿宋" w:hAnsi="仿宋" w:hint="eastAsia"/>
          <w:b w:val="0"/>
          <w:bCs/>
          <w:sz w:val="32"/>
          <w:szCs w:val="32"/>
        </w:rPr>
        <w:t>100</w:t>
      </w:r>
      <w:r>
        <w:rPr>
          <w:rStyle w:val="a7"/>
          <w:rFonts w:ascii="仿宋" w:eastAsia="仿宋" w:hAnsi="仿宋"/>
          <w:b w:val="0"/>
          <w:bCs/>
          <w:sz w:val="32"/>
          <w:szCs w:val="32"/>
        </w:rPr>
        <w:t>%</w:t>
      </w:r>
      <w:r w:rsidR="005B35FF">
        <w:rPr>
          <w:rStyle w:val="a7"/>
          <w:rFonts w:ascii="仿宋" w:eastAsia="仿宋" w:hAnsi="仿宋" w:hint="eastAsia"/>
          <w:b w:val="0"/>
          <w:bCs/>
          <w:sz w:val="32"/>
          <w:szCs w:val="32"/>
        </w:rPr>
        <w:t>，决算数</w:t>
      </w:r>
      <w:r>
        <w:rPr>
          <w:rStyle w:val="a7"/>
          <w:rFonts w:ascii="仿宋" w:eastAsia="仿宋" w:hAnsi="仿宋" w:hint="eastAsia"/>
          <w:b w:val="0"/>
          <w:bCs/>
          <w:sz w:val="32"/>
          <w:szCs w:val="32"/>
        </w:rPr>
        <w:t>等于预算数。</w:t>
      </w:r>
    </w:p>
    <w:p w:rsidR="00FD6FAF" w:rsidRDefault="002A0280">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2.</w:t>
      </w:r>
      <w:r>
        <w:rPr>
          <w:rStyle w:val="a7"/>
          <w:rFonts w:ascii="仿宋" w:eastAsia="仿宋" w:hAnsi="仿宋" w:hint="eastAsia"/>
          <w:bCs/>
          <w:sz w:val="32"/>
          <w:szCs w:val="32"/>
        </w:rPr>
        <w:t>教育</w:t>
      </w:r>
      <w:r w:rsidR="00630B01">
        <w:rPr>
          <w:rStyle w:val="a7"/>
          <w:rFonts w:ascii="仿宋" w:eastAsia="仿宋" w:hAnsi="仿宋" w:hint="eastAsia"/>
          <w:bCs/>
          <w:sz w:val="32"/>
          <w:szCs w:val="32"/>
        </w:rPr>
        <w:t>支出</w:t>
      </w:r>
      <w:r>
        <w:rPr>
          <w:rStyle w:val="a7"/>
          <w:rFonts w:ascii="仿宋" w:eastAsia="仿宋" w:hAnsi="仿宋" w:hint="eastAsia"/>
          <w:bCs/>
          <w:sz w:val="32"/>
          <w:szCs w:val="32"/>
        </w:rPr>
        <w:t>（类）</w:t>
      </w:r>
      <w:r w:rsidR="005B35FF">
        <w:rPr>
          <w:rStyle w:val="a7"/>
          <w:rFonts w:ascii="仿宋" w:eastAsia="仿宋" w:hAnsi="仿宋" w:hint="eastAsia"/>
          <w:bCs/>
          <w:sz w:val="32"/>
          <w:szCs w:val="32"/>
        </w:rPr>
        <w:t>教育管理事务</w:t>
      </w:r>
      <w:r>
        <w:rPr>
          <w:rStyle w:val="a7"/>
          <w:rFonts w:ascii="仿宋" w:eastAsia="仿宋" w:hAnsi="仿宋" w:hint="eastAsia"/>
          <w:bCs/>
          <w:sz w:val="32"/>
          <w:szCs w:val="32"/>
        </w:rPr>
        <w:t>（款）</w:t>
      </w:r>
      <w:r w:rsidR="005B35FF">
        <w:rPr>
          <w:rStyle w:val="a7"/>
          <w:rFonts w:ascii="仿宋" w:eastAsia="仿宋" w:hAnsi="仿宋" w:hint="eastAsia"/>
          <w:bCs/>
          <w:sz w:val="32"/>
          <w:szCs w:val="32"/>
        </w:rPr>
        <w:t>其他教育管理事</w:t>
      </w:r>
      <w:r w:rsidR="005B35FF">
        <w:rPr>
          <w:rStyle w:val="a7"/>
          <w:rFonts w:ascii="仿宋" w:eastAsia="仿宋" w:hAnsi="仿宋" w:hint="eastAsia"/>
          <w:bCs/>
          <w:sz w:val="32"/>
          <w:szCs w:val="32"/>
        </w:rPr>
        <w:lastRenderedPageBreak/>
        <w:t>务支出</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5B35FF">
        <w:rPr>
          <w:rStyle w:val="a7"/>
          <w:rFonts w:ascii="仿宋" w:eastAsia="仿宋" w:hAnsi="仿宋" w:hint="eastAsia"/>
          <w:b w:val="0"/>
          <w:bCs/>
          <w:sz w:val="32"/>
          <w:szCs w:val="32"/>
        </w:rPr>
        <w:t>2</w:t>
      </w:r>
      <w:r>
        <w:rPr>
          <w:rStyle w:val="a7"/>
          <w:rFonts w:ascii="仿宋" w:eastAsia="仿宋" w:hAnsi="仿宋" w:hint="eastAsia"/>
          <w:b w:val="0"/>
          <w:bCs/>
          <w:sz w:val="32"/>
          <w:szCs w:val="32"/>
        </w:rPr>
        <w:t>万元，完成预算</w:t>
      </w:r>
      <w:r w:rsidR="005B35FF">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334A21" w:rsidRDefault="00334A21" w:rsidP="00334A21">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3</w:t>
      </w:r>
      <w:r>
        <w:rPr>
          <w:rStyle w:val="a7"/>
          <w:rFonts w:ascii="仿宋" w:eastAsia="仿宋" w:hAnsi="仿宋"/>
          <w:bCs/>
          <w:sz w:val="32"/>
          <w:szCs w:val="32"/>
        </w:rPr>
        <w:t>.</w:t>
      </w:r>
      <w:r>
        <w:rPr>
          <w:rStyle w:val="a7"/>
          <w:rFonts w:ascii="仿宋" w:eastAsia="仿宋" w:hAnsi="仿宋" w:hint="eastAsia"/>
          <w:bCs/>
          <w:sz w:val="32"/>
          <w:szCs w:val="32"/>
        </w:rPr>
        <w:t>教育</w:t>
      </w:r>
      <w:r w:rsidR="00630B01">
        <w:rPr>
          <w:rStyle w:val="a7"/>
          <w:rFonts w:ascii="仿宋" w:eastAsia="仿宋" w:hAnsi="仿宋" w:hint="eastAsia"/>
          <w:bCs/>
          <w:sz w:val="32"/>
          <w:szCs w:val="32"/>
        </w:rPr>
        <w:t>支出</w:t>
      </w:r>
      <w:r>
        <w:rPr>
          <w:rStyle w:val="a7"/>
          <w:rFonts w:ascii="仿宋" w:eastAsia="仿宋" w:hAnsi="仿宋" w:hint="eastAsia"/>
          <w:bCs/>
          <w:sz w:val="32"/>
          <w:szCs w:val="32"/>
        </w:rPr>
        <w:t>（类）普通教育（款）小学教育（项）</w:t>
      </w:r>
      <w:r>
        <w:rPr>
          <w:rStyle w:val="a7"/>
          <w:rFonts w:ascii="仿宋" w:eastAsia="仿宋" w:hAnsi="仿宋"/>
          <w:bCs/>
          <w:sz w:val="32"/>
          <w:szCs w:val="32"/>
        </w:rPr>
        <w:t>:</w:t>
      </w:r>
      <w:r>
        <w:rPr>
          <w:rStyle w:val="a7"/>
          <w:rFonts w:ascii="仿宋" w:eastAsia="仿宋" w:hAnsi="仿宋" w:hint="eastAsia"/>
          <w:b w:val="0"/>
          <w:bCs/>
          <w:sz w:val="32"/>
          <w:szCs w:val="32"/>
        </w:rPr>
        <w:t>支出决算为6.24万元，完成预算100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334A21" w:rsidRDefault="00334A21" w:rsidP="00334A21">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4</w:t>
      </w:r>
      <w:r>
        <w:rPr>
          <w:rStyle w:val="a7"/>
          <w:rFonts w:ascii="仿宋" w:eastAsia="仿宋" w:hAnsi="仿宋"/>
          <w:bCs/>
          <w:sz w:val="32"/>
          <w:szCs w:val="32"/>
        </w:rPr>
        <w:t>.</w:t>
      </w:r>
      <w:r>
        <w:rPr>
          <w:rStyle w:val="a7"/>
          <w:rFonts w:ascii="仿宋" w:eastAsia="仿宋" w:hAnsi="仿宋" w:hint="eastAsia"/>
          <w:bCs/>
          <w:sz w:val="32"/>
          <w:szCs w:val="32"/>
        </w:rPr>
        <w:t>教育</w:t>
      </w:r>
      <w:r w:rsidR="00630B01">
        <w:rPr>
          <w:rStyle w:val="a7"/>
          <w:rFonts w:ascii="仿宋" w:eastAsia="仿宋" w:hAnsi="仿宋" w:hint="eastAsia"/>
          <w:bCs/>
          <w:sz w:val="32"/>
          <w:szCs w:val="32"/>
        </w:rPr>
        <w:t>支出</w:t>
      </w:r>
      <w:r>
        <w:rPr>
          <w:rStyle w:val="a7"/>
          <w:rFonts w:ascii="仿宋" w:eastAsia="仿宋" w:hAnsi="仿宋" w:hint="eastAsia"/>
          <w:bCs/>
          <w:sz w:val="32"/>
          <w:szCs w:val="32"/>
        </w:rPr>
        <w:t>（类）普通教育（款）初中教育（项）</w:t>
      </w:r>
      <w:r>
        <w:rPr>
          <w:rStyle w:val="a7"/>
          <w:rFonts w:ascii="仿宋" w:eastAsia="仿宋" w:hAnsi="仿宋"/>
          <w:bCs/>
          <w:sz w:val="32"/>
          <w:szCs w:val="32"/>
        </w:rPr>
        <w:t>:</w:t>
      </w:r>
      <w:r>
        <w:rPr>
          <w:rStyle w:val="a7"/>
          <w:rFonts w:ascii="仿宋" w:eastAsia="仿宋" w:hAnsi="仿宋" w:hint="eastAsia"/>
          <w:b w:val="0"/>
          <w:bCs/>
          <w:sz w:val="32"/>
          <w:szCs w:val="32"/>
        </w:rPr>
        <w:t>支出决算为120.39万元，完成预算100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334A21" w:rsidRDefault="00334A21" w:rsidP="00334A21">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5</w:t>
      </w:r>
      <w:r>
        <w:rPr>
          <w:rStyle w:val="a7"/>
          <w:rFonts w:ascii="仿宋" w:eastAsia="仿宋" w:hAnsi="仿宋"/>
          <w:bCs/>
          <w:sz w:val="32"/>
          <w:szCs w:val="32"/>
        </w:rPr>
        <w:t>.</w:t>
      </w:r>
      <w:r>
        <w:rPr>
          <w:rStyle w:val="a7"/>
          <w:rFonts w:ascii="仿宋" w:eastAsia="仿宋" w:hAnsi="仿宋" w:hint="eastAsia"/>
          <w:bCs/>
          <w:sz w:val="32"/>
          <w:szCs w:val="32"/>
        </w:rPr>
        <w:t>教育</w:t>
      </w:r>
      <w:r w:rsidR="00630B01">
        <w:rPr>
          <w:rStyle w:val="a7"/>
          <w:rFonts w:ascii="仿宋" w:eastAsia="仿宋" w:hAnsi="仿宋" w:hint="eastAsia"/>
          <w:bCs/>
          <w:sz w:val="32"/>
          <w:szCs w:val="32"/>
        </w:rPr>
        <w:t>支出</w:t>
      </w:r>
      <w:r>
        <w:rPr>
          <w:rStyle w:val="a7"/>
          <w:rFonts w:ascii="仿宋" w:eastAsia="仿宋" w:hAnsi="仿宋" w:hint="eastAsia"/>
          <w:bCs/>
          <w:sz w:val="32"/>
          <w:szCs w:val="32"/>
        </w:rPr>
        <w:t>（类）普通教育（款）高中教育（项）</w:t>
      </w:r>
      <w:r>
        <w:rPr>
          <w:rStyle w:val="a7"/>
          <w:rFonts w:ascii="仿宋" w:eastAsia="仿宋" w:hAnsi="仿宋"/>
          <w:bCs/>
          <w:sz w:val="32"/>
          <w:szCs w:val="32"/>
        </w:rPr>
        <w:t>:</w:t>
      </w:r>
      <w:r>
        <w:rPr>
          <w:rStyle w:val="a7"/>
          <w:rFonts w:ascii="仿宋" w:eastAsia="仿宋" w:hAnsi="仿宋" w:hint="eastAsia"/>
          <w:b w:val="0"/>
          <w:bCs/>
          <w:sz w:val="32"/>
          <w:szCs w:val="32"/>
        </w:rPr>
        <w:t>支出决算为9,574.21万元，完成预算100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ED1777" w:rsidRPr="00ED1777" w:rsidRDefault="00334A21" w:rsidP="00ED1777">
      <w:pPr>
        <w:spacing w:line="600" w:lineRule="exact"/>
        <w:ind w:firstLineChars="200" w:firstLine="643"/>
        <w:rPr>
          <w:rFonts w:ascii="仿宋" w:eastAsia="仿宋" w:hAnsi="仿宋"/>
          <w:bCs/>
          <w:sz w:val="32"/>
          <w:szCs w:val="32"/>
        </w:rPr>
      </w:pPr>
      <w:r>
        <w:rPr>
          <w:rStyle w:val="a7"/>
          <w:rFonts w:ascii="仿宋" w:eastAsia="仿宋" w:hAnsi="仿宋" w:hint="eastAsia"/>
          <w:bCs/>
          <w:sz w:val="32"/>
          <w:szCs w:val="32"/>
        </w:rPr>
        <w:t>6</w:t>
      </w:r>
      <w:r>
        <w:rPr>
          <w:rStyle w:val="a7"/>
          <w:rFonts w:ascii="仿宋" w:eastAsia="仿宋" w:hAnsi="仿宋"/>
          <w:bCs/>
          <w:sz w:val="32"/>
          <w:szCs w:val="32"/>
        </w:rPr>
        <w:t>.</w:t>
      </w:r>
      <w:r>
        <w:rPr>
          <w:rStyle w:val="a7"/>
          <w:rFonts w:ascii="仿宋" w:eastAsia="仿宋" w:hAnsi="仿宋" w:hint="eastAsia"/>
          <w:bCs/>
          <w:sz w:val="32"/>
          <w:szCs w:val="32"/>
        </w:rPr>
        <w:t>教育</w:t>
      </w:r>
      <w:r w:rsidR="00630B01">
        <w:rPr>
          <w:rStyle w:val="a7"/>
          <w:rFonts w:ascii="仿宋" w:eastAsia="仿宋" w:hAnsi="仿宋" w:hint="eastAsia"/>
          <w:bCs/>
          <w:sz w:val="32"/>
          <w:szCs w:val="32"/>
        </w:rPr>
        <w:t>支出</w:t>
      </w:r>
      <w:r>
        <w:rPr>
          <w:rStyle w:val="a7"/>
          <w:rFonts w:ascii="仿宋" w:eastAsia="仿宋" w:hAnsi="仿宋" w:hint="eastAsia"/>
          <w:bCs/>
          <w:sz w:val="32"/>
          <w:szCs w:val="32"/>
        </w:rPr>
        <w:t>（类）</w:t>
      </w:r>
      <w:r w:rsidR="00ED1777">
        <w:rPr>
          <w:rStyle w:val="a7"/>
          <w:rFonts w:ascii="仿宋" w:eastAsia="仿宋" w:hAnsi="仿宋" w:hint="eastAsia"/>
          <w:bCs/>
          <w:sz w:val="32"/>
          <w:szCs w:val="32"/>
        </w:rPr>
        <w:t>教育费附加安排的支出</w:t>
      </w:r>
      <w:r>
        <w:rPr>
          <w:rStyle w:val="a7"/>
          <w:rFonts w:ascii="仿宋" w:eastAsia="仿宋" w:hAnsi="仿宋" w:hint="eastAsia"/>
          <w:bCs/>
          <w:sz w:val="32"/>
          <w:szCs w:val="32"/>
        </w:rPr>
        <w:t>（款）</w:t>
      </w:r>
      <w:r w:rsidR="00ED1777">
        <w:rPr>
          <w:rStyle w:val="a7"/>
          <w:rFonts w:ascii="仿宋" w:eastAsia="仿宋" w:hAnsi="仿宋" w:hint="eastAsia"/>
          <w:bCs/>
          <w:sz w:val="32"/>
          <w:szCs w:val="32"/>
        </w:rPr>
        <w:t>其他教育费附加安排的支出</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ED1777">
        <w:rPr>
          <w:rStyle w:val="a7"/>
          <w:rFonts w:ascii="仿宋" w:eastAsia="仿宋" w:hAnsi="仿宋" w:hint="eastAsia"/>
          <w:b w:val="0"/>
          <w:bCs/>
          <w:sz w:val="32"/>
          <w:szCs w:val="32"/>
        </w:rPr>
        <w:t>507.38</w:t>
      </w:r>
      <w:r>
        <w:rPr>
          <w:rStyle w:val="a7"/>
          <w:rFonts w:ascii="仿宋" w:eastAsia="仿宋" w:hAnsi="仿宋" w:hint="eastAsia"/>
          <w:b w:val="0"/>
          <w:bCs/>
          <w:sz w:val="32"/>
          <w:szCs w:val="32"/>
        </w:rPr>
        <w:t>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ED1777" w:rsidRPr="00ED1777" w:rsidRDefault="00ED1777" w:rsidP="00ED1777">
      <w:pPr>
        <w:spacing w:line="600" w:lineRule="exact"/>
        <w:ind w:firstLineChars="200" w:firstLine="643"/>
        <w:rPr>
          <w:rFonts w:ascii="仿宋" w:eastAsia="仿宋" w:hAnsi="仿宋"/>
          <w:bCs/>
          <w:sz w:val="32"/>
          <w:szCs w:val="32"/>
        </w:rPr>
      </w:pPr>
      <w:r>
        <w:rPr>
          <w:rStyle w:val="a7"/>
          <w:rFonts w:ascii="仿宋" w:eastAsia="仿宋" w:hAnsi="仿宋" w:hint="eastAsia"/>
          <w:bCs/>
          <w:sz w:val="32"/>
          <w:szCs w:val="32"/>
        </w:rPr>
        <w:t>7</w:t>
      </w:r>
      <w:r w:rsidR="002A0280">
        <w:rPr>
          <w:rStyle w:val="a7"/>
          <w:rFonts w:ascii="仿宋" w:eastAsia="仿宋" w:hAnsi="仿宋"/>
          <w:bCs/>
          <w:sz w:val="32"/>
          <w:szCs w:val="32"/>
        </w:rPr>
        <w:t>.</w:t>
      </w:r>
      <w:r w:rsidR="002A0280">
        <w:rPr>
          <w:rStyle w:val="a7"/>
          <w:rFonts w:ascii="仿宋" w:eastAsia="仿宋" w:hAnsi="仿宋" w:hint="eastAsia"/>
          <w:bCs/>
          <w:sz w:val="32"/>
          <w:szCs w:val="32"/>
        </w:rPr>
        <w:t>社会保障和就业</w:t>
      </w:r>
      <w:r w:rsidR="000B1907">
        <w:rPr>
          <w:rStyle w:val="a7"/>
          <w:rFonts w:ascii="仿宋" w:eastAsia="仿宋" w:hAnsi="仿宋" w:hint="eastAsia"/>
          <w:bCs/>
          <w:sz w:val="32"/>
          <w:szCs w:val="32"/>
        </w:rPr>
        <w:t>支出</w:t>
      </w:r>
      <w:r w:rsidR="002A0280">
        <w:rPr>
          <w:rStyle w:val="a7"/>
          <w:rFonts w:ascii="仿宋" w:eastAsia="仿宋" w:hAnsi="仿宋" w:hint="eastAsia"/>
          <w:bCs/>
          <w:sz w:val="32"/>
          <w:szCs w:val="32"/>
        </w:rPr>
        <w:t>（类）</w:t>
      </w:r>
      <w:r>
        <w:rPr>
          <w:rStyle w:val="a7"/>
          <w:rFonts w:ascii="仿宋" w:eastAsia="仿宋" w:hAnsi="仿宋" w:hint="eastAsia"/>
          <w:bCs/>
          <w:sz w:val="32"/>
          <w:szCs w:val="32"/>
        </w:rPr>
        <w:t>人力资源和社会保障管理事务</w:t>
      </w:r>
      <w:r w:rsidR="002A0280">
        <w:rPr>
          <w:rStyle w:val="a7"/>
          <w:rFonts w:ascii="仿宋" w:eastAsia="仿宋" w:hAnsi="仿宋" w:hint="eastAsia"/>
          <w:bCs/>
          <w:sz w:val="32"/>
          <w:szCs w:val="32"/>
        </w:rPr>
        <w:t>（款）</w:t>
      </w:r>
      <w:r>
        <w:rPr>
          <w:rStyle w:val="a7"/>
          <w:rFonts w:ascii="仿宋" w:eastAsia="仿宋" w:hAnsi="仿宋" w:hint="eastAsia"/>
          <w:bCs/>
          <w:sz w:val="32"/>
          <w:szCs w:val="32"/>
        </w:rPr>
        <w:t>其他人力资源和社会保障管理事务</w:t>
      </w:r>
      <w:r w:rsidR="000B1907">
        <w:rPr>
          <w:rStyle w:val="a7"/>
          <w:rFonts w:ascii="仿宋" w:eastAsia="仿宋" w:hAnsi="仿宋" w:hint="eastAsia"/>
          <w:bCs/>
          <w:sz w:val="32"/>
          <w:szCs w:val="32"/>
        </w:rPr>
        <w:t>支出</w:t>
      </w:r>
      <w:r w:rsidR="002A0280">
        <w:rPr>
          <w:rStyle w:val="a7"/>
          <w:rFonts w:ascii="仿宋" w:eastAsia="仿宋" w:hAnsi="仿宋" w:hint="eastAsia"/>
          <w:bCs/>
          <w:sz w:val="32"/>
          <w:szCs w:val="32"/>
        </w:rPr>
        <w:t>（项）</w:t>
      </w:r>
      <w:r w:rsidR="002A0280">
        <w:rPr>
          <w:rStyle w:val="a7"/>
          <w:rFonts w:ascii="仿宋" w:eastAsia="仿宋" w:hAnsi="仿宋"/>
          <w:bCs/>
          <w:sz w:val="32"/>
          <w:szCs w:val="32"/>
        </w:rPr>
        <w:t>:</w:t>
      </w:r>
      <w:r w:rsidR="002A0280">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101.74</w:t>
      </w:r>
      <w:r w:rsidR="002A0280">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sidR="002A0280">
        <w:rPr>
          <w:rStyle w:val="a7"/>
          <w:rFonts w:ascii="仿宋" w:eastAsia="仿宋" w:hAnsi="仿宋"/>
          <w:b w:val="0"/>
          <w:bCs/>
          <w:sz w:val="32"/>
          <w:szCs w:val="32"/>
        </w:rPr>
        <w:t>%</w:t>
      </w:r>
      <w:r w:rsidR="002A0280">
        <w:rPr>
          <w:rStyle w:val="a7"/>
          <w:rFonts w:ascii="仿宋" w:eastAsia="仿宋" w:hAnsi="仿宋" w:hint="eastAsia"/>
          <w:b w:val="0"/>
          <w:bCs/>
          <w:sz w:val="32"/>
          <w:szCs w:val="32"/>
        </w:rPr>
        <w:t>，</w:t>
      </w:r>
      <w:r>
        <w:rPr>
          <w:rStyle w:val="a7"/>
          <w:rFonts w:ascii="仿宋" w:eastAsia="仿宋" w:hAnsi="仿宋" w:hint="eastAsia"/>
          <w:b w:val="0"/>
          <w:bCs/>
          <w:sz w:val="32"/>
          <w:szCs w:val="32"/>
        </w:rPr>
        <w:t>决算数等于预算数。</w:t>
      </w:r>
    </w:p>
    <w:p w:rsidR="00ED1777" w:rsidRPr="00ED1777" w:rsidRDefault="00ED1777" w:rsidP="00ED1777">
      <w:pPr>
        <w:spacing w:line="600" w:lineRule="exact"/>
        <w:ind w:firstLineChars="200" w:firstLine="643"/>
        <w:rPr>
          <w:rFonts w:ascii="仿宋" w:eastAsia="仿宋" w:hAnsi="仿宋"/>
          <w:bCs/>
          <w:sz w:val="32"/>
          <w:szCs w:val="32"/>
        </w:rPr>
      </w:pPr>
      <w:r>
        <w:rPr>
          <w:rStyle w:val="a7"/>
          <w:rFonts w:ascii="仿宋" w:eastAsia="仿宋" w:hAnsi="仿宋" w:hint="eastAsia"/>
          <w:bCs/>
          <w:sz w:val="32"/>
          <w:szCs w:val="32"/>
        </w:rPr>
        <w:t>8</w:t>
      </w:r>
      <w:r w:rsidR="002A0280">
        <w:rPr>
          <w:rStyle w:val="a7"/>
          <w:rFonts w:ascii="仿宋" w:eastAsia="仿宋" w:hAnsi="仿宋"/>
          <w:bCs/>
          <w:sz w:val="32"/>
          <w:szCs w:val="32"/>
        </w:rPr>
        <w:t>.</w:t>
      </w:r>
      <w:r w:rsidRPr="00ED1777">
        <w:rPr>
          <w:rStyle w:val="a7"/>
          <w:rFonts w:ascii="仿宋" w:eastAsia="仿宋" w:hAnsi="仿宋" w:hint="eastAsia"/>
          <w:bCs/>
          <w:sz w:val="32"/>
          <w:szCs w:val="32"/>
        </w:rPr>
        <w:t xml:space="preserve"> </w:t>
      </w:r>
      <w:r>
        <w:rPr>
          <w:rStyle w:val="a7"/>
          <w:rFonts w:ascii="仿宋" w:eastAsia="仿宋" w:hAnsi="仿宋" w:hint="eastAsia"/>
          <w:bCs/>
          <w:sz w:val="32"/>
          <w:szCs w:val="32"/>
        </w:rPr>
        <w:t>社会保障和就业</w:t>
      </w:r>
      <w:r w:rsidR="000B1907">
        <w:rPr>
          <w:rStyle w:val="a7"/>
          <w:rFonts w:ascii="仿宋" w:eastAsia="仿宋" w:hAnsi="仿宋" w:hint="eastAsia"/>
          <w:bCs/>
          <w:sz w:val="32"/>
          <w:szCs w:val="32"/>
        </w:rPr>
        <w:t>支出</w:t>
      </w:r>
      <w:r>
        <w:rPr>
          <w:rStyle w:val="a7"/>
          <w:rFonts w:ascii="仿宋" w:eastAsia="仿宋" w:hAnsi="仿宋" w:hint="eastAsia"/>
          <w:bCs/>
          <w:sz w:val="32"/>
          <w:szCs w:val="32"/>
        </w:rPr>
        <w:t>（类）行政事业单位养老支出（款）机关事业单位基本养老保险缴费支出（项）</w:t>
      </w:r>
      <w:r>
        <w:rPr>
          <w:rStyle w:val="a7"/>
          <w:rFonts w:ascii="仿宋" w:eastAsia="仿宋" w:hAnsi="仿宋"/>
          <w:bCs/>
          <w:sz w:val="32"/>
          <w:szCs w:val="32"/>
        </w:rPr>
        <w:t>:</w:t>
      </w:r>
      <w:r>
        <w:rPr>
          <w:rStyle w:val="a7"/>
          <w:rFonts w:ascii="仿宋" w:eastAsia="仿宋" w:hAnsi="仿宋" w:hint="eastAsia"/>
          <w:b w:val="0"/>
          <w:bCs/>
          <w:sz w:val="32"/>
          <w:szCs w:val="32"/>
        </w:rPr>
        <w:t>支出决算为902.55万元，完成预算100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ED1777" w:rsidRDefault="00ED1777" w:rsidP="00ED1777">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9</w:t>
      </w:r>
      <w:r>
        <w:rPr>
          <w:rStyle w:val="a7"/>
          <w:rFonts w:ascii="仿宋" w:eastAsia="仿宋" w:hAnsi="仿宋"/>
          <w:bCs/>
          <w:sz w:val="32"/>
          <w:szCs w:val="32"/>
        </w:rPr>
        <w:t>.</w:t>
      </w:r>
      <w:r w:rsidRPr="00ED1777">
        <w:rPr>
          <w:rStyle w:val="a7"/>
          <w:rFonts w:ascii="仿宋" w:eastAsia="仿宋" w:hAnsi="仿宋" w:hint="eastAsia"/>
          <w:bCs/>
          <w:sz w:val="32"/>
          <w:szCs w:val="32"/>
        </w:rPr>
        <w:t xml:space="preserve"> </w:t>
      </w:r>
      <w:r>
        <w:rPr>
          <w:rStyle w:val="a7"/>
          <w:rFonts w:ascii="仿宋" w:eastAsia="仿宋" w:hAnsi="仿宋" w:hint="eastAsia"/>
          <w:bCs/>
          <w:sz w:val="32"/>
          <w:szCs w:val="32"/>
        </w:rPr>
        <w:t>社会保障和就业（类）抚恤（款）死亡抚恤（项）</w:t>
      </w:r>
      <w:r>
        <w:rPr>
          <w:rStyle w:val="a7"/>
          <w:rFonts w:ascii="仿宋" w:eastAsia="仿宋" w:hAnsi="仿宋"/>
          <w:bCs/>
          <w:sz w:val="32"/>
          <w:szCs w:val="32"/>
        </w:rPr>
        <w:t>:</w:t>
      </w:r>
      <w:r>
        <w:rPr>
          <w:rStyle w:val="a7"/>
          <w:rFonts w:ascii="仿宋" w:eastAsia="仿宋" w:hAnsi="仿宋" w:hint="eastAsia"/>
          <w:b w:val="0"/>
          <w:bCs/>
          <w:sz w:val="32"/>
          <w:szCs w:val="32"/>
        </w:rPr>
        <w:t>支出决算为5.49万元，完成预算100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，决算数等于预算数。</w:t>
      </w:r>
    </w:p>
    <w:p w:rsidR="00ED1777" w:rsidRPr="00ED1777" w:rsidRDefault="00ED1777" w:rsidP="00ED1777">
      <w:pPr>
        <w:spacing w:line="600" w:lineRule="exact"/>
        <w:ind w:firstLineChars="200" w:firstLine="643"/>
        <w:rPr>
          <w:rFonts w:ascii="仿宋" w:eastAsia="仿宋" w:hAnsi="仿宋"/>
          <w:bCs/>
          <w:sz w:val="32"/>
          <w:szCs w:val="32"/>
        </w:rPr>
      </w:pPr>
      <w:r>
        <w:rPr>
          <w:rStyle w:val="a7"/>
          <w:rFonts w:ascii="仿宋" w:eastAsia="仿宋" w:hAnsi="仿宋" w:hint="eastAsia"/>
          <w:bCs/>
          <w:sz w:val="32"/>
          <w:szCs w:val="32"/>
        </w:rPr>
        <w:t>10</w:t>
      </w:r>
      <w:r>
        <w:rPr>
          <w:rStyle w:val="a7"/>
          <w:rFonts w:ascii="仿宋" w:eastAsia="仿宋" w:hAnsi="仿宋"/>
          <w:bCs/>
          <w:sz w:val="32"/>
          <w:szCs w:val="32"/>
        </w:rPr>
        <w:t>.</w:t>
      </w:r>
      <w:r w:rsidRPr="00ED1777">
        <w:rPr>
          <w:rStyle w:val="a7"/>
          <w:rFonts w:ascii="仿宋" w:eastAsia="仿宋" w:hAnsi="仿宋" w:hint="eastAsia"/>
          <w:bCs/>
          <w:sz w:val="32"/>
          <w:szCs w:val="32"/>
        </w:rPr>
        <w:t xml:space="preserve"> </w:t>
      </w:r>
      <w:r>
        <w:rPr>
          <w:rStyle w:val="a7"/>
          <w:rFonts w:ascii="仿宋" w:eastAsia="仿宋" w:hAnsi="仿宋" w:hint="eastAsia"/>
          <w:bCs/>
          <w:sz w:val="32"/>
          <w:szCs w:val="32"/>
        </w:rPr>
        <w:t>住房保障支出（类）住房改革支出（款）住房公积金（项）</w:t>
      </w:r>
      <w:r>
        <w:rPr>
          <w:rStyle w:val="a7"/>
          <w:rFonts w:ascii="仿宋" w:eastAsia="仿宋" w:hAnsi="仿宋"/>
          <w:bCs/>
          <w:sz w:val="32"/>
          <w:szCs w:val="32"/>
        </w:rPr>
        <w:t>:</w:t>
      </w:r>
      <w:r>
        <w:rPr>
          <w:rStyle w:val="a7"/>
          <w:rFonts w:ascii="仿宋" w:eastAsia="仿宋" w:hAnsi="仿宋" w:hint="eastAsia"/>
          <w:b w:val="0"/>
          <w:bCs/>
          <w:sz w:val="32"/>
          <w:szCs w:val="32"/>
        </w:rPr>
        <w:t>支出决算为819.08万元，完成预算100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，决算数</w:t>
      </w:r>
      <w:r>
        <w:rPr>
          <w:rStyle w:val="a7"/>
          <w:rFonts w:ascii="仿宋" w:eastAsia="仿宋" w:hAnsi="仿宋" w:hint="eastAsia"/>
          <w:b w:val="0"/>
          <w:bCs/>
          <w:sz w:val="32"/>
          <w:szCs w:val="32"/>
        </w:rPr>
        <w:lastRenderedPageBreak/>
        <w:t>等于预算数。</w:t>
      </w:r>
    </w:p>
    <w:p w:rsidR="00FD6FAF" w:rsidRDefault="002A0280">
      <w:pPr>
        <w:tabs>
          <w:tab w:val="right" w:pos="8306"/>
        </w:tabs>
        <w:spacing w:line="600" w:lineRule="exact"/>
        <w:ind w:firstLine="640"/>
        <w:outlineLvl w:val="1"/>
        <w:rPr>
          <w:rStyle w:val="2Char"/>
        </w:rPr>
      </w:pPr>
      <w:bookmarkStart w:id="35" w:name="_Toc15396608"/>
      <w:bookmarkStart w:id="3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FD6FAF" w:rsidRDefault="002A028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sidR="00BF6B84">
        <w:rPr>
          <w:rFonts w:ascii="仿宋" w:eastAsia="仿宋" w:hAnsi="仿宋" w:hint="eastAsia"/>
          <w:sz w:val="32"/>
          <w:szCs w:val="32"/>
        </w:rPr>
        <w:t>1</w:t>
      </w:r>
      <w:r w:rsidR="00422C59">
        <w:rPr>
          <w:rFonts w:ascii="仿宋" w:eastAsia="仿宋" w:hAnsi="仿宋" w:hint="eastAsia"/>
          <w:sz w:val="32"/>
          <w:szCs w:val="32"/>
        </w:rPr>
        <w:t>1,276.36</w:t>
      </w:r>
      <w:r>
        <w:rPr>
          <w:rFonts w:ascii="仿宋" w:eastAsia="仿宋" w:hAnsi="仿宋" w:hint="eastAsia"/>
          <w:sz w:val="32"/>
          <w:szCs w:val="32"/>
        </w:rPr>
        <w:t>万元，其中：</w:t>
      </w:r>
    </w:p>
    <w:p w:rsidR="00FD6FAF" w:rsidRPr="007241A0" w:rsidRDefault="002A0280" w:rsidP="007241A0">
      <w:pPr>
        <w:spacing w:line="600" w:lineRule="exact"/>
        <w:ind w:firstLine="645"/>
        <w:rPr>
          <w:rFonts w:ascii="仿宋" w:eastAsia="仿宋" w:hAnsi="仿宋"/>
          <w:sz w:val="32"/>
          <w:szCs w:val="32"/>
        </w:rPr>
      </w:pPr>
      <w:r>
        <w:rPr>
          <w:rFonts w:ascii="仿宋" w:eastAsia="仿宋" w:hAnsi="仿宋" w:hint="eastAsia"/>
          <w:sz w:val="32"/>
          <w:szCs w:val="32"/>
        </w:rPr>
        <w:t>人员经费</w:t>
      </w:r>
      <w:r w:rsidR="00422C59">
        <w:rPr>
          <w:rFonts w:ascii="仿宋" w:eastAsia="仿宋" w:hAnsi="仿宋" w:hint="eastAsia"/>
          <w:sz w:val="32"/>
          <w:szCs w:val="32"/>
        </w:rPr>
        <w:t>10,726.95</w:t>
      </w:r>
      <w:r w:rsidR="00104A05">
        <w:rPr>
          <w:rFonts w:ascii="仿宋" w:eastAsia="仿宋" w:hAnsi="仿宋" w:hint="eastAsia"/>
          <w:sz w:val="32"/>
          <w:szCs w:val="32"/>
        </w:rPr>
        <w:t>万元，主要包括：基本工资、津贴补贴、</w:t>
      </w:r>
      <w:r>
        <w:rPr>
          <w:rFonts w:ascii="仿宋" w:eastAsia="仿宋" w:hAnsi="仿宋" w:hint="eastAsia"/>
          <w:sz w:val="32"/>
          <w:szCs w:val="32"/>
        </w:rPr>
        <w:t>绩效工资、机关事业单位基本养老保险缴费、</w:t>
      </w:r>
      <w:r w:rsidR="00104A05" w:rsidRPr="00104A05">
        <w:rPr>
          <w:rFonts w:ascii="仿宋" w:eastAsia="仿宋" w:hAnsi="仿宋" w:hint="eastAsia"/>
          <w:sz w:val="32"/>
          <w:szCs w:val="32"/>
        </w:rPr>
        <w:t>职工基本医疗保险缴费</w:t>
      </w:r>
      <w:r w:rsidR="00104A05">
        <w:rPr>
          <w:rFonts w:ascii="仿宋" w:eastAsia="仿宋" w:hAnsi="仿宋" w:hint="eastAsia"/>
          <w:sz w:val="32"/>
          <w:szCs w:val="32"/>
        </w:rPr>
        <w:t>、</w:t>
      </w:r>
      <w:r w:rsidR="00104A05" w:rsidRPr="00104A05">
        <w:rPr>
          <w:rFonts w:ascii="仿宋" w:eastAsia="仿宋" w:hAnsi="仿宋" w:hint="eastAsia"/>
          <w:sz w:val="32"/>
          <w:szCs w:val="32"/>
        </w:rPr>
        <w:t>公务员医疗补助缴费</w:t>
      </w:r>
      <w:r w:rsidR="00104A05">
        <w:rPr>
          <w:rFonts w:ascii="仿宋" w:eastAsia="仿宋" w:hAnsi="仿宋" w:hint="eastAsia"/>
          <w:sz w:val="32"/>
          <w:szCs w:val="32"/>
        </w:rPr>
        <w:t>、</w:t>
      </w:r>
      <w:r>
        <w:rPr>
          <w:rFonts w:ascii="仿宋" w:eastAsia="仿宋" w:hAnsi="仿宋" w:hint="eastAsia"/>
          <w:sz w:val="32"/>
          <w:szCs w:val="32"/>
        </w:rPr>
        <w:t>其他社会保障缴费、</w:t>
      </w:r>
      <w:r w:rsidR="00104A05">
        <w:rPr>
          <w:rFonts w:ascii="仿宋" w:eastAsia="仿宋" w:hAnsi="仿宋" w:hint="eastAsia"/>
          <w:sz w:val="32"/>
          <w:szCs w:val="32"/>
        </w:rPr>
        <w:t>住房公积金、</w:t>
      </w:r>
      <w:r>
        <w:rPr>
          <w:rFonts w:ascii="仿宋" w:eastAsia="仿宋" w:hAnsi="仿宋" w:hint="eastAsia"/>
          <w:sz w:val="32"/>
          <w:szCs w:val="32"/>
        </w:rPr>
        <w:t>其他工资福利支出、离休费、退休费、抚恤金、生活补助、其他对个人和家庭的补助支出等。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422C59">
        <w:rPr>
          <w:rFonts w:ascii="仿宋" w:eastAsia="仿宋" w:hAnsi="仿宋" w:hint="eastAsia"/>
          <w:sz w:val="32"/>
          <w:szCs w:val="32"/>
        </w:rPr>
        <w:t>549.41</w:t>
      </w:r>
      <w:r>
        <w:rPr>
          <w:rFonts w:ascii="仿宋" w:eastAsia="仿宋" w:hAnsi="仿宋" w:hint="eastAsia"/>
          <w:sz w:val="32"/>
          <w:szCs w:val="32"/>
        </w:rPr>
        <w:t>万元，主要包括：办公费、印刷费、</w:t>
      </w:r>
      <w:r w:rsidR="0028007A">
        <w:rPr>
          <w:rFonts w:ascii="仿宋" w:eastAsia="仿宋" w:hAnsi="仿宋" w:hint="eastAsia"/>
          <w:sz w:val="32"/>
          <w:szCs w:val="32"/>
        </w:rPr>
        <w:t>水费、电费、邮电费、</w:t>
      </w:r>
      <w:r>
        <w:rPr>
          <w:rFonts w:ascii="仿宋" w:eastAsia="仿宋" w:hAnsi="仿宋" w:hint="eastAsia"/>
          <w:sz w:val="32"/>
          <w:szCs w:val="32"/>
        </w:rPr>
        <w:t>物业管理费、差旅费、维修（护）费、培训费、</w:t>
      </w:r>
      <w:r w:rsidR="00AB2C2B">
        <w:rPr>
          <w:rFonts w:ascii="仿宋" w:eastAsia="仿宋" w:hAnsi="仿宋" w:hint="eastAsia"/>
          <w:sz w:val="32"/>
          <w:szCs w:val="32"/>
        </w:rPr>
        <w:t>专用材料费、</w:t>
      </w:r>
      <w:r>
        <w:rPr>
          <w:rFonts w:ascii="仿宋" w:eastAsia="仿宋" w:hAnsi="仿宋" w:hint="eastAsia"/>
          <w:sz w:val="32"/>
          <w:szCs w:val="32"/>
        </w:rPr>
        <w:t>劳务费、工会经费、福利费、公务用车运行维护费、其他交通费、其他商品和服务支出、办公设备购置、专用设备购置、</w:t>
      </w:r>
      <w:r w:rsidR="00AB2C2B">
        <w:rPr>
          <w:rFonts w:ascii="仿宋" w:eastAsia="仿宋" w:hAnsi="仿宋" w:hint="eastAsia"/>
          <w:sz w:val="32"/>
          <w:szCs w:val="32"/>
        </w:rPr>
        <w:t>大型修缮、</w:t>
      </w:r>
      <w:r>
        <w:rPr>
          <w:rFonts w:ascii="仿宋" w:eastAsia="仿宋" w:hAnsi="仿宋" w:hint="eastAsia"/>
          <w:sz w:val="32"/>
          <w:szCs w:val="32"/>
        </w:rPr>
        <w:t>其他资本性支出等。</w:t>
      </w:r>
    </w:p>
    <w:p w:rsidR="00FD6FAF" w:rsidRDefault="002A0280">
      <w:pPr>
        <w:spacing w:line="600" w:lineRule="exact"/>
        <w:ind w:firstLine="640"/>
        <w:outlineLvl w:val="1"/>
        <w:rPr>
          <w:rStyle w:val="2Char"/>
          <w:rFonts w:ascii="黑体" w:eastAsia="黑体" w:hAnsi="黑体"/>
          <w:b w:val="0"/>
        </w:rPr>
      </w:pPr>
      <w:bookmarkStart w:id="37" w:name="_Toc15396609"/>
      <w:bookmarkStart w:id="38"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FD6FAF" w:rsidRDefault="002A0280">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FD6FAF" w:rsidRDefault="002A028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sidR="00C3431C">
        <w:rPr>
          <w:rFonts w:ascii="仿宋" w:eastAsia="仿宋" w:hAnsi="仿宋" w:hint="eastAsia"/>
          <w:sz w:val="32"/>
          <w:szCs w:val="32"/>
        </w:rPr>
        <w:t>1.39</w:t>
      </w:r>
      <w:r>
        <w:rPr>
          <w:rFonts w:ascii="仿宋" w:eastAsia="仿宋" w:hAnsi="仿宋" w:hint="eastAsia"/>
          <w:sz w:val="32"/>
          <w:szCs w:val="32"/>
        </w:rPr>
        <w:t>万元，完成预算</w:t>
      </w:r>
      <w:r w:rsidR="00C3431C">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，决算数与预算数持平。</w:t>
      </w:r>
      <w:r w:rsidR="007E6562">
        <w:rPr>
          <w:rFonts w:ascii="仿宋" w:eastAsia="仿宋" w:hAnsi="仿宋" w:hint="eastAsia"/>
          <w:sz w:val="32"/>
          <w:szCs w:val="32"/>
        </w:rPr>
        <w:t xml:space="preserve"> </w:t>
      </w:r>
    </w:p>
    <w:p w:rsidR="00FD6FAF" w:rsidRDefault="002A0280">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FD6FAF" w:rsidRDefault="002A028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w:t>
      </w:r>
      <w:r w:rsidR="007E6562">
        <w:rPr>
          <w:rFonts w:ascii="仿宋" w:eastAsia="仿宋" w:hAnsi="仿宋" w:hint="eastAsia"/>
          <w:sz w:val="32"/>
          <w:szCs w:val="32"/>
        </w:rPr>
        <w:t>0</w:t>
      </w:r>
      <w:r>
        <w:rPr>
          <w:rFonts w:ascii="仿宋" w:eastAsia="仿宋" w:hAnsi="仿宋" w:hint="eastAsia"/>
          <w:sz w:val="32"/>
          <w:szCs w:val="32"/>
        </w:rPr>
        <w:t>万元，占</w:t>
      </w:r>
      <w:r w:rsidR="007E6562">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7E6562">
        <w:rPr>
          <w:rFonts w:ascii="仿宋" w:eastAsia="仿宋" w:hAnsi="仿宋" w:hint="eastAsia"/>
          <w:sz w:val="32"/>
          <w:szCs w:val="32"/>
        </w:rPr>
        <w:t>1.39</w:t>
      </w:r>
      <w:r>
        <w:rPr>
          <w:rFonts w:ascii="仿宋" w:eastAsia="仿宋" w:hAnsi="仿宋" w:hint="eastAsia"/>
          <w:sz w:val="32"/>
          <w:szCs w:val="32"/>
        </w:rPr>
        <w:t>万元，占</w:t>
      </w:r>
      <w:r w:rsidR="007E6562">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；公务接待费支出决算</w:t>
      </w:r>
      <w:r w:rsidR="007E6562">
        <w:rPr>
          <w:rFonts w:ascii="仿宋" w:eastAsia="仿宋" w:hAnsi="仿宋" w:hint="eastAsia"/>
          <w:sz w:val="32"/>
          <w:szCs w:val="32"/>
        </w:rPr>
        <w:t>0</w:t>
      </w:r>
      <w:r>
        <w:rPr>
          <w:rFonts w:ascii="仿宋" w:eastAsia="仿宋" w:hAnsi="仿宋" w:hint="eastAsia"/>
          <w:sz w:val="32"/>
          <w:szCs w:val="32"/>
        </w:rPr>
        <w:t>万元，占</w:t>
      </w:r>
      <w:r w:rsidR="007E6562">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。具体情况如下：</w:t>
      </w:r>
    </w:p>
    <w:p w:rsidR="00FD6FAF" w:rsidRDefault="002A0280">
      <w:pPr>
        <w:spacing w:line="600" w:lineRule="exact"/>
        <w:ind w:firstLine="640"/>
        <w:rPr>
          <w:rFonts w:ascii="仿宋" w:eastAsia="仿宋" w:hAnsi="仿宋"/>
          <w:sz w:val="32"/>
          <w:szCs w:val="32"/>
        </w:rPr>
      </w:pPr>
      <w:r>
        <w:rPr>
          <w:rFonts w:ascii="仿宋" w:eastAsia="仿宋" w:hAnsi="仿宋" w:hint="eastAsia"/>
          <w:sz w:val="32"/>
          <w:szCs w:val="32"/>
        </w:rPr>
        <w:lastRenderedPageBreak/>
        <w:t>（图7：“三公”经费财政拨款支出结构）（饼状图）</w:t>
      </w:r>
    </w:p>
    <w:p w:rsidR="007E6562" w:rsidRPr="007E6562" w:rsidRDefault="007E6562" w:rsidP="007E6562">
      <w:pPr>
        <w:pStyle w:val="a0"/>
        <w:spacing w:before="93"/>
      </w:pPr>
      <w:r w:rsidRPr="007E6562">
        <w:rPr>
          <w:noProof/>
        </w:rPr>
        <w:drawing>
          <wp:inline distT="0" distB="0" distL="0" distR="0">
            <wp:extent cx="5095875" cy="3581400"/>
            <wp:effectExtent l="19050" t="0" r="9525"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6FAF" w:rsidRDefault="002A0280">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D80690">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D80690">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sidR="00D80690">
        <w:rPr>
          <w:rFonts w:ascii="仿宋_GB2312" w:eastAsia="仿宋_GB2312" w:hint="eastAsia"/>
          <w:sz w:val="32"/>
          <w:szCs w:val="32"/>
        </w:rPr>
        <w:t>0</w:t>
      </w:r>
      <w:r>
        <w:rPr>
          <w:rFonts w:ascii="仿宋_GB2312" w:eastAsia="仿宋_GB2312" w:hint="eastAsia"/>
          <w:sz w:val="32"/>
          <w:szCs w:val="32"/>
        </w:rPr>
        <w:t>次，出国（境）</w:t>
      </w:r>
      <w:r w:rsidR="00D80690">
        <w:rPr>
          <w:rFonts w:ascii="仿宋_GB2312" w:eastAsia="仿宋_GB2312" w:hint="eastAsia"/>
          <w:sz w:val="32"/>
          <w:szCs w:val="32"/>
        </w:rPr>
        <w:t>0人。因公出国（境）支出决算与</w:t>
      </w:r>
      <w:r>
        <w:rPr>
          <w:rFonts w:ascii="仿宋_GB2312" w:eastAsia="仿宋_GB2312"/>
          <w:sz w:val="32"/>
          <w:szCs w:val="32"/>
        </w:rPr>
        <w:t>20</w:t>
      </w:r>
      <w:r>
        <w:rPr>
          <w:rFonts w:ascii="仿宋_GB2312" w:eastAsia="仿宋_GB2312" w:hint="eastAsia"/>
          <w:sz w:val="32"/>
          <w:szCs w:val="32"/>
        </w:rPr>
        <w:t>20年</w:t>
      </w:r>
      <w:r w:rsidR="00D80690">
        <w:rPr>
          <w:rFonts w:ascii="仿宋_GB2312" w:eastAsia="仿宋_GB2312" w:hint="eastAsia"/>
          <w:color w:val="000000"/>
          <w:sz w:val="32"/>
          <w:szCs w:val="32"/>
        </w:rPr>
        <w:t>持平。</w:t>
      </w:r>
    </w:p>
    <w:p w:rsidR="00FD6FAF" w:rsidRDefault="002A0280">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856862">
        <w:rPr>
          <w:rFonts w:ascii="仿宋_GB2312" w:eastAsia="仿宋_GB2312" w:hint="eastAsia"/>
          <w:sz w:val="32"/>
          <w:szCs w:val="32"/>
        </w:rPr>
        <w:t>1.39</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856862">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20年减少</w:t>
      </w:r>
      <w:r w:rsidR="00856862">
        <w:rPr>
          <w:rFonts w:ascii="仿宋_GB2312" w:eastAsia="仿宋_GB2312" w:hint="eastAsia"/>
          <w:sz w:val="32"/>
          <w:szCs w:val="32"/>
        </w:rPr>
        <w:t>5.63</w:t>
      </w:r>
      <w:r>
        <w:rPr>
          <w:rFonts w:ascii="仿宋_GB2312" w:eastAsia="仿宋_GB2312" w:hint="eastAsia"/>
          <w:sz w:val="32"/>
          <w:szCs w:val="32"/>
        </w:rPr>
        <w:t>万元，下降</w:t>
      </w:r>
      <w:r w:rsidR="00856862">
        <w:rPr>
          <w:rFonts w:ascii="仿宋_GB2312" w:eastAsia="仿宋_GB2312" w:hint="eastAsia"/>
          <w:sz w:val="32"/>
          <w:szCs w:val="32"/>
        </w:rPr>
        <w:t>80.2</w:t>
      </w:r>
      <w:r>
        <w:rPr>
          <w:rFonts w:ascii="仿宋_GB2312" w:eastAsia="仿宋_GB2312"/>
          <w:sz w:val="32"/>
          <w:szCs w:val="32"/>
        </w:rPr>
        <w:t>%</w:t>
      </w:r>
      <w:r>
        <w:rPr>
          <w:rFonts w:ascii="仿宋_GB2312" w:eastAsia="仿宋_GB2312" w:hint="eastAsia"/>
          <w:sz w:val="32"/>
          <w:szCs w:val="32"/>
        </w:rPr>
        <w:t>。主要原因是</w:t>
      </w:r>
      <w:r w:rsidR="00856862">
        <w:rPr>
          <w:rFonts w:ascii="仿宋_GB2312" w:eastAsia="仿宋_GB2312" w:hint="eastAsia"/>
          <w:sz w:val="32"/>
          <w:szCs w:val="32"/>
        </w:rPr>
        <w:t>厉行节约，取消了两校区的通勤车，公务车维修</w:t>
      </w:r>
      <w:r w:rsidR="00185FDB">
        <w:rPr>
          <w:rFonts w:ascii="仿宋_GB2312" w:eastAsia="仿宋_GB2312" w:hint="eastAsia"/>
          <w:sz w:val="32"/>
          <w:szCs w:val="32"/>
        </w:rPr>
        <w:t>费</w:t>
      </w:r>
      <w:r w:rsidR="00856862">
        <w:rPr>
          <w:rFonts w:ascii="仿宋_GB2312" w:eastAsia="仿宋_GB2312" w:hint="eastAsia"/>
          <w:sz w:val="32"/>
          <w:szCs w:val="32"/>
        </w:rPr>
        <w:t>、油费等维护费</w:t>
      </w:r>
      <w:r w:rsidR="00185FDB">
        <w:rPr>
          <w:rFonts w:ascii="仿宋_GB2312" w:eastAsia="仿宋_GB2312" w:hint="eastAsia"/>
          <w:sz w:val="32"/>
          <w:szCs w:val="32"/>
        </w:rPr>
        <w:t>用</w:t>
      </w:r>
      <w:r w:rsidR="00856862">
        <w:rPr>
          <w:rFonts w:ascii="仿宋_GB2312" w:eastAsia="仿宋_GB2312" w:hint="eastAsia"/>
          <w:sz w:val="32"/>
          <w:szCs w:val="32"/>
        </w:rPr>
        <w:t>减少</w:t>
      </w:r>
      <w:r>
        <w:rPr>
          <w:rFonts w:ascii="仿宋_GB2312" w:eastAsia="仿宋_GB2312" w:hint="eastAsia"/>
          <w:sz w:val="32"/>
          <w:szCs w:val="32"/>
        </w:rPr>
        <w:t>。</w:t>
      </w:r>
    </w:p>
    <w:p w:rsidR="00FD6FAF" w:rsidRDefault="002A028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D80690">
        <w:rPr>
          <w:rFonts w:ascii="仿宋_GB2312" w:eastAsia="仿宋_GB2312" w:hint="eastAsia"/>
          <w:sz w:val="32"/>
          <w:szCs w:val="32"/>
        </w:rPr>
        <w:t>0</w:t>
      </w:r>
      <w:r>
        <w:rPr>
          <w:rFonts w:ascii="仿宋_GB2312" w:eastAsia="仿宋_GB2312" w:hint="eastAsia"/>
          <w:sz w:val="32"/>
          <w:szCs w:val="32"/>
        </w:rPr>
        <w:t>万元。全年按规定更新购置公务用车</w:t>
      </w:r>
      <w:r w:rsidR="00D80690">
        <w:rPr>
          <w:rFonts w:ascii="仿宋_GB2312" w:eastAsia="仿宋_GB2312" w:hint="eastAsia"/>
          <w:sz w:val="32"/>
          <w:szCs w:val="32"/>
        </w:rPr>
        <w:t>0</w:t>
      </w:r>
      <w:r>
        <w:rPr>
          <w:rFonts w:ascii="仿宋_GB2312" w:eastAsia="仿宋_GB2312" w:hint="eastAsia"/>
          <w:sz w:val="32"/>
          <w:szCs w:val="32"/>
        </w:rPr>
        <w:t>辆，其中：轿车</w:t>
      </w:r>
      <w:r w:rsidR="00D80690">
        <w:rPr>
          <w:rFonts w:ascii="仿宋_GB2312" w:eastAsia="仿宋_GB2312" w:hint="eastAsia"/>
          <w:sz w:val="32"/>
          <w:szCs w:val="32"/>
        </w:rPr>
        <w:t>0</w:t>
      </w:r>
      <w:r>
        <w:rPr>
          <w:rFonts w:ascii="仿宋_GB2312" w:eastAsia="仿宋_GB2312" w:hint="eastAsia"/>
          <w:sz w:val="32"/>
          <w:szCs w:val="32"/>
        </w:rPr>
        <w:t>辆、金额</w:t>
      </w:r>
      <w:r w:rsidR="00D80690">
        <w:rPr>
          <w:rFonts w:ascii="仿宋_GB2312" w:eastAsia="仿宋_GB2312" w:hint="eastAsia"/>
          <w:sz w:val="32"/>
          <w:szCs w:val="32"/>
        </w:rPr>
        <w:t>0</w:t>
      </w:r>
      <w:r>
        <w:rPr>
          <w:rFonts w:ascii="仿宋_GB2312" w:eastAsia="仿宋_GB2312" w:hint="eastAsia"/>
          <w:sz w:val="32"/>
          <w:szCs w:val="32"/>
        </w:rPr>
        <w:t>万元，越野车</w:t>
      </w:r>
      <w:r w:rsidR="00D80690">
        <w:rPr>
          <w:rFonts w:ascii="仿宋_GB2312" w:eastAsia="仿宋_GB2312" w:hint="eastAsia"/>
          <w:sz w:val="32"/>
          <w:szCs w:val="32"/>
        </w:rPr>
        <w:t>0</w:t>
      </w:r>
      <w:r>
        <w:rPr>
          <w:rFonts w:ascii="仿宋_GB2312" w:eastAsia="仿宋_GB2312" w:hint="eastAsia"/>
          <w:sz w:val="32"/>
          <w:szCs w:val="32"/>
        </w:rPr>
        <w:t>辆、金额</w:t>
      </w:r>
      <w:r w:rsidR="00D80690">
        <w:rPr>
          <w:rFonts w:ascii="仿宋_GB2312" w:eastAsia="仿宋_GB2312" w:hint="eastAsia"/>
          <w:sz w:val="32"/>
          <w:szCs w:val="32"/>
        </w:rPr>
        <w:t>0</w:t>
      </w:r>
      <w:r>
        <w:rPr>
          <w:rFonts w:ascii="仿宋_GB2312" w:eastAsia="仿宋_GB2312" w:hint="eastAsia"/>
          <w:sz w:val="32"/>
          <w:szCs w:val="32"/>
        </w:rPr>
        <w:t>万元，载客汽车</w:t>
      </w:r>
      <w:r w:rsidR="00D80690">
        <w:rPr>
          <w:rFonts w:ascii="仿宋_GB2312" w:eastAsia="仿宋_GB2312" w:hint="eastAsia"/>
          <w:sz w:val="32"/>
          <w:szCs w:val="32"/>
        </w:rPr>
        <w:t>0</w:t>
      </w:r>
      <w:r>
        <w:rPr>
          <w:rFonts w:ascii="仿宋_GB2312" w:eastAsia="仿宋_GB2312" w:hint="eastAsia"/>
          <w:sz w:val="32"/>
          <w:szCs w:val="32"/>
        </w:rPr>
        <w:t>辆、金额</w:t>
      </w:r>
      <w:r w:rsidR="00D80690">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w:t>
      </w:r>
      <w:r w:rsidR="00D80690">
        <w:rPr>
          <w:rFonts w:ascii="仿宋_GB2312" w:eastAsia="仿宋_GB2312" w:hint="eastAsia"/>
          <w:sz w:val="32"/>
          <w:szCs w:val="32"/>
        </w:rPr>
        <w:t>3</w:t>
      </w:r>
      <w:r>
        <w:rPr>
          <w:rFonts w:ascii="仿宋_GB2312" w:eastAsia="仿宋_GB2312" w:hint="eastAsia"/>
          <w:sz w:val="32"/>
          <w:szCs w:val="32"/>
        </w:rPr>
        <w:t>辆，其中：轿车</w:t>
      </w:r>
      <w:r w:rsidR="00D80690">
        <w:rPr>
          <w:rFonts w:ascii="仿宋_GB2312" w:eastAsia="仿宋_GB2312" w:hint="eastAsia"/>
          <w:sz w:val="32"/>
          <w:szCs w:val="32"/>
        </w:rPr>
        <w:t>1</w:t>
      </w:r>
      <w:r>
        <w:rPr>
          <w:rFonts w:ascii="仿宋_GB2312" w:eastAsia="仿宋_GB2312" w:hint="eastAsia"/>
          <w:sz w:val="32"/>
          <w:szCs w:val="32"/>
        </w:rPr>
        <w:t>辆、越野车</w:t>
      </w:r>
      <w:r w:rsidR="00D80690">
        <w:rPr>
          <w:rFonts w:ascii="仿宋_GB2312" w:eastAsia="仿宋_GB2312" w:hint="eastAsia"/>
          <w:sz w:val="32"/>
          <w:szCs w:val="32"/>
        </w:rPr>
        <w:t>0</w:t>
      </w:r>
      <w:r>
        <w:rPr>
          <w:rFonts w:ascii="仿宋_GB2312" w:eastAsia="仿宋_GB2312" w:hint="eastAsia"/>
          <w:sz w:val="32"/>
          <w:szCs w:val="32"/>
        </w:rPr>
        <w:t>辆、载客汽车</w:t>
      </w:r>
      <w:r w:rsidR="00D80690">
        <w:rPr>
          <w:rFonts w:ascii="仿宋_GB2312" w:eastAsia="仿宋_GB2312" w:hint="eastAsia"/>
          <w:sz w:val="32"/>
          <w:szCs w:val="32"/>
        </w:rPr>
        <w:t>2</w:t>
      </w:r>
      <w:r>
        <w:rPr>
          <w:rFonts w:ascii="仿宋_GB2312" w:eastAsia="仿宋_GB2312" w:hint="eastAsia"/>
          <w:sz w:val="32"/>
          <w:szCs w:val="32"/>
        </w:rPr>
        <w:t>辆。</w:t>
      </w:r>
    </w:p>
    <w:p w:rsidR="00D80690" w:rsidRDefault="002A0280" w:rsidP="00D80690">
      <w:pPr>
        <w:spacing w:line="600" w:lineRule="exact"/>
        <w:ind w:firstLine="640"/>
        <w:rPr>
          <w:rFonts w:ascii="仿宋_GB2312" w:eastAsia="仿宋_GB2312"/>
          <w:color w:val="000000"/>
          <w:sz w:val="32"/>
          <w:szCs w:val="32"/>
        </w:rPr>
      </w:pPr>
      <w:r>
        <w:rPr>
          <w:rFonts w:ascii="仿宋_GB2312" w:eastAsia="仿宋_GB2312" w:hint="eastAsia"/>
          <w:b/>
          <w:sz w:val="32"/>
          <w:szCs w:val="32"/>
        </w:rPr>
        <w:lastRenderedPageBreak/>
        <w:t>公务用车运行维护费支出</w:t>
      </w:r>
      <w:r w:rsidR="00D80690">
        <w:rPr>
          <w:rFonts w:ascii="仿宋_GB2312" w:eastAsia="仿宋_GB2312" w:hint="eastAsia"/>
          <w:sz w:val="32"/>
          <w:szCs w:val="32"/>
        </w:rPr>
        <w:t>1.39</w:t>
      </w:r>
      <w:r>
        <w:rPr>
          <w:rFonts w:ascii="仿宋_GB2312" w:eastAsia="仿宋_GB2312" w:hint="eastAsia"/>
          <w:sz w:val="32"/>
          <w:szCs w:val="32"/>
        </w:rPr>
        <w:t>万元。</w:t>
      </w:r>
      <w:r w:rsidR="00D80690">
        <w:rPr>
          <w:rFonts w:ascii="仿宋_GB2312" w:eastAsia="仿宋_GB2312" w:hint="eastAsia"/>
          <w:color w:val="000000"/>
          <w:sz w:val="32"/>
          <w:szCs w:val="32"/>
        </w:rPr>
        <w:t>主要用于教研教学教研活动等所需的公务用车燃料费、维修费、过路过桥费、保险费等支出。</w:t>
      </w:r>
    </w:p>
    <w:p w:rsidR="00FD6FAF" w:rsidRDefault="002A028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D80690">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D80690">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w:t>
      </w:r>
      <w:r w:rsidR="00D80690">
        <w:rPr>
          <w:rFonts w:ascii="仿宋_GB2312" w:eastAsia="仿宋_GB2312" w:hint="eastAsia"/>
          <w:sz w:val="32"/>
          <w:szCs w:val="32"/>
        </w:rPr>
        <w:t>0.12</w:t>
      </w:r>
      <w:r>
        <w:rPr>
          <w:rFonts w:ascii="仿宋_GB2312" w:eastAsia="仿宋_GB2312" w:hint="eastAsia"/>
          <w:sz w:val="32"/>
          <w:szCs w:val="32"/>
        </w:rPr>
        <w:t>万元，下降</w:t>
      </w:r>
      <w:r w:rsidR="00D80690">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。主要原因是</w:t>
      </w:r>
      <w:r w:rsidR="00D80690">
        <w:rPr>
          <w:rFonts w:ascii="仿宋_GB2312" w:eastAsia="仿宋_GB2312" w:hint="eastAsia"/>
          <w:sz w:val="32"/>
          <w:szCs w:val="32"/>
        </w:rPr>
        <w:t>2021年没有接待事务发生</w:t>
      </w:r>
      <w:r>
        <w:rPr>
          <w:rFonts w:ascii="仿宋_GB2312" w:eastAsia="仿宋_GB2312" w:hint="eastAsia"/>
          <w:sz w:val="32"/>
          <w:szCs w:val="32"/>
        </w:rPr>
        <w:t>。其中：</w:t>
      </w:r>
    </w:p>
    <w:p w:rsidR="00FD6FAF" w:rsidRDefault="002A028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sidR="00D80690">
        <w:rPr>
          <w:rFonts w:ascii="仿宋" w:eastAsia="仿宋" w:hAnsi="仿宋" w:hint="eastAsia"/>
          <w:sz w:val="32"/>
          <w:szCs w:val="32"/>
        </w:rPr>
        <w:t>0</w:t>
      </w:r>
      <w:r>
        <w:rPr>
          <w:rFonts w:ascii="仿宋_GB2312" w:eastAsia="仿宋_GB2312" w:hint="eastAsia"/>
          <w:sz w:val="32"/>
          <w:szCs w:val="32"/>
        </w:rPr>
        <w:t>万元，国内公务接待</w:t>
      </w:r>
      <w:r w:rsidR="00D80690">
        <w:rPr>
          <w:rFonts w:ascii="仿宋_GB2312" w:eastAsia="仿宋_GB2312" w:hint="eastAsia"/>
          <w:sz w:val="32"/>
          <w:szCs w:val="32"/>
        </w:rPr>
        <w:t>0</w:t>
      </w:r>
      <w:r>
        <w:rPr>
          <w:rFonts w:ascii="仿宋_GB2312" w:eastAsia="仿宋_GB2312" w:hint="eastAsia"/>
          <w:sz w:val="32"/>
          <w:szCs w:val="32"/>
        </w:rPr>
        <w:t>批次，</w:t>
      </w:r>
      <w:r w:rsidR="00D80690">
        <w:rPr>
          <w:rFonts w:ascii="仿宋_GB2312" w:eastAsia="仿宋_GB2312" w:hint="eastAsia"/>
          <w:sz w:val="32"/>
          <w:szCs w:val="32"/>
        </w:rPr>
        <w:t>0</w:t>
      </w:r>
      <w:r>
        <w:rPr>
          <w:rFonts w:ascii="仿宋_GB2312" w:eastAsia="仿宋_GB2312" w:hint="eastAsia"/>
          <w:sz w:val="32"/>
          <w:szCs w:val="32"/>
        </w:rPr>
        <w:t>人次（不包括陪同人员），共计支出</w:t>
      </w:r>
      <w:r w:rsidR="00D80690">
        <w:rPr>
          <w:rFonts w:ascii="仿宋_GB2312" w:eastAsia="仿宋_GB2312" w:hint="eastAsia"/>
          <w:sz w:val="32"/>
          <w:szCs w:val="32"/>
        </w:rPr>
        <w:t>0</w:t>
      </w:r>
      <w:r>
        <w:rPr>
          <w:rFonts w:ascii="仿宋_GB2312" w:eastAsia="仿宋_GB2312" w:hint="eastAsia"/>
          <w:sz w:val="32"/>
          <w:szCs w:val="32"/>
        </w:rPr>
        <w:t>万元。</w:t>
      </w:r>
    </w:p>
    <w:p w:rsidR="00FD6FAF" w:rsidRDefault="002A0280">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D80690">
        <w:rPr>
          <w:rFonts w:ascii="仿宋" w:eastAsia="仿宋" w:hAnsi="仿宋" w:hint="eastAsia"/>
          <w:sz w:val="32"/>
          <w:szCs w:val="32"/>
        </w:rPr>
        <w:t>0</w:t>
      </w:r>
      <w:r>
        <w:rPr>
          <w:rFonts w:ascii="仿宋_GB2312" w:eastAsia="仿宋_GB2312" w:hint="eastAsia"/>
          <w:sz w:val="32"/>
          <w:szCs w:val="32"/>
        </w:rPr>
        <w:t>万元，外事接待</w:t>
      </w:r>
      <w:r w:rsidR="00D80690">
        <w:rPr>
          <w:rFonts w:ascii="仿宋_GB2312" w:eastAsia="仿宋_GB2312" w:hint="eastAsia"/>
          <w:sz w:val="32"/>
          <w:szCs w:val="32"/>
        </w:rPr>
        <w:t>0</w:t>
      </w:r>
      <w:r>
        <w:rPr>
          <w:rFonts w:ascii="仿宋_GB2312" w:eastAsia="仿宋_GB2312" w:hint="eastAsia"/>
          <w:sz w:val="32"/>
          <w:szCs w:val="32"/>
        </w:rPr>
        <w:t>批次，</w:t>
      </w:r>
      <w:r w:rsidR="00D80690">
        <w:rPr>
          <w:rFonts w:ascii="仿宋_GB2312" w:eastAsia="仿宋_GB2312" w:hint="eastAsia"/>
          <w:sz w:val="32"/>
          <w:szCs w:val="32"/>
        </w:rPr>
        <w:t>0</w:t>
      </w:r>
      <w:r>
        <w:rPr>
          <w:rFonts w:ascii="仿宋_GB2312" w:eastAsia="仿宋_GB2312" w:hint="eastAsia"/>
          <w:sz w:val="32"/>
          <w:szCs w:val="32"/>
        </w:rPr>
        <w:t>人，共计支出</w:t>
      </w:r>
      <w:r w:rsidR="00D80690">
        <w:rPr>
          <w:rFonts w:ascii="仿宋_GB2312" w:eastAsia="仿宋_GB2312" w:hint="eastAsia"/>
          <w:sz w:val="32"/>
          <w:szCs w:val="32"/>
        </w:rPr>
        <w:t>0</w:t>
      </w:r>
      <w:r>
        <w:rPr>
          <w:rFonts w:ascii="仿宋_GB2312" w:eastAsia="仿宋_GB2312" w:hint="eastAsia"/>
          <w:sz w:val="32"/>
          <w:szCs w:val="32"/>
        </w:rPr>
        <w:t>万元。</w:t>
      </w:r>
    </w:p>
    <w:p w:rsidR="00FD6FAF" w:rsidRDefault="00FD6FAF">
      <w:pPr>
        <w:spacing w:line="600" w:lineRule="exact"/>
        <w:ind w:firstLine="640"/>
        <w:outlineLvl w:val="1"/>
        <w:rPr>
          <w:rFonts w:ascii="黑体" w:eastAsia="黑体"/>
          <w:sz w:val="32"/>
          <w:szCs w:val="32"/>
        </w:rPr>
      </w:pPr>
      <w:bookmarkStart w:id="41" w:name="_Toc15396610"/>
      <w:bookmarkStart w:id="42" w:name="_Toc15377218"/>
    </w:p>
    <w:p w:rsidR="00FD6FAF" w:rsidRDefault="002A0280">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FD6FAF" w:rsidRDefault="002A028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sidR="00000899">
        <w:rPr>
          <w:rFonts w:ascii="仿宋_GB2312" w:eastAsia="仿宋_GB2312" w:hint="eastAsia"/>
          <w:sz w:val="32"/>
          <w:szCs w:val="32"/>
        </w:rPr>
        <w:t>378</w:t>
      </w:r>
      <w:r>
        <w:rPr>
          <w:rFonts w:ascii="仿宋_GB2312" w:eastAsia="仿宋_GB2312" w:hint="eastAsia"/>
          <w:sz w:val="32"/>
          <w:szCs w:val="32"/>
        </w:rPr>
        <w:t>万元。</w:t>
      </w:r>
    </w:p>
    <w:p w:rsidR="00FD6FAF" w:rsidRDefault="00FD6FAF">
      <w:pPr>
        <w:spacing w:line="600" w:lineRule="exact"/>
        <w:ind w:firstLine="640"/>
        <w:rPr>
          <w:rFonts w:ascii="仿宋_GB2312" w:eastAsia="仿宋_GB2312"/>
          <w:sz w:val="32"/>
          <w:szCs w:val="32"/>
        </w:rPr>
      </w:pPr>
    </w:p>
    <w:p w:rsidR="00FD6FAF" w:rsidRDefault="002A0280">
      <w:pPr>
        <w:numPr>
          <w:ilvl w:val="0"/>
          <w:numId w:val="2"/>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FD6FAF" w:rsidRDefault="002A028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sidR="00000899">
        <w:rPr>
          <w:rFonts w:ascii="仿宋_GB2312" w:eastAsia="仿宋_GB2312" w:hint="eastAsia"/>
          <w:sz w:val="32"/>
          <w:szCs w:val="32"/>
        </w:rPr>
        <w:t>0</w:t>
      </w:r>
      <w:r>
        <w:rPr>
          <w:rFonts w:ascii="仿宋_GB2312" w:eastAsia="仿宋_GB2312" w:hint="eastAsia"/>
          <w:sz w:val="32"/>
          <w:szCs w:val="32"/>
        </w:rPr>
        <w:t>万元。</w:t>
      </w:r>
    </w:p>
    <w:p w:rsidR="00FD6FAF" w:rsidRDefault="00FD6FAF">
      <w:pPr>
        <w:spacing w:line="580" w:lineRule="exact"/>
        <w:jc w:val="center"/>
        <w:rPr>
          <w:rFonts w:ascii="方正小标宋简体" w:eastAsia="方正小标宋简体" w:hAnsi="方正小标宋简体" w:cs="方正小标宋简体"/>
          <w:sz w:val="44"/>
          <w:szCs w:val="44"/>
        </w:rPr>
      </w:pPr>
    </w:p>
    <w:p w:rsidR="00FD6FAF" w:rsidRDefault="002A0280">
      <w:pPr>
        <w:numPr>
          <w:ilvl w:val="0"/>
          <w:numId w:val="2"/>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rsidR="00FD6FAF" w:rsidRDefault="002A0280">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FD6FAF" w:rsidRPr="00C6433F" w:rsidRDefault="002A0280" w:rsidP="00C6433F">
      <w:pPr>
        <w:spacing w:line="600" w:lineRule="exact"/>
        <w:ind w:firstLineChars="200" w:firstLine="640"/>
        <w:rPr>
          <w:rFonts w:ascii="仿宋_GB2312"/>
        </w:rPr>
      </w:pPr>
      <w:r>
        <w:rPr>
          <w:rFonts w:ascii="仿宋_GB2312" w:eastAsia="仿宋_GB2312"/>
          <w:sz w:val="32"/>
          <w:szCs w:val="32"/>
        </w:rPr>
        <w:t>20</w:t>
      </w:r>
      <w:r>
        <w:rPr>
          <w:rFonts w:ascii="仿宋_GB2312" w:eastAsia="仿宋_GB2312" w:hint="eastAsia"/>
          <w:sz w:val="32"/>
          <w:szCs w:val="32"/>
        </w:rPr>
        <w:t>21年，</w:t>
      </w:r>
      <w:r w:rsidR="00000899">
        <w:rPr>
          <w:rFonts w:ascii="仿宋_GB2312" w:eastAsia="仿宋_GB2312" w:hint="eastAsia"/>
          <w:color w:val="000000"/>
          <w:sz w:val="32"/>
          <w:szCs w:val="32"/>
        </w:rPr>
        <w:t>攀枝花市第七高级中学校（攀枝花市民族中学）</w:t>
      </w:r>
      <w:r>
        <w:rPr>
          <w:rFonts w:ascii="仿宋_GB2312" w:eastAsia="仿宋_GB2312" w:hint="eastAsia"/>
          <w:sz w:val="32"/>
          <w:szCs w:val="32"/>
        </w:rPr>
        <w:t>机关运行经费支出</w:t>
      </w:r>
      <w:r w:rsidR="00000899">
        <w:rPr>
          <w:rFonts w:ascii="仿宋_GB2312" w:eastAsia="仿宋_GB2312" w:hint="eastAsia"/>
          <w:sz w:val="32"/>
          <w:szCs w:val="32"/>
        </w:rPr>
        <w:t>0</w:t>
      </w:r>
      <w:r>
        <w:rPr>
          <w:rFonts w:ascii="仿宋_GB2312" w:eastAsia="仿宋_GB2312" w:hint="eastAsia"/>
          <w:sz w:val="32"/>
          <w:szCs w:val="32"/>
        </w:rPr>
        <w:t>万元，与</w:t>
      </w:r>
      <w:r>
        <w:rPr>
          <w:rFonts w:ascii="仿宋_GB2312" w:eastAsia="仿宋_GB2312"/>
          <w:sz w:val="32"/>
          <w:szCs w:val="32"/>
        </w:rPr>
        <w:t>20</w:t>
      </w:r>
      <w:r>
        <w:rPr>
          <w:rFonts w:ascii="仿宋_GB2312" w:eastAsia="仿宋_GB2312" w:hint="eastAsia"/>
          <w:sz w:val="32"/>
          <w:szCs w:val="32"/>
        </w:rPr>
        <w:t>20</w:t>
      </w:r>
      <w:r w:rsidR="00000899">
        <w:rPr>
          <w:rFonts w:ascii="仿宋_GB2312" w:eastAsia="仿宋_GB2312" w:hint="eastAsia"/>
          <w:sz w:val="32"/>
          <w:szCs w:val="32"/>
        </w:rPr>
        <w:t>年决算数持平</w:t>
      </w:r>
      <w:r>
        <w:rPr>
          <w:rFonts w:ascii="仿宋_GB2312" w:eastAsia="仿宋_GB2312" w:hint="eastAsia"/>
          <w:sz w:val="32"/>
          <w:szCs w:val="32"/>
        </w:rPr>
        <w:t>。</w:t>
      </w:r>
    </w:p>
    <w:p w:rsidR="00FD6FAF" w:rsidRDefault="002A028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FD6FAF" w:rsidRDefault="002A028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000899">
        <w:rPr>
          <w:rFonts w:ascii="仿宋_GB2312" w:eastAsia="仿宋_GB2312" w:hint="eastAsia"/>
          <w:color w:val="000000"/>
          <w:sz w:val="32"/>
          <w:szCs w:val="32"/>
        </w:rPr>
        <w:t>攀枝花市第七高级中学校（攀枝花市民族中</w:t>
      </w:r>
      <w:r w:rsidR="00000899">
        <w:rPr>
          <w:rFonts w:ascii="仿宋_GB2312" w:eastAsia="仿宋_GB2312" w:hint="eastAsia"/>
          <w:color w:val="000000"/>
          <w:sz w:val="32"/>
          <w:szCs w:val="32"/>
        </w:rPr>
        <w:lastRenderedPageBreak/>
        <w:t>学）</w:t>
      </w:r>
      <w:r>
        <w:rPr>
          <w:rFonts w:ascii="仿宋_GB2312" w:eastAsia="仿宋_GB2312" w:hint="eastAsia"/>
          <w:sz w:val="32"/>
          <w:szCs w:val="32"/>
        </w:rPr>
        <w:t>政府采购支出总额</w:t>
      </w:r>
      <w:r w:rsidR="00000899">
        <w:rPr>
          <w:rFonts w:ascii="仿宋_GB2312" w:eastAsia="仿宋_GB2312" w:hint="eastAsia"/>
          <w:sz w:val="32"/>
          <w:szCs w:val="32"/>
        </w:rPr>
        <w:t>219.30</w:t>
      </w:r>
      <w:r>
        <w:rPr>
          <w:rFonts w:ascii="仿宋_GB2312" w:eastAsia="仿宋_GB2312" w:hint="eastAsia"/>
          <w:sz w:val="32"/>
          <w:szCs w:val="32"/>
        </w:rPr>
        <w:t>万元，其中：政府采购货物支出</w:t>
      </w:r>
      <w:r w:rsidR="00000899">
        <w:rPr>
          <w:rFonts w:ascii="仿宋_GB2312" w:eastAsia="仿宋_GB2312" w:hint="eastAsia"/>
          <w:sz w:val="32"/>
          <w:szCs w:val="32"/>
        </w:rPr>
        <w:t>47.91</w:t>
      </w:r>
      <w:r>
        <w:rPr>
          <w:rFonts w:ascii="仿宋_GB2312" w:eastAsia="仿宋_GB2312" w:hint="eastAsia"/>
          <w:sz w:val="32"/>
          <w:szCs w:val="32"/>
        </w:rPr>
        <w:t>万元、政府采购工程支出</w:t>
      </w:r>
      <w:r w:rsidR="00000899">
        <w:rPr>
          <w:rFonts w:ascii="仿宋_GB2312" w:eastAsia="仿宋_GB2312" w:hint="eastAsia"/>
          <w:sz w:val="32"/>
          <w:szCs w:val="32"/>
        </w:rPr>
        <w:t>171.39</w:t>
      </w:r>
      <w:r>
        <w:rPr>
          <w:rFonts w:ascii="仿宋_GB2312" w:eastAsia="仿宋_GB2312" w:hint="eastAsia"/>
          <w:sz w:val="32"/>
          <w:szCs w:val="32"/>
        </w:rPr>
        <w:t>万元、政府采购服务支出</w:t>
      </w:r>
      <w:r w:rsidR="00000899">
        <w:rPr>
          <w:rFonts w:ascii="仿宋_GB2312" w:eastAsia="仿宋_GB2312" w:hint="eastAsia"/>
          <w:sz w:val="32"/>
          <w:szCs w:val="32"/>
        </w:rPr>
        <w:t>0</w:t>
      </w:r>
      <w:r>
        <w:rPr>
          <w:rFonts w:ascii="仿宋_GB2312" w:eastAsia="仿宋_GB2312" w:hint="eastAsia"/>
          <w:sz w:val="32"/>
          <w:szCs w:val="32"/>
        </w:rPr>
        <w:t>万元。主要用于</w:t>
      </w:r>
      <w:r w:rsidR="00C313DA">
        <w:rPr>
          <w:rFonts w:ascii="仿宋_GB2312" w:eastAsia="仿宋_GB2312" w:hint="eastAsia"/>
          <w:sz w:val="32"/>
          <w:szCs w:val="32"/>
        </w:rPr>
        <w:t>笔记本电脑和速印机的采购、校园维修工程等</w:t>
      </w:r>
      <w:r>
        <w:rPr>
          <w:rFonts w:ascii="仿宋_GB2312" w:eastAsia="仿宋_GB2312" w:hint="eastAsia"/>
          <w:sz w:val="32"/>
          <w:szCs w:val="32"/>
        </w:rPr>
        <w:t>。授予中小企业合同金额</w:t>
      </w:r>
      <w:r w:rsidR="00000899">
        <w:rPr>
          <w:rFonts w:ascii="仿宋_GB2312" w:eastAsia="仿宋_GB2312" w:hint="eastAsia"/>
          <w:sz w:val="32"/>
          <w:szCs w:val="32"/>
        </w:rPr>
        <w:t>219.30</w:t>
      </w:r>
      <w:r>
        <w:rPr>
          <w:rFonts w:ascii="仿宋_GB2312" w:eastAsia="仿宋_GB2312" w:hint="eastAsia"/>
          <w:sz w:val="32"/>
          <w:szCs w:val="32"/>
        </w:rPr>
        <w:t>万元，占政府采购支出总额的</w:t>
      </w:r>
      <w:r w:rsidR="00000899">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，其中：授予小微企业合同金额</w:t>
      </w:r>
      <w:r w:rsidR="00000899">
        <w:rPr>
          <w:rFonts w:ascii="仿宋_GB2312" w:eastAsia="仿宋_GB2312" w:hint="eastAsia"/>
          <w:sz w:val="32"/>
          <w:szCs w:val="32"/>
        </w:rPr>
        <w:t>219.30</w:t>
      </w:r>
      <w:r>
        <w:rPr>
          <w:rFonts w:ascii="仿宋_GB2312" w:eastAsia="仿宋_GB2312" w:hint="eastAsia"/>
          <w:sz w:val="32"/>
          <w:szCs w:val="32"/>
        </w:rPr>
        <w:t>万元，占政府采购支出总额的</w:t>
      </w:r>
      <w:r w:rsidR="00000899">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w:t>
      </w:r>
    </w:p>
    <w:p w:rsidR="00FD6FAF" w:rsidRDefault="002A028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FD6FAF" w:rsidRDefault="002A028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362AEE">
        <w:rPr>
          <w:rFonts w:ascii="仿宋_GB2312" w:eastAsia="仿宋_GB2312" w:hint="eastAsia"/>
          <w:color w:val="000000"/>
          <w:sz w:val="32"/>
          <w:szCs w:val="32"/>
        </w:rPr>
        <w:t>攀枝花市第七高级中学校（攀枝花市民族中学）</w:t>
      </w:r>
      <w:r>
        <w:rPr>
          <w:rFonts w:ascii="仿宋_GB2312" w:eastAsia="仿宋_GB2312" w:hint="eastAsia"/>
          <w:sz w:val="32"/>
          <w:szCs w:val="32"/>
        </w:rPr>
        <w:t>共有车辆</w:t>
      </w:r>
      <w:r w:rsidR="00362AEE">
        <w:rPr>
          <w:rFonts w:ascii="仿宋_GB2312" w:eastAsia="仿宋_GB2312" w:hint="eastAsia"/>
          <w:sz w:val="32"/>
          <w:szCs w:val="32"/>
        </w:rPr>
        <w:t>3</w:t>
      </w:r>
      <w:r>
        <w:rPr>
          <w:rFonts w:ascii="仿宋_GB2312" w:eastAsia="仿宋_GB2312" w:hint="eastAsia"/>
          <w:sz w:val="32"/>
          <w:szCs w:val="32"/>
        </w:rPr>
        <w:t>辆，其中：主要领导干部用车</w:t>
      </w:r>
      <w:r w:rsidR="00362AEE">
        <w:rPr>
          <w:rFonts w:ascii="仿宋_GB2312" w:eastAsia="仿宋_GB2312" w:hint="eastAsia"/>
          <w:sz w:val="32"/>
          <w:szCs w:val="32"/>
        </w:rPr>
        <w:t>0</w:t>
      </w:r>
      <w:r>
        <w:rPr>
          <w:rFonts w:ascii="仿宋_GB2312" w:eastAsia="仿宋_GB2312" w:hint="eastAsia"/>
          <w:sz w:val="32"/>
          <w:szCs w:val="32"/>
        </w:rPr>
        <w:t>辆、机要通信用车</w:t>
      </w:r>
      <w:r w:rsidR="00362AEE">
        <w:rPr>
          <w:rFonts w:ascii="仿宋_GB2312" w:eastAsia="仿宋_GB2312" w:hint="eastAsia"/>
          <w:sz w:val="32"/>
          <w:szCs w:val="32"/>
        </w:rPr>
        <w:t>0</w:t>
      </w:r>
      <w:r>
        <w:rPr>
          <w:rFonts w:ascii="仿宋_GB2312" w:eastAsia="仿宋_GB2312" w:hint="eastAsia"/>
          <w:sz w:val="32"/>
          <w:szCs w:val="32"/>
        </w:rPr>
        <w:t>辆、应急保障用车</w:t>
      </w:r>
      <w:r w:rsidR="00362AEE">
        <w:rPr>
          <w:rFonts w:ascii="仿宋_GB2312" w:eastAsia="仿宋_GB2312" w:hint="eastAsia"/>
          <w:sz w:val="32"/>
          <w:szCs w:val="32"/>
        </w:rPr>
        <w:t>0</w:t>
      </w:r>
      <w:r>
        <w:rPr>
          <w:rFonts w:ascii="仿宋_GB2312" w:eastAsia="仿宋_GB2312" w:hint="eastAsia"/>
          <w:sz w:val="32"/>
          <w:szCs w:val="32"/>
        </w:rPr>
        <w:t>辆、其他用车</w:t>
      </w:r>
      <w:r w:rsidR="00362AEE">
        <w:rPr>
          <w:rFonts w:ascii="仿宋_GB2312" w:eastAsia="仿宋_GB2312" w:hint="eastAsia"/>
          <w:sz w:val="32"/>
          <w:szCs w:val="32"/>
        </w:rPr>
        <w:t>3</w:t>
      </w:r>
      <w:r>
        <w:rPr>
          <w:rFonts w:ascii="仿宋_GB2312" w:eastAsia="仿宋_GB2312" w:hint="eastAsia"/>
          <w:sz w:val="32"/>
          <w:szCs w:val="32"/>
        </w:rPr>
        <w:t>辆</w:t>
      </w:r>
      <w:r w:rsidR="00362AEE">
        <w:rPr>
          <w:rFonts w:ascii="仿宋_GB2312" w:eastAsia="仿宋_GB2312" w:hint="eastAsia"/>
          <w:sz w:val="32"/>
          <w:szCs w:val="32"/>
        </w:rPr>
        <w:t>。</w:t>
      </w:r>
      <w:r>
        <w:rPr>
          <w:rFonts w:ascii="仿宋_GB2312" w:eastAsia="仿宋_GB2312" w:hint="eastAsia"/>
          <w:sz w:val="32"/>
          <w:szCs w:val="32"/>
        </w:rPr>
        <w:t>其他用车主要是用于</w:t>
      </w:r>
      <w:r w:rsidR="00362AEE">
        <w:rPr>
          <w:rFonts w:ascii="仿宋_GB2312" w:eastAsia="仿宋_GB2312" w:hint="eastAsia"/>
          <w:color w:val="000000"/>
          <w:sz w:val="32"/>
          <w:szCs w:val="32"/>
        </w:rPr>
        <w:t>开展教研教学活动时使用。</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362AEE">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362AEE">
        <w:rPr>
          <w:rFonts w:ascii="仿宋_GB2312" w:eastAsia="仿宋_GB2312" w:hint="eastAsia"/>
          <w:sz w:val="32"/>
          <w:szCs w:val="32"/>
        </w:rPr>
        <w:t>0</w:t>
      </w:r>
      <w:r>
        <w:rPr>
          <w:rFonts w:ascii="仿宋_GB2312" w:eastAsia="仿宋_GB2312" w:hint="eastAsia"/>
          <w:sz w:val="32"/>
          <w:szCs w:val="32"/>
        </w:rPr>
        <w:t>台（套）。</w:t>
      </w:r>
    </w:p>
    <w:p w:rsidR="00FD6FAF" w:rsidRDefault="002A028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FD6FAF" w:rsidRDefault="002A028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w:t>
      </w:r>
      <w:r w:rsidR="00631297">
        <w:rPr>
          <w:rFonts w:ascii="仿宋_GB2312" w:eastAsia="仿宋_GB2312" w:hAnsi="仿宋_GB2312" w:cs="仿宋_GB2312" w:hint="eastAsia"/>
          <w:sz w:val="32"/>
          <w:szCs w:val="32"/>
        </w:rPr>
        <w:t>援藏</w:t>
      </w:r>
      <w:r w:rsidR="00206DB3" w:rsidRPr="002F76E4">
        <w:rPr>
          <w:rFonts w:ascii="仿宋_GB2312" w:eastAsia="仿宋_GB2312" w:hAnsi="仿宋_GB2312" w:cs="仿宋_GB2312" w:hint="eastAsia"/>
          <w:sz w:val="32"/>
          <w:szCs w:val="32"/>
        </w:rPr>
        <w:t>干部补助</w:t>
      </w:r>
      <w:r>
        <w:rPr>
          <w:rFonts w:ascii="仿宋_GB2312" w:eastAsia="仿宋_GB2312" w:hAnsi="仿宋_GB2312" w:cs="仿宋_GB2312" w:hint="eastAsia"/>
          <w:sz w:val="32"/>
          <w:szCs w:val="32"/>
        </w:rPr>
        <w:t>项目</w:t>
      </w:r>
      <w:r w:rsidR="00206DB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个项目开展了预算事前绩效评估，对</w:t>
      </w:r>
      <w:r w:rsidR="00206DB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个项目编制了绩效目标，预算执行过程中，选取</w:t>
      </w:r>
      <w:r w:rsidR="00206DB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个项目开展绩效监控，年终执行完毕后，对</w:t>
      </w:r>
      <w:r w:rsidR="00206DB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个项目开展了绩效自评，2021年特定目标类部门预算项目绩效目标自评表见附件（第四部分）。</w:t>
      </w:r>
    </w:p>
    <w:p w:rsidR="00FD6FAF" w:rsidRDefault="00FD6FAF" w:rsidP="009910FD">
      <w:pPr>
        <w:pStyle w:val="a0"/>
        <w:spacing w:before="93"/>
        <w:rPr>
          <w:highlight w:val="yellow"/>
        </w:rPr>
      </w:pPr>
    </w:p>
    <w:p w:rsidR="00FD6FAF" w:rsidRDefault="002A0280">
      <w:pPr>
        <w:widowControl/>
        <w:jc w:val="left"/>
        <w:rPr>
          <w:rFonts w:ascii="仿宋_GB2312" w:eastAsia="仿宋_GB2312"/>
          <w:b/>
          <w:sz w:val="32"/>
          <w:szCs w:val="32"/>
        </w:rPr>
      </w:pPr>
      <w:r>
        <w:rPr>
          <w:rFonts w:ascii="仿宋_GB2312" w:eastAsia="仿宋_GB2312"/>
          <w:b/>
          <w:sz w:val="32"/>
          <w:szCs w:val="32"/>
        </w:rPr>
        <w:br w:type="page"/>
      </w:r>
    </w:p>
    <w:p w:rsidR="00FD6FAF" w:rsidRDefault="002A0280">
      <w:pPr>
        <w:numPr>
          <w:ilvl w:val="0"/>
          <w:numId w:val="3"/>
        </w:numPr>
        <w:spacing w:line="600" w:lineRule="exact"/>
        <w:ind w:firstLineChars="150" w:firstLine="660"/>
        <w:jc w:val="center"/>
        <w:outlineLvl w:val="0"/>
        <w:rPr>
          <w:rStyle w:val="1Char"/>
          <w:rFonts w:ascii="黑体" w:eastAsia="黑体" w:hAnsi="黑体"/>
          <w:b w:val="0"/>
        </w:rPr>
      </w:pPr>
      <w:bookmarkStart w:id="50" w:name="_Toc15396613"/>
      <w:bookmarkStart w:id="51"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0"/>
      <w:bookmarkEnd w:id="51"/>
    </w:p>
    <w:p w:rsidR="00FD6FAF" w:rsidRDefault="00FD6FAF">
      <w:pPr>
        <w:spacing w:line="600" w:lineRule="exact"/>
        <w:jc w:val="left"/>
        <w:rPr>
          <w:rFonts w:ascii="宋体"/>
          <w:b/>
          <w:sz w:val="44"/>
          <w:szCs w:val="44"/>
        </w:rPr>
      </w:pPr>
    </w:p>
    <w:p w:rsidR="00FD6FAF" w:rsidRDefault="002A028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FD6FAF" w:rsidRDefault="002A028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sidR="001E2D7B" w:rsidRPr="001E2D7B">
        <w:rPr>
          <w:rFonts w:ascii="仿宋_GB2312" w:eastAsia="仿宋_GB2312" w:hint="eastAsia"/>
          <w:color w:val="auto"/>
          <w:sz w:val="32"/>
          <w:szCs w:val="32"/>
        </w:rPr>
        <w:t xml:space="preserve"> </w:t>
      </w:r>
      <w:r w:rsidR="001E2D7B">
        <w:rPr>
          <w:rFonts w:ascii="仿宋_GB2312" w:eastAsia="仿宋_GB2312" w:hint="eastAsia"/>
          <w:color w:val="auto"/>
          <w:sz w:val="32"/>
          <w:szCs w:val="32"/>
        </w:rPr>
        <w:t>其他收入：指单位取得的除上述收入以外的各项收入。主要是基金会拨款等</w:t>
      </w:r>
      <w:r>
        <w:rPr>
          <w:rFonts w:ascii="仿宋_GB2312" w:eastAsia="仿宋_GB2312" w:hint="eastAsia"/>
          <w:color w:val="auto"/>
          <w:sz w:val="32"/>
          <w:szCs w:val="32"/>
        </w:rPr>
        <w:t>。</w:t>
      </w:r>
    </w:p>
    <w:p w:rsidR="00FD6FAF" w:rsidRDefault="002A028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sidR="001E2D7B">
        <w:rPr>
          <w:rFonts w:ascii="仿宋_GB2312" w:eastAsia="仿宋_GB2312"/>
          <w:color w:val="auto"/>
          <w:sz w:val="32"/>
          <w:szCs w:val="32"/>
        </w:rPr>
        <w:t xml:space="preserve"> </w:t>
      </w:r>
      <w:r w:rsidR="001E2D7B" w:rsidRPr="001E2D7B">
        <w:rPr>
          <w:rFonts w:ascii="仿宋_GB2312" w:eastAsia="仿宋_GB2312" w:hint="eastAsia"/>
          <w:color w:val="auto"/>
          <w:sz w:val="32"/>
          <w:szCs w:val="32"/>
        </w:rPr>
        <w:t>一般公共服务（类）组织事务（款）其他组织事务支出（项）：反映其他用于中国共产党组织部门的事务支出。</w:t>
      </w:r>
    </w:p>
    <w:p w:rsidR="00AE5DC8" w:rsidRDefault="002A0280" w:rsidP="001E2D7B">
      <w:pPr>
        <w:spacing w:line="600" w:lineRule="exact"/>
        <w:ind w:firstLineChars="200" w:firstLine="640"/>
        <w:rPr>
          <w:rFonts w:ascii="仿宋_GB2312" w:eastAsia="仿宋_GB2312"/>
          <w:sz w:val="32"/>
          <w:szCs w:val="32"/>
        </w:rPr>
      </w:pPr>
      <w:r>
        <w:rPr>
          <w:rFonts w:ascii="仿宋_GB2312" w:eastAsia="仿宋_GB2312"/>
          <w:sz w:val="32"/>
          <w:szCs w:val="32"/>
        </w:rPr>
        <w:t>4.</w:t>
      </w:r>
      <w:r w:rsidR="00AE5DC8" w:rsidRPr="00AE5DC8">
        <w:rPr>
          <w:rFonts w:ascii="仿宋_GB2312" w:eastAsia="仿宋_GB2312" w:hAnsi="Calibri" w:cs="仿宋" w:hint="eastAsia"/>
          <w:kern w:val="0"/>
          <w:sz w:val="32"/>
          <w:szCs w:val="32"/>
        </w:rPr>
        <w:t xml:space="preserve"> </w:t>
      </w:r>
      <w:r w:rsidR="00AE5DC8">
        <w:rPr>
          <w:rFonts w:ascii="仿宋_GB2312" w:eastAsia="仿宋_GB2312" w:hAnsi="Calibri" w:cs="仿宋" w:hint="eastAsia"/>
          <w:kern w:val="0"/>
          <w:sz w:val="32"/>
          <w:szCs w:val="32"/>
        </w:rPr>
        <w:t>教育支出（类）</w:t>
      </w:r>
      <w:r w:rsidR="00AE5DC8" w:rsidRPr="00AE5DC8">
        <w:rPr>
          <w:rFonts w:ascii="仿宋_GB2312" w:eastAsia="仿宋_GB2312" w:hAnsi="Calibri" w:cs="仿宋" w:hint="eastAsia"/>
          <w:kern w:val="0"/>
          <w:sz w:val="32"/>
          <w:szCs w:val="32"/>
        </w:rPr>
        <w:t>教育管理事务</w:t>
      </w:r>
      <w:r w:rsidR="00AE5DC8" w:rsidRPr="001E2D7B">
        <w:rPr>
          <w:rFonts w:ascii="仿宋_GB2312" w:eastAsia="仿宋_GB2312" w:hint="eastAsia"/>
          <w:sz w:val="32"/>
          <w:szCs w:val="32"/>
        </w:rPr>
        <w:t>（款）</w:t>
      </w:r>
      <w:r w:rsidR="00AE5DC8" w:rsidRPr="00AE5DC8">
        <w:rPr>
          <w:rFonts w:ascii="仿宋_GB2312" w:eastAsia="仿宋_GB2312" w:hAnsi="Calibri" w:cs="仿宋" w:hint="eastAsia"/>
          <w:kern w:val="0"/>
          <w:sz w:val="32"/>
          <w:szCs w:val="32"/>
        </w:rPr>
        <w:t>其他教育管理事务支出</w:t>
      </w:r>
      <w:r w:rsidR="00AE5DC8" w:rsidRPr="001E2D7B">
        <w:rPr>
          <w:rFonts w:ascii="仿宋_GB2312" w:eastAsia="仿宋_GB2312" w:hint="eastAsia"/>
          <w:sz w:val="32"/>
          <w:szCs w:val="32"/>
        </w:rPr>
        <w:t>（项）</w:t>
      </w:r>
      <w:r w:rsidR="00AE5DC8">
        <w:rPr>
          <w:rFonts w:ascii="仿宋_GB2312" w:eastAsia="仿宋_GB2312" w:hint="eastAsia"/>
          <w:sz w:val="32"/>
          <w:szCs w:val="32"/>
        </w:rPr>
        <w:t>：反映其他用于教育管理事务方面的支出。</w:t>
      </w:r>
    </w:p>
    <w:p w:rsidR="00B415C5" w:rsidRDefault="00603861" w:rsidP="001E2D7B">
      <w:pPr>
        <w:spacing w:line="600" w:lineRule="exact"/>
        <w:ind w:firstLineChars="200" w:firstLine="640"/>
        <w:rPr>
          <w:rFonts w:ascii="仿宋_GB2312" w:eastAsia="仿宋_GB2312"/>
          <w:sz w:val="32"/>
          <w:szCs w:val="32"/>
        </w:rPr>
      </w:pPr>
      <w:r>
        <w:rPr>
          <w:rFonts w:ascii="仿宋_GB2312" w:eastAsia="仿宋_GB2312" w:hAnsi="Calibri" w:cs="仿宋" w:hint="eastAsia"/>
          <w:kern w:val="0"/>
          <w:sz w:val="32"/>
          <w:szCs w:val="32"/>
        </w:rPr>
        <w:t>5.</w:t>
      </w:r>
      <w:r w:rsidR="00B415C5" w:rsidRPr="00B415C5">
        <w:rPr>
          <w:rFonts w:ascii="仿宋_GB2312" w:eastAsia="仿宋_GB2312" w:hAnsi="Calibri" w:cs="仿宋" w:hint="eastAsia"/>
          <w:kern w:val="0"/>
          <w:sz w:val="32"/>
          <w:szCs w:val="32"/>
        </w:rPr>
        <w:t xml:space="preserve"> </w:t>
      </w:r>
      <w:r w:rsidR="00B415C5">
        <w:rPr>
          <w:rFonts w:ascii="仿宋_GB2312" w:eastAsia="仿宋_GB2312" w:hAnsi="Calibri" w:cs="仿宋" w:hint="eastAsia"/>
          <w:kern w:val="0"/>
          <w:sz w:val="32"/>
          <w:szCs w:val="32"/>
        </w:rPr>
        <w:t>教育支出（类）普通教育（款）小学</w:t>
      </w:r>
      <w:r w:rsidR="00B415C5" w:rsidRPr="001E2D7B">
        <w:rPr>
          <w:rFonts w:ascii="仿宋_GB2312" w:eastAsia="仿宋_GB2312" w:hAnsi="Calibri" w:cs="仿宋" w:hint="eastAsia"/>
          <w:kern w:val="0"/>
          <w:sz w:val="32"/>
          <w:szCs w:val="32"/>
        </w:rPr>
        <w:t>教育(项）：</w:t>
      </w:r>
      <w:r w:rsidR="00B415C5">
        <w:rPr>
          <w:rFonts w:ascii="仿宋_GB2312" w:eastAsia="仿宋_GB2312" w:hAnsi="Calibri" w:cs="仿宋" w:hint="eastAsia"/>
          <w:kern w:val="0"/>
          <w:sz w:val="32"/>
          <w:szCs w:val="32"/>
        </w:rPr>
        <w:t>反映各部门举办的小学</w:t>
      </w:r>
      <w:r w:rsidR="00B415C5" w:rsidRPr="001E2D7B">
        <w:rPr>
          <w:rFonts w:ascii="仿宋_GB2312" w:eastAsia="仿宋_GB2312" w:hAnsi="Calibri" w:cs="仿宋" w:hint="eastAsia"/>
          <w:kern w:val="0"/>
          <w:sz w:val="32"/>
          <w:szCs w:val="32"/>
        </w:rPr>
        <w:t>教育支出。</w:t>
      </w:r>
      <w:r w:rsidR="00B415C5">
        <w:rPr>
          <w:rFonts w:ascii="仿宋_GB2312" w:eastAsia="仿宋_GB2312" w:hAnsi="Calibri" w:cs="仿宋" w:hint="eastAsia"/>
          <w:kern w:val="0"/>
          <w:sz w:val="32"/>
          <w:szCs w:val="32"/>
        </w:rPr>
        <w:t>政府各部门对社会组织等举办的小学</w:t>
      </w:r>
      <w:r w:rsidR="00B415C5" w:rsidRPr="001E2D7B">
        <w:rPr>
          <w:rFonts w:ascii="仿宋_GB2312" w:eastAsia="仿宋_GB2312" w:hAnsi="Calibri" w:cs="仿宋" w:hint="eastAsia"/>
          <w:kern w:val="0"/>
          <w:sz w:val="32"/>
          <w:szCs w:val="32"/>
        </w:rPr>
        <w:t>的资助，如捐赠、补贴等，也在本科目中反映。</w:t>
      </w:r>
    </w:p>
    <w:p w:rsidR="00FD6FAF" w:rsidRPr="001E2D7B" w:rsidRDefault="00603861" w:rsidP="001E2D7B">
      <w:pPr>
        <w:spacing w:line="600" w:lineRule="exact"/>
        <w:ind w:firstLineChars="200" w:firstLine="640"/>
        <w:rPr>
          <w:rFonts w:ascii="仿宋_GB2312" w:eastAsia="仿宋_GB2312" w:hAnsi="Calibri" w:cs="仿宋"/>
          <w:kern w:val="0"/>
          <w:sz w:val="32"/>
          <w:szCs w:val="32"/>
        </w:rPr>
      </w:pPr>
      <w:r>
        <w:rPr>
          <w:rFonts w:ascii="仿宋_GB2312" w:eastAsia="仿宋_GB2312" w:hint="eastAsia"/>
          <w:sz w:val="32"/>
          <w:szCs w:val="32"/>
        </w:rPr>
        <w:t>6</w:t>
      </w:r>
      <w:r w:rsidR="00B415C5">
        <w:rPr>
          <w:rFonts w:ascii="仿宋_GB2312" w:eastAsia="仿宋_GB2312" w:hint="eastAsia"/>
          <w:sz w:val="32"/>
          <w:szCs w:val="32"/>
        </w:rPr>
        <w:t>.</w:t>
      </w:r>
      <w:r w:rsidR="001E2D7B">
        <w:rPr>
          <w:rFonts w:ascii="仿宋_GB2312" w:eastAsia="仿宋_GB2312"/>
          <w:sz w:val="32"/>
          <w:szCs w:val="32"/>
        </w:rPr>
        <w:t xml:space="preserve"> </w:t>
      </w:r>
      <w:r w:rsidR="001E2D7B" w:rsidRPr="001E2D7B">
        <w:rPr>
          <w:rFonts w:ascii="仿宋_GB2312" w:eastAsia="仿宋_GB2312" w:hAnsi="Calibri" w:cs="仿宋" w:hint="eastAsia"/>
          <w:kern w:val="0"/>
          <w:sz w:val="32"/>
          <w:szCs w:val="32"/>
        </w:rPr>
        <w:t>教育支出（类）普通教育（款）初中教育(项）：反映各部门举办的初中教育支出。政府各部门对社会组织等举办的初中的资助，如捐赠、补贴等，也在本科目中反映。</w:t>
      </w:r>
    </w:p>
    <w:p w:rsidR="00B40748" w:rsidRDefault="00B40748" w:rsidP="00B40748">
      <w:pPr>
        <w:spacing w:line="600" w:lineRule="exact"/>
        <w:ind w:firstLineChars="200" w:firstLine="640"/>
        <w:rPr>
          <w:rFonts w:ascii="仿宋_GB2312" w:eastAsia="仿宋_GB2312" w:hAnsi="Calibri" w:cs="仿宋"/>
          <w:kern w:val="0"/>
          <w:sz w:val="32"/>
          <w:szCs w:val="32"/>
        </w:rPr>
      </w:pPr>
      <w:r>
        <w:rPr>
          <w:rFonts w:ascii="仿宋_GB2312" w:eastAsia="仿宋_GB2312" w:hint="eastAsia"/>
          <w:sz w:val="32"/>
          <w:szCs w:val="32"/>
        </w:rPr>
        <w:t>7</w:t>
      </w:r>
      <w:r w:rsidR="002A0280">
        <w:rPr>
          <w:rFonts w:ascii="仿宋_GB2312" w:eastAsia="仿宋_GB2312"/>
          <w:sz w:val="32"/>
          <w:szCs w:val="32"/>
        </w:rPr>
        <w:t>.</w:t>
      </w:r>
      <w:r w:rsidR="001E2D7B" w:rsidRPr="001E2D7B">
        <w:rPr>
          <w:rFonts w:ascii="仿宋_GB2312" w:hint="eastAsia"/>
        </w:rPr>
        <w:t xml:space="preserve"> </w:t>
      </w:r>
      <w:r w:rsidR="001E2D7B" w:rsidRPr="001E2D7B">
        <w:rPr>
          <w:rFonts w:ascii="仿宋_GB2312" w:eastAsia="仿宋_GB2312" w:hAnsi="Calibri" w:cs="仿宋" w:hint="eastAsia"/>
          <w:kern w:val="0"/>
          <w:sz w:val="32"/>
          <w:szCs w:val="32"/>
        </w:rPr>
        <w:t>教育支出（类）普通教育（款）高中教育(项）：反映各部门举办的普通高中教育支出。政府各部门对社会组织等举办的普通高中的资助，如捐赠、补贴等，也在本科目中反映。</w:t>
      </w:r>
    </w:p>
    <w:p w:rsidR="00B40748" w:rsidRPr="00B40748" w:rsidRDefault="00B40748" w:rsidP="00B40748">
      <w:pPr>
        <w:spacing w:line="600" w:lineRule="exact"/>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8.</w:t>
      </w:r>
      <w:r w:rsidRPr="001E2D7B">
        <w:rPr>
          <w:rFonts w:ascii="仿宋_GB2312" w:eastAsia="仿宋_GB2312" w:hAnsi="Calibri" w:cs="仿宋" w:hint="eastAsia"/>
          <w:kern w:val="0"/>
          <w:sz w:val="32"/>
          <w:szCs w:val="32"/>
        </w:rPr>
        <w:t>教育支出（类）</w:t>
      </w:r>
      <w:r w:rsidRPr="00B40748">
        <w:rPr>
          <w:rFonts w:ascii="仿宋_GB2312" w:eastAsia="仿宋_GB2312" w:hAnsi="Calibri" w:cs="仿宋" w:hint="eastAsia"/>
          <w:kern w:val="0"/>
          <w:sz w:val="32"/>
          <w:szCs w:val="32"/>
        </w:rPr>
        <w:t>教育费附加安排的支出</w:t>
      </w:r>
      <w:r w:rsidRPr="001E2D7B">
        <w:rPr>
          <w:rFonts w:ascii="仿宋_GB2312" w:eastAsia="仿宋_GB2312" w:hAnsi="Calibri" w:cs="仿宋" w:hint="eastAsia"/>
          <w:kern w:val="0"/>
          <w:sz w:val="32"/>
          <w:szCs w:val="32"/>
        </w:rPr>
        <w:t>（款）</w:t>
      </w:r>
      <w:r w:rsidRPr="00B40748">
        <w:rPr>
          <w:rFonts w:ascii="仿宋_GB2312" w:eastAsia="仿宋_GB2312" w:hAnsi="Calibri" w:cs="仿宋" w:hint="eastAsia"/>
          <w:kern w:val="0"/>
          <w:sz w:val="32"/>
          <w:szCs w:val="32"/>
        </w:rPr>
        <w:t>其他教育费附加安排的支出</w:t>
      </w:r>
      <w:r w:rsidRPr="001E2D7B">
        <w:rPr>
          <w:rFonts w:ascii="仿宋_GB2312" w:eastAsia="仿宋_GB2312" w:hAnsi="Calibri" w:cs="仿宋" w:hint="eastAsia"/>
          <w:kern w:val="0"/>
          <w:sz w:val="32"/>
          <w:szCs w:val="32"/>
        </w:rPr>
        <w:t>(项）</w:t>
      </w:r>
      <w:r w:rsidR="00EE7054">
        <w:rPr>
          <w:rFonts w:ascii="仿宋_GB2312" w:eastAsia="仿宋_GB2312" w:hAnsi="Calibri" w:cs="仿宋" w:hint="eastAsia"/>
          <w:kern w:val="0"/>
          <w:sz w:val="32"/>
          <w:szCs w:val="32"/>
        </w:rPr>
        <w:t>：</w:t>
      </w:r>
      <w:r w:rsidR="003273DB">
        <w:rPr>
          <w:rFonts w:ascii="仿宋_GB2312" w:eastAsia="仿宋_GB2312" w:hAnsi="Calibri" w:cs="仿宋" w:hint="eastAsia"/>
          <w:kern w:val="0"/>
          <w:sz w:val="32"/>
          <w:szCs w:val="32"/>
        </w:rPr>
        <w:t>反映其他教育费附加支出。</w:t>
      </w:r>
    </w:p>
    <w:p w:rsidR="005969BE" w:rsidRDefault="005969BE">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9</w:t>
      </w:r>
      <w:r w:rsidR="002A0280">
        <w:rPr>
          <w:rFonts w:ascii="仿宋_GB2312" w:eastAsia="仿宋_GB2312"/>
          <w:color w:val="auto"/>
          <w:sz w:val="32"/>
          <w:szCs w:val="32"/>
        </w:rPr>
        <w:t>.</w:t>
      </w:r>
      <w:r w:rsidR="001E2D7B">
        <w:rPr>
          <w:rFonts w:ascii="仿宋_GB2312" w:eastAsia="仿宋_GB2312"/>
          <w:color w:val="auto"/>
          <w:sz w:val="32"/>
          <w:szCs w:val="32"/>
        </w:rPr>
        <w:t xml:space="preserve"> </w:t>
      </w:r>
      <w:r w:rsidR="00B342D5" w:rsidRPr="004D2F8A">
        <w:rPr>
          <w:rFonts w:ascii="仿宋_GB2312" w:eastAsia="仿宋_GB2312" w:hint="eastAsia"/>
          <w:color w:val="auto"/>
          <w:sz w:val="32"/>
          <w:szCs w:val="32"/>
        </w:rPr>
        <w:t>社会保障和就业支出（类）</w:t>
      </w:r>
      <w:r w:rsidR="00B342D5" w:rsidRPr="00B342D5">
        <w:rPr>
          <w:rFonts w:ascii="仿宋_GB2312" w:eastAsia="仿宋_GB2312" w:hint="eastAsia"/>
          <w:color w:val="auto"/>
          <w:sz w:val="32"/>
          <w:szCs w:val="32"/>
        </w:rPr>
        <w:t>人力资源和社会保障管理</w:t>
      </w:r>
      <w:r w:rsidR="00B342D5" w:rsidRPr="00B342D5">
        <w:rPr>
          <w:rFonts w:ascii="仿宋_GB2312" w:eastAsia="仿宋_GB2312" w:hint="eastAsia"/>
          <w:color w:val="auto"/>
          <w:sz w:val="32"/>
          <w:szCs w:val="32"/>
        </w:rPr>
        <w:lastRenderedPageBreak/>
        <w:t>事务</w:t>
      </w:r>
      <w:r w:rsidR="00B342D5" w:rsidRPr="004D2F8A">
        <w:rPr>
          <w:rFonts w:ascii="仿宋_GB2312" w:eastAsia="仿宋_GB2312" w:hint="eastAsia"/>
          <w:color w:val="auto"/>
          <w:sz w:val="32"/>
          <w:szCs w:val="32"/>
        </w:rPr>
        <w:t>（款）</w:t>
      </w:r>
      <w:r w:rsidR="00B342D5" w:rsidRPr="00B342D5">
        <w:rPr>
          <w:rFonts w:ascii="仿宋_GB2312" w:eastAsia="仿宋_GB2312" w:hint="eastAsia"/>
          <w:color w:val="auto"/>
          <w:sz w:val="32"/>
          <w:szCs w:val="32"/>
        </w:rPr>
        <w:t>其他人力资源和社会保障管理事务支出</w:t>
      </w:r>
      <w:r w:rsidR="00B342D5" w:rsidRPr="004D2F8A">
        <w:rPr>
          <w:rFonts w:ascii="仿宋_GB2312" w:eastAsia="仿宋_GB2312" w:hint="eastAsia"/>
          <w:color w:val="auto"/>
          <w:sz w:val="32"/>
          <w:szCs w:val="32"/>
        </w:rPr>
        <w:t>（项）</w:t>
      </w:r>
      <w:r w:rsidR="00B342D5">
        <w:rPr>
          <w:rFonts w:ascii="仿宋_GB2312" w:eastAsia="仿宋_GB2312" w:hint="eastAsia"/>
          <w:color w:val="auto"/>
          <w:sz w:val="32"/>
          <w:szCs w:val="32"/>
        </w:rPr>
        <w:t>：反映其他用于人力资源和社会保障管理事务方面的支出。</w:t>
      </w:r>
    </w:p>
    <w:p w:rsidR="00FD6FAF" w:rsidRDefault="005969BE">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10.</w:t>
      </w:r>
      <w:r w:rsidR="007B7C6A" w:rsidRPr="004D2F8A">
        <w:rPr>
          <w:rFonts w:ascii="仿宋_GB2312" w:eastAsia="仿宋_GB2312" w:hint="eastAsia"/>
          <w:color w:val="auto"/>
          <w:sz w:val="32"/>
          <w:szCs w:val="32"/>
        </w:rPr>
        <w:t>社会保障和就业支出（类）行政事业单位养老支出（款）机关事业单位基本养老保险缴费支出（项）：反映机关事业单位实施养老保险制度由单位实际缴纳的基本养老保险费支出。</w:t>
      </w:r>
    </w:p>
    <w:p w:rsidR="009C5F08" w:rsidRDefault="005969BE" w:rsidP="0079699A">
      <w:pPr>
        <w:spacing w:line="600" w:lineRule="exact"/>
        <w:ind w:firstLineChars="200" w:firstLine="640"/>
        <w:rPr>
          <w:rFonts w:ascii="仿宋_GB2312" w:eastAsia="仿宋_GB2312"/>
          <w:sz w:val="32"/>
          <w:szCs w:val="32"/>
        </w:rPr>
      </w:pPr>
      <w:r>
        <w:rPr>
          <w:rFonts w:ascii="仿宋_GB2312" w:eastAsia="仿宋_GB2312" w:hint="eastAsia"/>
          <w:sz w:val="32"/>
          <w:szCs w:val="32"/>
        </w:rPr>
        <w:t>11</w:t>
      </w:r>
      <w:r w:rsidR="002A0280">
        <w:rPr>
          <w:rFonts w:ascii="仿宋_GB2312" w:eastAsia="仿宋_GB2312"/>
          <w:sz w:val="32"/>
          <w:szCs w:val="32"/>
        </w:rPr>
        <w:t>.</w:t>
      </w:r>
      <w:r w:rsidR="001E2D7B">
        <w:rPr>
          <w:rFonts w:ascii="仿宋_GB2312" w:eastAsia="仿宋_GB2312"/>
          <w:sz w:val="32"/>
          <w:szCs w:val="32"/>
        </w:rPr>
        <w:t xml:space="preserve"> </w:t>
      </w:r>
      <w:r w:rsidR="000B1907" w:rsidRPr="000B1907">
        <w:rPr>
          <w:rFonts w:ascii="仿宋_GB2312" w:eastAsia="仿宋_GB2312" w:hint="eastAsia"/>
          <w:sz w:val="32"/>
          <w:szCs w:val="32"/>
        </w:rPr>
        <w:t>社会保障和就业支出</w:t>
      </w:r>
      <w:r w:rsidR="000B1907" w:rsidRPr="004D2F8A">
        <w:rPr>
          <w:rFonts w:ascii="仿宋_GB2312" w:eastAsia="仿宋_GB2312" w:hint="eastAsia"/>
          <w:sz w:val="32"/>
          <w:szCs w:val="32"/>
        </w:rPr>
        <w:t>（类）</w:t>
      </w:r>
      <w:r w:rsidR="000B1907">
        <w:rPr>
          <w:rFonts w:ascii="仿宋_GB2312" w:eastAsia="仿宋_GB2312" w:hint="eastAsia"/>
          <w:sz w:val="32"/>
          <w:szCs w:val="32"/>
        </w:rPr>
        <w:t>抚恤（款）死亡抚恤（项）：</w:t>
      </w:r>
      <w:r w:rsidR="00674567">
        <w:rPr>
          <w:rFonts w:ascii="仿宋_GB2312" w:eastAsia="仿宋_GB2312" w:hint="eastAsia"/>
          <w:sz w:val="32"/>
          <w:szCs w:val="32"/>
        </w:rPr>
        <w:t>反映按规定用于烈士和牺牲、病故人员家属的一次性和定期抚恤金以及丧葬补助费。</w:t>
      </w:r>
    </w:p>
    <w:p w:rsidR="00FD6FAF" w:rsidRPr="0079699A" w:rsidRDefault="009C5F08" w:rsidP="0079699A">
      <w:pPr>
        <w:spacing w:line="600" w:lineRule="exact"/>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12.</w:t>
      </w:r>
      <w:r w:rsidR="007B7C6A" w:rsidRPr="004D2F8A">
        <w:rPr>
          <w:rFonts w:ascii="仿宋_GB2312" w:eastAsia="仿宋_GB2312" w:hAnsi="Calibri" w:cs="仿宋" w:hint="eastAsia"/>
          <w:kern w:val="0"/>
          <w:sz w:val="32"/>
          <w:szCs w:val="32"/>
        </w:rPr>
        <w:t>住房保障支出（类）住房改革支出（款）住房公积金（项）：反映行政事业单位按人力资源和社会保障部、财政部规定的基本工资和津贴补贴以及规定比例为职工缴纳的住房公积金。</w:t>
      </w:r>
    </w:p>
    <w:p w:rsidR="00FD6FAF" w:rsidRDefault="009C5F0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13</w:t>
      </w:r>
      <w:r w:rsidR="002A0280">
        <w:rPr>
          <w:rFonts w:ascii="仿宋_GB2312" w:eastAsia="仿宋_GB2312" w:hint="eastAsia"/>
          <w:color w:val="auto"/>
          <w:sz w:val="32"/>
          <w:szCs w:val="32"/>
        </w:rPr>
        <w:t>、</w:t>
      </w:r>
      <w:r w:rsidR="00897FCA">
        <w:rPr>
          <w:rFonts w:ascii="仿宋_GB2312" w:eastAsia="仿宋_GB2312" w:hint="eastAsia"/>
          <w:sz w:val="32"/>
          <w:szCs w:val="32"/>
        </w:rPr>
        <w:t>基本支出：指为保障机构正常运转、完成日常工作任务而发生的人员支出和公用支出。</w:t>
      </w:r>
    </w:p>
    <w:p w:rsidR="00897FCA" w:rsidRDefault="0079699A" w:rsidP="00897FCA">
      <w:pPr>
        <w:ind w:firstLineChars="200" w:firstLine="640"/>
        <w:rPr>
          <w:rFonts w:ascii="仿宋_GB2312" w:eastAsia="仿宋_GB2312"/>
          <w:sz w:val="32"/>
          <w:szCs w:val="32"/>
        </w:rPr>
      </w:pPr>
      <w:r>
        <w:rPr>
          <w:rFonts w:ascii="仿宋_GB2312" w:eastAsia="仿宋_GB2312" w:hint="eastAsia"/>
          <w:sz w:val="32"/>
          <w:szCs w:val="32"/>
        </w:rPr>
        <w:t>1</w:t>
      </w:r>
      <w:r w:rsidR="009C5F08">
        <w:rPr>
          <w:rFonts w:ascii="仿宋_GB2312" w:eastAsia="仿宋_GB2312" w:hint="eastAsia"/>
          <w:sz w:val="32"/>
          <w:szCs w:val="32"/>
        </w:rPr>
        <w:t>4</w:t>
      </w:r>
      <w:r w:rsidR="002A0280">
        <w:rPr>
          <w:rFonts w:ascii="仿宋_GB2312" w:eastAsia="仿宋_GB2312"/>
          <w:sz w:val="32"/>
          <w:szCs w:val="32"/>
        </w:rPr>
        <w:t>.</w:t>
      </w:r>
      <w:r w:rsidR="007B7C6A">
        <w:rPr>
          <w:rFonts w:ascii="仿宋" w:eastAsia="仿宋" w:hAnsi="仿宋"/>
          <w:b/>
          <w:sz w:val="32"/>
          <w:szCs w:val="32"/>
        </w:rPr>
        <w:t xml:space="preserve"> </w:t>
      </w:r>
      <w:r w:rsidR="00897FCA">
        <w:rPr>
          <w:rFonts w:ascii="仿宋_GB2312" w:eastAsia="仿宋_GB2312" w:hint="eastAsia"/>
          <w:sz w:val="32"/>
          <w:szCs w:val="32"/>
        </w:rPr>
        <w:t>项目支出：指在基本支出之外为完成特定行政任务和事业发展目标所发生的支出。</w:t>
      </w:r>
    </w:p>
    <w:p w:rsidR="00EB7464" w:rsidRDefault="00897FCA" w:rsidP="00EB7464">
      <w:pPr>
        <w:pStyle w:val="Default"/>
        <w:spacing w:line="560" w:lineRule="exact"/>
        <w:ind w:firstLineChars="200" w:firstLine="640"/>
        <w:rPr>
          <w:rFonts w:ascii="仿宋_GB2312" w:eastAsia="仿宋_GB2312"/>
          <w:color w:val="auto"/>
          <w:sz w:val="32"/>
          <w:szCs w:val="32"/>
        </w:rPr>
      </w:pPr>
      <w:r>
        <w:rPr>
          <w:rFonts w:ascii="仿宋_GB2312" w:eastAsia="仿宋_GB2312" w:hint="eastAsia"/>
          <w:sz w:val="32"/>
          <w:szCs w:val="32"/>
        </w:rPr>
        <w:t>1</w:t>
      </w:r>
      <w:r w:rsidR="006D790E">
        <w:rPr>
          <w:rFonts w:ascii="仿宋_GB2312" w:eastAsia="仿宋_GB2312" w:hint="eastAsia"/>
          <w:sz w:val="32"/>
          <w:szCs w:val="32"/>
        </w:rPr>
        <w:t>5</w:t>
      </w:r>
      <w:r>
        <w:rPr>
          <w:rFonts w:ascii="仿宋_GB2312" w:eastAsia="仿宋_GB2312"/>
          <w:sz w:val="32"/>
          <w:szCs w:val="32"/>
        </w:rPr>
        <w:t>.</w:t>
      </w:r>
      <w:r w:rsidRPr="00897FCA">
        <w:rPr>
          <w:rFonts w:ascii="仿宋_GB2312" w:eastAsia="仿宋_GB2312" w:hint="eastAsia"/>
          <w:color w:val="auto"/>
          <w:sz w:val="32"/>
          <w:szCs w:val="32"/>
        </w:rPr>
        <w:t xml:space="preserve"> </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w:t>
      </w:r>
      <w:r>
        <w:rPr>
          <w:rFonts w:ascii="仿宋_GB2312" w:eastAsia="仿宋_GB2312" w:hint="eastAsia"/>
          <w:color w:val="auto"/>
          <w:sz w:val="32"/>
          <w:szCs w:val="32"/>
        </w:rPr>
        <w:lastRenderedPageBreak/>
        <w:t>外宾接待）支出。</w:t>
      </w:r>
    </w:p>
    <w:p w:rsidR="00FD6FAF" w:rsidRPr="0079699A" w:rsidRDefault="00897FCA" w:rsidP="0079699A">
      <w:pPr>
        <w:pStyle w:val="Default"/>
        <w:spacing w:line="560" w:lineRule="exact"/>
        <w:ind w:firstLineChars="200" w:firstLine="640"/>
        <w:rPr>
          <w:rFonts w:ascii="仿宋_GB2312" w:eastAsia="仿宋_GB2312"/>
          <w:color w:val="auto"/>
          <w:sz w:val="32"/>
          <w:szCs w:val="32"/>
        </w:rPr>
      </w:pPr>
      <w:r>
        <w:rPr>
          <w:rFonts w:ascii="仿宋_GB2312" w:eastAsia="仿宋_GB2312" w:hint="eastAsia"/>
          <w:sz w:val="32"/>
          <w:szCs w:val="32"/>
        </w:rPr>
        <w:t>1</w:t>
      </w:r>
      <w:r w:rsidR="006D790E">
        <w:rPr>
          <w:rFonts w:ascii="仿宋_GB2312" w:eastAsia="仿宋_GB2312" w:hint="eastAsia"/>
          <w:sz w:val="32"/>
          <w:szCs w:val="32"/>
        </w:rPr>
        <w:t>6</w:t>
      </w:r>
      <w:r>
        <w:rPr>
          <w:rFonts w:ascii="仿宋_GB2312" w:eastAsia="仿宋_GB2312"/>
          <w:sz w:val="32"/>
          <w:szCs w:val="32"/>
        </w:rPr>
        <w:t>.</w:t>
      </w:r>
      <w:r w:rsidR="00EB7464" w:rsidRPr="00EB7464">
        <w:rPr>
          <w:rFonts w:ascii="仿宋_GB2312" w:eastAsia="仿宋_GB2312" w:hint="eastAsia"/>
          <w:color w:val="auto"/>
          <w:sz w:val="32"/>
          <w:szCs w:val="32"/>
        </w:rPr>
        <w:t xml:space="preserve"> </w:t>
      </w:r>
      <w:r w:rsidR="00EB7464">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D6FAF" w:rsidRDefault="002A0280">
      <w:pPr>
        <w:spacing w:line="600" w:lineRule="exact"/>
        <w:jc w:val="center"/>
        <w:outlineLvl w:val="0"/>
        <w:rPr>
          <w:rStyle w:val="1Char"/>
          <w:rFonts w:ascii="黑体" w:eastAsia="黑体" w:hAnsi="黑体"/>
          <w:b w:val="0"/>
        </w:rPr>
      </w:pPr>
      <w:bookmarkStart w:id="52" w:name="_Toc15377226"/>
      <w:r>
        <w:rPr>
          <w:rFonts w:ascii="宋体"/>
          <w:b/>
          <w:sz w:val="44"/>
          <w:szCs w:val="44"/>
        </w:rPr>
        <w:br w:type="page"/>
      </w:r>
      <w:bookmarkStart w:id="53"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3"/>
    </w:p>
    <w:p w:rsidR="003E7AE1" w:rsidRPr="003E7AE1" w:rsidRDefault="002A0280" w:rsidP="003E7AE1">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455"/>
        <w:gridCol w:w="1954"/>
        <w:gridCol w:w="236"/>
      </w:tblGrid>
      <w:tr w:rsidR="00FD6FAF" w:rsidTr="00166DAE">
        <w:trPr>
          <w:trHeight w:val="675"/>
        </w:trPr>
        <w:tc>
          <w:tcPr>
            <w:tcW w:w="9575" w:type="dxa"/>
            <w:gridSpan w:val="7"/>
            <w:tcBorders>
              <w:top w:val="nil"/>
              <w:left w:val="nil"/>
              <w:bottom w:val="nil"/>
              <w:right w:val="nil"/>
            </w:tcBorders>
            <w:shd w:val="clear" w:color="auto" w:fill="auto"/>
            <w:vAlign w:val="center"/>
          </w:tcPr>
          <w:p w:rsidR="00FD6FAF" w:rsidRDefault="002A0280" w:rsidP="003E7AE1">
            <w:pPr>
              <w:widowControl/>
              <w:jc w:val="center"/>
              <w:textAlignment w:val="center"/>
              <w:rPr>
                <w:rFonts w:ascii="宋体" w:hAnsi="宋体" w:cs="宋体"/>
                <w:b/>
                <w:sz w:val="32"/>
                <w:szCs w:val="32"/>
              </w:rPr>
            </w:pPr>
            <w:bookmarkStart w:id="54" w:name="_Toc15396618"/>
            <w:r>
              <w:rPr>
                <w:rFonts w:ascii="宋体" w:hAnsi="宋体" w:cs="宋体" w:hint="eastAsia"/>
                <w:b/>
                <w:sz w:val="32"/>
                <w:szCs w:val="32"/>
              </w:rPr>
              <w:t>2021年（含）特定目标类部门预算项目绩效目标自评</w:t>
            </w:r>
          </w:p>
          <w:p w:rsidR="008C60D4" w:rsidRPr="008C60D4" w:rsidRDefault="008C60D4" w:rsidP="003E7AE1">
            <w:pPr>
              <w:pStyle w:val="a0"/>
              <w:spacing w:beforeLines="0"/>
              <w:jc w:val="center"/>
            </w:pPr>
            <w:r>
              <w:rPr>
                <w:rFonts w:ascii="宋体" w:hAnsi="宋体" w:cs="宋体" w:hint="eastAsia"/>
                <w:b/>
                <w:sz w:val="32"/>
                <w:szCs w:val="32"/>
              </w:rPr>
              <w:t>（援藏干部补助项目）</w:t>
            </w:r>
          </w:p>
        </w:tc>
        <w:tc>
          <w:tcPr>
            <w:tcW w:w="236" w:type="dxa"/>
            <w:tcBorders>
              <w:top w:val="nil"/>
              <w:left w:val="nil"/>
              <w:bottom w:val="nil"/>
              <w:right w:val="nil"/>
            </w:tcBorders>
            <w:shd w:val="clear" w:color="auto" w:fill="auto"/>
            <w:vAlign w:val="center"/>
          </w:tcPr>
          <w:p w:rsidR="00FD6FAF" w:rsidRDefault="00FD6FAF" w:rsidP="003E7AE1">
            <w:pPr>
              <w:widowControl/>
              <w:jc w:val="center"/>
              <w:textAlignment w:val="center"/>
              <w:rPr>
                <w:rFonts w:ascii="宋体" w:hAnsi="宋体" w:cs="宋体"/>
                <w:b/>
                <w:kern w:val="0"/>
                <w:sz w:val="32"/>
                <w:szCs w:val="32"/>
              </w:rPr>
            </w:pPr>
          </w:p>
        </w:tc>
      </w:tr>
      <w:tr w:rsidR="00FD6FAF" w:rsidTr="00166DAE">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166DAE">
            <w:pPr>
              <w:widowControl/>
              <w:spacing w:line="320" w:lineRule="exact"/>
              <w:textAlignment w:val="center"/>
              <w:rPr>
                <w:rFonts w:ascii="宋体" w:hAnsi="宋体" w:cs="宋体"/>
                <w:sz w:val="24"/>
              </w:rPr>
            </w:pPr>
            <w:r>
              <w:rPr>
                <w:rFonts w:ascii="宋体" w:hAnsi="宋体" w:cs="宋体" w:hint="eastAsia"/>
                <w:sz w:val="24"/>
              </w:rPr>
              <w:t>攀枝花市教育和体育局</w:t>
            </w:r>
            <w:r w:rsidR="00F16804">
              <w:rPr>
                <w:rFonts w:ascii="宋体" w:hAnsi="宋体" w:cs="宋体" w:hint="eastAsia"/>
                <w:sz w:val="24"/>
              </w:rPr>
              <w:t>203001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166DAE">
            <w:pPr>
              <w:widowControl/>
              <w:spacing w:line="320" w:lineRule="exact"/>
              <w:jc w:val="center"/>
              <w:textAlignment w:val="center"/>
              <w:rPr>
                <w:rFonts w:ascii="宋体" w:hAnsi="宋体" w:cs="宋体"/>
                <w:sz w:val="24"/>
              </w:rPr>
            </w:pPr>
            <w:r w:rsidRPr="007E75A4">
              <w:rPr>
                <w:rFonts w:ascii="宋体" w:cs="宋体" w:hint="eastAsia"/>
                <w:color w:val="000000"/>
                <w:sz w:val="24"/>
              </w:rPr>
              <w:t>攀枝花市第七高级中学校（攀枝花市民族中学）</w:t>
            </w:r>
          </w:p>
        </w:tc>
      </w:tr>
      <w:tr w:rsidR="00FD6FAF" w:rsidTr="00166DAE">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166DAE">
            <w:pPr>
              <w:widowControl/>
              <w:spacing w:line="320" w:lineRule="exact"/>
              <w:jc w:val="left"/>
              <w:textAlignment w:val="center"/>
              <w:rPr>
                <w:rFonts w:ascii="宋体" w:hAnsi="宋体" w:cs="宋体"/>
                <w:sz w:val="24"/>
              </w:rPr>
            </w:pPr>
            <w:r>
              <w:rPr>
                <w:rFonts w:ascii="宋体" w:hAnsi="宋体" w:cs="宋体" w:hint="eastAsia"/>
                <w:sz w:val="24"/>
              </w:rPr>
              <w:t>14</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166DAE" w:rsidP="00166DAE">
            <w:pPr>
              <w:widowControl/>
              <w:spacing w:line="320" w:lineRule="exact"/>
              <w:jc w:val="left"/>
              <w:textAlignment w:val="center"/>
              <w:rPr>
                <w:rFonts w:ascii="宋体" w:hAnsi="宋体" w:cs="宋体"/>
                <w:sz w:val="24"/>
              </w:rPr>
            </w:pPr>
            <w:r>
              <w:rPr>
                <w:rFonts w:ascii="宋体" w:hAnsi="宋体" w:cs="宋体" w:hint="eastAsia"/>
                <w:sz w:val="24"/>
              </w:rPr>
              <w:t>16</w:t>
            </w:r>
          </w:p>
        </w:tc>
      </w:tr>
      <w:tr w:rsidR="00FD6FAF" w:rsidTr="00166DAE">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FD6FAF">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FD6FAF" w:rsidRDefault="002A0280">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166DAE">
            <w:pPr>
              <w:widowControl/>
              <w:spacing w:line="320" w:lineRule="exact"/>
              <w:jc w:val="left"/>
              <w:textAlignment w:val="center"/>
              <w:rPr>
                <w:rFonts w:ascii="宋体" w:hAnsi="宋体" w:cs="宋体"/>
                <w:sz w:val="24"/>
              </w:rPr>
            </w:pPr>
            <w:r>
              <w:rPr>
                <w:rFonts w:ascii="宋体" w:hAnsi="宋体" w:cs="宋体" w:hint="eastAsia"/>
                <w:sz w:val="24"/>
              </w:rPr>
              <w:t>14</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FD6FAF" w:rsidRDefault="002A0280">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166DAE">
            <w:pPr>
              <w:widowControl/>
              <w:spacing w:line="320" w:lineRule="exact"/>
              <w:textAlignment w:val="center"/>
              <w:rPr>
                <w:rFonts w:ascii="宋体" w:hAnsi="宋体" w:cs="宋体"/>
                <w:sz w:val="24"/>
              </w:rPr>
            </w:pPr>
            <w:r>
              <w:rPr>
                <w:rFonts w:ascii="宋体" w:hAnsi="宋体" w:cs="宋体" w:hint="eastAsia"/>
                <w:sz w:val="24"/>
              </w:rPr>
              <w:t>16</w:t>
            </w:r>
          </w:p>
        </w:tc>
      </w:tr>
      <w:tr w:rsidR="00FD6FAF" w:rsidTr="00166DAE">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FD6FAF">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166DAE">
            <w:pPr>
              <w:widowControl/>
              <w:spacing w:line="320" w:lineRule="exact"/>
              <w:jc w:val="left"/>
              <w:textAlignment w:val="center"/>
              <w:rPr>
                <w:rFonts w:ascii="宋体" w:hAnsi="宋体" w:cs="宋体"/>
                <w:sz w:val="24"/>
              </w:rPr>
            </w:pPr>
            <w:r>
              <w:rPr>
                <w:rFonts w:ascii="宋体" w:hAnsi="宋体" w:cs="宋体" w:hint="eastAsia"/>
                <w:sz w:val="24"/>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166DAE" w:rsidP="00166DAE">
            <w:pPr>
              <w:widowControl/>
              <w:spacing w:line="320" w:lineRule="exact"/>
              <w:jc w:val="left"/>
              <w:textAlignment w:val="center"/>
              <w:rPr>
                <w:rFonts w:ascii="宋体" w:hAnsi="宋体" w:cs="宋体"/>
                <w:sz w:val="24"/>
              </w:rPr>
            </w:pPr>
            <w:r>
              <w:rPr>
                <w:rFonts w:ascii="宋体" w:hAnsi="宋体" w:cs="宋体" w:hint="eastAsia"/>
                <w:sz w:val="24"/>
              </w:rPr>
              <w:t>0</w:t>
            </w:r>
          </w:p>
        </w:tc>
      </w:tr>
      <w:tr w:rsidR="00FD6FAF" w:rsidTr="00166DAE">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FD6FAF" w:rsidRDefault="002A0280">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FD6FAF" w:rsidTr="00884BE9">
        <w:trPr>
          <w:gridAfter w:val="1"/>
          <w:wAfter w:w="236" w:type="dxa"/>
          <w:trHeight w:val="1761"/>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FD6FAF">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166DAE" w:rsidP="009F4579">
            <w:pPr>
              <w:widowControl/>
              <w:spacing w:line="320" w:lineRule="exact"/>
              <w:textAlignment w:val="top"/>
              <w:rPr>
                <w:rFonts w:ascii="宋体" w:hAnsi="宋体" w:cs="宋体"/>
                <w:sz w:val="24"/>
              </w:rPr>
            </w:pPr>
            <w:r w:rsidRPr="007E75A4">
              <w:rPr>
                <w:rFonts w:ascii="宋体" w:cs="宋体" w:hint="eastAsia"/>
                <w:color w:val="000000"/>
                <w:sz w:val="24"/>
              </w:rPr>
              <w:t>保障</w:t>
            </w:r>
            <w:r w:rsidR="009F4579">
              <w:rPr>
                <w:rFonts w:ascii="宋体" w:cs="宋体" w:hint="eastAsia"/>
                <w:color w:val="000000"/>
                <w:sz w:val="24"/>
              </w:rPr>
              <w:t>五名</w:t>
            </w:r>
            <w:r w:rsidRPr="007E75A4">
              <w:rPr>
                <w:rFonts w:ascii="宋体" w:cs="宋体" w:hint="eastAsia"/>
                <w:color w:val="000000"/>
                <w:sz w:val="24"/>
              </w:rPr>
              <w:t>援藏干部</w:t>
            </w:r>
            <w:r w:rsidR="009F4579">
              <w:rPr>
                <w:rFonts w:ascii="宋体" w:cs="宋体" w:hint="eastAsia"/>
                <w:color w:val="000000"/>
                <w:sz w:val="24"/>
              </w:rPr>
              <w:t>的</w:t>
            </w:r>
            <w:r w:rsidRPr="007E75A4">
              <w:rPr>
                <w:rFonts w:ascii="宋体" w:cs="宋体" w:hint="eastAsia"/>
                <w:color w:val="000000"/>
                <w:sz w:val="24"/>
              </w:rPr>
              <w:t>补助经费及时发放，保障木里县教育教学质量稳步上升，助力木里县经济社会发展。</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9F4579" w:rsidP="00884BE9">
            <w:pPr>
              <w:widowControl/>
              <w:spacing w:line="320" w:lineRule="exact"/>
              <w:textAlignment w:val="top"/>
              <w:rPr>
                <w:rFonts w:ascii="宋体" w:hAnsi="宋体" w:cs="宋体"/>
                <w:sz w:val="24"/>
              </w:rPr>
            </w:pPr>
            <w:r>
              <w:rPr>
                <w:rFonts w:ascii="宋体" w:cs="宋体" w:hint="eastAsia"/>
                <w:color w:val="000000"/>
                <w:sz w:val="24"/>
              </w:rPr>
              <w:t>五名</w:t>
            </w:r>
            <w:r w:rsidR="00166DAE" w:rsidRPr="007E75A4">
              <w:rPr>
                <w:rFonts w:ascii="宋体" w:cs="宋体" w:hint="eastAsia"/>
                <w:color w:val="000000"/>
                <w:sz w:val="24"/>
              </w:rPr>
              <w:t>援藏干部</w:t>
            </w:r>
            <w:r>
              <w:rPr>
                <w:rFonts w:ascii="宋体" w:cs="宋体" w:hint="eastAsia"/>
                <w:color w:val="000000"/>
                <w:sz w:val="24"/>
              </w:rPr>
              <w:t>的</w:t>
            </w:r>
            <w:r w:rsidR="00166DAE" w:rsidRPr="007E75A4">
              <w:rPr>
                <w:rFonts w:ascii="宋体" w:cs="宋体" w:hint="eastAsia"/>
                <w:color w:val="000000"/>
                <w:sz w:val="24"/>
              </w:rPr>
              <w:t>补助经费已及时足额发放，援藏工作有序开展，木里县教育教学质量稳步上升，木里县经济社会发展良好。</w:t>
            </w:r>
          </w:p>
        </w:tc>
      </w:tr>
      <w:tr w:rsidR="00FD6FAF" w:rsidTr="003E7AE1">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FD6FAF" w:rsidRDefault="002A028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FD6FAF" w:rsidRDefault="002A0280">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FD6FAF" w:rsidRDefault="002A028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FD6FAF" w:rsidRDefault="002A028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FD6FAF" w:rsidRDefault="002A028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FAF" w:rsidRDefault="002A028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166DAE" w:rsidTr="001237DD">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166DAE" w:rsidRDefault="00166DAE" w:rsidP="00166DA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237D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166DAE" w:rsidRDefault="00166DAE" w:rsidP="001237D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6DAE" w:rsidRDefault="00166DAE" w:rsidP="00166DA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保障援藏援彝干部数量</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5人</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5人</w:t>
            </w:r>
          </w:p>
        </w:tc>
      </w:tr>
      <w:tr w:rsidR="00166DAE" w:rsidTr="003E7AE1">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166DAE" w:rsidRDefault="00166DAE" w:rsidP="00166DA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66DAE" w:rsidRDefault="00166DAE" w:rsidP="00166DA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6DAE" w:rsidRDefault="00166DAE" w:rsidP="00166DA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援藏援彝工作</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有序、稳步开展</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有序、稳步开展</w:t>
            </w:r>
          </w:p>
        </w:tc>
      </w:tr>
      <w:tr w:rsidR="00166DAE" w:rsidTr="003E7AE1">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166DAE" w:rsidRDefault="00166DAE" w:rsidP="00166DA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66DAE" w:rsidRDefault="00166DAE" w:rsidP="00166DA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6DAE" w:rsidRDefault="00166DAE" w:rsidP="00166DA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保障时限</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Pr>
                <w:rFonts w:ascii="宋体" w:cs="宋体" w:hint="eastAsia"/>
                <w:color w:val="000000"/>
                <w:sz w:val="24"/>
              </w:rPr>
              <w:t>2021</w:t>
            </w:r>
            <w:r w:rsidRPr="000301CB">
              <w:rPr>
                <w:rFonts w:ascii="宋体" w:cs="宋体" w:hint="eastAsia"/>
                <w:color w:val="000000"/>
                <w:sz w:val="24"/>
              </w:rPr>
              <w:t>全年</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Pr>
                <w:rFonts w:ascii="宋体" w:cs="宋体" w:hint="eastAsia"/>
                <w:color w:val="000000"/>
                <w:sz w:val="24"/>
              </w:rPr>
              <w:t>2021</w:t>
            </w:r>
            <w:r w:rsidRPr="000301CB">
              <w:rPr>
                <w:rFonts w:ascii="宋体" w:cs="宋体" w:hint="eastAsia"/>
                <w:color w:val="000000"/>
                <w:sz w:val="24"/>
              </w:rPr>
              <w:t>全年</w:t>
            </w:r>
          </w:p>
        </w:tc>
      </w:tr>
      <w:tr w:rsidR="00166DAE" w:rsidTr="003E7AE1">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166DAE" w:rsidRDefault="00166DAE" w:rsidP="00166DA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66DAE" w:rsidRDefault="00166DAE" w:rsidP="00166DA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6DAE" w:rsidRDefault="00166DAE" w:rsidP="00166DA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补助经费</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Pr>
                <w:rFonts w:ascii="宋体" w:cs="宋体" w:hint="eastAsia"/>
                <w:color w:val="000000"/>
                <w:sz w:val="24"/>
              </w:rPr>
              <w:t>14万元</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Pr>
                <w:rFonts w:ascii="宋体" w:cs="宋体" w:hint="eastAsia"/>
                <w:color w:val="000000"/>
                <w:sz w:val="24"/>
              </w:rPr>
              <w:t>16万元</w:t>
            </w:r>
          </w:p>
        </w:tc>
      </w:tr>
      <w:tr w:rsidR="00166DAE" w:rsidTr="003E7AE1">
        <w:trPr>
          <w:gridAfter w:val="1"/>
          <w:wAfter w:w="236" w:type="dxa"/>
          <w:trHeight w:val="1812"/>
        </w:trPr>
        <w:tc>
          <w:tcPr>
            <w:tcW w:w="1976" w:type="dxa"/>
            <w:vMerge/>
            <w:tcBorders>
              <w:left w:val="single" w:sz="4" w:space="0" w:color="000000"/>
              <w:right w:val="single" w:sz="4" w:space="0" w:color="000000"/>
            </w:tcBorders>
            <w:shd w:val="clear" w:color="auto" w:fill="auto"/>
            <w:vAlign w:val="center"/>
          </w:tcPr>
          <w:p w:rsidR="00166DAE" w:rsidRDefault="00166DAE" w:rsidP="00166DA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66DAE" w:rsidRDefault="00166DAE" w:rsidP="00166DA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6DAE" w:rsidRDefault="00166DAE" w:rsidP="00166DA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援藏工作有序开展</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保障木里县教育教学质量稳步上升，助力木里县经济社会发展</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木里县教育教学质量稳步上升，木里县经济社会发展良好</w:t>
            </w:r>
          </w:p>
        </w:tc>
      </w:tr>
      <w:tr w:rsidR="00166DAE" w:rsidTr="003E7AE1">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166DAE" w:rsidRDefault="00166DAE" w:rsidP="00166DA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66DAE" w:rsidRDefault="00166DAE" w:rsidP="00166DA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6DAE" w:rsidRDefault="00166DAE" w:rsidP="00166DA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个人援藏工作影响年限</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≥5年</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Pr="000301CB" w:rsidRDefault="00166DAE" w:rsidP="00166DAE">
            <w:pPr>
              <w:jc w:val="center"/>
              <w:rPr>
                <w:rFonts w:ascii="宋体" w:cs="宋体"/>
                <w:sz w:val="24"/>
              </w:rPr>
            </w:pPr>
            <w:r w:rsidRPr="000301CB">
              <w:rPr>
                <w:rFonts w:ascii="宋体" w:cs="宋体" w:hint="eastAsia"/>
                <w:sz w:val="24"/>
              </w:rPr>
              <w:t>≥5年</w:t>
            </w:r>
          </w:p>
        </w:tc>
      </w:tr>
      <w:tr w:rsidR="00166DAE" w:rsidTr="003E7AE1">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166DAE" w:rsidRDefault="00166DAE" w:rsidP="00166DA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6DAE" w:rsidRDefault="00166DAE" w:rsidP="00166DA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6DAE" w:rsidRDefault="00166DAE" w:rsidP="00166DA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166DAE" w:rsidRDefault="00166DAE" w:rsidP="00166DA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个人援藏工作影响年限</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Default="00166DAE" w:rsidP="00166DAE">
            <w:pPr>
              <w:widowControl/>
              <w:jc w:val="center"/>
              <w:textAlignment w:val="center"/>
              <w:rPr>
                <w:rFonts w:ascii="宋体" w:cs="宋体"/>
                <w:color w:val="000000"/>
                <w:sz w:val="24"/>
              </w:rPr>
            </w:pPr>
            <w:r w:rsidRPr="000301CB">
              <w:rPr>
                <w:rFonts w:ascii="宋体" w:cs="宋体" w:hint="eastAsia"/>
                <w:color w:val="000000"/>
                <w:sz w:val="24"/>
              </w:rPr>
              <w:t>≥5年</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DAE" w:rsidRPr="000301CB" w:rsidRDefault="00166DAE" w:rsidP="00166DAE">
            <w:pPr>
              <w:jc w:val="center"/>
              <w:rPr>
                <w:rFonts w:ascii="宋体" w:cs="宋体"/>
                <w:sz w:val="24"/>
              </w:rPr>
            </w:pPr>
            <w:r w:rsidRPr="000301CB">
              <w:rPr>
                <w:rFonts w:ascii="宋体" w:cs="宋体" w:hint="eastAsia"/>
                <w:sz w:val="24"/>
              </w:rPr>
              <w:t>≥5年</w:t>
            </w:r>
          </w:p>
        </w:tc>
      </w:tr>
    </w:tbl>
    <w:p w:rsidR="00FD6FAF" w:rsidRDefault="00FD6FAF">
      <w:pPr>
        <w:spacing w:line="600" w:lineRule="exact"/>
        <w:jc w:val="center"/>
        <w:outlineLvl w:val="0"/>
        <w:rPr>
          <w:rFonts w:ascii="黑体" w:eastAsia="黑体" w:hAnsi="黑体"/>
          <w:sz w:val="44"/>
          <w:szCs w:val="44"/>
        </w:rPr>
      </w:pPr>
    </w:p>
    <w:p w:rsidR="00FD6FAF" w:rsidRDefault="00FD6FAF">
      <w:pPr>
        <w:spacing w:line="600" w:lineRule="exact"/>
        <w:jc w:val="center"/>
        <w:outlineLvl w:val="0"/>
        <w:rPr>
          <w:rFonts w:ascii="黑体" w:eastAsia="黑体" w:hAnsi="黑体"/>
          <w:sz w:val="44"/>
          <w:szCs w:val="44"/>
        </w:rPr>
      </w:pPr>
    </w:p>
    <w:p w:rsidR="00FD6FAF" w:rsidRDefault="00FD6FAF">
      <w:pPr>
        <w:spacing w:line="600" w:lineRule="exact"/>
        <w:jc w:val="center"/>
        <w:outlineLvl w:val="0"/>
        <w:rPr>
          <w:rFonts w:ascii="黑体" w:eastAsia="黑体" w:hAnsi="黑体"/>
          <w:sz w:val="44"/>
          <w:szCs w:val="44"/>
        </w:rPr>
      </w:pPr>
    </w:p>
    <w:p w:rsidR="00786766" w:rsidRDefault="00786766" w:rsidP="00786766">
      <w:pPr>
        <w:pStyle w:val="a0"/>
        <w:spacing w:before="93"/>
      </w:pPr>
    </w:p>
    <w:p w:rsidR="00786766" w:rsidRDefault="00786766" w:rsidP="00786766">
      <w:pPr>
        <w:pStyle w:val="a0"/>
        <w:spacing w:before="93"/>
      </w:pPr>
    </w:p>
    <w:p w:rsidR="00786766" w:rsidRDefault="00786766" w:rsidP="00786766">
      <w:pPr>
        <w:pStyle w:val="a0"/>
        <w:spacing w:before="93"/>
      </w:pPr>
    </w:p>
    <w:p w:rsidR="00786766" w:rsidRDefault="00786766" w:rsidP="00786766">
      <w:pPr>
        <w:pStyle w:val="a0"/>
        <w:spacing w:before="93"/>
      </w:pPr>
    </w:p>
    <w:p w:rsidR="00786766" w:rsidRDefault="00786766" w:rsidP="00786766">
      <w:pPr>
        <w:pStyle w:val="a0"/>
        <w:spacing w:before="93"/>
      </w:pPr>
    </w:p>
    <w:p w:rsidR="00786766" w:rsidRDefault="00786766" w:rsidP="00786766">
      <w:pPr>
        <w:pStyle w:val="a0"/>
        <w:spacing w:before="93"/>
      </w:pPr>
    </w:p>
    <w:p w:rsidR="00786766" w:rsidRDefault="00786766" w:rsidP="00786766">
      <w:pPr>
        <w:pStyle w:val="a0"/>
        <w:spacing w:before="93"/>
      </w:pPr>
    </w:p>
    <w:p w:rsidR="00786766" w:rsidRDefault="00786766" w:rsidP="00786766">
      <w:pPr>
        <w:pStyle w:val="a0"/>
        <w:spacing w:before="93"/>
      </w:pPr>
    </w:p>
    <w:p w:rsidR="00786766" w:rsidRDefault="00786766" w:rsidP="00786766">
      <w:pPr>
        <w:pStyle w:val="a0"/>
        <w:spacing w:before="93"/>
      </w:pPr>
    </w:p>
    <w:p w:rsidR="00786766" w:rsidRDefault="00786766" w:rsidP="00786766">
      <w:pPr>
        <w:pStyle w:val="a0"/>
        <w:spacing w:before="93"/>
      </w:pPr>
    </w:p>
    <w:p w:rsidR="00786766" w:rsidRDefault="00786766" w:rsidP="00786766">
      <w:pPr>
        <w:pStyle w:val="a0"/>
        <w:spacing w:before="93"/>
      </w:pPr>
    </w:p>
    <w:p w:rsidR="00786766" w:rsidRDefault="00786766" w:rsidP="00786766">
      <w:pPr>
        <w:pStyle w:val="a0"/>
        <w:spacing w:before="93"/>
      </w:pPr>
    </w:p>
    <w:p w:rsidR="00786766" w:rsidRDefault="00786766" w:rsidP="00786766">
      <w:pPr>
        <w:pStyle w:val="a0"/>
        <w:spacing w:before="93"/>
      </w:pPr>
    </w:p>
    <w:p w:rsidR="00CB1CC1" w:rsidRDefault="00CB1CC1" w:rsidP="00786766">
      <w:pPr>
        <w:pStyle w:val="a0"/>
        <w:spacing w:before="93"/>
      </w:pPr>
    </w:p>
    <w:p w:rsidR="00786766" w:rsidRPr="00786766" w:rsidRDefault="00786766" w:rsidP="00786766">
      <w:pPr>
        <w:pStyle w:val="a0"/>
        <w:spacing w:before="93"/>
      </w:pPr>
    </w:p>
    <w:p w:rsidR="00FD6FAF" w:rsidRDefault="002A0280">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5" w:name="_Toc15396619"/>
      <w:bookmarkEnd w:id="52"/>
      <w:bookmarkEnd w:id="54"/>
    </w:p>
    <w:p w:rsidR="00FD6FAF" w:rsidRDefault="002A0280">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FD6FAF" w:rsidRDefault="002A0280">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FD6FAF" w:rsidRDefault="002A0280">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FD6FAF" w:rsidRDefault="002A0280">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FD6FAF" w:rsidRDefault="002A0280">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FD6FAF" w:rsidRDefault="002A0280">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FD6FAF" w:rsidRDefault="002A0280">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FD6FAF" w:rsidRDefault="002A0280">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FD6FAF" w:rsidRDefault="002A0280">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FD6FAF" w:rsidRDefault="002A0280">
      <w:pPr>
        <w:pStyle w:val="2"/>
        <w:rPr>
          <w:rFonts w:ascii="仿宋" w:eastAsia="仿宋" w:hAnsi="仿宋"/>
        </w:rPr>
      </w:pPr>
      <w:bookmarkStart w:id="64"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4"/>
    </w:p>
    <w:p w:rsidR="00FD6FAF" w:rsidRDefault="002A0280">
      <w:pPr>
        <w:pStyle w:val="2"/>
        <w:rPr>
          <w:rFonts w:ascii="仿宋" w:eastAsia="仿宋" w:hAnsi="仿宋"/>
        </w:rPr>
      </w:pPr>
      <w:bookmarkStart w:id="6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5"/>
    </w:p>
    <w:p w:rsidR="00FD6FAF" w:rsidRDefault="002A0280">
      <w:pPr>
        <w:pStyle w:val="2"/>
        <w:rPr>
          <w:rFonts w:ascii="仿宋" w:eastAsia="仿宋" w:hAnsi="仿宋"/>
        </w:rPr>
      </w:pPr>
      <w:bookmarkStart w:id="6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6"/>
    </w:p>
    <w:p w:rsidR="00FD6FAF" w:rsidRDefault="002A0280">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7"/>
    </w:p>
    <w:p w:rsidR="00FD6FAF" w:rsidRDefault="002A0280">
      <w:pPr>
        <w:rPr>
          <w:rFonts w:eastAsia="仿宋"/>
        </w:rPr>
      </w:pPr>
      <w:r>
        <w:rPr>
          <w:rStyle w:val="2Char"/>
          <w:rFonts w:ascii="仿宋" w:eastAsia="仿宋" w:hAnsi="仿宋" w:hint="eastAsia"/>
          <w:b w:val="0"/>
          <w:bCs w:val="0"/>
        </w:rPr>
        <w:t>十四、国有资本经营预算财政拨款支出决算表</w:t>
      </w:r>
    </w:p>
    <w:sectPr w:rsidR="00FD6FAF" w:rsidSect="00FD6FAF">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43D" w:rsidRDefault="0031243D" w:rsidP="00FD6FAF">
      <w:r>
        <w:separator/>
      </w:r>
    </w:p>
  </w:endnote>
  <w:endnote w:type="continuationSeparator" w:id="1">
    <w:p w:rsidR="0031243D" w:rsidRDefault="0031243D" w:rsidP="00FD6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FD6FAF" w:rsidRDefault="006B056F">
        <w:pPr>
          <w:pStyle w:val="a5"/>
          <w:jc w:val="center"/>
        </w:pPr>
        <w:r>
          <w:fldChar w:fldCharType="begin"/>
        </w:r>
        <w:r w:rsidR="002A0280">
          <w:instrText>PAGE   \* MERGEFORMAT</w:instrText>
        </w:r>
        <w:r>
          <w:fldChar w:fldCharType="separate"/>
        </w:r>
        <w:r w:rsidR="004B193C" w:rsidRPr="004B193C">
          <w:rPr>
            <w:noProof/>
            <w:lang w:val="zh-CN"/>
          </w:rPr>
          <w:t>2</w:t>
        </w:r>
        <w:r>
          <w:fldChar w:fldCharType="end"/>
        </w:r>
      </w:p>
    </w:sdtContent>
  </w:sdt>
  <w:p w:rsidR="00FD6FAF" w:rsidRDefault="00FD6F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43D" w:rsidRDefault="0031243D" w:rsidP="00FD6FAF">
      <w:r>
        <w:separator/>
      </w:r>
    </w:p>
  </w:footnote>
  <w:footnote w:type="continuationSeparator" w:id="1">
    <w:p w:rsidR="0031243D" w:rsidRDefault="0031243D" w:rsidP="00FD6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AF" w:rsidRDefault="00FD6FA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9E3A10E2"/>
    <w:rsid w:val="F2E1F9D4"/>
    <w:rsid w:val="F7880819"/>
    <w:rsid w:val="00000899"/>
    <w:rsid w:val="000222C6"/>
    <w:rsid w:val="0002549F"/>
    <w:rsid w:val="000468DB"/>
    <w:rsid w:val="0006487A"/>
    <w:rsid w:val="00065F8F"/>
    <w:rsid w:val="00070A43"/>
    <w:rsid w:val="000768F2"/>
    <w:rsid w:val="0009184B"/>
    <w:rsid w:val="00094236"/>
    <w:rsid w:val="0009593C"/>
    <w:rsid w:val="00097322"/>
    <w:rsid w:val="000A47DE"/>
    <w:rsid w:val="000A47FC"/>
    <w:rsid w:val="000A6A92"/>
    <w:rsid w:val="000B047F"/>
    <w:rsid w:val="000B1907"/>
    <w:rsid w:val="000B5923"/>
    <w:rsid w:val="000B5A48"/>
    <w:rsid w:val="000B6FF3"/>
    <w:rsid w:val="000C3467"/>
    <w:rsid w:val="000C3CA6"/>
    <w:rsid w:val="000D1267"/>
    <w:rsid w:val="000D1D50"/>
    <w:rsid w:val="000D572E"/>
    <w:rsid w:val="000D5782"/>
    <w:rsid w:val="000E562B"/>
    <w:rsid w:val="000E6613"/>
    <w:rsid w:val="000E7119"/>
    <w:rsid w:val="000F0AB7"/>
    <w:rsid w:val="0010387F"/>
    <w:rsid w:val="00104A05"/>
    <w:rsid w:val="00114E9B"/>
    <w:rsid w:val="001237DD"/>
    <w:rsid w:val="00142216"/>
    <w:rsid w:val="00144D6A"/>
    <w:rsid w:val="0014729F"/>
    <w:rsid w:val="00157BAB"/>
    <w:rsid w:val="001654D1"/>
    <w:rsid w:val="00166DAE"/>
    <w:rsid w:val="00174518"/>
    <w:rsid w:val="0018106D"/>
    <w:rsid w:val="00185FDB"/>
    <w:rsid w:val="001877A7"/>
    <w:rsid w:val="00191536"/>
    <w:rsid w:val="00191821"/>
    <w:rsid w:val="00196687"/>
    <w:rsid w:val="001C0962"/>
    <w:rsid w:val="001D7531"/>
    <w:rsid w:val="001E2D7B"/>
    <w:rsid w:val="001E737D"/>
    <w:rsid w:val="001F0592"/>
    <w:rsid w:val="001F7506"/>
    <w:rsid w:val="002006CD"/>
    <w:rsid w:val="00202B36"/>
    <w:rsid w:val="00204B7A"/>
    <w:rsid w:val="00204CDE"/>
    <w:rsid w:val="002055C6"/>
    <w:rsid w:val="00206DB3"/>
    <w:rsid w:val="0021101A"/>
    <w:rsid w:val="00216163"/>
    <w:rsid w:val="00220536"/>
    <w:rsid w:val="00235629"/>
    <w:rsid w:val="00260C38"/>
    <w:rsid w:val="002616C0"/>
    <w:rsid w:val="0026170C"/>
    <w:rsid w:val="00265372"/>
    <w:rsid w:val="002662AA"/>
    <w:rsid w:val="0028007A"/>
    <w:rsid w:val="00280496"/>
    <w:rsid w:val="00294C78"/>
    <w:rsid w:val="00294DC9"/>
    <w:rsid w:val="00295495"/>
    <w:rsid w:val="002A0280"/>
    <w:rsid w:val="002A31DE"/>
    <w:rsid w:val="002B2613"/>
    <w:rsid w:val="002D6D05"/>
    <w:rsid w:val="002F1818"/>
    <w:rsid w:val="002F567B"/>
    <w:rsid w:val="0031243D"/>
    <w:rsid w:val="003216A9"/>
    <w:rsid w:val="003273DB"/>
    <w:rsid w:val="003327E0"/>
    <w:rsid w:val="00334A21"/>
    <w:rsid w:val="0033598D"/>
    <w:rsid w:val="00335A74"/>
    <w:rsid w:val="00362AEE"/>
    <w:rsid w:val="00364FB9"/>
    <w:rsid w:val="0036561B"/>
    <w:rsid w:val="0037013F"/>
    <w:rsid w:val="00371211"/>
    <w:rsid w:val="003716F4"/>
    <w:rsid w:val="00371DF0"/>
    <w:rsid w:val="00380C92"/>
    <w:rsid w:val="003A484F"/>
    <w:rsid w:val="003A4883"/>
    <w:rsid w:val="003B0BE0"/>
    <w:rsid w:val="003B0C1B"/>
    <w:rsid w:val="003B688C"/>
    <w:rsid w:val="003C0291"/>
    <w:rsid w:val="003C39AE"/>
    <w:rsid w:val="003C4543"/>
    <w:rsid w:val="003C7B60"/>
    <w:rsid w:val="003D0C0F"/>
    <w:rsid w:val="003D1FB2"/>
    <w:rsid w:val="003D66DA"/>
    <w:rsid w:val="003E1310"/>
    <w:rsid w:val="003E588A"/>
    <w:rsid w:val="003E6F55"/>
    <w:rsid w:val="003E7AE1"/>
    <w:rsid w:val="00403F63"/>
    <w:rsid w:val="00406254"/>
    <w:rsid w:val="004223DE"/>
    <w:rsid w:val="00422C59"/>
    <w:rsid w:val="00434489"/>
    <w:rsid w:val="00437085"/>
    <w:rsid w:val="00443880"/>
    <w:rsid w:val="00444E88"/>
    <w:rsid w:val="004464F4"/>
    <w:rsid w:val="004668C4"/>
    <w:rsid w:val="00471401"/>
    <w:rsid w:val="00473F31"/>
    <w:rsid w:val="0048263A"/>
    <w:rsid w:val="00487E5D"/>
    <w:rsid w:val="004A711F"/>
    <w:rsid w:val="004B193C"/>
    <w:rsid w:val="004B199D"/>
    <w:rsid w:val="004B4690"/>
    <w:rsid w:val="004D2F8A"/>
    <w:rsid w:val="004E0A2D"/>
    <w:rsid w:val="004E206B"/>
    <w:rsid w:val="004E3FB6"/>
    <w:rsid w:val="004E6DF7"/>
    <w:rsid w:val="004F0FBD"/>
    <w:rsid w:val="00505A47"/>
    <w:rsid w:val="00507D7B"/>
    <w:rsid w:val="00512FDA"/>
    <w:rsid w:val="00520DA0"/>
    <w:rsid w:val="0052379E"/>
    <w:rsid w:val="00535400"/>
    <w:rsid w:val="00545524"/>
    <w:rsid w:val="00553061"/>
    <w:rsid w:val="005664BB"/>
    <w:rsid w:val="00566FFA"/>
    <w:rsid w:val="0057481D"/>
    <w:rsid w:val="00581264"/>
    <w:rsid w:val="0058486E"/>
    <w:rsid w:val="00585B33"/>
    <w:rsid w:val="0059014D"/>
    <w:rsid w:val="005969BE"/>
    <w:rsid w:val="005A1215"/>
    <w:rsid w:val="005A4295"/>
    <w:rsid w:val="005B35FF"/>
    <w:rsid w:val="005B5C64"/>
    <w:rsid w:val="005C5337"/>
    <w:rsid w:val="005C6BD0"/>
    <w:rsid w:val="005D1C8B"/>
    <w:rsid w:val="005D468D"/>
    <w:rsid w:val="005D5CED"/>
    <w:rsid w:val="005F1A4C"/>
    <w:rsid w:val="00603861"/>
    <w:rsid w:val="00605688"/>
    <w:rsid w:val="006070AF"/>
    <w:rsid w:val="00607E6C"/>
    <w:rsid w:val="006101B1"/>
    <w:rsid w:val="00610B3C"/>
    <w:rsid w:val="00614E44"/>
    <w:rsid w:val="0062270A"/>
    <w:rsid w:val="00622830"/>
    <w:rsid w:val="00623DA0"/>
    <w:rsid w:val="00630AEF"/>
    <w:rsid w:val="00630B01"/>
    <w:rsid w:val="00631297"/>
    <w:rsid w:val="006325F8"/>
    <w:rsid w:val="00633463"/>
    <w:rsid w:val="00634C9A"/>
    <w:rsid w:val="006440E4"/>
    <w:rsid w:val="0066343B"/>
    <w:rsid w:val="00664777"/>
    <w:rsid w:val="00674567"/>
    <w:rsid w:val="006748A4"/>
    <w:rsid w:val="00681A31"/>
    <w:rsid w:val="00683E73"/>
    <w:rsid w:val="006A3141"/>
    <w:rsid w:val="006A5E34"/>
    <w:rsid w:val="006B056F"/>
    <w:rsid w:val="006B2422"/>
    <w:rsid w:val="006B2B9A"/>
    <w:rsid w:val="006C1937"/>
    <w:rsid w:val="006C38FD"/>
    <w:rsid w:val="006C72E3"/>
    <w:rsid w:val="006D503E"/>
    <w:rsid w:val="006D790E"/>
    <w:rsid w:val="006F020C"/>
    <w:rsid w:val="007127B7"/>
    <w:rsid w:val="00712E83"/>
    <w:rsid w:val="00714E64"/>
    <w:rsid w:val="00717777"/>
    <w:rsid w:val="0071798E"/>
    <w:rsid w:val="007241A0"/>
    <w:rsid w:val="007416B6"/>
    <w:rsid w:val="00746F48"/>
    <w:rsid w:val="0075404D"/>
    <w:rsid w:val="0076182A"/>
    <w:rsid w:val="00767B7E"/>
    <w:rsid w:val="007770C3"/>
    <w:rsid w:val="00784D24"/>
    <w:rsid w:val="00785FBA"/>
    <w:rsid w:val="00786766"/>
    <w:rsid w:val="00786E4A"/>
    <w:rsid w:val="007875EB"/>
    <w:rsid w:val="0079426B"/>
    <w:rsid w:val="0079699A"/>
    <w:rsid w:val="007B7C6A"/>
    <w:rsid w:val="007D1682"/>
    <w:rsid w:val="007D312A"/>
    <w:rsid w:val="007D3F19"/>
    <w:rsid w:val="007E23B0"/>
    <w:rsid w:val="007E23E5"/>
    <w:rsid w:val="007E44BB"/>
    <w:rsid w:val="007E6562"/>
    <w:rsid w:val="007F1991"/>
    <w:rsid w:val="007F204A"/>
    <w:rsid w:val="007F2145"/>
    <w:rsid w:val="007F2C2F"/>
    <w:rsid w:val="007F55FC"/>
    <w:rsid w:val="007F5665"/>
    <w:rsid w:val="00800112"/>
    <w:rsid w:val="008101D4"/>
    <w:rsid w:val="00813348"/>
    <w:rsid w:val="008253BB"/>
    <w:rsid w:val="00827C60"/>
    <w:rsid w:val="0083706E"/>
    <w:rsid w:val="008408F6"/>
    <w:rsid w:val="008423A5"/>
    <w:rsid w:val="00850625"/>
    <w:rsid w:val="00853718"/>
    <w:rsid w:val="00855221"/>
    <w:rsid w:val="00856862"/>
    <w:rsid w:val="00860645"/>
    <w:rsid w:val="00867A63"/>
    <w:rsid w:val="00871F71"/>
    <w:rsid w:val="00872FD8"/>
    <w:rsid w:val="00884BE9"/>
    <w:rsid w:val="00885AF4"/>
    <w:rsid w:val="008939CD"/>
    <w:rsid w:val="00897FCA"/>
    <w:rsid w:val="008A0A1E"/>
    <w:rsid w:val="008B768C"/>
    <w:rsid w:val="008C4DB1"/>
    <w:rsid w:val="008C4EAF"/>
    <w:rsid w:val="008C5176"/>
    <w:rsid w:val="008C60D4"/>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10FD"/>
    <w:rsid w:val="009931C3"/>
    <w:rsid w:val="00997A48"/>
    <w:rsid w:val="009B2527"/>
    <w:rsid w:val="009B2C43"/>
    <w:rsid w:val="009B4EAE"/>
    <w:rsid w:val="009B7573"/>
    <w:rsid w:val="009C22F4"/>
    <w:rsid w:val="009C2A4B"/>
    <w:rsid w:val="009C2E98"/>
    <w:rsid w:val="009C5F08"/>
    <w:rsid w:val="009D3447"/>
    <w:rsid w:val="009D4711"/>
    <w:rsid w:val="009F0D29"/>
    <w:rsid w:val="009F1185"/>
    <w:rsid w:val="009F18CD"/>
    <w:rsid w:val="009F2A13"/>
    <w:rsid w:val="009F4579"/>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777B9"/>
    <w:rsid w:val="00A91760"/>
    <w:rsid w:val="00A9365F"/>
    <w:rsid w:val="00A93B00"/>
    <w:rsid w:val="00A93C21"/>
    <w:rsid w:val="00AB2C2B"/>
    <w:rsid w:val="00AB4CEC"/>
    <w:rsid w:val="00AB64C9"/>
    <w:rsid w:val="00AC3C6A"/>
    <w:rsid w:val="00AD1436"/>
    <w:rsid w:val="00AD3783"/>
    <w:rsid w:val="00AD5620"/>
    <w:rsid w:val="00AD656B"/>
    <w:rsid w:val="00AD7C1B"/>
    <w:rsid w:val="00AE16BA"/>
    <w:rsid w:val="00AE1EBE"/>
    <w:rsid w:val="00AE5DC8"/>
    <w:rsid w:val="00B03C9D"/>
    <w:rsid w:val="00B060AE"/>
    <w:rsid w:val="00B10517"/>
    <w:rsid w:val="00B14E76"/>
    <w:rsid w:val="00B161B8"/>
    <w:rsid w:val="00B2048C"/>
    <w:rsid w:val="00B21042"/>
    <w:rsid w:val="00B24DAD"/>
    <w:rsid w:val="00B310B9"/>
    <w:rsid w:val="00B342D5"/>
    <w:rsid w:val="00B35F3F"/>
    <w:rsid w:val="00B36CBB"/>
    <w:rsid w:val="00B40748"/>
    <w:rsid w:val="00B415C5"/>
    <w:rsid w:val="00B425E0"/>
    <w:rsid w:val="00B440AA"/>
    <w:rsid w:val="00B44B70"/>
    <w:rsid w:val="00B53C56"/>
    <w:rsid w:val="00B57DAF"/>
    <w:rsid w:val="00B6504F"/>
    <w:rsid w:val="00B77B48"/>
    <w:rsid w:val="00B77EA6"/>
    <w:rsid w:val="00B81598"/>
    <w:rsid w:val="00B841F1"/>
    <w:rsid w:val="00B944D6"/>
    <w:rsid w:val="00BA42DB"/>
    <w:rsid w:val="00BA60C3"/>
    <w:rsid w:val="00BB4DF0"/>
    <w:rsid w:val="00BC289F"/>
    <w:rsid w:val="00BC2D50"/>
    <w:rsid w:val="00BC43AD"/>
    <w:rsid w:val="00BC5361"/>
    <w:rsid w:val="00BC5460"/>
    <w:rsid w:val="00BC6B50"/>
    <w:rsid w:val="00BD0E25"/>
    <w:rsid w:val="00BF5BD6"/>
    <w:rsid w:val="00BF6B84"/>
    <w:rsid w:val="00C03E31"/>
    <w:rsid w:val="00C22384"/>
    <w:rsid w:val="00C313DA"/>
    <w:rsid w:val="00C33E72"/>
    <w:rsid w:val="00C3431C"/>
    <w:rsid w:val="00C34B9E"/>
    <w:rsid w:val="00C354B2"/>
    <w:rsid w:val="00C35554"/>
    <w:rsid w:val="00C42709"/>
    <w:rsid w:val="00C533CC"/>
    <w:rsid w:val="00C5751C"/>
    <w:rsid w:val="00C61BFC"/>
    <w:rsid w:val="00C62B85"/>
    <w:rsid w:val="00C6433F"/>
    <w:rsid w:val="00C65438"/>
    <w:rsid w:val="00C8637E"/>
    <w:rsid w:val="00C87FD8"/>
    <w:rsid w:val="00C91381"/>
    <w:rsid w:val="00C91CBB"/>
    <w:rsid w:val="00CB1CC1"/>
    <w:rsid w:val="00CB4E70"/>
    <w:rsid w:val="00CC09B6"/>
    <w:rsid w:val="00CC666F"/>
    <w:rsid w:val="00CD1E3F"/>
    <w:rsid w:val="00CE44F6"/>
    <w:rsid w:val="00CE49DA"/>
    <w:rsid w:val="00CE7B61"/>
    <w:rsid w:val="00D00095"/>
    <w:rsid w:val="00D114F0"/>
    <w:rsid w:val="00D20620"/>
    <w:rsid w:val="00D2519C"/>
    <w:rsid w:val="00D254F7"/>
    <w:rsid w:val="00D26091"/>
    <w:rsid w:val="00D2685C"/>
    <w:rsid w:val="00D34E7C"/>
    <w:rsid w:val="00D35489"/>
    <w:rsid w:val="00D36AFE"/>
    <w:rsid w:val="00D42CC3"/>
    <w:rsid w:val="00D44299"/>
    <w:rsid w:val="00D51276"/>
    <w:rsid w:val="00D7035F"/>
    <w:rsid w:val="00D80690"/>
    <w:rsid w:val="00DA634F"/>
    <w:rsid w:val="00DA65AC"/>
    <w:rsid w:val="00DB1913"/>
    <w:rsid w:val="00DC18CF"/>
    <w:rsid w:val="00DC410D"/>
    <w:rsid w:val="00DC5A81"/>
    <w:rsid w:val="00DC68CA"/>
    <w:rsid w:val="00DC7CBA"/>
    <w:rsid w:val="00DD73B7"/>
    <w:rsid w:val="00DE68B6"/>
    <w:rsid w:val="00DF28BC"/>
    <w:rsid w:val="00DF34B9"/>
    <w:rsid w:val="00E01053"/>
    <w:rsid w:val="00E07ACF"/>
    <w:rsid w:val="00E331A1"/>
    <w:rsid w:val="00E33202"/>
    <w:rsid w:val="00E336A9"/>
    <w:rsid w:val="00E37CDE"/>
    <w:rsid w:val="00E472B1"/>
    <w:rsid w:val="00E50624"/>
    <w:rsid w:val="00E50D8D"/>
    <w:rsid w:val="00E568DF"/>
    <w:rsid w:val="00E64269"/>
    <w:rsid w:val="00E6659E"/>
    <w:rsid w:val="00E67A1E"/>
    <w:rsid w:val="00E82267"/>
    <w:rsid w:val="00E853CE"/>
    <w:rsid w:val="00E867B6"/>
    <w:rsid w:val="00E96BE6"/>
    <w:rsid w:val="00EA010F"/>
    <w:rsid w:val="00EB7464"/>
    <w:rsid w:val="00ED1777"/>
    <w:rsid w:val="00ED1B63"/>
    <w:rsid w:val="00ED3C1F"/>
    <w:rsid w:val="00ED4085"/>
    <w:rsid w:val="00ED420E"/>
    <w:rsid w:val="00ED6FBE"/>
    <w:rsid w:val="00ED7580"/>
    <w:rsid w:val="00EE2F57"/>
    <w:rsid w:val="00EE7054"/>
    <w:rsid w:val="00EF4C34"/>
    <w:rsid w:val="00EF77C6"/>
    <w:rsid w:val="00F05438"/>
    <w:rsid w:val="00F1361C"/>
    <w:rsid w:val="00F156F0"/>
    <w:rsid w:val="00F160C7"/>
    <w:rsid w:val="00F16804"/>
    <w:rsid w:val="00F17095"/>
    <w:rsid w:val="00F2408F"/>
    <w:rsid w:val="00F240E9"/>
    <w:rsid w:val="00F36D8F"/>
    <w:rsid w:val="00F417B1"/>
    <w:rsid w:val="00F45853"/>
    <w:rsid w:val="00F602DF"/>
    <w:rsid w:val="00F753A2"/>
    <w:rsid w:val="00F754A1"/>
    <w:rsid w:val="00F81FD9"/>
    <w:rsid w:val="00F841AA"/>
    <w:rsid w:val="00F84A94"/>
    <w:rsid w:val="00F87E96"/>
    <w:rsid w:val="00FA23E8"/>
    <w:rsid w:val="00FD3A14"/>
    <w:rsid w:val="00FD3CC1"/>
    <w:rsid w:val="00FD6FAF"/>
    <w:rsid w:val="00FF1E02"/>
    <w:rsid w:val="00FF30B4"/>
    <w:rsid w:val="00FF6A7D"/>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6FAF"/>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D6FA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D6FA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D6FA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D6FAF"/>
    <w:pPr>
      <w:spacing w:beforeLines="30"/>
    </w:pPr>
    <w:rPr>
      <w:rFonts w:ascii="仿宋_GB2312" w:eastAsia="仿宋_GB2312"/>
      <w:kern w:val="0"/>
      <w:sz w:val="30"/>
    </w:rPr>
  </w:style>
  <w:style w:type="paragraph" w:styleId="30">
    <w:name w:val="toc 3"/>
    <w:basedOn w:val="a"/>
    <w:next w:val="a"/>
    <w:uiPriority w:val="39"/>
    <w:unhideWhenUsed/>
    <w:qFormat/>
    <w:rsid w:val="00FD6FAF"/>
    <w:pPr>
      <w:tabs>
        <w:tab w:val="right" w:leader="dot" w:pos="8296"/>
      </w:tabs>
      <w:ind w:leftChars="400" w:left="840"/>
    </w:pPr>
  </w:style>
  <w:style w:type="paragraph" w:styleId="a4">
    <w:name w:val="Balloon Text"/>
    <w:basedOn w:val="a"/>
    <w:link w:val="Char0"/>
    <w:uiPriority w:val="99"/>
    <w:semiHidden/>
    <w:unhideWhenUsed/>
    <w:qFormat/>
    <w:rsid w:val="00FD6FAF"/>
    <w:rPr>
      <w:sz w:val="18"/>
      <w:szCs w:val="18"/>
    </w:rPr>
  </w:style>
  <w:style w:type="paragraph" w:styleId="a5">
    <w:name w:val="footer"/>
    <w:basedOn w:val="a"/>
    <w:link w:val="Char1"/>
    <w:uiPriority w:val="99"/>
    <w:qFormat/>
    <w:rsid w:val="00FD6FAF"/>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D6FAF"/>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D6FA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D6FAF"/>
    <w:pPr>
      <w:tabs>
        <w:tab w:val="right" w:leader="dot" w:pos="8296"/>
      </w:tabs>
      <w:ind w:leftChars="200" w:left="420"/>
    </w:pPr>
  </w:style>
  <w:style w:type="character" w:styleId="a7">
    <w:name w:val="Strong"/>
    <w:basedOn w:val="a1"/>
    <w:uiPriority w:val="99"/>
    <w:qFormat/>
    <w:rsid w:val="00FD6FAF"/>
    <w:rPr>
      <w:b/>
    </w:rPr>
  </w:style>
  <w:style w:type="character" w:styleId="a8">
    <w:name w:val="Hyperlink"/>
    <w:basedOn w:val="a1"/>
    <w:uiPriority w:val="99"/>
    <w:unhideWhenUsed/>
    <w:qFormat/>
    <w:rsid w:val="00FD6FAF"/>
    <w:rPr>
      <w:color w:val="0000FF" w:themeColor="hyperlink"/>
      <w:u w:val="single"/>
    </w:rPr>
  </w:style>
  <w:style w:type="character" w:customStyle="1" w:styleId="HeaderChar">
    <w:name w:val="Header Char"/>
    <w:basedOn w:val="a1"/>
    <w:uiPriority w:val="99"/>
    <w:semiHidden/>
    <w:qFormat/>
    <w:rsid w:val="00FD6FAF"/>
    <w:rPr>
      <w:rFonts w:ascii="Times New Roman" w:hAnsi="Times New Roman"/>
      <w:sz w:val="18"/>
      <w:szCs w:val="18"/>
    </w:rPr>
  </w:style>
  <w:style w:type="character" w:customStyle="1" w:styleId="Char2">
    <w:name w:val="页眉 Char"/>
    <w:link w:val="a6"/>
    <w:uiPriority w:val="99"/>
    <w:semiHidden/>
    <w:qFormat/>
    <w:locked/>
    <w:rsid w:val="00FD6FAF"/>
    <w:rPr>
      <w:sz w:val="18"/>
    </w:rPr>
  </w:style>
  <w:style w:type="character" w:customStyle="1" w:styleId="FooterChar">
    <w:name w:val="Footer Char"/>
    <w:basedOn w:val="a1"/>
    <w:uiPriority w:val="99"/>
    <w:semiHidden/>
    <w:qFormat/>
    <w:rsid w:val="00FD6FAF"/>
    <w:rPr>
      <w:rFonts w:ascii="Times New Roman" w:hAnsi="Times New Roman"/>
      <w:sz w:val="18"/>
      <w:szCs w:val="18"/>
    </w:rPr>
  </w:style>
  <w:style w:type="character" w:customStyle="1" w:styleId="Char1">
    <w:name w:val="页脚 Char"/>
    <w:link w:val="a5"/>
    <w:uiPriority w:val="99"/>
    <w:qFormat/>
    <w:locked/>
    <w:rsid w:val="00FD6FAF"/>
    <w:rPr>
      <w:sz w:val="18"/>
    </w:rPr>
  </w:style>
  <w:style w:type="character" w:customStyle="1" w:styleId="BodyTextChar">
    <w:name w:val="Body Text Char"/>
    <w:basedOn w:val="a1"/>
    <w:uiPriority w:val="99"/>
    <w:semiHidden/>
    <w:qFormat/>
    <w:rsid w:val="00FD6FAF"/>
    <w:rPr>
      <w:rFonts w:ascii="Times New Roman" w:hAnsi="Times New Roman"/>
      <w:szCs w:val="24"/>
    </w:rPr>
  </w:style>
  <w:style w:type="character" w:customStyle="1" w:styleId="Char">
    <w:name w:val="正文文本 Char"/>
    <w:link w:val="a0"/>
    <w:uiPriority w:val="99"/>
    <w:qFormat/>
    <w:locked/>
    <w:rsid w:val="00FD6FAF"/>
    <w:rPr>
      <w:rFonts w:ascii="仿宋_GB2312" w:eastAsia="仿宋_GB2312" w:hAnsi="Times New Roman"/>
      <w:sz w:val="24"/>
    </w:rPr>
  </w:style>
  <w:style w:type="paragraph" w:customStyle="1" w:styleId="Default">
    <w:name w:val="Default"/>
    <w:uiPriority w:val="99"/>
    <w:qFormat/>
    <w:rsid w:val="00FD6FAF"/>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FD6FAF"/>
    <w:pPr>
      <w:ind w:firstLineChars="200" w:firstLine="420"/>
    </w:pPr>
  </w:style>
  <w:style w:type="character" w:customStyle="1" w:styleId="1Char">
    <w:name w:val="标题 1 Char"/>
    <w:basedOn w:val="a1"/>
    <w:link w:val="1"/>
    <w:uiPriority w:val="9"/>
    <w:qFormat/>
    <w:rsid w:val="00FD6FAF"/>
    <w:rPr>
      <w:rFonts w:ascii="Times New Roman" w:hAnsi="Times New Roman"/>
      <w:b/>
      <w:bCs/>
      <w:kern w:val="44"/>
      <w:sz w:val="44"/>
      <w:szCs w:val="44"/>
    </w:rPr>
  </w:style>
  <w:style w:type="character" w:customStyle="1" w:styleId="2Char">
    <w:name w:val="标题 2 Char"/>
    <w:basedOn w:val="a1"/>
    <w:link w:val="2"/>
    <w:uiPriority w:val="9"/>
    <w:qFormat/>
    <w:rsid w:val="00FD6FAF"/>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D6F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FD6FAF"/>
    <w:rPr>
      <w:rFonts w:ascii="Times New Roman" w:hAnsi="Times New Roman"/>
      <w:kern w:val="2"/>
      <w:sz w:val="18"/>
      <w:szCs w:val="18"/>
    </w:rPr>
  </w:style>
  <w:style w:type="character" w:customStyle="1" w:styleId="3Char">
    <w:name w:val="标题 3 Char"/>
    <w:basedOn w:val="a1"/>
    <w:link w:val="3"/>
    <w:uiPriority w:val="9"/>
    <w:qFormat/>
    <w:rsid w:val="00FD6FAF"/>
    <w:rPr>
      <w:rFonts w:ascii="Times New Roman" w:hAnsi="Times New Roman"/>
      <w:b/>
      <w:bCs/>
      <w:kern w:val="2"/>
      <w:sz w:val="32"/>
      <w:szCs w:val="32"/>
    </w:rPr>
  </w:style>
  <w:style w:type="paragraph" w:customStyle="1" w:styleId="TOC2">
    <w:name w:val="TOC 标题2"/>
    <w:basedOn w:val="1"/>
    <w:next w:val="a"/>
    <w:uiPriority w:val="39"/>
    <w:unhideWhenUsed/>
    <w:qFormat/>
    <w:rsid w:val="00FD6FA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semiHidden/>
    <w:unhideWhenUsed/>
    <w:qFormat/>
    <w:rsid w:val="00F753A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收支总计变动情况</a:t>
            </a:r>
          </a:p>
        </c:rich>
      </c:tx>
    </c:title>
    <c:plotArea>
      <c:layout/>
      <c:barChart>
        <c:barDir val="col"/>
        <c:grouping val="clustered"/>
        <c:ser>
          <c:idx val="0"/>
          <c:order val="0"/>
          <c:tx>
            <c:strRef>
              <c:f>Sheet1!$B$1</c:f>
              <c:strCache>
                <c:ptCount val="1"/>
                <c:pt idx="0">
                  <c:v>收支总计
单位：万元</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Sheet1!$A$2:$A$3</c:f>
              <c:strCache>
                <c:ptCount val="2"/>
                <c:pt idx="0">
                  <c:v>2020年度</c:v>
                </c:pt>
                <c:pt idx="1">
                  <c:v>2021年度</c:v>
                </c:pt>
              </c:strCache>
            </c:strRef>
          </c:cat>
          <c:val>
            <c:numRef>
              <c:f>Sheet1!$B$2:$B$3</c:f>
              <c:numCache>
                <c:formatCode>General</c:formatCode>
                <c:ptCount val="2"/>
                <c:pt idx="0">
                  <c:v>12567.9</c:v>
                </c:pt>
                <c:pt idx="1">
                  <c:v>12839.31</c:v>
                </c:pt>
              </c:numCache>
            </c:numRef>
          </c:val>
          <c:extLst xmlns:c16r2="http://schemas.microsoft.com/office/drawing/2015/06/chart">
            <c:ext xmlns:c16="http://schemas.microsoft.com/office/drawing/2014/chart" uri="{C3380CC4-5D6E-409C-BE32-E72D297353CC}">
              <c16:uniqueId val="{00000000-52F1-4F20-B1FD-C10DDA383D25}"/>
            </c:ext>
          </c:extLst>
        </c:ser>
        <c:axId val="76019200"/>
        <c:axId val="76020736"/>
      </c:barChart>
      <c:catAx>
        <c:axId val="76019200"/>
        <c:scaling>
          <c:orientation val="minMax"/>
        </c:scaling>
        <c:axPos val="b"/>
        <c:numFmt formatCode="General" sourceLinked="0"/>
        <c:tickLblPos val="nextTo"/>
        <c:crossAx val="76020736"/>
        <c:crosses val="autoZero"/>
        <c:auto val="1"/>
        <c:lblAlgn val="ctr"/>
        <c:lblOffset val="100"/>
      </c:catAx>
      <c:valAx>
        <c:axId val="76020736"/>
        <c:scaling>
          <c:orientation val="minMax"/>
        </c:scaling>
        <c:axPos val="l"/>
        <c:majorGridlines/>
        <c:numFmt formatCode="General" sourceLinked="1"/>
        <c:tickLblPos val="nextTo"/>
        <c:crossAx val="7601920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本年收入结构
单位：万元</a:t>
            </a:r>
          </a:p>
        </c:rich>
      </c:tx>
      <c:layout>
        <c:manualLayout>
          <c:xMode val="edge"/>
          <c:yMode val="edge"/>
          <c:x val="0.67577654707440749"/>
          <c:y val="2.8895768833849342E-2"/>
        </c:manualLayout>
      </c:layout>
    </c:title>
    <c:view3D>
      <c:rotX val="30"/>
      <c:perspective val="30"/>
    </c:view3D>
    <c:plotArea>
      <c:layout>
        <c:manualLayout>
          <c:layoutTarget val="inner"/>
          <c:xMode val="edge"/>
          <c:yMode val="edge"/>
          <c:x val="7.2284336718926395E-2"/>
          <c:y val="0.28669998293556981"/>
          <c:w val="0.52077086860651078"/>
          <c:h val="0.58263718583164459"/>
        </c:manualLayout>
      </c:layout>
      <c:pie3DChart>
        <c:varyColors val="1"/>
        <c:ser>
          <c:idx val="0"/>
          <c:order val="0"/>
          <c:tx>
            <c:strRef>
              <c:f>Sheet1!$B$1</c:f>
              <c:strCache>
                <c:ptCount val="1"/>
                <c:pt idx="0">
                  <c:v>本年收入
单位：万元</c:v>
                </c:pt>
              </c:strCache>
            </c:strRef>
          </c:tx>
          <c:explosion val="25"/>
          <c:dLbls>
            <c:dLbl>
              <c:idx val="0"/>
              <c:layout>
                <c:manualLayout>
                  <c:x val="-3.5967548361776236E-2"/>
                  <c:y val="-0.28699674150638294"/>
                </c:manualLayout>
              </c:layout>
              <c:tx>
                <c:rich>
                  <a:bodyPr/>
                  <a:lstStyle/>
                  <a:p>
                    <a:r>
                      <a:rPr lang="zh-CN" altLang="en-US"/>
                      <a:t>一般公共预算财政补款收入
</a:t>
                    </a:r>
                    <a:r>
                      <a:rPr lang="en-US" altLang="zh-CN"/>
                      <a:t>12005.59</a:t>
                    </a:r>
                    <a:r>
                      <a:rPr lang="zh-CN" altLang="en-US"/>
                      <a:t>万元</a:t>
                    </a:r>
                    <a:r>
                      <a:rPr lang="en-US" altLang="zh-CN"/>
                      <a:t>
</a:t>
                    </a:r>
                    <a:r>
                      <a:rPr lang="zh-CN" altLang="en-US"/>
                      <a:t>占比</a:t>
                    </a:r>
                    <a:r>
                      <a:rPr lang="en-US" altLang="zh-CN"/>
                      <a:t>94%</a:t>
                    </a:r>
                    <a:endParaRPr lang="zh-CN" altLang="en-US"/>
                  </a:p>
                </c:rich>
              </c:tx>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79D-411B-8730-DAE684B21479}"/>
                </c:ext>
              </c:extLst>
            </c:dLbl>
            <c:dLbl>
              <c:idx val="1"/>
              <c:layout>
                <c:manualLayout>
                  <c:x val="-7.8745655829862107E-2"/>
                  <c:y val="5.8770223381520034E-2"/>
                </c:manualLayout>
              </c:layout>
              <c:tx>
                <c:rich>
                  <a:bodyPr/>
                  <a:lstStyle/>
                  <a:p>
                    <a:r>
                      <a:rPr lang="zh-CN" altLang="en-US"/>
                      <a:t>政府性基金预算财政拨款收入
</a:t>
                    </a:r>
                    <a:r>
                      <a:rPr lang="en-US" altLang="zh-CN"/>
                      <a:t>378</a:t>
                    </a:r>
                    <a:r>
                      <a:rPr lang="zh-CN" altLang="en-US"/>
                      <a:t>万元</a:t>
                    </a:r>
                    <a:endParaRPr lang="en-US" altLang="zh-CN"/>
                  </a:p>
                  <a:p>
                    <a:r>
                      <a:rPr lang="zh-CN" altLang="en-US"/>
                      <a:t>占比</a:t>
                    </a:r>
                    <a:r>
                      <a:rPr lang="en-US" altLang="zh-CN"/>
                      <a:t>3%</a:t>
                    </a:r>
                    <a:endParaRPr lang="zh-CN" altLang="en-US"/>
                  </a:p>
                </c:rich>
              </c:tx>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79D-411B-8730-DAE684B21479}"/>
                </c:ext>
              </c:extLst>
            </c:dLbl>
            <c:dLbl>
              <c:idx val="2"/>
              <c:layout>
                <c:manualLayout>
                  <c:x val="0.19883359150296523"/>
                  <c:y val="-3.6296856081844256E-2"/>
                </c:manualLayout>
              </c:layout>
              <c:tx>
                <c:rich>
                  <a:bodyPr/>
                  <a:lstStyle/>
                  <a:p>
                    <a:r>
                      <a:rPr lang="zh-CN" altLang="en-US"/>
                      <a:t>其他收入
</a:t>
                    </a:r>
                    <a:r>
                      <a:rPr lang="en-US" altLang="zh-CN"/>
                      <a:t>343.84</a:t>
                    </a:r>
                    <a:r>
                      <a:rPr lang="zh-CN" altLang="en-US"/>
                      <a:t>万元</a:t>
                    </a:r>
                    <a:endParaRPr lang="en-US" altLang="zh-CN"/>
                  </a:p>
                  <a:p>
                    <a:r>
                      <a:rPr lang="zh-CN" altLang="en-US"/>
                      <a:t>占比</a:t>
                    </a:r>
                    <a:r>
                      <a:rPr lang="en-US" altLang="zh-CN"/>
                      <a:t>3%</a:t>
                    </a:r>
                    <a:endParaRPr lang="zh-CN" altLang="en-US"/>
                  </a:p>
                </c:rich>
              </c:tx>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79D-411B-8730-DAE684B21479}"/>
                </c:ext>
              </c:extLst>
            </c:dLbl>
            <c:spPr>
              <a:noFill/>
              <a:ln>
                <a:noFill/>
              </a:ln>
              <a:effectLst/>
            </c:spPr>
            <c:showVal val="1"/>
            <c:showCatName val="1"/>
            <c:showPercent val="1"/>
            <c:showLeaderLines val="1"/>
            <c:extLst xmlns:c16r2="http://schemas.microsoft.com/office/drawing/2015/06/chart">
              <c:ext xmlns:c15="http://schemas.microsoft.com/office/drawing/2012/chart" uri="{CE6537A1-D6FC-4f65-9D91-7224C49458BB}"/>
            </c:extLst>
          </c:dLbls>
          <c:cat>
            <c:strRef>
              <c:f>Sheet1!$A$2:$A$4</c:f>
              <c:strCache>
                <c:ptCount val="3"/>
                <c:pt idx="0">
                  <c:v>一般公共预算财政补款收入</c:v>
                </c:pt>
                <c:pt idx="1">
                  <c:v>政府性基金预算财政拨款收入</c:v>
                </c:pt>
                <c:pt idx="2">
                  <c:v>其他收入</c:v>
                </c:pt>
              </c:strCache>
            </c:strRef>
          </c:cat>
          <c:val>
            <c:numRef>
              <c:f>Sheet1!$B$2:$B$4</c:f>
              <c:numCache>
                <c:formatCode>General</c:formatCode>
                <c:ptCount val="3"/>
                <c:pt idx="0">
                  <c:v>12005.59</c:v>
                </c:pt>
                <c:pt idx="1">
                  <c:v>378</c:v>
                </c:pt>
                <c:pt idx="2">
                  <c:v>343.84000000000032</c:v>
                </c:pt>
              </c:numCache>
            </c:numRef>
          </c:val>
          <c:extLst xmlns:c16r2="http://schemas.microsoft.com/office/drawing/2015/06/chart">
            <c:ext xmlns:c16="http://schemas.microsoft.com/office/drawing/2014/chart" uri="{C3380CC4-5D6E-409C-BE32-E72D297353CC}">
              <c16:uniqueId val="{00000003-779D-411B-8730-DAE684B21479}"/>
            </c:ext>
          </c:extLst>
        </c:ser>
      </c:pie3DChart>
    </c:plotArea>
    <c:legend>
      <c:legendPos val="r"/>
      <c:layout>
        <c:manualLayout>
          <c:xMode val="edge"/>
          <c:yMode val="edge"/>
          <c:x val="0.64152296698525457"/>
          <c:y val="0.37230556706727769"/>
          <c:w val="0.3295822581531993"/>
          <c:h val="0.38133313831127147"/>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本年支出结构
单位：万元</a:t>
            </a:r>
          </a:p>
        </c:rich>
      </c:tx>
    </c:title>
    <c:plotArea>
      <c:layout/>
      <c:pieChart>
        <c:varyColors val="1"/>
        <c:ser>
          <c:idx val="0"/>
          <c:order val="0"/>
          <c:tx>
            <c:strRef>
              <c:f>Sheet1!$B$1</c:f>
              <c:strCache>
                <c:ptCount val="1"/>
                <c:pt idx="0">
                  <c:v>本年支出结构
单位：万元</c:v>
                </c:pt>
              </c:strCache>
            </c:strRef>
          </c:tx>
          <c:explosion val="25"/>
          <c:dLbls>
            <c:dLbl>
              <c:idx val="0"/>
              <c:layout>
                <c:manualLayout>
                  <c:x val="-7.7259395067790865E-2"/>
                  <c:y val="-0.15444772189854003"/>
                </c:manualLayout>
              </c:layout>
              <c:tx>
                <c:rich>
                  <a:bodyPr/>
                  <a:lstStyle/>
                  <a:p>
                    <a:r>
                      <a:rPr lang="zh-CN" altLang="en-US"/>
                      <a:t>基本支出
</a:t>
                    </a:r>
                    <a:r>
                      <a:rPr lang="en-US" altLang="zh-CN"/>
                      <a:t>11354.14
88.43%</a:t>
                    </a:r>
                    <a:endParaRPr lang="zh-CN" altLang="en-US"/>
                  </a:p>
                </c:rich>
              </c:tx>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F03-44E8-8A3E-B0D4E99046E2}"/>
                </c:ext>
              </c:extLst>
            </c:dLbl>
            <c:dLbl>
              <c:idx val="1"/>
              <c:layout>
                <c:manualLayout>
                  <c:x val="-3.3659758338057483E-2"/>
                  <c:y val="0.10801784451866121"/>
                </c:manualLayout>
              </c:layout>
              <c:tx>
                <c:rich>
                  <a:bodyPr/>
                  <a:lstStyle/>
                  <a:p>
                    <a:r>
                      <a:rPr lang="zh-CN" altLang="en-US"/>
                      <a:t>项目支出
</a:t>
                    </a:r>
                    <a:r>
                      <a:rPr lang="en-US" altLang="zh-CN"/>
                      <a:t>1485.17
11.57%</a:t>
                    </a:r>
                    <a:endParaRPr lang="zh-CN" altLang="en-US"/>
                  </a:p>
                </c:rich>
              </c:tx>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F03-44E8-8A3E-B0D4E99046E2}"/>
                </c:ext>
              </c:extLst>
            </c:dLbl>
            <c:spPr>
              <a:noFill/>
              <a:ln>
                <a:noFill/>
              </a:ln>
              <a:effectLst/>
            </c:spPr>
            <c:showVal val="1"/>
            <c:showCatName val="1"/>
            <c:showPercent val="1"/>
            <c:showLeaderLines val="1"/>
            <c:extLst xmlns:c16r2="http://schemas.microsoft.com/office/drawing/2015/06/char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11354.14000000001</c:v>
                </c:pt>
                <c:pt idx="1">
                  <c:v>1485.1699999999998</c:v>
                </c:pt>
              </c:numCache>
            </c:numRef>
          </c:val>
          <c:extLst xmlns:c16r2="http://schemas.microsoft.com/office/drawing/2015/06/chart">
            <c:ext xmlns:c16="http://schemas.microsoft.com/office/drawing/2014/chart" uri="{C3380CC4-5D6E-409C-BE32-E72D297353CC}">
              <c16:uniqueId val="{00000002-EF03-44E8-8A3E-B0D4E99046E2}"/>
            </c:ext>
          </c:extLst>
        </c:ser>
        <c:firstSliceAng val="0"/>
      </c:pieChart>
    </c:plotArea>
    <c:legend>
      <c:legendPos val="r"/>
      <c:layout>
        <c:manualLayout>
          <c:xMode val="edge"/>
          <c:yMode val="edge"/>
          <c:x val="0.75710206643143863"/>
          <c:y val="0.52556040402070459"/>
          <c:w val="0.1393583236480222"/>
          <c:h val="0.15738280392969456"/>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财政拨款收、支决算总计变动情况
单位：万元</a:t>
            </a:r>
          </a:p>
        </c:rich>
      </c:tx>
    </c:title>
    <c:view3D>
      <c:rAngAx val="1"/>
    </c:view3D>
    <c:plotArea>
      <c:layout/>
      <c:bar3DChart>
        <c:barDir val="col"/>
        <c:grouping val="clustered"/>
        <c:ser>
          <c:idx val="0"/>
          <c:order val="0"/>
          <c:tx>
            <c:strRef>
              <c:f>Sheet1!$B$1</c:f>
              <c:strCache>
                <c:ptCount val="1"/>
                <c:pt idx="0">
                  <c:v>财政拨款收入
单位：万元</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Sheet1!$A$2:$A$3</c:f>
              <c:strCache>
                <c:ptCount val="2"/>
                <c:pt idx="0">
                  <c:v>2020年度</c:v>
                </c:pt>
                <c:pt idx="1">
                  <c:v>2021年度</c:v>
                </c:pt>
              </c:strCache>
            </c:strRef>
          </c:cat>
          <c:val>
            <c:numRef>
              <c:f>Sheet1!$B$2:$B$3</c:f>
              <c:numCache>
                <c:formatCode>General</c:formatCode>
                <c:ptCount val="2"/>
                <c:pt idx="0">
                  <c:v>12144.54</c:v>
                </c:pt>
                <c:pt idx="1">
                  <c:v>12431.08</c:v>
                </c:pt>
              </c:numCache>
            </c:numRef>
          </c:val>
          <c:extLst xmlns:c16r2="http://schemas.microsoft.com/office/drawing/2015/06/chart">
            <c:ext xmlns:c16="http://schemas.microsoft.com/office/drawing/2014/chart" uri="{C3380CC4-5D6E-409C-BE32-E72D297353CC}">
              <c16:uniqueId val="{00000000-A7F4-482E-BD0B-297130415231}"/>
            </c:ext>
          </c:extLst>
        </c:ser>
        <c:shape val="cone"/>
        <c:axId val="258781184"/>
        <c:axId val="258782720"/>
        <c:axId val="0"/>
      </c:bar3DChart>
      <c:catAx>
        <c:axId val="258781184"/>
        <c:scaling>
          <c:orientation val="minMax"/>
        </c:scaling>
        <c:axPos val="b"/>
        <c:numFmt formatCode="General" sourceLinked="0"/>
        <c:tickLblPos val="nextTo"/>
        <c:crossAx val="258782720"/>
        <c:crosses val="autoZero"/>
        <c:auto val="1"/>
        <c:lblAlgn val="ctr"/>
        <c:lblOffset val="100"/>
      </c:catAx>
      <c:valAx>
        <c:axId val="258782720"/>
        <c:scaling>
          <c:orientation val="minMax"/>
        </c:scaling>
        <c:axPos val="l"/>
        <c:majorGridlines/>
        <c:numFmt formatCode="General" sourceLinked="1"/>
        <c:tickLblPos val="nextTo"/>
        <c:crossAx val="25878118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一般公共预算财政拨款支出决算变动情况</a:t>
            </a:r>
          </a:p>
        </c:rich>
      </c:tx>
    </c:title>
    <c:view3D>
      <c:rAngAx val="1"/>
    </c:view3D>
    <c:plotArea>
      <c:layout/>
      <c:bar3DChart>
        <c:barDir val="col"/>
        <c:grouping val="clustered"/>
        <c:ser>
          <c:idx val="0"/>
          <c:order val="0"/>
          <c:tx>
            <c:strRef>
              <c:f>Sheet1!$B$1</c:f>
              <c:strCache>
                <c:ptCount val="1"/>
                <c:pt idx="0">
                  <c:v>一般公共预算财政拨款支出
单位：万元</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Sheet1!$A$2:$A$3</c:f>
              <c:strCache>
                <c:ptCount val="2"/>
                <c:pt idx="0">
                  <c:v>2020年度</c:v>
                </c:pt>
                <c:pt idx="1">
                  <c:v>202年度</c:v>
                </c:pt>
              </c:strCache>
            </c:strRef>
          </c:cat>
          <c:val>
            <c:numRef>
              <c:f>Sheet1!$B$2:$B$3</c:f>
              <c:numCache>
                <c:formatCode>General</c:formatCode>
                <c:ptCount val="2"/>
                <c:pt idx="0">
                  <c:v>12124.130000000006</c:v>
                </c:pt>
                <c:pt idx="1">
                  <c:v>12053.08</c:v>
                </c:pt>
              </c:numCache>
            </c:numRef>
          </c:val>
          <c:extLst xmlns:c16r2="http://schemas.microsoft.com/office/drawing/2015/06/chart">
            <c:ext xmlns:c16="http://schemas.microsoft.com/office/drawing/2014/chart" uri="{C3380CC4-5D6E-409C-BE32-E72D297353CC}">
              <c16:uniqueId val="{00000000-22FC-415F-8320-38DA71DB8FD8}"/>
            </c:ext>
          </c:extLst>
        </c:ser>
        <c:shape val="cylinder"/>
        <c:axId val="81606144"/>
        <c:axId val="81607680"/>
        <c:axId val="0"/>
      </c:bar3DChart>
      <c:catAx>
        <c:axId val="81606144"/>
        <c:scaling>
          <c:orientation val="minMax"/>
        </c:scaling>
        <c:axPos val="b"/>
        <c:numFmt formatCode="General" sourceLinked="0"/>
        <c:tickLblPos val="nextTo"/>
        <c:crossAx val="81607680"/>
        <c:crosses val="autoZero"/>
        <c:auto val="1"/>
        <c:lblAlgn val="ctr"/>
        <c:lblOffset val="100"/>
      </c:catAx>
      <c:valAx>
        <c:axId val="81607680"/>
        <c:scaling>
          <c:orientation val="minMax"/>
        </c:scaling>
        <c:axPos val="l"/>
        <c:majorGridlines/>
        <c:numFmt formatCode="General" sourceLinked="1"/>
        <c:tickLblPos val="nextTo"/>
        <c:crossAx val="81606144"/>
        <c:crosses val="autoZero"/>
        <c:crossBetween val="between"/>
      </c:valAx>
    </c:plotArea>
    <c:legend>
      <c:legendPos val="r"/>
      <c:layout>
        <c:manualLayout>
          <c:xMode val="edge"/>
          <c:yMode val="edge"/>
          <c:x val="0.65356245651090061"/>
          <c:y val="0.5282601594305355"/>
          <c:w val="0.33199015605832799"/>
          <c:h val="0.18189057637145203"/>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一般公共预算财政拨款支出决算结构
单位：万元</c:v>
                </c:pt>
              </c:strCache>
            </c:strRef>
          </c:tx>
          <c:explosion val="25"/>
          <c:dLbls>
            <c:dLbl>
              <c:idx val="0"/>
              <c:tx>
                <c:rich>
                  <a:bodyPr/>
                  <a:lstStyle/>
                  <a:p>
                    <a:r>
                      <a:rPr lang="zh-CN" altLang="en-US"/>
                      <a:t>一般公共服务支出
</a:t>
                    </a:r>
                    <a:r>
                      <a:rPr lang="en-US" altLang="zh-CN"/>
                      <a:t>14</a:t>
                    </a:r>
                    <a:r>
                      <a:rPr lang="zh-CN" altLang="en-US"/>
                      <a:t>万元</a:t>
                    </a:r>
                    <a:r>
                      <a:rPr lang="en-US" altLang="zh-CN"/>
                      <a:t>
0.12%</a:t>
                    </a:r>
                  </a:p>
                </c:rich>
              </c:tx>
              <c:showVal val="1"/>
              <c:showCatName val="1"/>
              <c:showPercent val="1"/>
            </c:dLbl>
            <c:dLbl>
              <c:idx val="1"/>
              <c:tx>
                <c:rich>
                  <a:bodyPr/>
                  <a:lstStyle/>
                  <a:p>
                    <a:r>
                      <a:rPr lang="zh-CN" altLang="en-US"/>
                      <a:t>教育支出
</a:t>
                    </a:r>
                    <a:r>
                      <a:rPr lang="en-US" altLang="zh-CN"/>
                      <a:t>10210.22</a:t>
                    </a:r>
                    <a:r>
                      <a:rPr lang="zh-CN" altLang="en-US"/>
                      <a:t>万元</a:t>
                    </a:r>
                    <a:r>
                      <a:rPr lang="en-US" altLang="zh-CN"/>
                      <a:t>
84.71%</a:t>
                    </a:r>
                  </a:p>
                </c:rich>
              </c:tx>
              <c:showVal val="1"/>
              <c:showCatName val="1"/>
              <c:showPercent val="1"/>
            </c:dLbl>
            <c:dLbl>
              <c:idx val="2"/>
              <c:tx>
                <c:rich>
                  <a:bodyPr/>
                  <a:lstStyle/>
                  <a:p>
                    <a:r>
                      <a:rPr lang="zh-CN" altLang="en-US"/>
                      <a:t>社会保障和就业
</a:t>
                    </a:r>
                    <a:r>
                      <a:rPr lang="en-US" altLang="zh-CN"/>
                      <a:t>1009.78</a:t>
                    </a:r>
                    <a:r>
                      <a:rPr lang="zh-CN" altLang="en-US"/>
                      <a:t>万元</a:t>
                    </a:r>
                    <a:r>
                      <a:rPr lang="en-US" altLang="zh-CN"/>
                      <a:t>
8.38%</a:t>
                    </a:r>
                  </a:p>
                </c:rich>
              </c:tx>
              <c:showVal val="1"/>
              <c:showCatName val="1"/>
              <c:showPercent val="1"/>
            </c:dLbl>
            <c:dLbl>
              <c:idx val="3"/>
              <c:tx>
                <c:rich>
                  <a:bodyPr/>
                  <a:lstStyle/>
                  <a:p>
                    <a:r>
                      <a:rPr lang="zh-CN" altLang="en-US"/>
                      <a:t>住房保障支出
</a:t>
                    </a:r>
                    <a:r>
                      <a:rPr lang="en-US" altLang="zh-CN"/>
                      <a:t>819.08</a:t>
                    </a:r>
                    <a:r>
                      <a:rPr lang="zh-CN" altLang="en-US"/>
                      <a:t>万元</a:t>
                    </a:r>
                    <a:r>
                      <a:rPr lang="en-US" altLang="zh-CN"/>
                      <a:t>
6.79%</a:t>
                    </a:r>
                  </a:p>
                </c:rich>
              </c:tx>
              <c:showVal val="1"/>
              <c:showCatName val="1"/>
              <c:showPercent val="1"/>
            </c:dLbl>
            <c:spPr>
              <a:noFill/>
              <a:ln>
                <a:noFill/>
              </a:ln>
              <a:effectLst/>
            </c:spPr>
            <c:showVal val="1"/>
            <c:showCatName val="1"/>
            <c:showPercent val="1"/>
            <c:showLeaderLines val="1"/>
            <c:extLst xmlns:c16r2="http://schemas.microsoft.com/office/drawing/2015/06/chart">
              <c:ext xmlns:c15="http://schemas.microsoft.com/office/drawing/2012/chart" uri="{CE6537A1-D6FC-4f65-9D91-7224C49458BB}">
                <c15:layout/>
              </c:ext>
            </c:extLst>
          </c:dLbls>
          <c:cat>
            <c:strRef>
              <c:f>Sheet1!$A$2:$A$5</c:f>
              <c:strCache>
                <c:ptCount val="4"/>
                <c:pt idx="0">
                  <c:v>一般公共服务支出</c:v>
                </c:pt>
                <c:pt idx="1">
                  <c:v>教育支出</c:v>
                </c:pt>
                <c:pt idx="2">
                  <c:v>社会保障和就业</c:v>
                </c:pt>
                <c:pt idx="3">
                  <c:v>住房保障支出</c:v>
                </c:pt>
              </c:strCache>
            </c:strRef>
          </c:cat>
          <c:val>
            <c:numRef>
              <c:f>Sheet1!$B$2:$B$5</c:f>
              <c:numCache>
                <c:formatCode>General</c:formatCode>
                <c:ptCount val="4"/>
                <c:pt idx="0">
                  <c:v>14</c:v>
                </c:pt>
                <c:pt idx="1">
                  <c:v>10210.219999999987</c:v>
                </c:pt>
                <c:pt idx="2">
                  <c:v>1009.7800000000005</c:v>
                </c:pt>
                <c:pt idx="3">
                  <c:v>819.08</c:v>
                </c:pt>
              </c:numCache>
            </c:numRef>
          </c:val>
          <c:extLst xmlns:c16r2="http://schemas.microsoft.com/office/drawing/2015/06/chart">
            <c:ext xmlns:c16="http://schemas.microsoft.com/office/drawing/2014/chart" uri="{C3380CC4-5D6E-409C-BE32-E72D297353CC}">
              <c16:uniqueId val="{00000000-C7C1-4FE2-B73F-CC23652A582C}"/>
            </c:ext>
          </c:extLst>
        </c:ser>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26074756543282557"/>
          <c:y val="3.9007092198581582E-2"/>
        </c:manualLayout>
      </c:layout>
    </c:title>
    <c:plotArea>
      <c:layout/>
      <c:pieChart>
        <c:varyColors val="1"/>
        <c:ser>
          <c:idx val="0"/>
          <c:order val="0"/>
          <c:tx>
            <c:strRef>
              <c:f>Sheet1!$B$1</c:f>
              <c:strCache>
                <c:ptCount val="1"/>
                <c:pt idx="0">
                  <c:v>“三公”经费财政拨款支出结构
单位：万元</c:v>
                </c:pt>
              </c:strCache>
            </c:strRef>
          </c:tx>
          <c:dLbls>
            <c:dLbl>
              <c:idx val="2"/>
              <c:layout>
                <c:manualLayout>
                  <c:x val="2.1694409694115346E-2"/>
                  <c:y val="0.21473725358798335"/>
                </c:manualLayout>
              </c:layout>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A92-4EE2-90E7-55597E54D066}"/>
                </c:ext>
              </c:extLst>
            </c:dLbl>
            <c:spPr>
              <a:noFill/>
              <a:ln>
                <a:noFill/>
              </a:ln>
              <a:effectLst/>
            </c:spPr>
            <c:showVal val="1"/>
            <c:showCatName val="1"/>
            <c:showPercent val="1"/>
            <c:showLeaderLines val="1"/>
            <c:extLst xmlns:c16r2="http://schemas.microsoft.com/office/drawing/2015/06/chart">
              <c:ext xmlns:c15="http://schemas.microsoft.com/office/drawing/2012/chart" uri="{CE6537A1-D6FC-4f65-9D91-7224C49458BB}">
                <c15:layout/>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1.3900000000000001</c:v>
                </c:pt>
                <c:pt idx="2">
                  <c:v>0</c:v>
                </c:pt>
              </c:numCache>
            </c:numRef>
          </c:val>
          <c:extLst xmlns:c16r2="http://schemas.microsoft.com/office/drawing/2015/06/chart">
            <c:ext xmlns:c16="http://schemas.microsoft.com/office/drawing/2014/chart" uri="{C3380CC4-5D6E-409C-BE32-E72D297353CC}">
              <c16:uniqueId val="{00000001-7A92-4EE2-90E7-55597E54D066}"/>
            </c:ext>
          </c:extLst>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BFB4BE-2B6F-4841-BA00-5EE90200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26</Pages>
  <Words>1445</Words>
  <Characters>8237</Characters>
  <Application>Microsoft Office Word</Application>
  <DocSecurity>0</DocSecurity>
  <Lines>68</Lines>
  <Paragraphs>19</Paragraphs>
  <ScaleCrop>false</ScaleCrop>
  <Company>四川省财政厅</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cp:lastModifiedBy>
  <cp:revision>260</cp:revision>
  <cp:lastPrinted>2022-08-06T02:23:00Z</cp:lastPrinted>
  <dcterms:created xsi:type="dcterms:W3CDTF">2020-08-05T01:49:00Z</dcterms:created>
  <dcterms:modified xsi:type="dcterms:W3CDTF">2023-09-26T01:43:00Z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