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2955"/>
      <w:bookmarkStart w:id="2" w:name="_Toc15377193"/>
      <w:bookmarkStart w:id="3" w:name="_Toc15396475"/>
      <w:bookmarkStart w:id="4" w:name="_Toc15378441"/>
      <w:bookmarkStart w:id="5" w:name="_Toc15396597"/>
      <w:bookmarkStart w:id="6" w:name="_Toc15377425"/>
      <w:bookmarkStart w:id="7" w:name="_Toc22722"/>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77194"/>
      <w:bookmarkStart w:id="9" w:name="_Toc15396476"/>
      <w:bookmarkStart w:id="10" w:name="_Toc21174"/>
      <w:bookmarkStart w:id="11" w:name="_Toc15378442"/>
      <w:bookmarkStart w:id="12" w:name="_Toc15396598"/>
      <w:bookmarkStart w:id="13" w:name="_Toc15377426"/>
      <w:bookmarkStart w:id="14" w:name="_Toc26584"/>
      <w:r>
        <w:rPr>
          <w:rFonts w:hint="eastAsia" w:ascii="方正小标宋简体" w:hAnsi="方正小标宋简体" w:eastAsia="方正小标宋简体" w:cs="方正小标宋简体"/>
          <w:sz w:val="72"/>
          <w:szCs w:val="72"/>
        </w:rPr>
        <w:t>四川省</w:t>
      </w:r>
      <w:bookmarkEnd w:id="0"/>
      <w:bookmarkStart w:id="15" w:name="_Toc15306268"/>
      <w:r>
        <w:rPr>
          <w:rFonts w:hint="eastAsia" w:ascii="方正小标宋简体" w:hAnsi="方正小标宋简体" w:eastAsia="方正小标宋简体" w:cs="方正小标宋简体"/>
          <w:sz w:val="72"/>
          <w:szCs w:val="72"/>
        </w:rPr>
        <w:t>攀枝花市体育场馆中心单位决算</w:t>
      </w:r>
      <w:bookmarkEnd w:id="8"/>
      <w:bookmarkEnd w:id="9"/>
      <w:bookmarkEnd w:id="10"/>
      <w:bookmarkEnd w:id="11"/>
      <w:bookmarkEnd w:id="12"/>
      <w:bookmarkEnd w:id="13"/>
      <w:bookmarkEnd w:id="14"/>
      <w:bookmarkEnd w:id="15"/>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40"/>
          <w:szCs w:val="40"/>
        </w:rPr>
      </w:pPr>
      <w:r>
        <w:rPr>
          <w:rFonts w:hint="eastAsia"/>
          <w:sz w:val="28"/>
          <w:szCs w:val="36"/>
        </w:rPr>
        <w:t>公开时间：2022年9月</w:t>
      </w:r>
      <w:r>
        <w:rPr>
          <w:rFonts w:hint="eastAsia"/>
          <w:sz w:val="28"/>
          <w:szCs w:val="36"/>
          <w:lang w:val="en-US" w:eastAsia="zh-CN"/>
        </w:rPr>
        <w:t>13</w:t>
      </w:r>
      <w:r>
        <w:rPr>
          <w:rFonts w:hint="eastAsia"/>
          <w:sz w:val="28"/>
          <w:szCs w:val="36"/>
        </w:rPr>
        <w:t>日</w:t>
      </w:r>
    </w:p>
    <w:p/>
    <w:sdt>
      <w:sdtPr>
        <w:rPr>
          <w:rFonts w:ascii="宋体" w:hAnsi="宋体" w:eastAsia="宋体" w:cs="Times New Roman"/>
          <w:kern w:val="2"/>
          <w:sz w:val="32"/>
          <w:szCs w:val="24"/>
          <w:lang w:val="en-US" w:eastAsia="zh-CN" w:bidi="ar-SA"/>
        </w:rPr>
        <w:id w:val="147471196"/>
        <w15:color w:val="DBDBDB"/>
        <w:docPartObj>
          <w:docPartGallery w:val="Table of Contents"/>
          <w:docPartUnique/>
        </w:docPartObj>
      </w:sdtPr>
      <w:sdtEndPr>
        <w:rPr>
          <w:rFonts w:ascii="仿宋_GB2312" w:hAnsi="Times New Roman" w:eastAsia="仿宋_GB2312" w:cs="Times New Roman"/>
          <w:kern w:val="0"/>
          <w:sz w:val="30"/>
          <w:szCs w:val="24"/>
          <w:lang w:val="en-US" w:eastAsia="zh-CN" w:bidi="ar-SA"/>
        </w:rPr>
      </w:sdtEndPr>
      <w:sdtContent>
        <w:p>
          <w:pPr>
            <w:spacing w:before="0" w:beforeLines="0" w:after="0" w:afterLines="0" w:line="240" w:lineRule="auto"/>
            <w:ind w:left="0" w:leftChars="0" w:right="0" w:rightChars="0" w:firstLine="0" w:firstLineChars="0"/>
            <w:jc w:val="center"/>
          </w:pPr>
          <w:r>
            <w:rPr>
              <w:sz w:val="32"/>
            </w:rPr>
            <w:fldChar w:fldCharType="begin"/>
          </w:r>
          <w:r>
            <w:rPr>
              <w:sz w:val="32"/>
            </w:rPr>
            <w:instrText xml:space="preserve">TOC \o "1-3" \h \u </w:instrText>
          </w:r>
          <w:r>
            <w:rPr>
              <w:sz w:val="32"/>
            </w:rPr>
            <w:fldChar w:fldCharType="separate"/>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_Toc3602 </w:instrText>
          </w:r>
          <w:r>
            <w:rPr>
              <w:rFonts w:hint="eastAsia" w:ascii="黑体" w:hAnsi="黑体" w:eastAsia="黑体" w:cs="黑体"/>
              <w:sz w:val="32"/>
              <w:szCs w:val="32"/>
            </w:rPr>
            <w:fldChar w:fldCharType="separate"/>
          </w:r>
          <w:r>
            <w:rPr>
              <w:rFonts w:hint="eastAsia" w:ascii="黑体" w:hAnsi="黑体" w:eastAsia="黑体" w:cs="黑体"/>
              <w:sz w:val="32"/>
              <w:szCs w:val="32"/>
            </w:rPr>
            <w:t>第一部分 单位</w:t>
          </w:r>
          <w:r>
            <w:rPr>
              <w:rFonts w:hint="eastAsia" w:ascii="黑体" w:hAnsi="黑体" w:eastAsia="黑体" w:cs="黑体"/>
              <w:bCs w:val="0"/>
              <w:sz w:val="32"/>
              <w:szCs w:val="32"/>
            </w:rPr>
            <w:t>概况</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_Toc3602 \h </w:instrText>
          </w:r>
          <w:r>
            <w:rPr>
              <w:rFonts w:hint="eastAsia" w:ascii="黑体" w:hAnsi="黑体" w:eastAsia="黑体" w:cs="黑体"/>
              <w:sz w:val="32"/>
              <w:szCs w:val="32"/>
            </w:rPr>
            <w:fldChar w:fldCharType="separate"/>
          </w:r>
          <w:r>
            <w:rPr>
              <w:rFonts w:hint="eastAsia" w:ascii="黑体" w:hAnsi="黑体" w:eastAsia="黑体" w:cs="黑体"/>
              <w:sz w:val="32"/>
              <w:szCs w:val="32"/>
            </w:rPr>
            <w:t>4</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_Toc22371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一、 职能简介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_Toc22371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_Toc28094 </w:instrText>
          </w:r>
          <w:r>
            <w:rPr>
              <w:rFonts w:hint="eastAsia" w:ascii="仿宋" w:hAnsi="仿宋" w:eastAsia="仿宋" w:cs="仿宋"/>
              <w:sz w:val="28"/>
              <w:szCs w:val="28"/>
            </w:rPr>
            <w:fldChar w:fldCharType="separate"/>
          </w:r>
          <w:r>
            <w:rPr>
              <w:rFonts w:hint="eastAsia" w:ascii="仿宋" w:hAnsi="仿宋" w:eastAsia="仿宋" w:cs="仿宋"/>
              <w:sz w:val="28"/>
              <w:szCs w:val="28"/>
            </w:rPr>
            <w:t>二、</w:t>
          </w:r>
          <w:r>
            <w:rPr>
              <w:rFonts w:hint="eastAsia" w:ascii="仿宋" w:hAnsi="仿宋" w:eastAsia="仿宋" w:cs="仿宋"/>
              <w:sz w:val="28"/>
              <w:szCs w:val="28"/>
              <w:lang w:val="en-US" w:eastAsia="zh-CN"/>
            </w:rPr>
            <w:t>机构设置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_Toc28094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_Toc17291 </w:instrText>
          </w:r>
          <w:r>
            <w:rPr>
              <w:rFonts w:hint="eastAsia" w:ascii="仿宋" w:hAnsi="仿宋" w:eastAsia="仿宋" w:cs="仿宋"/>
              <w:sz w:val="28"/>
              <w:szCs w:val="28"/>
            </w:rPr>
            <w:fldChar w:fldCharType="separate"/>
          </w:r>
          <w:r>
            <w:rPr>
              <w:rFonts w:hint="eastAsia" w:ascii="仿宋" w:hAnsi="仿宋" w:eastAsia="仿宋" w:cs="仿宋"/>
              <w:sz w:val="28"/>
              <w:szCs w:val="28"/>
            </w:rPr>
            <w:t>二、2021年重点工作完成情况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_Toc17291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_Toc9141 </w:instrText>
          </w:r>
          <w:r>
            <w:rPr>
              <w:rFonts w:hint="eastAsia" w:ascii="黑体" w:hAnsi="黑体" w:eastAsia="黑体" w:cs="黑体"/>
              <w:sz w:val="32"/>
              <w:szCs w:val="32"/>
            </w:rPr>
            <w:fldChar w:fldCharType="separate"/>
          </w:r>
          <w:r>
            <w:rPr>
              <w:rFonts w:hint="eastAsia" w:ascii="黑体" w:hAnsi="黑体" w:eastAsia="黑体" w:cs="黑体"/>
              <w:sz w:val="32"/>
              <w:szCs w:val="32"/>
            </w:rPr>
            <w:t>第二部分 2021年度</w:t>
          </w:r>
          <w:r>
            <w:rPr>
              <w:rFonts w:hint="eastAsia" w:ascii="黑体" w:hAnsi="黑体" w:eastAsia="黑体" w:cs="黑体"/>
              <w:bCs/>
              <w:sz w:val="32"/>
              <w:szCs w:val="32"/>
            </w:rPr>
            <w:t>单位决算情况说明</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_Toc9141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_Toc29235 </w:instrText>
          </w:r>
          <w:r>
            <w:rPr>
              <w:rFonts w:hint="eastAsia" w:ascii="仿宋" w:hAnsi="仿宋" w:eastAsia="仿宋" w:cs="仿宋"/>
              <w:sz w:val="28"/>
              <w:szCs w:val="28"/>
            </w:rPr>
            <w:fldChar w:fldCharType="separate"/>
          </w:r>
          <w:r>
            <w:rPr>
              <w:rFonts w:hint="eastAsia" w:ascii="仿宋" w:hAnsi="仿宋" w:eastAsia="仿宋" w:cs="仿宋"/>
              <w:sz w:val="28"/>
              <w:szCs w:val="28"/>
            </w:rPr>
            <w:t>一、 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_Toc29235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_Toc16052 </w:instrText>
          </w:r>
          <w:r>
            <w:rPr>
              <w:rFonts w:hint="eastAsia" w:ascii="仿宋" w:hAnsi="仿宋" w:eastAsia="仿宋" w:cs="仿宋"/>
              <w:sz w:val="28"/>
              <w:szCs w:val="28"/>
            </w:rPr>
            <w:fldChar w:fldCharType="separate"/>
          </w:r>
          <w:r>
            <w:rPr>
              <w:rFonts w:hint="eastAsia" w:ascii="仿宋" w:hAnsi="仿宋" w:eastAsia="仿宋" w:cs="仿宋"/>
              <w:sz w:val="28"/>
              <w:szCs w:val="28"/>
            </w:rPr>
            <w:t>二、 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_Toc16052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_Toc2026 </w:instrText>
          </w:r>
          <w:r>
            <w:rPr>
              <w:rFonts w:hint="eastAsia" w:ascii="仿宋" w:hAnsi="仿宋" w:eastAsia="仿宋" w:cs="仿宋"/>
              <w:sz w:val="28"/>
              <w:szCs w:val="28"/>
            </w:rPr>
            <w:fldChar w:fldCharType="separate"/>
          </w:r>
          <w:r>
            <w:rPr>
              <w:rFonts w:hint="eastAsia" w:ascii="仿宋" w:hAnsi="仿宋" w:eastAsia="仿宋" w:cs="仿宋"/>
              <w:sz w:val="28"/>
              <w:szCs w:val="28"/>
            </w:rPr>
            <w:t>三、 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_Toc2026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_Toc19840 </w:instrText>
          </w:r>
          <w:r>
            <w:rPr>
              <w:rFonts w:hint="eastAsia" w:ascii="仿宋" w:hAnsi="仿宋" w:eastAsia="仿宋" w:cs="仿宋"/>
              <w:sz w:val="28"/>
              <w:szCs w:val="28"/>
            </w:rPr>
            <w:fldChar w:fldCharType="separate"/>
          </w: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_Toc19840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_Toc29573 </w:instrText>
          </w:r>
          <w:r>
            <w:rPr>
              <w:rFonts w:hint="eastAsia" w:ascii="仿宋" w:hAnsi="仿宋" w:eastAsia="仿宋" w:cs="仿宋"/>
              <w:sz w:val="28"/>
              <w:szCs w:val="28"/>
            </w:rPr>
            <w:fldChar w:fldCharType="separate"/>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_Toc29573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_Toc25993 </w:instrText>
          </w:r>
          <w:r>
            <w:rPr>
              <w:rFonts w:hint="eastAsia" w:ascii="仿宋" w:hAnsi="仿宋" w:eastAsia="仿宋" w:cs="仿宋"/>
              <w:sz w:val="28"/>
              <w:szCs w:val="28"/>
            </w:rPr>
            <w:fldChar w:fldCharType="separate"/>
          </w: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_Toc25993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_Toc5677 </w:instrText>
          </w:r>
          <w:r>
            <w:rPr>
              <w:rFonts w:hint="eastAsia" w:ascii="仿宋" w:hAnsi="仿宋" w:eastAsia="仿宋" w:cs="仿宋"/>
              <w:sz w:val="28"/>
              <w:szCs w:val="28"/>
            </w:rPr>
            <w:fldChar w:fldCharType="separate"/>
          </w: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_Toc5677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_Toc32420 </w:instrText>
          </w:r>
          <w:r>
            <w:rPr>
              <w:rFonts w:hint="eastAsia" w:ascii="仿宋" w:hAnsi="仿宋" w:eastAsia="仿宋" w:cs="仿宋"/>
              <w:sz w:val="28"/>
              <w:szCs w:val="28"/>
            </w:rPr>
            <w:fldChar w:fldCharType="separate"/>
          </w: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_Toc32420 \h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_Toc22873 </w:instrText>
          </w:r>
          <w:r>
            <w:rPr>
              <w:rFonts w:hint="eastAsia" w:ascii="仿宋" w:hAnsi="仿宋" w:eastAsia="仿宋" w:cs="仿宋"/>
              <w:sz w:val="28"/>
              <w:szCs w:val="28"/>
            </w:rPr>
            <w:fldChar w:fldCharType="separate"/>
          </w:r>
          <w:r>
            <w:rPr>
              <w:rFonts w:hint="eastAsia" w:ascii="仿宋" w:hAnsi="仿宋" w:eastAsia="仿宋" w:cs="仿宋"/>
              <w:sz w:val="28"/>
              <w:szCs w:val="28"/>
            </w:rPr>
            <w:t>九、 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_Toc22873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_Toc14956 </w:instrText>
          </w:r>
          <w:r>
            <w:rPr>
              <w:rFonts w:hint="eastAsia" w:ascii="仿宋" w:hAnsi="仿宋" w:eastAsia="仿宋" w:cs="仿宋"/>
              <w:sz w:val="28"/>
              <w:szCs w:val="28"/>
            </w:rPr>
            <w:fldChar w:fldCharType="separate"/>
          </w:r>
          <w:r>
            <w:rPr>
              <w:rFonts w:hint="eastAsia" w:ascii="仿宋" w:hAnsi="仿宋" w:eastAsia="仿宋" w:cs="仿宋"/>
              <w:sz w:val="28"/>
              <w:szCs w:val="28"/>
            </w:rPr>
            <w:t>十、 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_Toc14956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_Toc15363 </w:instrText>
          </w:r>
          <w:r>
            <w:rPr>
              <w:rFonts w:hint="eastAsia" w:ascii="黑体" w:hAnsi="黑体" w:eastAsia="黑体" w:cs="黑体"/>
              <w:sz w:val="32"/>
              <w:szCs w:val="32"/>
            </w:rPr>
            <w:fldChar w:fldCharType="separate"/>
          </w:r>
          <w:r>
            <w:rPr>
              <w:rFonts w:hint="eastAsia" w:ascii="黑体" w:hAnsi="黑体" w:eastAsia="黑体" w:cs="黑体"/>
              <w:sz w:val="32"/>
              <w:szCs w:val="32"/>
            </w:rPr>
            <w:t>第三部分 名词解释</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_Toc15363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_Toc20874 </w:instrText>
          </w:r>
          <w:r>
            <w:rPr>
              <w:rFonts w:hint="eastAsia" w:ascii="黑体" w:hAnsi="黑体" w:eastAsia="黑体" w:cs="黑体"/>
              <w:sz w:val="32"/>
              <w:szCs w:val="32"/>
            </w:rPr>
            <w:fldChar w:fldCharType="separate"/>
          </w:r>
          <w:r>
            <w:rPr>
              <w:rFonts w:hint="eastAsia" w:ascii="黑体" w:hAnsi="黑体" w:eastAsia="黑体" w:cs="黑体"/>
              <w:sz w:val="32"/>
              <w:szCs w:val="32"/>
            </w:rPr>
            <w:t>第四部分 附件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_Toc20874 \h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_Toc28285 </w:instrText>
          </w:r>
          <w:r>
            <w:rPr>
              <w:rFonts w:hint="eastAsia" w:ascii="黑体" w:hAnsi="黑体" w:eastAsia="黑体" w:cs="黑体"/>
              <w:sz w:val="32"/>
              <w:szCs w:val="32"/>
            </w:rPr>
            <w:fldChar w:fldCharType="separate"/>
          </w:r>
          <w:r>
            <w:rPr>
              <w:rFonts w:hint="eastAsia" w:ascii="黑体" w:hAnsi="黑体" w:eastAsia="黑体" w:cs="黑体"/>
              <w:sz w:val="32"/>
              <w:szCs w:val="32"/>
            </w:rPr>
            <w:t>附件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_Toc28285 \h </w:instrText>
          </w:r>
          <w:r>
            <w:rPr>
              <w:rFonts w:hint="eastAsia" w:ascii="黑体" w:hAnsi="黑体" w:eastAsia="黑体" w:cs="黑体"/>
              <w:sz w:val="32"/>
              <w:szCs w:val="32"/>
            </w:rPr>
            <w:fldChar w:fldCharType="separate"/>
          </w:r>
          <w:r>
            <w:rPr>
              <w:rFonts w:hint="eastAsia" w:ascii="黑体" w:hAnsi="黑体" w:eastAsia="黑体" w:cs="黑体"/>
              <w:sz w:val="32"/>
              <w:szCs w:val="32"/>
            </w:rPr>
            <w:t>19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0"/>
            <w:tabs>
              <w:tab w:val="right" w:leader="dot" w:pos="8306"/>
              <w:tab w:val="clear" w:pos="8296"/>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_Toc22010 </w:instrText>
          </w:r>
          <w:r>
            <w:rPr>
              <w:rFonts w:hint="eastAsia" w:ascii="黑体" w:hAnsi="黑体" w:eastAsia="黑体" w:cs="黑体"/>
              <w:sz w:val="32"/>
              <w:szCs w:val="32"/>
            </w:rPr>
            <w:fldChar w:fldCharType="separate"/>
          </w:r>
          <w:r>
            <w:rPr>
              <w:rFonts w:hint="eastAsia" w:ascii="黑体" w:hAnsi="黑体" w:eastAsia="黑体" w:cs="黑体"/>
              <w:sz w:val="32"/>
              <w:szCs w:val="32"/>
            </w:rPr>
            <w:t>第五部分 附表</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_Toc22010 \h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_Toc8115 </w:instrText>
          </w:r>
          <w:r>
            <w:rPr>
              <w:rFonts w:hint="eastAsia" w:ascii="仿宋" w:hAnsi="仿宋" w:eastAsia="仿宋" w:cs="仿宋"/>
              <w:sz w:val="28"/>
              <w:szCs w:val="28"/>
            </w:rPr>
            <w:fldChar w:fldCharType="separate"/>
          </w:r>
          <w:r>
            <w:rPr>
              <w:rFonts w:hint="eastAsia" w:ascii="仿宋" w:hAnsi="仿宋" w:eastAsia="仿宋" w:cs="仿宋"/>
              <w:sz w:val="28"/>
              <w:szCs w:val="28"/>
            </w:rPr>
            <w:t>一、收</w:t>
          </w:r>
          <w:r>
            <w:rPr>
              <w:rFonts w:hint="eastAsia" w:ascii="仿宋" w:hAnsi="仿宋" w:eastAsia="仿宋" w:cs="仿宋"/>
              <w:bCs w:val="0"/>
              <w:sz w:val="28"/>
              <w:szCs w:val="28"/>
            </w:rPr>
            <w:t>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_Toc8115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_Toc20582 </w:instrText>
          </w:r>
          <w:r>
            <w:rPr>
              <w:rFonts w:hint="eastAsia" w:ascii="仿宋" w:hAnsi="仿宋" w:eastAsia="仿宋" w:cs="仿宋"/>
              <w:sz w:val="28"/>
              <w:szCs w:val="28"/>
            </w:rPr>
            <w:fldChar w:fldCharType="separate"/>
          </w:r>
          <w:r>
            <w:rPr>
              <w:rFonts w:hint="eastAsia" w:ascii="仿宋" w:hAnsi="仿宋" w:eastAsia="仿宋" w:cs="仿宋"/>
              <w:sz w:val="28"/>
              <w:szCs w:val="28"/>
            </w:rPr>
            <w:t>二、收</w:t>
          </w:r>
          <w:r>
            <w:rPr>
              <w:rFonts w:hint="eastAsia" w:ascii="仿宋" w:hAnsi="仿宋" w:eastAsia="仿宋" w:cs="仿宋"/>
              <w:bCs w:val="0"/>
              <w:sz w:val="28"/>
              <w:szCs w:val="28"/>
            </w:rPr>
            <w:t>入决算表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_Toc20582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_Toc10599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三、</w:t>
          </w:r>
          <w:r>
            <w:rPr>
              <w:rFonts w:hint="eastAsia" w:ascii="仿宋" w:hAnsi="仿宋" w:eastAsia="仿宋" w:cs="仿宋"/>
              <w:sz w:val="28"/>
              <w:szCs w:val="28"/>
            </w:rPr>
            <w:t>支</w:t>
          </w:r>
          <w:r>
            <w:rPr>
              <w:rFonts w:hint="eastAsia" w:ascii="仿宋" w:hAnsi="仿宋" w:eastAsia="仿宋" w:cs="仿宋"/>
              <w:bCs w:val="0"/>
              <w:sz w:val="28"/>
              <w:szCs w:val="28"/>
            </w:rPr>
            <w:t>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_Toc10599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_Toc24331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四、</w:t>
          </w:r>
          <w:r>
            <w:rPr>
              <w:rFonts w:hint="eastAsia" w:ascii="仿宋" w:hAnsi="仿宋" w:eastAsia="仿宋" w:cs="仿宋"/>
              <w:sz w:val="28"/>
              <w:szCs w:val="28"/>
            </w:rPr>
            <w:t>财</w:t>
          </w:r>
          <w:r>
            <w:rPr>
              <w:rFonts w:hint="eastAsia" w:ascii="仿宋" w:hAnsi="仿宋" w:eastAsia="仿宋" w:cs="仿宋"/>
              <w:bCs w:val="0"/>
              <w:sz w:val="28"/>
              <w:szCs w:val="28"/>
            </w:rPr>
            <w:t>政拨款收入支出决算总表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_Toc24331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_Toc13909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五、</w:t>
          </w:r>
          <w:r>
            <w:rPr>
              <w:rFonts w:hint="eastAsia" w:ascii="仿宋" w:hAnsi="仿宋" w:eastAsia="仿宋" w:cs="仿宋"/>
              <w:sz w:val="28"/>
              <w:szCs w:val="28"/>
            </w:rPr>
            <w:t>财</w:t>
          </w:r>
          <w:r>
            <w:rPr>
              <w:rFonts w:hint="eastAsia" w:ascii="仿宋" w:hAnsi="仿宋" w:eastAsia="仿宋" w:cs="仿宋"/>
              <w:bCs w:val="0"/>
              <w:sz w:val="28"/>
              <w:szCs w:val="28"/>
            </w:rPr>
            <w:t>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_Toc13909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_Toc22855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六、</w:t>
          </w:r>
          <w:r>
            <w:rPr>
              <w:rFonts w:hint="eastAsia" w:ascii="仿宋" w:hAnsi="仿宋" w:eastAsia="仿宋" w:cs="仿宋"/>
              <w:sz w:val="28"/>
              <w:szCs w:val="28"/>
            </w:rPr>
            <w:t>一</w:t>
          </w:r>
          <w:r>
            <w:rPr>
              <w:rFonts w:hint="eastAsia" w:ascii="仿宋" w:hAnsi="仿宋" w:eastAsia="仿宋" w:cs="仿宋"/>
              <w:bCs w:val="0"/>
              <w:sz w:val="28"/>
              <w:szCs w:val="28"/>
            </w:rPr>
            <w:t>般公共预算财政拨款支出决算表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_Toc22855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_Toc435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七、</w:t>
          </w:r>
          <w:r>
            <w:rPr>
              <w:rFonts w:hint="eastAsia" w:ascii="仿宋" w:hAnsi="仿宋" w:eastAsia="仿宋" w:cs="仿宋"/>
              <w:sz w:val="28"/>
              <w:szCs w:val="28"/>
            </w:rPr>
            <w:t>一</w:t>
          </w:r>
          <w:r>
            <w:rPr>
              <w:rFonts w:hint="eastAsia" w:ascii="仿宋" w:hAnsi="仿宋" w:eastAsia="仿宋" w:cs="仿宋"/>
              <w:bCs w:val="0"/>
              <w:sz w:val="28"/>
              <w:szCs w:val="28"/>
            </w:rPr>
            <w:t>般公共预算财政拨款支出决算明细表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_Toc435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_Toc29079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八、</w:t>
          </w:r>
          <w:r>
            <w:rPr>
              <w:rFonts w:hint="eastAsia" w:ascii="仿宋" w:hAnsi="仿宋" w:eastAsia="仿宋" w:cs="仿宋"/>
              <w:sz w:val="28"/>
              <w:szCs w:val="28"/>
            </w:rPr>
            <w:t>一</w:t>
          </w:r>
          <w:r>
            <w:rPr>
              <w:rFonts w:hint="eastAsia" w:ascii="仿宋" w:hAnsi="仿宋" w:eastAsia="仿宋" w:cs="仿宋"/>
              <w:bCs w:val="0"/>
              <w:sz w:val="28"/>
              <w:szCs w:val="28"/>
            </w:rPr>
            <w:t>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_Toc29079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_Toc20386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九、</w:t>
          </w:r>
          <w:r>
            <w:rPr>
              <w:rFonts w:hint="eastAsia" w:ascii="仿宋" w:hAnsi="仿宋" w:eastAsia="仿宋" w:cs="仿宋"/>
              <w:sz w:val="28"/>
              <w:szCs w:val="28"/>
            </w:rPr>
            <w:t>一</w:t>
          </w:r>
          <w:r>
            <w:rPr>
              <w:rFonts w:hint="eastAsia" w:ascii="仿宋" w:hAnsi="仿宋" w:eastAsia="仿宋" w:cs="仿宋"/>
              <w:bCs w:val="0"/>
              <w:sz w:val="28"/>
              <w:szCs w:val="28"/>
            </w:rPr>
            <w:t>般公共预算财政拨款项目支出决算表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_Toc20386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_Toc12494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十、</w:t>
          </w:r>
          <w:r>
            <w:rPr>
              <w:rFonts w:hint="eastAsia" w:ascii="仿宋" w:hAnsi="仿宋" w:eastAsia="仿宋" w:cs="仿宋"/>
              <w:sz w:val="28"/>
              <w:szCs w:val="28"/>
            </w:rPr>
            <w:t>一</w:t>
          </w:r>
          <w:r>
            <w:rPr>
              <w:rFonts w:hint="eastAsia" w:ascii="仿宋" w:hAnsi="仿宋" w:eastAsia="仿宋" w:cs="仿宋"/>
              <w:bCs w:val="0"/>
              <w:sz w:val="28"/>
              <w:szCs w:val="28"/>
            </w:rPr>
            <w:t>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_Toc12494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_Toc19985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十一、</w:t>
          </w:r>
          <w:r>
            <w:rPr>
              <w:rFonts w:hint="eastAsia" w:ascii="仿宋" w:hAnsi="仿宋" w:eastAsia="仿宋" w:cs="仿宋"/>
              <w:sz w:val="28"/>
              <w:szCs w:val="28"/>
            </w:rPr>
            <w:t>政</w:t>
          </w:r>
          <w:r>
            <w:rPr>
              <w:rFonts w:hint="eastAsia" w:ascii="仿宋" w:hAnsi="仿宋" w:eastAsia="仿宋" w:cs="仿宋"/>
              <w:bCs w:val="0"/>
              <w:sz w:val="28"/>
              <w:szCs w:val="28"/>
            </w:rPr>
            <w:t>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_Toc19985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_Toc23517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十二、</w:t>
          </w:r>
          <w:r>
            <w:rPr>
              <w:rFonts w:hint="eastAsia" w:ascii="仿宋" w:hAnsi="仿宋" w:eastAsia="仿宋" w:cs="仿宋"/>
              <w:sz w:val="28"/>
              <w:szCs w:val="28"/>
            </w:rPr>
            <w:t>政</w:t>
          </w:r>
          <w:r>
            <w:rPr>
              <w:rFonts w:hint="eastAsia" w:ascii="仿宋" w:hAnsi="仿宋" w:eastAsia="仿宋" w:cs="仿宋"/>
              <w:bCs w:val="0"/>
              <w:sz w:val="28"/>
              <w:szCs w:val="28"/>
            </w:rPr>
            <w:t>府性基金预算财政拨款“三公”经费支出决算表（此表无数据）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_Toc23517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_Toc18925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十三、</w:t>
          </w:r>
          <w:r>
            <w:rPr>
              <w:rFonts w:hint="eastAsia" w:ascii="仿宋" w:hAnsi="仿宋" w:eastAsia="仿宋" w:cs="仿宋"/>
              <w:sz w:val="28"/>
              <w:szCs w:val="28"/>
            </w:rPr>
            <w:t>国</w:t>
          </w:r>
          <w:r>
            <w:rPr>
              <w:rFonts w:hint="eastAsia" w:ascii="仿宋" w:hAnsi="仿宋" w:eastAsia="仿宋" w:cs="仿宋"/>
              <w:bCs w:val="0"/>
              <w:sz w:val="28"/>
              <w:szCs w:val="28"/>
            </w:rPr>
            <w:t>有资本经营预算财政拨款收入支出决算表（此表无数据）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_Toc18925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tabs>
              <w:tab w:val="right" w:leader="dot" w:pos="8306"/>
              <w:tab w:val="clear" w:pos="829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_Toc8403 </w:instrText>
          </w:r>
          <w:r>
            <w:rPr>
              <w:rFonts w:hint="eastAsia" w:ascii="仿宋" w:hAnsi="仿宋" w:eastAsia="仿宋" w:cs="仿宋"/>
              <w:sz w:val="28"/>
              <w:szCs w:val="28"/>
            </w:rPr>
            <w:fldChar w:fldCharType="separate"/>
          </w:r>
          <w:r>
            <w:rPr>
              <w:rFonts w:hint="eastAsia" w:ascii="仿宋" w:hAnsi="仿宋" w:eastAsia="仿宋" w:cs="仿宋"/>
              <w:bCs w:val="0"/>
              <w:sz w:val="28"/>
              <w:szCs w:val="28"/>
            </w:rPr>
            <w:t>十四、国有资本经营预算财政拨款支出决算表（此表无数据）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_Toc8403 \h </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5"/>
          </w:pPr>
          <w:r>
            <w:fldChar w:fldCharType="end"/>
          </w:r>
        </w:p>
      </w:sdtContent>
    </w:sdt>
    <w:p>
      <w:pPr>
        <w:rPr>
          <w:rFonts w:hint="eastAsia" w:ascii="黑体" w:hAnsi="黑体" w:eastAsia="黑体"/>
          <w:b w:val="0"/>
        </w:rPr>
      </w:pPr>
      <w:bookmarkStart w:id="16" w:name="_Toc15396599"/>
      <w:bookmarkStart w:id="17" w:name="_Toc15377196"/>
      <w:bookmarkStart w:id="18" w:name="_Toc3602"/>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rPr>
          <w:rFonts w:hint="eastAsia" w:ascii="黑体" w:hAnsi="黑体" w:eastAsia="黑体"/>
          <w:b w:val="0"/>
        </w:rPr>
      </w:pPr>
    </w:p>
    <w:p>
      <w:pPr>
        <w:pStyle w:val="2"/>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6"/>
      <w:bookmarkEnd w:id="17"/>
      <w:bookmarkEnd w:id="18"/>
    </w:p>
    <w:p>
      <w:pPr>
        <w:widowControl/>
        <w:jc w:val="left"/>
        <w:rPr>
          <w:rFonts w:ascii="黑体" w:eastAsia="黑体"/>
          <w:sz w:val="32"/>
          <w:szCs w:val="32"/>
        </w:rPr>
      </w:pPr>
    </w:p>
    <w:p>
      <w:pPr>
        <w:pStyle w:val="3"/>
        <w:numPr>
          <w:ilvl w:val="0"/>
          <w:numId w:val="1"/>
        </w:numPr>
        <w:rPr>
          <w:rStyle w:val="25"/>
          <w:rFonts w:ascii="黑体" w:hAnsi="黑体" w:eastAsia="黑体"/>
          <w:b w:val="0"/>
          <w:bCs w:val="0"/>
        </w:rPr>
      </w:pPr>
      <w:bookmarkStart w:id="19" w:name="_Toc22371"/>
      <w:bookmarkStart w:id="20" w:name="_Toc15377197"/>
      <w:bookmarkStart w:id="21" w:name="_Toc15396600"/>
      <w:r>
        <w:rPr>
          <w:rStyle w:val="25"/>
          <w:rFonts w:hint="eastAsia" w:ascii="黑体" w:hAnsi="黑体" w:eastAsia="黑体"/>
          <w:b w:val="0"/>
          <w:bCs w:val="0"/>
        </w:rPr>
        <w:t>职能简介</w:t>
      </w:r>
      <w:bookmarkEnd w:id="19"/>
    </w:p>
    <w:p>
      <w:pPr>
        <w:pStyle w:val="3"/>
        <w:ind w:firstLine="640" w:firstLineChars="200"/>
        <w:rPr>
          <w:rFonts w:ascii="仿宋" w:hAnsi="仿宋" w:eastAsia="仿宋"/>
          <w:b w:val="0"/>
          <w:bCs w:val="0"/>
          <w:kern w:val="0"/>
        </w:rPr>
      </w:pPr>
      <w:bookmarkStart w:id="22" w:name="_Toc31989"/>
      <w:bookmarkStart w:id="23" w:name="_Toc25635"/>
      <w:r>
        <w:rPr>
          <w:rFonts w:hint="eastAsia" w:ascii="仿宋" w:hAnsi="仿宋" w:eastAsia="仿宋"/>
          <w:b w:val="0"/>
          <w:bCs w:val="0"/>
        </w:rPr>
        <w:t>做好场馆的维护、管理和养护，保证安全使用；为市民提供免费低收费健身场地服务及应急避难场所；为全市文化、体育等大型活动提供场所，开展社会热点体育项目的辅导、培训；拓宽体育产业渠道，引进高水平体育竞赛活动；为全市业余训练项目提供训练、比赛场地，承担游泳、赛艇、皮划艇、羽毛球、乒乓球、网球、少儿棒球、跆拳道8个项目的业余训练工作及省级以上重大赛事的参赛任务，向省级各类专业运动队输送优秀运动员，并为社会培训体育骨干；免费为全市体育场馆建设提供咨询服务和相关技术指导。</w:t>
      </w:r>
      <w:r>
        <w:rPr>
          <w:rFonts w:hint="eastAsia" w:ascii="仿宋" w:hAnsi="仿宋" w:eastAsia="仿宋"/>
          <w:b w:val="0"/>
          <w:bCs w:val="0"/>
          <w:kern w:val="0"/>
        </w:rPr>
        <w:t>承办市教育体育局交办的其他事项。</w:t>
      </w:r>
      <w:bookmarkEnd w:id="22"/>
      <w:bookmarkEnd w:id="23"/>
    </w:p>
    <w:p>
      <w:pPr>
        <w:pStyle w:val="3"/>
        <w:rPr>
          <w:rFonts w:hint="eastAsia" w:ascii="黑体" w:hAnsi="黑体" w:eastAsia="黑体"/>
          <w:b w:val="0"/>
          <w:lang w:val="en-US" w:eastAsia="zh-CN"/>
        </w:rPr>
      </w:pPr>
      <w:bookmarkStart w:id="24" w:name="_Toc28094"/>
      <w:r>
        <w:rPr>
          <w:rFonts w:hint="eastAsia" w:ascii="黑体" w:hAnsi="黑体" w:eastAsia="黑体"/>
          <w:b w:val="0"/>
        </w:rPr>
        <w:t>二、</w:t>
      </w:r>
      <w:r>
        <w:rPr>
          <w:rFonts w:hint="eastAsia" w:ascii="黑体" w:hAnsi="黑体" w:eastAsia="黑体"/>
          <w:b w:val="0"/>
          <w:lang w:val="en-US" w:eastAsia="zh-CN"/>
        </w:rPr>
        <w:t>机构设置</w:t>
      </w:r>
      <w:bookmarkEnd w:id="24"/>
    </w:p>
    <w:p>
      <w:pPr>
        <w:ind w:firstLine="640" w:firstLineChars="200"/>
        <w:rPr>
          <w:rFonts w:hint="eastAsia" w:ascii="黑体" w:hAnsi="黑体" w:eastAsia="黑体"/>
          <w:b w:val="0"/>
        </w:rPr>
      </w:pPr>
      <w:r>
        <w:rPr>
          <w:rFonts w:hint="eastAsia" w:ascii="仿宋" w:hAnsi="仿宋" w:eastAsia="仿宋"/>
          <w:sz w:val="32"/>
          <w:szCs w:val="32"/>
        </w:rPr>
        <w:t>攀枝花市体育场馆中心是市教育和体育局下属独立核算差额拨款事业单位，单位事业编制31人，内设机构4个。</w:t>
      </w:r>
    </w:p>
    <w:p>
      <w:pPr>
        <w:pStyle w:val="3"/>
        <w:rPr>
          <w:rFonts w:ascii="黑体" w:hAnsi="黑体" w:eastAsia="黑体"/>
          <w:b w:val="0"/>
        </w:rPr>
      </w:pPr>
      <w:bookmarkStart w:id="25" w:name="_Toc17291"/>
      <w:r>
        <w:rPr>
          <w:rFonts w:hint="eastAsia" w:ascii="黑体" w:hAnsi="黑体" w:eastAsia="黑体"/>
          <w:b w:val="0"/>
        </w:rPr>
        <w:t>二、2021年重点工作</w:t>
      </w:r>
      <w:bookmarkEnd w:id="20"/>
      <w:bookmarkEnd w:id="21"/>
      <w:r>
        <w:rPr>
          <w:rFonts w:hint="eastAsia" w:ascii="黑体" w:hAnsi="黑体" w:eastAsia="黑体"/>
          <w:b w:val="0"/>
        </w:rPr>
        <w:t>完成情况</w:t>
      </w:r>
      <w:bookmarkEnd w:id="25"/>
    </w:p>
    <w:p>
      <w:pPr>
        <w:spacing w:line="560" w:lineRule="exact"/>
        <w:ind w:firstLine="640" w:firstLineChars="200"/>
        <w:rPr>
          <w:rFonts w:ascii="仿宋" w:hAnsi="仿宋" w:eastAsia="仿宋" w:cstheme="majorBidi"/>
          <w:kern w:val="0"/>
          <w:sz w:val="32"/>
          <w:szCs w:val="32"/>
        </w:rPr>
      </w:pPr>
      <w:r>
        <w:rPr>
          <w:rFonts w:hint="eastAsia" w:ascii="仿宋" w:hAnsi="仿宋" w:eastAsia="仿宋" w:cstheme="majorBidi"/>
          <w:kern w:val="0"/>
          <w:sz w:val="32"/>
          <w:szCs w:val="32"/>
        </w:rPr>
        <w:t>认真贯彻《全民健身条例》，完善管理制度，扩大场馆开放力度，强化服务意识，提升服务质量。2021年，各场馆承办承接各类体育赛事、文体活动、考试等80余场。日均免费、低收费接待健身群众2000余人次，全年累计接待健身群众79万人次，做好各场馆免、低收费开放工作，满足了人民群众对运动健身的需求。国家体育总局群体司评估组、四川省体育局先后到我中心调研，国家、省局领导充分肯定了我中心工作业绩，认为攀枝花市大型体育场馆免费、低收费开放工作扎实有效。实现全年非税收入140万元（税前）。体育馆升级改造项目进展顺利。</w:t>
      </w:r>
    </w:p>
    <w:p/>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4"/>
          <w:rFonts w:ascii="黑体" w:hAnsi="黑体" w:eastAsia="黑体"/>
          <w:b w:val="0"/>
          <w:bCs/>
        </w:rPr>
      </w:pPr>
      <w:bookmarkStart w:id="26" w:name="_Toc15396602"/>
      <w:bookmarkStart w:id="27" w:name="_Toc15377204"/>
      <w:bookmarkStart w:id="28" w:name="_Toc9141"/>
      <w:r>
        <w:rPr>
          <w:rFonts w:hint="eastAsia" w:ascii="黑体" w:hAnsi="黑体" w:eastAsia="黑体"/>
          <w:b w:val="0"/>
        </w:rPr>
        <w:t>第二部分 2021年度</w:t>
      </w:r>
      <w:r>
        <w:rPr>
          <w:rStyle w:val="24"/>
          <w:rFonts w:hint="eastAsia" w:ascii="黑体" w:hAnsi="黑体" w:eastAsia="黑体"/>
          <w:b w:val="0"/>
          <w:bCs/>
        </w:rPr>
        <w:t>单位决算情况说明</w:t>
      </w:r>
      <w:bookmarkEnd w:id="26"/>
      <w:bookmarkEnd w:id="27"/>
      <w:bookmarkEnd w:id="28"/>
    </w:p>
    <w:p/>
    <w:p>
      <w:pPr>
        <w:pStyle w:val="23"/>
        <w:numPr>
          <w:ilvl w:val="0"/>
          <w:numId w:val="2"/>
        </w:numPr>
        <w:spacing w:line="600" w:lineRule="exact"/>
        <w:ind w:firstLineChars="0"/>
        <w:outlineLvl w:val="1"/>
        <w:rPr>
          <w:rStyle w:val="25"/>
          <w:rFonts w:ascii="黑体" w:hAnsi="黑体" w:eastAsia="黑体"/>
          <w:b w:val="0"/>
        </w:rPr>
      </w:pPr>
      <w:bookmarkStart w:id="29" w:name="_Toc15377205"/>
      <w:bookmarkStart w:id="30" w:name="_Toc15396603"/>
      <w:bookmarkStart w:id="31" w:name="_Toc29235"/>
      <w:r>
        <w:rPr>
          <w:rFonts w:hint="eastAsia" w:ascii="黑体" w:hAnsi="黑体" w:eastAsia="黑体"/>
          <w:sz w:val="32"/>
          <w:szCs w:val="32"/>
        </w:rPr>
        <w:t>收</w:t>
      </w:r>
      <w:r>
        <w:rPr>
          <w:rStyle w:val="25"/>
          <w:rFonts w:hint="eastAsia" w:ascii="黑体" w:hAnsi="黑体" w:eastAsia="黑体"/>
          <w:b w:val="0"/>
        </w:rPr>
        <w:t>入支出决算总体情况说明</w:t>
      </w:r>
      <w:bookmarkEnd w:id="29"/>
      <w:bookmarkEnd w:id="30"/>
      <w:bookmarkEnd w:id="31"/>
      <w:bookmarkStart w:id="121" w:name="_GoBack"/>
      <w:bookmarkEnd w:id="1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2021年度收、支总计1175.65万元。与2020年相比，收、支总计各减少338.68万元，下降22.37</w:t>
      </w:r>
      <w:r>
        <w:rPr>
          <w:rFonts w:ascii="仿宋" w:hAnsi="仿宋" w:eastAsia="仿宋"/>
          <w:sz w:val="32"/>
          <w:szCs w:val="32"/>
        </w:rPr>
        <w:t>%</w:t>
      </w:r>
      <w:r>
        <w:rPr>
          <w:rFonts w:hint="eastAsia" w:ascii="仿宋" w:hAnsi="仿宋" w:eastAsia="仿宋"/>
          <w:sz w:val="32"/>
          <w:szCs w:val="32"/>
        </w:rPr>
        <w:t>。主要变动原因是2020年拨付了500万元体育馆升级改造资金，故2021年收、支总计较2022年少。</w:t>
      </w:r>
    </w:p>
    <w:p>
      <w:pPr>
        <w:pStyle w:val="5"/>
        <w:spacing w:before="93"/>
      </w:pPr>
      <w:r>
        <w:drawing>
          <wp:inline distT="0" distB="0" distL="0" distR="0">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5"/>
        <w:spacing w:before="93"/>
        <w:rPr>
          <w:rFonts w:hint="eastAsia"/>
        </w:rPr>
      </w:pPr>
    </w:p>
    <w:p>
      <w:pPr>
        <w:pStyle w:val="23"/>
        <w:numPr>
          <w:ilvl w:val="0"/>
          <w:numId w:val="2"/>
        </w:numPr>
        <w:spacing w:line="600" w:lineRule="exact"/>
        <w:ind w:firstLineChars="0"/>
        <w:outlineLvl w:val="1"/>
        <w:rPr>
          <w:rStyle w:val="25"/>
          <w:rFonts w:ascii="黑体" w:hAnsi="黑体" w:eastAsia="黑体"/>
          <w:b w:val="0"/>
        </w:rPr>
      </w:pPr>
      <w:bookmarkStart w:id="32" w:name="_Toc15377206"/>
      <w:bookmarkStart w:id="33" w:name="_Toc15396604"/>
      <w:bookmarkStart w:id="34" w:name="_Toc16052"/>
      <w:r>
        <w:rPr>
          <w:rFonts w:hint="eastAsia" w:ascii="黑体" w:hAnsi="黑体" w:eastAsia="黑体"/>
          <w:sz w:val="32"/>
          <w:szCs w:val="32"/>
        </w:rPr>
        <w:t>收</w:t>
      </w:r>
      <w:r>
        <w:rPr>
          <w:rStyle w:val="25"/>
          <w:rFonts w:hint="eastAsia" w:ascii="黑体" w:hAnsi="黑体" w:eastAsia="黑体"/>
          <w:b w:val="0"/>
        </w:rPr>
        <w:t>入决算情况说明</w:t>
      </w:r>
      <w:bookmarkEnd w:id="32"/>
      <w:bookmarkEnd w:id="33"/>
      <w:bookmarkEnd w:id="34"/>
    </w:p>
    <w:p>
      <w:pPr>
        <w:spacing w:line="600" w:lineRule="exact"/>
        <w:ind w:firstLine="640" w:firstLineChars="200"/>
        <w:outlineLvl w:val="1"/>
        <w:rPr>
          <w:rFonts w:ascii="仿宋" w:hAnsi="仿宋" w:eastAsia="仿宋"/>
          <w:sz w:val="32"/>
          <w:szCs w:val="32"/>
        </w:rPr>
      </w:pPr>
      <w:bookmarkStart w:id="35" w:name="_Toc1089"/>
      <w:bookmarkStart w:id="36" w:name="_Toc25201"/>
      <w:r>
        <w:rPr>
          <w:rFonts w:ascii="仿宋" w:hAnsi="仿宋" w:eastAsia="仿宋"/>
          <w:sz w:val="32"/>
          <w:szCs w:val="32"/>
        </w:rPr>
        <w:t>20</w:t>
      </w:r>
      <w:r>
        <w:rPr>
          <w:rFonts w:hint="eastAsia" w:ascii="仿宋" w:hAnsi="仿宋" w:eastAsia="仿宋"/>
          <w:sz w:val="32"/>
          <w:szCs w:val="32"/>
        </w:rPr>
        <w:t>21年本年收入合计823.65万元，其中：一般公共预算财政拨款收入701.85万元，占85.21</w:t>
      </w:r>
      <w:r>
        <w:rPr>
          <w:rFonts w:ascii="仿宋" w:hAnsi="仿宋" w:eastAsia="仿宋"/>
          <w:sz w:val="32"/>
          <w:szCs w:val="32"/>
        </w:rPr>
        <w:t>%</w:t>
      </w:r>
      <w:r>
        <w:rPr>
          <w:rFonts w:hint="eastAsia" w:ascii="仿宋" w:hAnsi="仿宋" w:eastAsia="仿宋"/>
          <w:sz w:val="32"/>
          <w:szCs w:val="32"/>
        </w:rPr>
        <w:t>；政府性基金预算财政拨款收入121.8万元，占14.79</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35"/>
      <w:bookmarkEnd w:id="36"/>
    </w:p>
    <w:p>
      <w:pPr>
        <w:pStyle w:val="5"/>
        <w:spacing w:before="93"/>
      </w:pPr>
      <w:r>
        <w:drawing>
          <wp:inline distT="0" distB="0" distL="0" distR="0">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5"/>
        <w:spacing w:before="93"/>
        <w:rPr>
          <w:rFonts w:hint="eastAsia"/>
        </w:rPr>
      </w:pPr>
    </w:p>
    <w:p>
      <w:pPr>
        <w:pStyle w:val="23"/>
        <w:numPr>
          <w:ilvl w:val="0"/>
          <w:numId w:val="2"/>
        </w:numPr>
        <w:spacing w:line="600" w:lineRule="exact"/>
        <w:ind w:firstLineChars="0"/>
        <w:outlineLvl w:val="1"/>
        <w:rPr>
          <w:rStyle w:val="25"/>
          <w:rFonts w:ascii="黑体" w:hAnsi="黑体" w:eastAsia="黑体"/>
          <w:b w:val="0"/>
        </w:rPr>
      </w:pPr>
      <w:bookmarkStart w:id="37" w:name="_Toc15396605"/>
      <w:bookmarkStart w:id="38" w:name="_Toc15377207"/>
      <w:bookmarkStart w:id="39" w:name="_Toc2026"/>
      <w:r>
        <w:rPr>
          <w:rFonts w:hint="eastAsia" w:ascii="黑体" w:hAnsi="黑体" w:eastAsia="黑体"/>
          <w:sz w:val="32"/>
          <w:szCs w:val="32"/>
        </w:rPr>
        <w:t>支</w:t>
      </w:r>
      <w:r>
        <w:rPr>
          <w:rStyle w:val="25"/>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sz w:val="32"/>
          <w:szCs w:val="32"/>
        </w:rPr>
      </w:pPr>
      <w:bookmarkStart w:id="40" w:name="_Toc22362"/>
      <w:bookmarkStart w:id="41" w:name="_Toc8226"/>
      <w:r>
        <w:rPr>
          <w:rFonts w:ascii="仿宋" w:hAnsi="仿宋" w:eastAsia="仿宋"/>
          <w:sz w:val="32"/>
          <w:szCs w:val="32"/>
        </w:rPr>
        <w:t>20</w:t>
      </w:r>
      <w:r>
        <w:rPr>
          <w:rFonts w:hint="eastAsia" w:ascii="仿宋" w:hAnsi="仿宋" w:eastAsia="仿宋"/>
          <w:sz w:val="32"/>
          <w:szCs w:val="32"/>
        </w:rPr>
        <w:t>21年本年支出合计1175.08万元，其中：基本支出580.5万元，占49.4</w:t>
      </w:r>
      <w:r>
        <w:rPr>
          <w:rFonts w:ascii="仿宋" w:hAnsi="仿宋" w:eastAsia="仿宋"/>
          <w:sz w:val="32"/>
          <w:szCs w:val="32"/>
        </w:rPr>
        <w:t>%</w:t>
      </w:r>
      <w:r>
        <w:rPr>
          <w:rFonts w:hint="eastAsia" w:ascii="仿宋" w:hAnsi="仿宋" w:eastAsia="仿宋"/>
          <w:sz w:val="32"/>
          <w:szCs w:val="32"/>
        </w:rPr>
        <w:t>；项目支出594.58万元，占50.6</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40"/>
      <w:bookmarkEnd w:id="41"/>
    </w:p>
    <w:p>
      <w:pPr>
        <w:pStyle w:val="5"/>
        <w:spacing w:before="93"/>
      </w:pPr>
      <w:r>
        <w:drawing>
          <wp:inline distT="0" distB="0" distL="0" distR="0">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5"/>
        <w:spacing w:before="93"/>
        <w:rPr>
          <w:rFonts w:hint="eastAsia"/>
        </w:rPr>
      </w:pPr>
    </w:p>
    <w:p>
      <w:pPr>
        <w:spacing w:line="600" w:lineRule="exact"/>
        <w:ind w:firstLine="640" w:firstLineChars="200"/>
        <w:outlineLvl w:val="1"/>
        <w:rPr>
          <w:rStyle w:val="25"/>
          <w:rFonts w:ascii="黑体" w:hAnsi="黑体" w:eastAsia="黑体"/>
          <w:b w:val="0"/>
        </w:rPr>
      </w:pPr>
      <w:bookmarkStart w:id="42" w:name="_Toc15396606"/>
      <w:bookmarkStart w:id="43" w:name="_Toc15377208"/>
      <w:bookmarkStart w:id="44" w:name="_Toc19840"/>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42"/>
      <w:bookmarkEnd w:id="43"/>
      <w:bookmarkEnd w:id="44"/>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21年财政拨款收、支总计1175.65万元。与</w:t>
      </w:r>
      <w:r>
        <w:rPr>
          <w:rFonts w:ascii="仿宋" w:hAnsi="仿宋" w:eastAsia="仿宋"/>
          <w:sz w:val="32"/>
          <w:szCs w:val="32"/>
        </w:rPr>
        <w:t>20</w:t>
      </w:r>
      <w:r>
        <w:rPr>
          <w:rFonts w:hint="eastAsia" w:ascii="仿宋" w:hAnsi="仿宋" w:eastAsia="仿宋"/>
          <w:sz w:val="32"/>
          <w:szCs w:val="32"/>
        </w:rPr>
        <w:t>20年相比，财政拨款收、支总计各减少338.68万元，下降22.37</w:t>
      </w:r>
      <w:r>
        <w:rPr>
          <w:rFonts w:ascii="仿宋" w:hAnsi="仿宋" w:eastAsia="仿宋"/>
          <w:sz w:val="32"/>
          <w:szCs w:val="32"/>
        </w:rPr>
        <w:t>%</w:t>
      </w:r>
      <w:r>
        <w:rPr>
          <w:rFonts w:hint="eastAsia" w:ascii="仿宋" w:hAnsi="仿宋" w:eastAsia="仿宋"/>
          <w:sz w:val="32"/>
          <w:szCs w:val="32"/>
        </w:rPr>
        <w:t>。主要变动原因是2020年拨付了500万元体育馆升级改造资金，故2021年收、支总计较2022年少。</w:t>
      </w:r>
    </w:p>
    <w:p>
      <w:pPr>
        <w:pStyle w:val="5"/>
        <w:spacing w:before="93"/>
      </w:pPr>
      <w:r>
        <w:drawing>
          <wp:inline distT="0" distB="0" distL="0" distR="0">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5"/>
        <w:spacing w:before="93"/>
        <w:rPr>
          <w:rFonts w:hint="eastAsia"/>
        </w:rPr>
      </w:pPr>
    </w:p>
    <w:p>
      <w:pPr>
        <w:spacing w:line="600" w:lineRule="exact"/>
        <w:ind w:firstLine="640" w:firstLineChars="200"/>
        <w:outlineLvl w:val="1"/>
        <w:rPr>
          <w:rStyle w:val="25"/>
          <w:rFonts w:ascii="黑体" w:hAnsi="黑体" w:eastAsia="黑体"/>
          <w:b w:val="0"/>
        </w:rPr>
      </w:pPr>
      <w:bookmarkStart w:id="45" w:name="_Toc15377209"/>
      <w:bookmarkStart w:id="46" w:name="_Toc15396607"/>
      <w:bookmarkStart w:id="47" w:name="_Toc29573"/>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45"/>
      <w:bookmarkEnd w:id="46"/>
      <w:bookmarkEnd w:id="47"/>
    </w:p>
    <w:p>
      <w:pPr>
        <w:spacing w:line="600" w:lineRule="exact"/>
        <w:ind w:firstLine="643" w:firstLineChars="200"/>
        <w:outlineLvl w:val="2"/>
        <w:rPr>
          <w:rFonts w:ascii="仿宋" w:hAnsi="仿宋" w:eastAsia="仿宋"/>
          <w:b/>
          <w:sz w:val="32"/>
          <w:szCs w:val="32"/>
        </w:rPr>
      </w:pPr>
      <w:bookmarkStart w:id="48" w:name="_Toc15377210"/>
      <w:bookmarkStart w:id="49" w:name="_Toc1678"/>
      <w:r>
        <w:rPr>
          <w:rFonts w:hint="eastAsia" w:ascii="仿宋" w:hAnsi="仿宋" w:eastAsia="仿宋"/>
          <w:b/>
          <w:sz w:val="32"/>
          <w:szCs w:val="32"/>
        </w:rPr>
        <w:t>（一）一般公共预算财政拨款支出决算总体情况</w:t>
      </w:r>
      <w:bookmarkEnd w:id="48"/>
      <w:bookmarkEnd w:id="49"/>
    </w:p>
    <w:p>
      <w:pPr>
        <w:spacing w:line="600" w:lineRule="exact"/>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21年一般公共预算财政拨款支出701.</w:t>
      </w:r>
      <w:r>
        <w:rPr>
          <w:rFonts w:hint="eastAsia" w:ascii="仿宋" w:hAnsi="仿宋" w:eastAsia="仿宋"/>
          <w:sz w:val="32"/>
          <w:szCs w:val="32"/>
          <w:lang w:val="en-US" w:eastAsia="zh-CN"/>
        </w:rPr>
        <w:t>28</w:t>
      </w:r>
      <w:r>
        <w:rPr>
          <w:rFonts w:hint="eastAsia" w:ascii="仿宋" w:hAnsi="仿宋" w:eastAsia="仿宋"/>
          <w:sz w:val="32"/>
          <w:szCs w:val="32"/>
        </w:rPr>
        <w:t>万元，占本年支出合计的59.</w:t>
      </w:r>
      <w:r>
        <w:rPr>
          <w:rFonts w:hint="eastAsia" w:ascii="仿宋" w:hAnsi="仿宋" w:eastAsia="仿宋"/>
          <w:sz w:val="32"/>
          <w:szCs w:val="32"/>
          <w:lang w:val="en-US" w:eastAsia="zh-CN"/>
        </w:rPr>
        <w:t>68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20年相比，一般公共预算财政拨款支出减少10</w:t>
      </w:r>
      <w:r>
        <w:rPr>
          <w:rFonts w:hint="eastAsia" w:ascii="仿宋" w:hAnsi="仿宋" w:eastAsia="仿宋"/>
          <w:sz w:val="32"/>
          <w:szCs w:val="32"/>
          <w:lang w:val="en-US" w:eastAsia="zh-CN"/>
        </w:rPr>
        <w:t>4.26</w:t>
      </w:r>
      <w:r>
        <w:rPr>
          <w:rFonts w:hint="eastAsia" w:ascii="仿宋" w:hAnsi="仿宋" w:eastAsia="仿宋"/>
          <w:sz w:val="32"/>
          <w:szCs w:val="32"/>
        </w:rPr>
        <w:t>万元，增长</w:t>
      </w:r>
      <w:r>
        <w:rPr>
          <w:rFonts w:ascii="仿宋" w:hAnsi="仿宋" w:eastAsia="仿宋"/>
          <w:sz w:val="32"/>
          <w:szCs w:val="32"/>
        </w:rPr>
        <w:t>/</w:t>
      </w:r>
      <w:r>
        <w:rPr>
          <w:rFonts w:hint="eastAsia" w:ascii="仿宋" w:hAnsi="仿宋" w:eastAsia="仿宋"/>
          <w:sz w:val="32"/>
          <w:szCs w:val="32"/>
        </w:rPr>
        <w:t>下降12.</w:t>
      </w:r>
      <w:r>
        <w:rPr>
          <w:rFonts w:hint="eastAsia" w:ascii="仿宋" w:hAnsi="仿宋" w:eastAsia="仿宋"/>
          <w:sz w:val="32"/>
          <w:szCs w:val="32"/>
          <w:lang w:val="en-US" w:eastAsia="zh-CN"/>
        </w:rPr>
        <w:t>94</w:t>
      </w:r>
      <w:r>
        <w:rPr>
          <w:rFonts w:ascii="仿宋" w:hAnsi="仿宋" w:eastAsia="仿宋"/>
          <w:sz w:val="32"/>
          <w:szCs w:val="32"/>
        </w:rPr>
        <w:t>%</w:t>
      </w:r>
      <w:r>
        <w:rPr>
          <w:rFonts w:hint="eastAsia" w:ascii="仿宋" w:hAnsi="仿宋" w:eastAsia="仿宋"/>
          <w:sz w:val="32"/>
          <w:szCs w:val="32"/>
        </w:rPr>
        <w:t>。主要变动原因是项目支出减少151.38万元。</w:t>
      </w:r>
    </w:p>
    <w:p>
      <w:pPr>
        <w:pStyle w:val="5"/>
        <w:spacing w:before="93"/>
        <w:rPr>
          <w:rFonts w:hint="eastAsia"/>
        </w:rPr>
      </w:pPr>
      <w:r>
        <w:drawing>
          <wp:inline distT="0" distB="0" distL="114300" distR="114300">
            <wp:extent cx="4572000" cy="2743200"/>
            <wp:effectExtent l="4445" t="4445" r="14605" b="1460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rPr>
          <w:rFonts w:hint="eastAsia"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0" w:name="_Toc15377211"/>
      <w:bookmarkStart w:id="51" w:name="_Toc20441"/>
      <w:r>
        <w:rPr>
          <w:rFonts w:hint="eastAsia" w:ascii="仿宋" w:hAnsi="仿宋" w:eastAsia="仿宋"/>
          <w:b/>
          <w:sz w:val="32"/>
          <w:szCs w:val="32"/>
        </w:rPr>
        <w:t>（二）一般公共预算财政拨款支出决算结构情况</w:t>
      </w:r>
      <w:bookmarkEnd w:id="50"/>
      <w:bookmarkEnd w:id="51"/>
    </w:p>
    <w:p>
      <w:pPr>
        <w:spacing w:line="600" w:lineRule="exact"/>
        <w:ind w:firstLine="640"/>
        <w:rPr>
          <w:rFonts w:hint="eastAsia"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21年一般公共预算财政拨款支出701.28万元，主要用于以下方面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教育支出（类）4.36</w:t>
      </w:r>
      <w:r>
        <w:rPr>
          <w:rFonts w:hint="eastAsia" w:ascii="仿宋" w:hAnsi="仿宋" w:eastAsia="仿宋"/>
          <w:sz w:val="32"/>
          <w:szCs w:val="32"/>
        </w:rPr>
        <w:t>万元，占0.62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文化旅游体育与传媒（类）支出616.48万元，占87.91</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支出40.84万元，占5.82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；住房保障支出39.60万元，占5.65</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p>
    <w:p>
      <w:pPr>
        <w:pStyle w:val="5"/>
        <w:spacing w:before="93"/>
      </w:pPr>
      <w:r>
        <w:drawing>
          <wp:inline distT="0" distB="0" distL="0" distR="0">
            <wp:extent cx="5274310" cy="296354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5"/>
        <w:spacing w:before="93"/>
        <w:rPr>
          <w:rFonts w:hint="eastAsia"/>
        </w:rPr>
      </w:pPr>
    </w:p>
    <w:p>
      <w:pPr>
        <w:spacing w:line="600" w:lineRule="exact"/>
        <w:ind w:firstLine="643" w:firstLineChars="200"/>
        <w:outlineLvl w:val="2"/>
        <w:rPr>
          <w:rFonts w:ascii="仿宋" w:hAnsi="仿宋" w:eastAsia="仿宋"/>
          <w:b/>
          <w:sz w:val="32"/>
          <w:szCs w:val="32"/>
        </w:rPr>
      </w:pPr>
      <w:bookmarkStart w:id="52" w:name="_Toc15377212"/>
      <w:bookmarkStart w:id="53" w:name="_Toc30646"/>
      <w:r>
        <w:rPr>
          <w:rFonts w:hint="eastAsia" w:ascii="仿宋" w:hAnsi="仿宋" w:eastAsia="仿宋"/>
          <w:b/>
          <w:sz w:val="32"/>
          <w:szCs w:val="32"/>
        </w:rPr>
        <w:t>（三）一般公共预算财政拨款支出决算具体情况</w:t>
      </w:r>
      <w:bookmarkEnd w:id="52"/>
      <w:bookmarkEnd w:id="53"/>
    </w:p>
    <w:p>
      <w:pPr>
        <w:spacing w:line="600" w:lineRule="exact"/>
        <w:ind w:firstLine="643" w:firstLineChars="200"/>
        <w:outlineLvl w:val="2"/>
        <w:rPr>
          <w:rFonts w:ascii="仿宋" w:hAnsi="仿宋" w:eastAsia="仿宋"/>
          <w:sz w:val="32"/>
          <w:szCs w:val="32"/>
        </w:rPr>
      </w:pPr>
      <w:bookmarkStart w:id="54" w:name="_Toc15377213"/>
      <w:bookmarkStart w:id="55" w:name="_Toc26897"/>
      <w:bookmarkStart w:id="56" w:name="_Toc15377444"/>
      <w:bookmarkStart w:id="57" w:name="_Toc15378460"/>
      <w:bookmarkStart w:id="58" w:name="_Toc5140"/>
      <w:r>
        <w:rPr>
          <w:rFonts w:hint="eastAsia" w:ascii="仿宋" w:hAnsi="仿宋" w:eastAsia="仿宋"/>
          <w:b/>
          <w:sz w:val="32"/>
          <w:szCs w:val="32"/>
        </w:rPr>
        <w:t>2021年一般公共预算支出决算数为701.28</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54"/>
      <w:bookmarkEnd w:id="55"/>
      <w:bookmarkEnd w:id="56"/>
      <w:bookmarkEnd w:id="57"/>
      <w:bookmarkEnd w:id="58"/>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1</w:t>
      </w:r>
      <w:r>
        <w:rPr>
          <w:rStyle w:val="14"/>
          <w:rFonts w:ascii="仿宋" w:hAnsi="仿宋" w:eastAsia="仿宋"/>
          <w:bCs/>
          <w:sz w:val="32"/>
          <w:szCs w:val="32"/>
        </w:rPr>
        <w:t>.</w:t>
      </w:r>
      <w:r>
        <w:rPr>
          <w:rStyle w:val="14"/>
          <w:rFonts w:hint="eastAsia" w:ascii="仿宋" w:hAnsi="仿宋" w:eastAsia="仿宋"/>
          <w:bCs/>
          <w:sz w:val="32"/>
          <w:szCs w:val="32"/>
        </w:rPr>
        <w:t>205教育（类）20509教育费附加安排的支出（款）2050999其他教育费附加安排的支出（项）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支出决算为4.36万元，完成预算100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ascii="仿宋" w:hAnsi="仿宋" w:eastAsia="仿宋"/>
          <w:b/>
          <w:sz w:val="32"/>
          <w:szCs w:val="32"/>
        </w:rPr>
        <w:t xml:space="preserve"> </w:t>
      </w:r>
    </w:p>
    <w:p>
      <w:p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sz w:val="32"/>
          <w:szCs w:val="32"/>
          <w:lang w:val="en-US" w:eastAsia="zh-CN"/>
        </w:rPr>
        <w:t>2</w:t>
      </w:r>
      <w:r>
        <w:rPr>
          <w:rStyle w:val="14"/>
          <w:rFonts w:ascii="仿宋" w:hAnsi="仿宋" w:eastAsia="仿宋"/>
          <w:bCs/>
          <w:sz w:val="32"/>
          <w:szCs w:val="32"/>
        </w:rPr>
        <w:t>.</w:t>
      </w:r>
      <w:r>
        <w:rPr>
          <w:rStyle w:val="14"/>
          <w:rFonts w:hint="eastAsia" w:ascii="仿宋" w:hAnsi="仿宋" w:eastAsia="仿宋"/>
          <w:bCs/>
          <w:sz w:val="32"/>
          <w:szCs w:val="32"/>
        </w:rPr>
        <w:t>207文化旅游体育与传媒（类）20703体育（款）2070307体育场馆（项）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支出决算为81.72万元，完成预算100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pStyle w:val="5"/>
        <w:spacing w:before="93"/>
        <w:ind w:firstLine="643" w:firstLineChars="200"/>
        <w:rPr>
          <w:rFonts w:hint="eastAsia"/>
        </w:rPr>
      </w:pPr>
      <w:r>
        <w:rPr>
          <w:rStyle w:val="14"/>
          <w:rFonts w:hint="eastAsia" w:ascii="仿宋" w:hAnsi="仿宋" w:eastAsia="仿宋"/>
          <w:bCs/>
          <w:sz w:val="32"/>
          <w:szCs w:val="32"/>
          <w:lang w:val="en-US" w:eastAsia="zh-CN"/>
        </w:rPr>
        <w:t>3.</w:t>
      </w:r>
      <w:r>
        <w:rPr>
          <w:rStyle w:val="14"/>
          <w:rFonts w:hint="eastAsia" w:ascii="仿宋" w:hAnsi="仿宋" w:eastAsia="仿宋"/>
          <w:bCs/>
          <w:sz w:val="32"/>
          <w:szCs w:val="32"/>
        </w:rPr>
        <w:t>207文化旅游体育与传媒（类）20703体育（款）2070399其他体育支出（项）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支出决算为534.76万元，完成预算100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4</w:t>
      </w:r>
      <w:r>
        <w:rPr>
          <w:rStyle w:val="14"/>
          <w:rFonts w:ascii="仿宋" w:hAnsi="仿宋" w:eastAsia="仿宋"/>
          <w:bCs/>
          <w:sz w:val="32"/>
          <w:szCs w:val="32"/>
        </w:rPr>
        <w:t>.</w:t>
      </w:r>
      <w:r>
        <w:rPr>
          <w:rStyle w:val="14"/>
          <w:rFonts w:hint="eastAsia" w:ascii="仿宋" w:hAnsi="仿宋" w:eastAsia="仿宋"/>
          <w:bCs/>
          <w:sz w:val="32"/>
          <w:szCs w:val="32"/>
        </w:rPr>
        <w:t>208社会保障和就业（类）20805行政事业单位养老支出（款）2080505机关事业单位基本养老保险缴费支出（项）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支出决算为40.84万元，完成预算100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4"/>
          <w:rFonts w:hint="eastAsia" w:ascii="仿宋" w:hAnsi="仿宋" w:eastAsia="仿宋"/>
          <w:bCs/>
          <w:sz w:val="32"/>
          <w:szCs w:val="32"/>
          <w:lang w:val="en-US" w:eastAsia="zh-CN"/>
        </w:rPr>
        <w:t>5</w:t>
      </w:r>
      <w:r>
        <w:rPr>
          <w:rStyle w:val="14"/>
          <w:rFonts w:ascii="仿宋" w:hAnsi="仿宋" w:eastAsia="仿宋"/>
          <w:bCs/>
          <w:sz w:val="32"/>
          <w:szCs w:val="32"/>
        </w:rPr>
        <w:t>.</w:t>
      </w:r>
      <w:r>
        <w:rPr>
          <w:rStyle w:val="14"/>
          <w:rFonts w:hint="eastAsia" w:ascii="仿宋" w:hAnsi="仿宋" w:eastAsia="仿宋"/>
          <w:bCs/>
          <w:sz w:val="32"/>
          <w:szCs w:val="32"/>
        </w:rPr>
        <w:t>221</w:t>
      </w:r>
      <w:r>
        <w:rPr>
          <w:rFonts w:hint="eastAsia" w:ascii="仿宋" w:hAnsi="仿宋" w:eastAsia="仿宋"/>
          <w:b/>
          <w:bCs/>
          <w:sz w:val="32"/>
          <w:szCs w:val="32"/>
        </w:rPr>
        <w:t>住房保障支出</w:t>
      </w:r>
      <w:r>
        <w:rPr>
          <w:rStyle w:val="14"/>
          <w:rFonts w:hint="eastAsia" w:ascii="仿宋" w:hAnsi="仿宋" w:eastAsia="仿宋"/>
          <w:bCs/>
          <w:sz w:val="32"/>
          <w:szCs w:val="32"/>
        </w:rPr>
        <w:t>（类）22102住房改革支出（款）2210201住房公积金（项）</w:t>
      </w:r>
      <w:r>
        <w:rPr>
          <w:rStyle w:val="14"/>
          <w:rFonts w:ascii="仿宋" w:hAnsi="仿宋" w:eastAsia="仿宋"/>
          <w:bCs/>
          <w:sz w:val="32"/>
          <w:szCs w:val="32"/>
        </w:rPr>
        <w:t>:</w:t>
      </w:r>
      <w:r>
        <w:rPr>
          <w:rStyle w:val="14"/>
          <w:rFonts w:hint="eastAsia" w:ascii="仿宋" w:hAnsi="仿宋" w:eastAsia="仿宋"/>
          <w:b w:val="0"/>
          <w:bCs/>
          <w:sz w:val="32"/>
          <w:szCs w:val="32"/>
        </w:rPr>
        <w:t>支出决算为39.60万元，完成预算100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p>
    <w:p>
      <w:pPr>
        <w:tabs>
          <w:tab w:val="right" w:pos="8306"/>
        </w:tabs>
        <w:spacing w:line="600" w:lineRule="exact"/>
        <w:ind w:firstLine="640"/>
        <w:outlineLvl w:val="1"/>
        <w:rPr>
          <w:rStyle w:val="25"/>
        </w:rPr>
      </w:pPr>
      <w:bookmarkStart w:id="59" w:name="_Toc15396608"/>
      <w:bookmarkStart w:id="60" w:name="_Toc15377214"/>
      <w:bookmarkStart w:id="61" w:name="_Toc25993"/>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9"/>
      <w:bookmarkEnd w:id="60"/>
      <w:bookmarkEnd w:id="61"/>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21年一般公共预算财政拨款基本支出580.50万元，其中：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554.62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25.88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62" w:name="_Toc15396609"/>
      <w:bookmarkStart w:id="63" w:name="_Toc15377215"/>
      <w:bookmarkStart w:id="64" w:name="_Toc5677"/>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62"/>
      <w:bookmarkEnd w:id="63"/>
      <w:bookmarkEnd w:id="64"/>
    </w:p>
    <w:p>
      <w:pPr>
        <w:spacing w:line="600" w:lineRule="exact"/>
        <w:ind w:firstLine="640"/>
        <w:outlineLvl w:val="2"/>
        <w:rPr>
          <w:rFonts w:ascii="仿宋" w:hAnsi="仿宋" w:eastAsia="仿宋"/>
          <w:b/>
          <w:sz w:val="32"/>
          <w:szCs w:val="32"/>
        </w:rPr>
      </w:pPr>
      <w:bookmarkStart w:id="65" w:name="_Toc15377216"/>
      <w:bookmarkStart w:id="66" w:name="_Toc2852"/>
      <w:r>
        <w:rPr>
          <w:rFonts w:hint="eastAsia" w:ascii="仿宋" w:hAnsi="仿宋" w:eastAsia="仿宋"/>
          <w:b/>
          <w:sz w:val="32"/>
          <w:szCs w:val="32"/>
        </w:rPr>
        <w:t>（一）“三公”经费财政拨款支出决算总体情况说明</w:t>
      </w:r>
      <w:bookmarkEnd w:id="65"/>
      <w:bookmarkEnd w:id="6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21年“三公”经费财政拨款支出决算为1.74万元，完成预算100</w:t>
      </w:r>
      <w:r>
        <w:rPr>
          <w:rFonts w:ascii="仿宋" w:hAnsi="仿宋" w:eastAsia="仿宋"/>
          <w:sz w:val="32"/>
          <w:szCs w:val="32"/>
        </w:rPr>
        <w:t>%</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67" w:name="_Toc15377217"/>
      <w:bookmarkStart w:id="68" w:name="_Toc30155"/>
      <w:r>
        <w:rPr>
          <w:rFonts w:hint="eastAsia" w:ascii="仿宋" w:hAnsi="仿宋" w:eastAsia="仿宋"/>
          <w:b/>
          <w:sz w:val="32"/>
          <w:szCs w:val="32"/>
        </w:rPr>
        <w:t>（二）“三公”经费财政拨款支出决算具体情况说明</w:t>
      </w:r>
      <w:bookmarkEnd w:id="67"/>
      <w:bookmarkEnd w:id="68"/>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；公务用车购置及运行维护费支出决算1.62万元，占93.10</w:t>
      </w:r>
      <w:r>
        <w:rPr>
          <w:rFonts w:ascii="仿宋" w:hAnsi="仿宋" w:eastAsia="仿宋"/>
          <w:sz w:val="32"/>
          <w:szCs w:val="32"/>
        </w:rPr>
        <w:t>%</w:t>
      </w:r>
      <w:r>
        <w:rPr>
          <w:rFonts w:hint="eastAsia" w:ascii="仿宋" w:hAnsi="仿宋" w:eastAsia="仿宋"/>
          <w:sz w:val="32"/>
          <w:szCs w:val="32"/>
        </w:rPr>
        <w:t>；公务接待费支出决算0.12万元，占6.9</w:t>
      </w:r>
      <w:r>
        <w:rPr>
          <w:rFonts w:ascii="仿宋" w:hAnsi="仿宋" w:eastAsia="仿宋"/>
          <w:sz w:val="32"/>
          <w:szCs w:val="32"/>
        </w:rPr>
        <w:t>%</w:t>
      </w:r>
      <w:r>
        <w:rPr>
          <w:rFonts w:hint="eastAsia" w:ascii="仿宋" w:hAnsi="仿宋" w:eastAsia="仿宋"/>
          <w:sz w:val="32"/>
          <w:szCs w:val="32"/>
        </w:rPr>
        <w:t>。具体情况如下：</w:t>
      </w:r>
    </w:p>
    <w:p>
      <w:pPr>
        <w:pStyle w:val="5"/>
        <w:spacing w:before="93"/>
        <w:rPr>
          <w:rFonts w:hint="eastAsia"/>
        </w:rPr>
      </w:pPr>
      <w:r>
        <w:drawing>
          <wp:inline distT="0" distB="0" distL="0" distR="0">
            <wp:extent cx="4572000" cy="27432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eastAsia="仿宋"/>
          <w:b w:val="0"/>
          <w:bCs/>
          <w:color w:val="auto"/>
          <w:sz w:val="32"/>
          <w:szCs w:val="32"/>
          <w:highlight w:val="none"/>
        </w:rPr>
        <w:t>完成预算</w:t>
      </w:r>
      <w:r>
        <w:rPr>
          <w:rStyle w:val="14"/>
          <w:rFonts w:hint="eastAsia" w:ascii="仿宋" w:eastAsia="仿宋"/>
          <w:b w:val="0"/>
          <w:bCs/>
          <w:color w:val="auto"/>
          <w:sz w:val="32"/>
          <w:szCs w:val="32"/>
          <w:highlight w:val="none"/>
          <w:lang w:val="en-US" w:eastAsia="zh-CN"/>
        </w:rPr>
        <w:t>0</w:t>
      </w:r>
      <w:r>
        <w:rPr>
          <w:rStyle w:val="14"/>
          <w:rFonts w:ascii="仿宋" w:eastAsia="仿宋"/>
          <w:b w:val="0"/>
          <w:bCs/>
          <w:color w:val="auto"/>
          <w:sz w:val="32"/>
          <w:szCs w:val="32"/>
          <w:highlight w:val="none"/>
        </w:rPr>
        <w:t>%</w:t>
      </w:r>
      <w:r>
        <w:rPr>
          <w:rStyle w:val="14"/>
          <w:rFonts w:hint="eastAsia" w:asci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2020年持平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1.62万元,</w:t>
      </w:r>
      <w:r>
        <w:rPr>
          <w:rStyle w:val="14"/>
          <w:rFonts w:hint="eastAsia" w:ascii="仿宋" w:hAnsi="仿宋" w:eastAsia="仿宋"/>
          <w:b w:val="0"/>
          <w:bCs/>
          <w:sz w:val="32"/>
          <w:szCs w:val="32"/>
        </w:rPr>
        <w:t>完成预算100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20年减少0.09万元，下降5.26</w:t>
      </w:r>
      <w:r>
        <w:rPr>
          <w:rFonts w:ascii="仿宋_GB2312" w:eastAsia="仿宋_GB2312"/>
          <w:sz w:val="32"/>
          <w:szCs w:val="32"/>
        </w:rPr>
        <w:t>%</w:t>
      </w:r>
      <w:r>
        <w:rPr>
          <w:rFonts w:hint="eastAsia" w:ascii="仿宋_GB2312" w:eastAsia="仿宋_GB2312"/>
          <w:sz w:val="32"/>
          <w:szCs w:val="32"/>
        </w:rPr>
        <w:t>。主要原因是执行政府过苦日子，紧日子的要求，提倡减少“三公”经费的使用。</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color w:val="000000" w:themeColor="text1"/>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1.62万元。主要用于扶贫工作、日常出差、备战省运会等所需的公务用车燃料费、维修</w:t>
      </w:r>
      <w:r>
        <w:rPr>
          <w:rFonts w:hint="eastAsia" w:ascii="仿宋_GB2312" w:eastAsia="仿宋_GB2312"/>
          <w:color w:val="000000" w:themeColor="text1"/>
          <w:sz w:val="32"/>
          <w:szCs w:val="32"/>
        </w:rPr>
        <w:t>费、过路过桥费、保险费等支出。</w:t>
      </w:r>
    </w:p>
    <w:p>
      <w:pPr>
        <w:spacing w:line="600" w:lineRule="exact"/>
        <w:ind w:firstLine="640"/>
        <w:rPr>
          <w:rFonts w:ascii="仿宋_GB2312" w:eastAsia="仿宋_GB2312"/>
          <w:color w:val="000000" w:themeColor="text1"/>
          <w:sz w:val="32"/>
          <w:szCs w:val="32"/>
        </w:rPr>
      </w:pPr>
      <w:r>
        <w:rPr>
          <w:rFonts w:ascii="仿宋_GB2312" w:eastAsia="仿宋_GB2312"/>
          <w:b/>
          <w:color w:val="000000" w:themeColor="text1"/>
          <w:sz w:val="32"/>
          <w:szCs w:val="32"/>
        </w:rPr>
        <w:t>3.</w:t>
      </w:r>
      <w:r>
        <w:rPr>
          <w:rFonts w:hint="eastAsia" w:ascii="仿宋_GB2312" w:eastAsia="仿宋_GB2312"/>
          <w:b/>
          <w:color w:val="000000" w:themeColor="text1"/>
          <w:sz w:val="32"/>
          <w:szCs w:val="32"/>
        </w:rPr>
        <w:t>公务接待费支出</w:t>
      </w:r>
      <w:r>
        <w:rPr>
          <w:rFonts w:hint="eastAsia" w:ascii="仿宋_GB2312" w:eastAsia="仿宋_GB2312"/>
          <w:color w:val="000000" w:themeColor="text1"/>
          <w:sz w:val="32"/>
          <w:szCs w:val="32"/>
        </w:rPr>
        <w:t>0.12万元，</w:t>
      </w:r>
      <w:r>
        <w:rPr>
          <w:rStyle w:val="14"/>
          <w:rFonts w:hint="eastAsia" w:ascii="仿宋" w:hAnsi="仿宋" w:eastAsia="仿宋"/>
          <w:b w:val="0"/>
          <w:bCs/>
          <w:color w:val="000000" w:themeColor="text1"/>
          <w:sz w:val="32"/>
          <w:szCs w:val="32"/>
        </w:rPr>
        <w:t>完成预算</w:t>
      </w:r>
      <w:r>
        <w:rPr>
          <w:rStyle w:val="14"/>
          <w:rFonts w:hint="eastAsia" w:ascii="仿宋" w:hAnsi="仿宋" w:eastAsia="仿宋"/>
          <w:b w:val="0"/>
          <w:bCs/>
          <w:color w:val="000000" w:themeColor="text1"/>
          <w:sz w:val="32"/>
          <w:szCs w:val="32"/>
          <w:lang w:val="en-US" w:eastAsia="zh-CN"/>
        </w:rPr>
        <w:t>14.29</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w:t>
      </w:r>
      <w:r>
        <w:rPr>
          <w:rFonts w:hint="eastAsia" w:ascii="仿宋_GB2312" w:eastAsia="仿宋_GB2312"/>
          <w:color w:val="000000" w:themeColor="text1"/>
          <w:sz w:val="32"/>
          <w:szCs w:val="32"/>
        </w:rPr>
        <w:t>公务接待费支出决算比</w:t>
      </w:r>
      <w:r>
        <w:rPr>
          <w:rFonts w:ascii="仿宋_GB2312" w:eastAsia="仿宋_GB2312"/>
          <w:color w:val="000000" w:themeColor="text1"/>
          <w:sz w:val="32"/>
          <w:szCs w:val="32"/>
        </w:rPr>
        <w:t>20</w:t>
      </w:r>
      <w:r>
        <w:rPr>
          <w:rFonts w:hint="eastAsia" w:ascii="仿宋_GB2312" w:eastAsia="仿宋_GB2312"/>
          <w:color w:val="000000" w:themeColor="text1"/>
          <w:sz w:val="32"/>
          <w:szCs w:val="32"/>
        </w:rPr>
        <w:t>20年增加0.02万元，增长20</w:t>
      </w:r>
      <w:r>
        <w:rPr>
          <w:rFonts w:ascii="仿宋_GB2312" w:eastAsia="仿宋_GB2312"/>
          <w:color w:val="000000" w:themeColor="text1"/>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接待省体育局安全检查</w:t>
      </w:r>
      <w:r>
        <w:rPr>
          <w:rFonts w:hint="eastAsia" w:ascii="仿宋_GB2312" w:eastAsia="仿宋_GB2312"/>
          <w:color w:val="000000" w:themeColor="text1"/>
          <w:sz w:val="32"/>
          <w:szCs w:val="32"/>
        </w:rPr>
        <w:t>。其中：</w:t>
      </w:r>
    </w:p>
    <w:p>
      <w:pPr>
        <w:spacing w:line="600" w:lineRule="exact"/>
        <w:ind w:firstLine="640"/>
        <w:rPr>
          <w:rFonts w:ascii="仿宋_GB2312" w:eastAsia="仿宋_GB2312"/>
          <w:color w:val="000000" w:themeColor="text1"/>
          <w:sz w:val="32"/>
          <w:szCs w:val="32"/>
        </w:rPr>
      </w:pPr>
      <w:r>
        <w:rPr>
          <w:rFonts w:hint="eastAsia" w:ascii="仿宋" w:hAnsi="仿宋" w:eastAsia="仿宋"/>
          <w:b/>
          <w:color w:val="000000" w:themeColor="text1"/>
          <w:sz w:val="32"/>
          <w:szCs w:val="32"/>
        </w:rPr>
        <w:t>国内公务接待支出</w:t>
      </w:r>
      <w:r>
        <w:rPr>
          <w:rFonts w:hint="eastAsia" w:ascii="仿宋" w:hAnsi="仿宋" w:eastAsia="仿宋"/>
          <w:b/>
          <w:color w:val="000000" w:themeColor="text1"/>
          <w:sz w:val="32"/>
          <w:szCs w:val="32"/>
          <w:lang w:val="en-US" w:eastAsia="zh-CN"/>
        </w:rPr>
        <w:t>0.12</w:t>
      </w:r>
      <w:r>
        <w:rPr>
          <w:rFonts w:hint="eastAsia" w:ascii="仿宋_GB2312" w:eastAsia="仿宋_GB2312"/>
          <w:color w:val="000000" w:themeColor="text1"/>
          <w:sz w:val="32"/>
          <w:szCs w:val="32"/>
        </w:rPr>
        <w:t>万元，主要用于</w:t>
      </w:r>
      <w:r>
        <w:rPr>
          <w:rFonts w:hint="eastAsia" w:ascii="仿宋_GB2312" w:eastAsia="仿宋_GB2312"/>
          <w:color w:val="000000" w:themeColor="text1"/>
          <w:sz w:val="32"/>
          <w:szCs w:val="32"/>
          <w:lang w:eastAsia="zh-CN"/>
        </w:rPr>
        <w:t>餐饮费支出</w:t>
      </w:r>
      <w:r>
        <w:rPr>
          <w:rFonts w:hint="eastAsia" w:ascii="仿宋_GB2312" w:eastAsia="仿宋_GB2312"/>
          <w:color w:val="000000" w:themeColor="text1"/>
          <w:sz w:val="32"/>
          <w:szCs w:val="32"/>
        </w:rPr>
        <w:t>。国内公务接待</w:t>
      </w:r>
      <w:r>
        <w:rPr>
          <w:rFonts w:hint="eastAsia" w:ascii="仿宋_GB2312" w:eastAsia="仿宋_GB2312"/>
          <w:color w:val="000000" w:themeColor="text1"/>
          <w:sz w:val="32"/>
          <w:szCs w:val="32"/>
          <w:lang w:val="en-US" w:eastAsia="zh-CN"/>
        </w:rPr>
        <w:t>1</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7</w:t>
      </w:r>
      <w:r>
        <w:rPr>
          <w:rFonts w:hint="eastAsia" w:ascii="仿宋_GB2312" w:eastAsia="仿宋_GB2312"/>
          <w:color w:val="000000" w:themeColor="text1"/>
          <w:sz w:val="32"/>
          <w:szCs w:val="32"/>
        </w:rPr>
        <w:t>人次（不包括陪同人员），共计支出</w:t>
      </w:r>
      <w:r>
        <w:rPr>
          <w:rFonts w:hint="eastAsia" w:ascii="仿宋_GB2312" w:eastAsia="仿宋_GB2312"/>
          <w:color w:val="000000" w:themeColor="text1"/>
          <w:sz w:val="32"/>
          <w:szCs w:val="32"/>
          <w:lang w:val="en-US" w:eastAsia="zh-CN"/>
        </w:rPr>
        <w:t>0.12</w:t>
      </w:r>
      <w:r>
        <w:rPr>
          <w:rFonts w:hint="eastAsia" w:ascii="仿宋_GB2312" w:eastAsia="仿宋_GB2312"/>
          <w:color w:val="000000" w:themeColor="text1"/>
          <w:sz w:val="32"/>
          <w:szCs w:val="32"/>
        </w:rPr>
        <w:t>万元，具体内容包括：</w:t>
      </w:r>
      <w:r>
        <w:rPr>
          <w:rFonts w:hint="eastAsia" w:ascii="仿宋_GB2312" w:eastAsia="仿宋_GB2312"/>
          <w:color w:val="000000" w:themeColor="text1"/>
          <w:sz w:val="32"/>
          <w:szCs w:val="32"/>
          <w:lang w:eastAsia="zh-CN"/>
        </w:rPr>
        <w:t>接待省体育局安全检查，支出餐饮费</w:t>
      </w:r>
      <w:r>
        <w:rPr>
          <w:rFonts w:hint="eastAsia" w:ascii="仿宋_GB2312" w:eastAsia="仿宋_GB2312"/>
          <w:color w:val="000000" w:themeColor="text1"/>
          <w:sz w:val="32"/>
          <w:szCs w:val="32"/>
          <w:lang w:val="en-US" w:eastAsia="zh-CN"/>
        </w:rPr>
        <w:t>0.12万元</w:t>
      </w:r>
      <w:r>
        <w:rPr>
          <w:rFonts w:hint="eastAsia" w:ascii="仿宋_GB2312" w:eastAsia="仿宋_GB2312"/>
          <w:color w:val="000000" w:themeColor="text1"/>
          <w:sz w:val="32"/>
          <w:szCs w:val="32"/>
        </w:rPr>
        <w:t>。</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themeColor="text1"/>
          <w:sz w:val="32"/>
          <w:szCs w:val="32"/>
        </w:rPr>
        <w:t>外事接待支出</w:t>
      </w:r>
      <w:r>
        <w:rPr>
          <w:rFonts w:hint="eastAsia" w:ascii="仿宋" w:hAnsi="仿宋" w:eastAsia="仿宋"/>
          <w:color w:val="000000" w:themeColor="text1"/>
          <w:sz w:val="32"/>
          <w:szCs w:val="32"/>
        </w:rPr>
        <w:t>0</w:t>
      </w:r>
      <w:r>
        <w:rPr>
          <w:rFonts w:hint="eastAsia" w:ascii="仿宋_GB2312" w:eastAsia="仿宋_GB2312"/>
          <w:color w:val="000000" w:themeColor="text1"/>
          <w:sz w:val="32"/>
          <w:szCs w:val="32"/>
        </w:rPr>
        <w:t>万元，外事接待0批次，0人，共计支出0万元。</w:t>
      </w:r>
    </w:p>
    <w:p>
      <w:pPr>
        <w:spacing w:line="600" w:lineRule="exact"/>
        <w:ind w:firstLine="640"/>
        <w:outlineLvl w:val="1"/>
        <w:rPr>
          <w:rFonts w:ascii="黑体" w:eastAsia="黑体"/>
          <w:sz w:val="32"/>
          <w:szCs w:val="32"/>
        </w:rPr>
      </w:pPr>
      <w:bookmarkStart w:id="69" w:name="_Toc15377218"/>
      <w:bookmarkStart w:id="70" w:name="_Toc15396610"/>
    </w:p>
    <w:p>
      <w:pPr>
        <w:spacing w:line="600" w:lineRule="exact"/>
        <w:ind w:firstLine="640"/>
        <w:outlineLvl w:val="1"/>
        <w:rPr>
          <w:rStyle w:val="25"/>
          <w:rFonts w:ascii="黑体" w:hAnsi="黑体" w:eastAsia="黑体"/>
        </w:rPr>
      </w:pPr>
      <w:bookmarkStart w:id="71" w:name="_Toc32420"/>
      <w:r>
        <w:rPr>
          <w:rFonts w:hint="eastAsia" w:ascii="黑体" w:eastAsia="黑体"/>
          <w:sz w:val="32"/>
          <w:szCs w:val="32"/>
        </w:rPr>
        <w:t>八、</w:t>
      </w:r>
      <w:r>
        <w:rPr>
          <w:rStyle w:val="25"/>
          <w:rFonts w:hint="eastAsia" w:ascii="黑体" w:hAnsi="黑体" w:eastAsia="黑体"/>
          <w:b w:val="0"/>
        </w:rPr>
        <w:t>政府性基金预算支出决算情况说明</w:t>
      </w:r>
      <w:bookmarkEnd w:id="69"/>
      <w:bookmarkEnd w:id="70"/>
      <w:bookmarkEnd w:id="7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21年政府性基金预算财政拨款支出121.80万元。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72" w:name="_Toc15377219"/>
      <w:bookmarkStart w:id="73" w:name="_Toc15396611"/>
      <w:bookmarkStart w:id="74" w:name="_Toc22873"/>
      <w:r>
        <w:rPr>
          <w:rStyle w:val="25"/>
          <w:rFonts w:hint="eastAsia" w:ascii="黑体" w:hAnsi="黑体" w:eastAsia="黑体"/>
          <w:b w:val="0"/>
        </w:rPr>
        <w:t>国有资本经营预算支出决算情况说明</w:t>
      </w:r>
      <w:bookmarkEnd w:id="72"/>
      <w:bookmarkEnd w:id="73"/>
      <w:bookmarkEnd w:id="7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75" w:name="_Toc15377221"/>
      <w:bookmarkStart w:id="76" w:name="_Toc15396612"/>
      <w:bookmarkStart w:id="77" w:name="_Toc14956"/>
      <w:r>
        <w:rPr>
          <w:rStyle w:val="25"/>
          <w:rFonts w:hint="eastAsia" w:ascii="黑体" w:hAnsi="黑体" w:eastAsia="黑体"/>
          <w:b w:val="0"/>
        </w:rPr>
        <w:t>其他重要事项的情况说明</w:t>
      </w:r>
      <w:bookmarkEnd w:id="75"/>
      <w:bookmarkEnd w:id="76"/>
      <w:bookmarkEnd w:id="77"/>
    </w:p>
    <w:p>
      <w:pPr>
        <w:spacing w:line="600" w:lineRule="exact"/>
        <w:ind w:firstLine="643" w:firstLineChars="200"/>
        <w:outlineLvl w:val="2"/>
        <w:rPr>
          <w:rFonts w:ascii="仿宋" w:hAnsi="仿宋" w:eastAsia="仿宋"/>
          <w:sz w:val="32"/>
          <w:szCs w:val="32"/>
        </w:rPr>
      </w:pPr>
      <w:bookmarkStart w:id="78" w:name="_Toc15377222"/>
      <w:bookmarkStart w:id="79" w:name="_Toc4301"/>
      <w:r>
        <w:rPr>
          <w:rFonts w:hint="eastAsia" w:ascii="仿宋" w:hAnsi="仿宋" w:eastAsia="仿宋"/>
          <w:b/>
          <w:sz w:val="32"/>
          <w:szCs w:val="32"/>
        </w:rPr>
        <w:t>（一）机关运行经费支出情况</w:t>
      </w:r>
      <w:bookmarkEnd w:id="78"/>
      <w:bookmarkEnd w:id="79"/>
    </w:p>
    <w:p>
      <w:pPr>
        <w:spacing w:line="600" w:lineRule="exact"/>
        <w:ind w:firstLine="640" w:firstLineChars="200"/>
        <w:rPr>
          <w:rFonts w:hint="eastAsia"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21年，攀枝花市体育场馆中心机关运行经费支出0万元，与</w:t>
      </w:r>
      <w:r>
        <w:rPr>
          <w:rFonts w:ascii="仿宋_GB2312" w:eastAsia="仿宋_GB2312"/>
          <w:sz w:val="32"/>
          <w:szCs w:val="32"/>
        </w:rPr>
        <w:t>20</w:t>
      </w:r>
      <w:r>
        <w:rPr>
          <w:rFonts w:hint="eastAsia" w:ascii="仿宋_GB2312" w:eastAsia="仿宋_GB2312"/>
          <w:sz w:val="32"/>
          <w:szCs w:val="32"/>
        </w:rPr>
        <w:t>20年决算数持平</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0" w:name="_Toc15377223"/>
      <w:bookmarkStart w:id="81" w:name="_Toc31049"/>
      <w:r>
        <w:rPr>
          <w:rFonts w:hint="eastAsia" w:ascii="仿宋" w:hAnsi="仿宋" w:eastAsia="仿宋"/>
          <w:b/>
          <w:sz w:val="32"/>
          <w:szCs w:val="32"/>
        </w:rPr>
        <w:t>（二）政府采购支出情况</w:t>
      </w:r>
      <w:bookmarkEnd w:id="80"/>
      <w:bookmarkEnd w:id="8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21年，攀枝花市体育场馆中心政府采购支出总额19.98万元，其中：政府采购货物支出19.98万元、政府采购工程支出0万元、政府采购服务支出0万元。主要用于运动队体育器材采购及办公电脑采购</w:t>
      </w:r>
      <w:r>
        <w:rPr>
          <w:rFonts w:hint="eastAsia" w:ascii="仿宋_GB2312" w:eastAsia="仿宋_GB2312"/>
          <w:color w:val="000000" w:themeColor="text1"/>
          <w:sz w:val="32"/>
          <w:szCs w:val="32"/>
        </w:rPr>
        <w:t>。授予中小企业合同金额</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万元，占政府采购支出总额的0</w:t>
      </w:r>
      <w:r>
        <w:rPr>
          <w:rFonts w:ascii="仿宋_GB2312" w:eastAsia="仿宋_GB2312"/>
          <w:color w:val="000000" w:themeColor="text1"/>
          <w:sz w:val="32"/>
          <w:szCs w:val="32"/>
        </w:rPr>
        <w:t>%</w:t>
      </w:r>
      <w:r>
        <w:rPr>
          <w:rFonts w:hint="eastAsia" w:ascii="仿宋_GB2312" w:eastAsia="仿宋_GB2312"/>
          <w:color w:val="000000" w:themeColor="text1"/>
          <w:sz w:val="32"/>
          <w:szCs w:val="32"/>
        </w:rPr>
        <w:t>，其中：授予小微企业合同金额</w:t>
      </w:r>
      <w:r>
        <w:rPr>
          <w:rFonts w:hint="eastAsia" w:ascii="仿宋_GB2312" w:eastAsia="仿宋_GB2312"/>
          <w:color w:val="000000" w:themeColor="text1"/>
          <w:sz w:val="32"/>
          <w:szCs w:val="32"/>
          <w:lang w:val="en-US" w:eastAsia="zh-CN"/>
        </w:rPr>
        <w:t>19.98</w:t>
      </w:r>
      <w:r>
        <w:rPr>
          <w:rFonts w:hint="eastAsia" w:ascii="仿宋_GB2312" w:eastAsia="仿宋_GB2312"/>
          <w:color w:val="000000" w:themeColor="text1"/>
          <w:sz w:val="32"/>
          <w:szCs w:val="32"/>
        </w:rPr>
        <w:t>万元，占政府采购支出总额的</w:t>
      </w:r>
      <w:r>
        <w:rPr>
          <w:rFonts w:hint="eastAsia" w:ascii="仿宋_GB2312" w:eastAsia="仿宋_GB2312"/>
          <w:color w:val="000000" w:themeColor="text1"/>
          <w:sz w:val="32"/>
          <w:szCs w:val="32"/>
          <w:lang w:val="en-US" w:eastAsia="zh-CN"/>
        </w:rPr>
        <w:t>10</w:t>
      </w:r>
      <w:r>
        <w:rPr>
          <w:rFonts w:hint="eastAsia" w:ascii="仿宋_GB2312" w:eastAsia="仿宋_GB2312"/>
          <w:color w:val="000000" w:themeColor="text1"/>
          <w:sz w:val="32"/>
          <w:szCs w:val="32"/>
        </w:rPr>
        <w:t>0</w:t>
      </w:r>
      <w:r>
        <w:rPr>
          <w:rFonts w:ascii="仿宋_GB2312" w:eastAsia="仿宋_GB2312"/>
          <w:color w:val="000000" w:themeColor="text1"/>
          <w:sz w:val="32"/>
          <w:szCs w:val="32"/>
        </w:rPr>
        <w:t>%</w:t>
      </w:r>
      <w:r>
        <w:rPr>
          <w:rFonts w:hint="eastAsia" w:ascii="仿宋_GB2312" w:eastAsia="仿宋_GB2312"/>
          <w:color w:val="000000" w:themeColor="text1"/>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2" w:name="_Toc15377224"/>
      <w:bookmarkStart w:id="83" w:name="_Toc13227"/>
      <w:r>
        <w:rPr>
          <w:rFonts w:hint="eastAsia" w:ascii="仿宋" w:hAnsi="仿宋" w:eastAsia="仿宋"/>
          <w:b/>
          <w:sz w:val="32"/>
          <w:szCs w:val="32"/>
        </w:rPr>
        <w:t>（三）国有资产占有使用情况</w:t>
      </w:r>
      <w:bookmarkEnd w:id="82"/>
      <w:bookmarkEnd w:id="8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日，攀枝花市体育场馆中心共有车辆1辆，其中：主要领导干部用车0辆、机要通信用车0辆、应急保障用车0辆、其他用车1辆……</w:t>
      </w:r>
      <w:r>
        <w:rPr>
          <w:rFonts w:hint="eastAsia" w:ascii="仿宋_GB2312" w:eastAsia="仿宋_GB2312"/>
          <w:color w:val="000000"/>
          <w:sz w:val="32"/>
          <w:szCs w:val="32"/>
        </w:rPr>
        <w:t>其他用车主要是为单位正常运转、完成日常工作任务以及承担全市体育事业发展相关工作任务及完成各专项业务等用车</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4" w:name="_Toc17651"/>
      <w:r>
        <w:rPr>
          <w:rFonts w:hint="eastAsia" w:ascii="仿宋" w:hAnsi="仿宋" w:eastAsia="仿宋"/>
          <w:b/>
          <w:sz w:val="32"/>
          <w:szCs w:val="32"/>
        </w:rPr>
        <w:t>（四）预算绩效管理情况</w:t>
      </w:r>
      <w:bookmarkEnd w:id="84"/>
    </w:p>
    <w:p>
      <w:pPr>
        <w:spacing w:line="580" w:lineRule="exact"/>
        <w:ind w:firstLine="640" w:firstLineChars="200"/>
        <w:rPr>
          <w:highlight w:val="yellow"/>
        </w:rPr>
      </w:pPr>
      <w:r>
        <w:rPr>
          <w:rFonts w:hint="eastAsia" w:ascii="仿宋_GB2312" w:hAnsi="仿宋_GB2312" w:eastAsia="仿宋_GB2312" w:cs="仿宋_GB2312"/>
          <w:sz w:val="32"/>
          <w:szCs w:val="32"/>
        </w:rPr>
        <w:t>根据预算绩效管理要求，本单位在2021年度预算编制阶段，组织对</w:t>
      </w:r>
      <w:r>
        <w:rPr>
          <w:rFonts w:hint="eastAsia" w:ascii="仿宋_GB2312" w:hAnsi="仿宋_GB2312" w:eastAsia="仿宋_GB2312" w:cs="仿宋_GB2312"/>
          <w:sz w:val="32"/>
          <w:szCs w:val="32"/>
          <w:lang w:eastAsia="zh-CN"/>
        </w:rPr>
        <w:t>“大型体育场馆免费低收费对外开放补助”“体育馆升级改造费”“运动队参赛训练补助经费”“皮划艇队专项训练经费”“老年体育活动中心工作经费”项目</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个项目开展了绩效自评，2021年特定目标类部门预算项目绩效目标自评表见附件（第四部分）。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85" w:name="_Toc15377225"/>
      <w:bookmarkStart w:id="86" w:name="_Toc15396613"/>
      <w:bookmarkStart w:id="87" w:name="_Toc15363"/>
      <w:r>
        <w:rPr>
          <w:rFonts w:hint="eastAsia" w:ascii="黑体" w:hAnsi="黑体" w:eastAsia="黑体"/>
          <w:sz w:val="44"/>
          <w:szCs w:val="44"/>
        </w:rPr>
        <w:t>名</w:t>
      </w:r>
      <w:r>
        <w:rPr>
          <w:rStyle w:val="24"/>
          <w:rFonts w:hint="eastAsia" w:ascii="黑体" w:hAnsi="黑体" w:eastAsia="黑体"/>
          <w:b w:val="0"/>
        </w:rPr>
        <w:t>词解释</w:t>
      </w:r>
      <w:bookmarkEnd w:id="85"/>
      <w:bookmarkEnd w:id="86"/>
      <w:bookmarkEnd w:id="87"/>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lang w:val="en-US" w:eastAsia="zh-CN"/>
        </w:rPr>
        <w:t>205</w:t>
      </w:r>
      <w:r>
        <w:rPr>
          <w:rFonts w:hint="eastAsia" w:ascii="仿宋_GB2312" w:eastAsia="仿宋_GB2312"/>
          <w:sz w:val="32"/>
          <w:szCs w:val="32"/>
        </w:rPr>
        <w:t>教育</w:t>
      </w:r>
      <w:r>
        <w:rPr>
          <w:rFonts w:hint="eastAsia" w:ascii="仿宋_GB2312" w:eastAsia="仿宋_GB2312"/>
          <w:sz w:val="32"/>
          <w:szCs w:val="32"/>
          <w:lang w:eastAsia="zh-CN"/>
        </w:rPr>
        <w:t>支出</w:t>
      </w:r>
      <w:r>
        <w:rPr>
          <w:rFonts w:hint="eastAsia" w:ascii="仿宋_GB2312" w:eastAsia="仿宋_GB2312"/>
          <w:sz w:val="32"/>
          <w:szCs w:val="32"/>
        </w:rPr>
        <w:t>（类）</w:t>
      </w:r>
      <w:r>
        <w:rPr>
          <w:rFonts w:hint="eastAsia" w:ascii="仿宋_GB2312" w:eastAsia="仿宋_GB2312"/>
          <w:sz w:val="32"/>
          <w:szCs w:val="32"/>
          <w:lang w:val="en-US" w:eastAsia="zh-CN"/>
        </w:rPr>
        <w:t>20509教育费附加安排的支出</w:t>
      </w:r>
      <w:r>
        <w:rPr>
          <w:rFonts w:hint="eastAsia" w:ascii="仿宋_GB2312" w:eastAsia="仿宋_GB2312"/>
          <w:sz w:val="32"/>
          <w:szCs w:val="32"/>
        </w:rPr>
        <w:t>（款）</w:t>
      </w:r>
      <w:r>
        <w:rPr>
          <w:rFonts w:hint="eastAsia" w:ascii="仿宋_GB2312" w:eastAsia="仿宋_GB2312"/>
          <w:sz w:val="32"/>
          <w:szCs w:val="32"/>
          <w:lang w:val="en-US" w:eastAsia="zh-CN"/>
        </w:rPr>
        <w:t>2050999其他教育费附加安排的支出</w:t>
      </w:r>
      <w:r>
        <w:rPr>
          <w:rFonts w:hint="eastAsia" w:ascii="仿宋_GB2312" w:eastAsia="仿宋_GB2312"/>
          <w:sz w:val="32"/>
          <w:szCs w:val="32"/>
        </w:rPr>
        <w:t>（项）：指</w:t>
      </w:r>
      <w:r>
        <w:rPr>
          <w:rFonts w:hint="eastAsia" w:ascii="仿宋_GB2312" w:eastAsia="仿宋_GB2312"/>
          <w:sz w:val="32"/>
          <w:szCs w:val="32"/>
          <w:lang w:eastAsia="zh-CN"/>
        </w:rPr>
        <w:t>反映除用于其他教育方面的支出</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val="en-US" w:eastAsia="zh-CN"/>
        </w:rPr>
        <w:t>207</w:t>
      </w:r>
      <w:r>
        <w:rPr>
          <w:rFonts w:hint="eastAsia" w:ascii="仿宋_GB2312" w:eastAsia="仿宋_GB2312"/>
          <w:sz w:val="32"/>
          <w:szCs w:val="32"/>
        </w:rPr>
        <w:t>文化体育与传媒（类）</w:t>
      </w:r>
      <w:r>
        <w:rPr>
          <w:rFonts w:hint="eastAsia" w:ascii="仿宋_GB2312" w:eastAsia="仿宋_GB2312"/>
          <w:sz w:val="32"/>
          <w:szCs w:val="32"/>
          <w:lang w:val="en-US" w:eastAsia="zh-CN"/>
        </w:rPr>
        <w:t>20703体育</w:t>
      </w:r>
      <w:r>
        <w:rPr>
          <w:rFonts w:hint="eastAsia" w:ascii="仿宋_GB2312" w:eastAsia="仿宋_GB2312"/>
          <w:sz w:val="32"/>
          <w:szCs w:val="32"/>
        </w:rPr>
        <w:t>（款）</w:t>
      </w:r>
      <w:r>
        <w:rPr>
          <w:rFonts w:hint="eastAsia" w:ascii="仿宋_GB2312" w:eastAsia="仿宋_GB2312"/>
          <w:sz w:val="32"/>
          <w:szCs w:val="32"/>
          <w:lang w:val="en-US" w:eastAsia="zh-CN"/>
        </w:rPr>
        <w:t>2070307体育场馆</w:t>
      </w:r>
      <w:r>
        <w:rPr>
          <w:rFonts w:hint="eastAsia" w:ascii="仿宋_GB2312" w:eastAsia="仿宋_GB2312"/>
          <w:sz w:val="32"/>
          <w:szCs w:val="32"/>
        </w:rPr>
        <w:t>（项）：指</w:t>
      </w:r>
      <w:r>
        <w:rPr>
          <w:rFonts w:hint="eastAsia" w:ascii="仿宋_GB2312" w:eastAsia="仿宋_GB2312"/>
          <w:sz w:val="32"/>
          <w:szCs w:val="32"/>
          <w:lang w:eastAsia="zh-CN"/>
        </w:rPr>
        <w:t>反映体育场馆建设及维护等方面的支出</w:t>
      </w:r>
      <w:r>
        <w:rPr>
          <w:rFonts w:hint="eastAsia" w:ascii="仿宋_GB2312" w:eastAsia="仿宋_GB2312"/>
          <w:sz w:val="32"/>
          <w:szCs w:val="32"/>
        </w:rPr>
        <w:t>。</w:t>
      </w:r>
    </w:p>
    <w:p>
      <w:pPr>
        <w:ind w:firstLine="640" w:firstLineChars="200"/>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lang w:val="en-US" w:eastAsia="zh-CN"/>
        </w:rPr>
        <w:t>207</w:t>
      </w:r>
      <w:r>
        <w:rPr>
          <w:rFonts w:hint="eastAsia" w:ascii="仿宋_GB2312" w:eastAsia="仿宋_GB2312"/>
          <w:sz w:val="32"/>
          <w:szCs w:val="32"/>
        </w:rPr>
        <w:t>文化体育与传媒（类）</w:t>
      </w:r>
      <w:r>
        <w:rPr>
          <w:rFonts w:hint="eastAsia" w:ascii="仿宋_GB2312" w:eastAsia="仿宋_GB2312"/>
          <w:sz w:val="32"/>
          <w:szCs w:val="32"/>
          <w:lang w:val="en-US" w:eastAsia="zh-CN"/>
        </w:rPr>
        <w:t>20703体育</w:t>
      </w:r>
      <w:r>
        <w:rPr>
          <w:rFonts w:hint="eastAsia" w:ascii="仿宋_GB2312" w:eastAsia="仿宋_GB2312"/>
          <w:sz w:val="32"/>
          <w:szCs w:val="32"/>
        </w:rPr>
        <w:t>（款）</w:t>
      </w:r>
      <w:r>
        <w:rPr>
          <w:rFonts w:hint="eastAsia" w:ascii="仿宋_GB2312" w:eastAsia="仿宋_GB2312"/>
          <w:sz w:val="32"/>
          <w:szCs w:val="32"/>
          <w:lang w:val="en-US" w:eastAsia="zh-CN"/>
        </w:rPr>
        <w:t>2070399其他体育支出</w:t>
      </w:r>
      <w:r>
        <w:rPr>
          <w:rFonts w:hint="eastAsia" w:ascii="仿宋_GB2312" w:eastAsia="仿宋_GB2312"/>
          <w:sz w:val="32"/>
          <w:szCs w:val="32"/>
        </w:rPr>
        <w:t>（项）：指</w:t>
      </w:r>
      <w:r>
        <w:rPr>
          <w:rFonts w:hint="eastAsia" w:ascii="仿宋_GB2312" w:eastAsia="仿宋_GB2312"/>
          <w:sz w:val="32"/>
          <w:szCs w:val="32"/>
          <w:lang w:eastAsia="zh-CN"/>
        </w:rPr>
        <w:t>用于其他体育方面的支出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lang w:val="en-US" w:eastAsia="zh-CN"/>
        </w:rPr>
        <w:t>208</w:t>
      </w:r>
      <w:r>
        <w:rPr>
          <w:rFonts w:hint="eastAsia" w:ascii="仿宋_GB2312" w:eastAsia="仿宋_GB2312"/>
          <w:sz w:val="32"/>
          <w:szCs w:val="32"/>
        </w:rPr>
        <w:t>社会保障和就业（类）</w:t>
      </w:r>
      <w:r>
        <w:rPr>
          <w:rFonts w:hint="eastAsia" w:ascii="仿宋_GB2312" w:eastAsia="仿宋_GB2312"/>
          <w:sz w:val="32"/>
          <w:szCs w:val="32"/>
          <w:lang w:val="en-US" w:eastAsia="zh-CN"/>
        </w:rPr>
        <w:t>20805行政事业单位养老支出</w:t>
      </w:r>
      <w:r>
        <w:rPr>
          <w:rFonts w:hint="eastAsia" w:ascii="仿宋_GB2312" w:eastAsia="仿宋_GB2312"/>
          <w:sz w:val="32"/>
          <w:szCs w:val="32"/>
        </w:rPr>
        <w:t>（款）2080505机关事业单位基本养老保险缴费支出（项）：指</w:t>
      </w:r>
      <w:r>
        <w:rPr>
          <w:rFonts w:hint="eastAsia" w:ascii="仿宋_GB2312" w:eastAsia="仿宋_GB2312"/>
          <w:sz w:val="32"/>
          <w:szCs w:val="32"/>
          <w:lang w:eastAsia="zh-CN"/>
        </w:rPr>
        <w:t>反映机关事业单位实施养老保险制度由单位缴纳的基本养老保险费支出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22</w:t>
      </w:r>
      <w:r>
        <w:rPr>
          <w:rFonts w:hint="eastAsia" w:ascii="仿宋_GB2312" w:eastAsia="仿宋_GB2312"/>
          <w:sz w:val="32"/>
          <w:szCs w:val="32"/>
          <w:lang w:val="en-US" w:eastAsia="zh-CN"/>
        </w:rPr>
        <w:t>1</w:t>
      </w:r>
      <w:r>
        <w:rPr>
          <w:rFonts w:hint="eastAsia" w:ascii="仿宋_GB2312" w:eastAsia="仿宋_GB2312"/>
          <w:sz w:val="32"/>
          <w:szCs w:val="32"/>
        </w:rPr>
        <w:t>住房保障（类）22102住房改革支出（款）221020</w:t>
      </w:r>
      <w:r>
        <w:rPr>
          <w:rFonts w:hint="eastAsia" w:ascii="仿宋_GB2312" w:eastAsia="仿宋_GB2312"/>
          <w:sz w:val="32"/>
          <w:szCs w:val="32"/>
          <w:lang w:val="en-US" w:eastAsia="zh-CN"/>
        </w:rPr>
        <w:t>1</w:t>
      </w:r>
      <w:r>
        <w:rPr>
          <w:rFonts w:hint="eastAsia" w:ascii="仿宋_GB2312" w:eastAsia="仿宋_GB2312"/>
          <w:sz w:val="32"/>
          <w:szCs w:val="32"/>
        </w:rPr>
        <w:t>住房公积金（项）：指</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229</w:t>
      </w:r>
      <w:r>
        <w:rPr>
          <w:rFonts w:hint="eastAsia" w:ascii="仿宋_GB2312" w:eastAsia="仿宋_GB2312"/>
          <w:sz w:val="32"/>
          <w:szCs w:val="32"/>
        </w:rPr>
        <w:tab/>
      </w:r>
      <w:r>
        <w:rPr>
          <w:rFonts w:hint="eastAsia" w:ascii="仿宋_GB2312" w:eastAsia="仿宋_GB2312"/>
          <w:sz w:val="32"/>
          <w:szCs w:val="32"/>
        </w:rPr>
        <w:t>其他支出（类）22960彩票公益金安排的支出（款）2296003用于体育事业的彩票公益金支出（项）：指</w:t>
      </w:r>
      <w:r>
        <w:rPr>
          <w:rFonts w:hint="eastAsia" w:ascii="仿宋_GB2312" w:eastAsia="仿宋_GB2312"/>
          <w:sz w:val="32"/>
          <w:szCs w:val="32"/>
          <w:lang w:eastAsia="zh-CN"/>
        </w:rPr>
        <w:t>反映用于体育事业的彩票公益金支出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4"/>
          <w:rFonts w:ascii="黑体" w:hAnsi="黑体" w:eastAsia="黑体"/>
          <w:b w:val="0"/>
        </w:rPr>
      </w:pPr>
      <w:bookmarkStart w:id="88" w:name="_Toc15377226"/>
      <w:r>
        <w:rPr>
          <w:rFonts w:ascii="宋体"/>
          <w:b/>
          <w:sz w:val="44"/>
          <w:szCs w:val="44"/>
        </w:rPr>
        <w:br w:type="page"/>
      </w:r>
      <w:bookmarkStart w:id="89" w:name="_Toc15396614"/>
      <w:bookmarkStart w:id="90" w:name="_Toc20874"/>
      <w:r>
        <w:rPr>
          <w:rFonts w:hint="eastAsia" w:ascii="黑体" w:hAnsi="黑体" w:eastAsia="黑体"/>
          <w:sz w:val="44"/>
          <w:szCs w:val="44"/>
        </w:rPr>
        <w:t>第</w:t>
      </w:r>
      <w:r>
        <w:rPr>
          <w:rStyle w:val="24"/>
          <w:rFonts w:hint="eastAsia" w:ascii="黑体" w:hAnsi="黑体" w:eastAsia="黑体"/>
          <w:b w:val="0"/>
        </w:rPr>
        <w:t>四部分 附件</w:t>
      </w:r>
      <w:bookmarkEnd w:id="89"/>
      <w:bookmarkEnd w:id="90"/>
    </w:p>
    <w:p>
      <w:pPr>
        <w:spacing w:line="572" w:lineRule="exact"/>
        <w:jc w:val="left"/>
        <w:outlineLvl w:val="0"/>
        <w:rPr>
          <w:rFonts w:ascii="仿宋_GB2312" w:hAnsi="仿宋_GB2312" w:eastAsia="仿宋_GB2312" w:cs="仿宋_GB2312"/>
          <w:sz w:val="32"/>
          <w:szCs w:val="32"/>
        </w:rPr>
      </w:pPr>
      <w:bookmarkStart w:id="91" w:name="_Toc28285"/>
      <w:r>
        <w:rPr>
          <w:rFonts w:hint="eastAsia" w:ascii="黑体" w:hAnsi="黑体" w:eastAsia="黑体" w:cs="黑体"/>
          <w:sz w:val="32"/>
          <w:szCs w:val="32"/>
        </w:rPr>
        <w:t>附件</w:t>
      </w:r>
      <w:bookmarkEnd w:id="91"/>
    </w:p>
    <w:tbl>
      <w:tblPr>
        <w:tblStyle w:val="12"/>
        <w:tblpPr w:leftFromText="180" w:rightFromText="180" w:vertAnchor="text" w:horzAnchor="page" w:tblpX="1281" w:tblpY="660"/>
        <w:tblOverlap w:val="never"/>
        <w:tblW w:w="9842" w:type="dxa"/>
        <w:tblInd w:w="0" w:type="dxa"/>
        <w:tblLayout w:type="fixed"/>
        <w:tblCellMar>
          <w:top w:w="0" w:type="dxa"/>
          <w:left w:w="108" w:type="dxa"/>
          <w:bottom w:w="0" w:type="dxa"/>
          <w:right w:w="108" w:type="dxa"/>
        </w:tblCellMar>
      </w:tblPr>
      <w:tblGrid>
        <w:gridCol w:w="9606"/>
        <w:gridCol w:w="236"/>
      </w:tblGrid>
      <w:tr>
        <w:tblPrEx>
          <w:tblCellMar>
            <w:top w:w="0" w:type="dxa"/>
            <w:left w:w="108" w:type="dxa"/>
            <w:bottom w:w="0" w:type="dxa"/>
            <w:right w:w="108" w:type="dxa"/>
          </w:tblCellMar>
        </w:tblPrEx>
        <w:trPr>
          <w:trHeight w:val="675" w:hRule="atLeast"/>
        </w:trPr>
        <w:tc>
          <w:tcPr>
            <w:tcW w:w="9606" w:type="dxa"/>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92" w:name="_Toc15396618"/>
            <w:r>
              <w:rPr>
                <w:rFonts w:hint="eastAsia" w:ascii="宋体" w:hAnsi="宋体" w:cs="宋体"/>
                <w:b/>
                <w:sz w:val="32"/>
                <w:szCs w:val="32"/>
              </w:rPr>
              <w:t>2021年50万元以上（含）特定目标类部门预算项目绩效目标自评</w:t>
            </w:r>
          </w:p>
          <w:tbl>
            <w:tblPr>
              <w:tblStyle w:val="12"/>
              <w:tblW w:w="9220" w:type="dxa"/>
              <w:tblInd w:w="0" w:type="dxa"/>
              <w:tblLayout w:type="fixed"/>
              <w:tblCellMar>
                <w:top w:w="15" w:type="dxa"/>
                <w:left w:w="108" w:type="dxa"/>
                <w:bottom w:w="0" w:type="dxa"/>
                <w:right w:w="108" w:type="dxa"/>
              </w:tblCellMar>
            </w:tblPr>
            <w:tblGrid>
              <w:gridCol w:w="1053"/>
              <w:gridCol w:w="938"/>
              <w:gridCol w:w="1249"/>
              <w:gridCol w:w="1811"/>
              <w:gridCol w:w="1094"/>
              <w:gridCol w:w="2839"/>
              <w:gridCol w:w="236"/>
            </w:tblGrid>
            <w:tr>
              <w:tblPrEx>
                <w:tblCellMar>
                  <w:top w:w="15" w:type="dxa"/>
                  <w:left w:w="108" w:type="dxa"/>
                  <w:bottom w:w="0" w:type="dxa"/>
                  <w:right w:w="108" w:type="dxa"/>
                </w:tblCellMar>
              </w:tblPrEx>
              <w:trPr>
                <w:gridAfter w:val="1"/>
                <w:wAfter w:w="11" w:type="dxa"/>
                <w:trHeight w:val="855" w:hRule="atLeast"/>
              </w:trPr>
              <w:tc>
                <w:tcPr>
                  <w:tcW w:w="2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3137"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4"/>
                    </w:rPr>
                  </w:pPr>
                  <w:r>
                    <w:rPr>
                      <w:rFonts w:hint="eastAsia" w:ascii="宋体" w:hAnsi="宋体" w:cs="宋体"/>
                      <w:color w:val="000000"/>
                      <w:kern w:val="0"/>
                      <w:sz w:val="24"/>
                    </w:rPr>
                    <w:t>攀枝花市教育和体育局（203001）</w:t>
                  </w:r>
                </w:p>
              </w:tc>
              <w:tc>
                <w:tcPr>
                  <w:tcW w:w="111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实施单位</w:t>
                  </w:r>
                </w:p>
              </w:tc>
              <w:tc>
                <w:tcPr>
                  <w:tcW w:w="29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攀枝花市体育场馆中心</w:t>
                  </w:r>
                </w:p>
              </w:tc>
            </w:tr>
            <w:tr>
              <w:tblPrEx>
                <w:tblCellMar>
                  <w:top w:w="15" w:type="dxa"/>
                  <w:left w:w="108" w:type="dxa"/>
                  <w:bottom w:w="0" w:type="dxa"/>
                  <w:right w:w="108" w:type="dxa"/>
                </w:tblCellMar>
              </w:tblPrEx>
              <w:trPr>
                <w:gridAfter w:val="1"/>
                <w:wAfter w:w="11" w:type="dxa"/>
                <w:trHeight w:val="570" w:hRule="atLeast"/>
              </w:trPr>
              <w:tc>
                <w:tcPr>
                  <w:tcW w:w="2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项目预算</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预算数：</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81.72</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执行数：</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81.72</w:t>
                  </w:r>
                </w:p>
              </w:tc>
            </w:tr>
            <w:tr>
              <w:tblPrEx>
                <w:tblCellMar>
                  <w:top w:w="15" w:type="dxa"/>
                  <w:left w:w="108" w:type="dxa"/>
                  <w:bottom w:w="0" w:type="dxa"/>
                  <w:right w:w="108" w:type="dxa"/>
                </w:tblCellMar>
              </w:tblPrEx>
              <w:trPr>
                <w:gridAfter w:val="1"/>
                <w:wAfter w:w="11" w:type="dxa"/>
                <w:trHeight w:val="465" w:hRule="atLeast"/>
              </w:trPr>
              <w:tc>
                <w:tcPr>
                  <w:tcW w:w="2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执行情况</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其中：</w:t>
                  </w:r>
                </w:p>
              </w:tc>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81.72</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其中：</w:t>
                  </w:r>
                </w:p>
              </w:tc>
              <w:tc>
                <w:tcPr>
                  <w:tcW w:w="29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81.72</w:t>
                  </w:r>
                </w:p>
              </w:tc>
            </w:tr>
            <w:tr>
              <w:tblPrEx>
                <w:tblCellMar>
                  <w:top w:w="15" w:type="dxa"/>
                  <w:left w:w="108" w:type="dxa"/>
                  <w:bottom w:w="0" w:type="dxa"/>
                  <w:right w:w="108" w:type="dxa"/>
                </w:tblCellMar>
              </w:tblPrEx>
              <w:trPr>
                <w:gridAfter w:val="1"/>
                <w:wAfter w:w="11" w:type="dxa"/>
                <w:trHeight w:val="495" w:hRule="atLeast"/>
              </w:trPr>
              <w:tc>
                <w:tcPr>
                  <w:tcW w:w="2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（万元）</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财政拨款</w:t>
                  </w: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财政拨款</w:t>
                  </w:r>
                </w:p>
              </w:tc>
              <w:tc>
                <w:tcPr>
                  <w:tcW w:w="29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CellMar>
                  <w:top w:w="15" w:type="dxa"/>
                  <w:left w:w="108" w:type="dxa"/>
                  <w:bottom w:w="0" w:type="dxa"/>
                  <w:right w:w="108" w:type="dxa"/>
                </w:tblCellMar>
              </w:tblPrEx>
              <w:trPr>
                <w:gridAfter w:val="1"/>
                <w:wAfter w:w="11" w:type="dxa"/>
                <w:trHeight w:val="585" w:hRule="atLeast"/>
              </w:trPr>
              <w:tc>
                <w:tcPr>
                  <w:tcW w:w="20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27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其他资金</w:t>
                  </w:r>
                </w:p>
              </w:tc>
              <w:tc>
                <w:tcPr>
                  <w:tcW w:w="185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　</w:t>
                  </w:r>
                </w:p>
              </w:tc>
              <w:tc>
                <w:tcPr>
                  <w:tcW w:w="111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其他资金</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　</w:t>
                  </w:r>
                </w:p>
              </w:tc>
            </w:tr>
            <w:tr>
              <w:tblPrEx>
                <w:tblCellMar>
                  <w:top w:w="15" w:type="dxa"/>
                  <w:left w:w="108" w:type="dxa"/>
                  <w:bottom w:w="0" w:type="dxa"/>
                  <w:right w:w="108" w:type="dxa"/>
                </w:tblCellMar>
              </w:tblPrEx>
              <w:trPr>
                <w:gridAfter w:val="1"/>
                <w:wAfter w:w="11" w:type="dxa"/>
                <w:trHeight w:val="750" w:hRule="atLeast"/>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年度总体目标</w:t>
                  </w:r>
                </w:p>
              </w:tc>
              <w:tc>
                <w:tcPr>
                  <w:tcW w:w="409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预期目标</w:t>
                  </w:r>
                </w:p>
              </w:tc>
              <w:tc>
                <w:tcPr>
                  <w:tcW w:w="403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目标实际完成情况</w:t>
                  </w:r>
                </w:p>
              </w:tc>
            </w:tr>
            <w:tr>
              <w:tblPrEx>
                <w:tblCellMar>
                  <w:top w:w="15" w:type="dxa"/>
                  <w:left w:w="108" w:type="dxa"/>
                  <w:bottom w:w="0" w:type="dxa"/>
                  <w:right w:w="108" w:type="dxa"/>
                </w:tblCellMar>
              </w:tblPrEx>
              <w:trPr>
                <w:gridAfter w:val="1"/>
                <w:wAfter w:w="11" w:type="dxa"/>
                <w:trHeight w:val="1800" w:hRule="atLeast"/>
              </w:trPr>
              <w:tc>
                <w:tcPr>
                  <w:tcW w:w="10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完成情况</w:t>
                  </w:r>
                </w:p>
              </w:tc>
              <w:tc>
                <w:tcPr>
                  <w:tcW w:w="4096" w:type="dxa"/>
                  <w:gridSpan w:val="3"/>
                  <w:tcBorders>
                    <w:top w:val="single" w:color="auto" w:sz="4" w:space="0"/>
                    <w:left w:val="nil"/>
                    <w:bottom w:val="single" w:color="auto" w:sz="4" w:space="0"/>
                    <w:right w:val="single" w:color="auto" w:sz="4" w:space="0"/>
                  </w:tcBorders>
                  <w:shd w:val="clear" w:color="auto" w:fill="auto"/>
                </w:tcPr>
                <w:p>
                  <w:pPr>
                    <w:widowControl/>
                    <w:jc w:val="left"/>
                    <w:rPr>
                      <w:rFonts w:hint="eastAsia" w:ascii="宋体" w:hAnsi="宋体" w:cs="宋体"/>
                      <w:color w:val="000000"/>
                      <w:kern w:val="0"/>
                      <w:sz w:val="24"/>
                    </w:rPr>
                  </w:pPr>
                  <w:r>
                    <w:rPr>
                      <w:rFonts w:hint="eastAsia" w:ascii="宋体" w:hAnsi="宋体" w:cs="宋体"/>
                      <w:color w:val="000000"/>
                      <w:kern w:val="0"/>
                      <w:sz w:val="24"/>
                    </w:rPr>
                    <w:t>为市民提供免费低收费各项目健身场所，为全市文化、体育免费提供大型活动场所，全年体育场、体育馆免费开放接待76万人次，为全市文化、体育免费提供10余次大型活动场所，承办老年人各类体育赛事18次。</w:t>
                  </w:r>
                </w:p>
              </w:tc>
              <w:tc>
                <w:tcPr>
                  <w:tcW w:w="4035" w:type="dxa"/>
                  <w:gridSpan w:val="2"/>
                  <w:tcBorders>
                    <w:top w:val="single" w:color="auto" w:sz="4" w:space="0"/>
                    <w:left w:val="nil"/>
                    <w:bottom w:val="single" w:color="auto" w:sz="4" w:space="0"/>
                    <w:right w:val="single" w:color="auto" w:sz="4" w:space="0"/>
                  </w:tcBorders>
                  <w:shd w:val="clear" w:color="auto" w:fill="auto"/>
                </w:tcPr>
                <w:p>
                  <w:pPr>
                    <w:widowControl/>
                    <w:jc w:val="left"/>
                    <w:rPr>
                      <w:rFonts w:hint="eastAsia" w:ascii="宋体" w:hAnsi="宋体" w:cs="宋体"/>
                      <w:color w:val="000000"/>
                      <w:kern w:val="0"/>
                      <w:sz w:val="24"/>
                    </w:rPr>
                  </w:pPr>
                  <w:r>
                    <w:rPr>
                      <w:rFonts w:hint="eastAsia" w:ascii="宋体" w:hAnsi="宋体" w:cs="宋体"/>
                      <w:color w:val="000000"/>
                      <w:kern w:val="0"/>
                      <w:sz w:val="24"/>
                    </w:rPr>
                    <w:t>为市民提供免费低收费各项目健身场所，安全开放率达100%。全年体育场、体育馆免费开放接待76万人次，为全市文化、体育免费提供次大型活动场所18次，承办老年人各类体育赛事及活动32次。</w:t>
                  </w:r>
                </w:p>
              </w:tc>
            </w:tr>
            <w:tr>
              <w:tblPrEx>
                <w:tblCellMar>
                  <w:top w:w="15" w:type="dxa"/>
                  <w:left w:w="108" w:type="dxa"/>
                  <w:bottom w:w="0" w:type="dxa"/>
                  <w:right w:w="108" w:type="dxa"/>
                </w:tblCellMar>
              </w:tblPrEx>
              <w:trPr>
                <w:gridAfter w:val="1"/>
                <w:wAfter w:w="11" w:type="dxa"/>
                <w:trHeight w:val="765" w:hRule="atLeast"/>
              </w:trPr>
              <w:tc>
                <w:tcPr>
                  <w:tcW w:w="10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年度绩效指标完成情况</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一级</w:t>
                  </w: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二级</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三级</w:t>
                  </w:r>
                </w:p>
              </w:tc>
              <w:tc>
                <w:tcPr>
                  <w:tcW w:w="11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预期指标值</w:t>
                  </w:r>
                </w:p>
              </w:tc>
              <w:tc>
                <w:tcPr>
                  <w:tcW w:w="29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实际完成指标值</w:t>
                  </w:r>
                </w:p>
              </w:tc>
            </w:tr>
            <w:tr>
              <w:tblPrEx>
                <w:tblCellMar>
                  <w:top w:w="15" w:type="dxa"/>
                  <w:left w:w="108" w:type="dxa"/>
                  <w:bottom w:w="0" w:type="dxa"/>
                  <w:right w:w="108" w:type="dxa"/>
                </w:tblCellMar>
              </w:tblPrEx>
              <w:trPr>
                <w:gridAfter w:val="1"/>
                <w:wAfter w:w="11" w:type="dxa"/>
                <w:trHeight w:val="33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指标</w:t>
                  </w: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指标</w:t>
                  </w:r>
                </w:p>
              </w:tc>
              <w:tc>
                <w:tcPr>
                  <w:tcW w:w="111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291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r>
            <w:tr>
              <w:tblPrEx>
                <w:tblCellMar>
                  <w:top w:w="15" w:type="dxa"/>
                  <w:left w:w="108" w:type="dxa"/>
                  <w:bottom w:w="0" w:type="dxa"/>
                  <w:right w:w="108" w:type="dxa"/>
                </w:tblCellMar>
              </w:tblPrEx>
              <w:trPr>
                <w:gridAfter w:val="1"/>
                <w:wAfter w:w="11" w:type="dxa"/>
                <w:trHeight w:val="735"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完成指标</w:t>
                  </w: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数量指标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每日免费开放时间</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7小时</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7小时</w:t>
                  </w:r>
                </w:p>
              </w:tc>
            </w:tr>
            <w:tr>
              <w:tblPrEx>
                <w:tblCellMar>
                  <w:top w:w="15" w:type="dxa"/>
                  <w:left w:w="108" w:type="dxa"/>
                  <w:bottom w:w="0" w:type="dxa"/>
                  <w:right w:w="108" w:type="dxa"/>
                </w:tblCellMar>
              </w:tblPrEx>
              <w:trPr>
                <w:gridAfter w:val="1"/>
                <w:wAfter w:w="11" w:type="dxa"/>
                <w:trHeight w:val="1035"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数量指标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法定节假日及有意义节日免费开放时间</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28天</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28天</w:t>
                  </w:r>
                </w:p>
              </w:tc>
            </w:tr>
            <w:tr>
              <w:tblPrEx>
                <w:tblCellMar>
                  <w:top w:w="15" w:type="dxa"/>
                  <w:left w:w="108" w:type="dxa"/>
                  <w:bottom w:w="0" w:type="dxa"/>
                  <w:right w:w="108" w:type="dxa"/>
                </w:tblCellMar>
              </w:tblPrEx>
              <w:trPr>
                <w:gridAfter w:val="1"/>
                <w:wAfter w:w="11" w:type="dxa"/>
                <w:trHeight w:val="132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质量指标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保证场馆设施完好、安全，设备完好率达标</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100%</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100%</w:t>
                  </w:r>
                </w:p>
              </w:tc>
            </w:tr>
            <w:tr>
              <w:tblPrEx>
                <w:tblCellMar>
                  <w:top w:w="15" w:type="dxa"/>
                  <w:left w:w="108" w:type="dxa"/>
                  <w:bottom w:w="0" w:type="dxa"/>
                  <w:right w:w="108" w:type="dxa"/>
                </w:tblCellMar>
              </w:tblPrEx>
              <w:trPr>
                <w:gridAfter w:val="1"/>
                <w:wAfter w:w="11" w:type="dxa"/>
                <w:trHeight w:val="63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质量指标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安全开放及开放率</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100%</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100%</w:t>
                  </w:r>
                </w:p>
              </w:tc>
            </w:tr>
            <w:tr>
              <w:tblPrEx>
                <w:tblCellMar>
                  <w:top w:w="15" w:type="dxa"/>
                  <w:left w:w="108" w:type="dxa"/>
                  <w:bottom w:w="0" w:type="dxa"/>
                  <w:right w:w="108" w:type="dxa"/>
                </w:tblCellMar>
              </w:tblPrEx>
              <w:trPr>
                <w:gridAfter w:val="1"/>
                <w:wAfter w:w="11" w:type="dxa"/>
                <w:trHeight w:val="1275"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成本指标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临聘人员、保安劳务费、场馆水电费、场馆维修维护费</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81.72</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81.72</w:t>
                  </w:r>
                </w:p>
              </w:tc>
            </w:tr>
            <w:tr>
              <w:tblPrEx>
                <w:tblCellMar>
                  <w:top w:w="15" w:type="dxa"/>
                  <w:left w:w="108" w:type="dxa"/>
                  <w:bottom w:w="0" w:type="dxa"/>
                  <w:right w:w="108" w:type="dxa"/>
                </w:tblCellMar>
              </w:tblPrEx>
              <w:trPr>
                <w:gridAfter w:val="1"/>
                <w:wAfter w:w="11" w:type="dxa"/>
                <w:trHeight w:val="297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tcBorders>
                    <w:top w:val="nil"/>
                    <w:left w:val="nil"/>
                    <w:bottom w:val="nil"/>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效益指标</w:t>
                  </w: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社会效益指标</w:t>
                  </w:r>
                </w:p>
              </w:tc>
              <w:tc>
                <w:tcPr>
                  <w:tcW w:w="1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为攀枝花市的健身人群提供健身、休闲场所，促进和谐社会的健康发展；为全市文化、体育活动免费提供大型活动场所，承办老年人各类体育赛事，引进高水平体育竞赛活动</w:t>
                  </w:r>
                </w:p>
              </w:tc>
              <w:tc>
                <w:tcPr>
                  <w:tcW w:w="111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优良中差</w:t>
                  </w:r>
                </w:p>
              </w:tc>
              <w:tc>
                <w:tcPr>
                  <w:tcW w:w="29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优</w:t>
                  </w:r>
                </w:p>
              </w:tc>
            </w:tr>
            <w:tr>
              <w:tblPrEx>
                <w:tblCellMar>
                  <w:top w:w="15" w:type="dxa"/>
                  <w:left w:w="108" w:type="dxa"/>
                  <w:bottom w:w="0" w:type="dxa"/>
                  <w:right w:w="108" w:type="dxa"/>
                </w:tblCellMar>
              </w:tblPrEx>
              <w:trPr>
                <w:gridAfter w:val="1"/>
                <w:wAfter w:w="11" w:type="dxa"/>
                <w:trHeight w:val="39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4"/>
                    </w:rPr>
                  </w:pPr>
                </w:p>
              </w:tc>
              <w:tc>
                <w:tcPr>
                  <w:tcW w:w="959" w:type="dxa"/>
                  <w:vMerge w:val="restart"/>
                  <w:tcBorders>
                    <w:top w:val="single" w:color="auto" w:sz="4" w:space="0"/>
                    <w:left w:val="single" w:color="auto" w:sz="4" w:space="0"/>
                    <w:bottom w:val="single" w:color="000000" w:sz="4" w:space="0"/>
                    <w:right w:val="single" w:color="auto" w:sz="4" w:space="0"/>
                  </w:tcBorders>
                  <w:shd w:val="clear" w:color="auto" w:fill="auto"/>
                  <w:vAlign w:val="bottom"/>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满意度指标</w:t>
                  </w:r>
                </w:p>
              </w:tc>
              <w:tc>
                <w:tcPr>
                  <w:tcW w:w="12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满意度指标</w:t>
                  </w:r>
                </w:p>
              </w:tc>
              <w:tc>
                <w:tcPr>
                  <w:tcW w:w="18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健身群众满意度</w:t>
                  </w:r>
                </w:p>
              </w:tc>
              <w:tc>
                <w:tcPr>
                  <w:tcW w:w="11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95%</w:t>
                  </w:r>
                </w:p>
              </w:tc>
              <w:tc>
                <w:tcPr>
                  <w:tcW w:w="29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4"/>
                    </w:rPr>
                    <w:t>95%</w:t>
                  </w:r>
                </w:p>
              </w:tc>
            </w:tr>
            <w:tr>
              <w:tblPrEx>
                <w:tblCellMar>
                  <w:top w:w="15" w:type="dxa"/>
                  <w:left w:w="108" w:type="dxa"/>
                  <w:bottom w:w="0" w:type="dxa"/>
                  <w:right w:w="108" w:type="dxa"/>
                </w:tblCellMar>
              </w:tblPrEx>
              <w:trPr>
                <w:trHeight w:val="390" w:hRule="atLeast"/>
              </w:trPr>
              <w:tc>
                <w:tcPr>
                  <w:tcW w:w="107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等线" w:cs="宋体"/>
                      <w:color w:val="000000"/>
                      <w:kern w:val="0"/>
                      <w:sz w:val="24"/>
                    </w:rPr>
                  </w:pPr>
                </w:p>
              </w:tc>
              <w:tc>
                <w:tcPr>
                  <w:tcW w:w="9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2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8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等线" w:cs="宋体"/>
                      <w:color w:val="000000"/>
                      <w:kern w:val="0"/>
                      <w:sz w:val="24"/>
                    </w:rPr>
                  </w:pPr>
                </w:p>
              </w:tc>
              <w:tc>
                <w:tcPr>
                  <w:tcW w:w="11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等线" w:cs="宋体"/>
                      <w:color w:val="000000"/>
                      <w:kern w:val="0"/>
                      <w:sz w:val="24"/>
                    </w:rPr>
                  </w:pPr>
                </w:p>
              </w:tc>
              <w:tc>
                <w:tcPr>
                  <w:tcW w:w="291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等线" w:cs="宋体"/>
                      <w:color w:val="000000"/>
                      <w:kern w:val="0"/>
                      <w:sz w:val="24"/>
                    </w:rPr>
                  </w:pPr>
                </w:p>
              </w:tc>
              <w:tc>
                <w:tcPr>
                  <w:tcW w:w="11" w:type="dxa"/>
                  <w:tcBorders>
                    <w:top w:val="nil"/>
                    <w:left w:val="nil"/>
                    <w:bottom w:val="nil"/>
                    <w:right w:val="nil"/>
                  </w:tcBorders>
                  <w:shd w:val="clear" w:color="auto" w:fill="auto"/>
                  <w:noWrap/>
                  <w:vAlign w:val="bottom"/>
                </w:tcPr>
                <w:p>
                  <w:pPr>
                    <w:widowControl/>
                    <w:jc w:val="center"/>
                    <w:rPr>
                      <w:rFonts w:ascii="仿宋_GB2312" w:hAnsi="仿宋_GB2312" w:eastAsia="等线" w:cs="宋体"/>
                      <w:color w:val="000000"/>
                      <w:kern w:val="0"/>
                      <w:sz w:val="24"/>
                    </w:rPr>
                  </w:pPr>
                </w:p>
              </w:tc>
            </w:tr>
          </w:tbl>
          <w:p>
            <w:pPr>
              <w:pStyle w:val="5"/>
              <w:spacing w:before="93"/>
              <w:rPr>
                <w:rFonts w:hint="eastAsia"/>
              </w:rPr>
            </w:pP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bl>
    <w:p>
      <w:pPr>
        <w:widowControl/>
        <w:adjustRightInd w:val="0"/>
        <w:snapToGrid w:val="0"/>
        <w:spacing w:line="580" w:lineRule="exact"/>
        <w:contextualSpacing/>
        <w:jc w:val="left"/>
      </w:pPr>
    </w:p>
    <w:tbl>
      <w:tblPr>
        <w:tblStyle w:val="12"/>
        <w:tblW w:w="8970"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9"/>
        <w:gridCol w:w="1080"/>
        <w:gridCol w:w="1410"/>
        <w:gridCol w:w="1455"/>
        <w:gridCol w:w="1215"/>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8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攀枝花市教育和体育局（203001）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攀枝花市体育场馆中心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项目预算执行情况（万元）</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Style w:val="30"/>
                <w:lang w:val="en-US" w:eastAsia="zh-CN" w:bidi="ar"/>
              </w:rPr>
              <w:t>执行数：</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年度总体目标完成情况</w:t>
            </w:r>
          </w:p>
        </w:tc>
        <w:tc>
          <w:tcPr>
            <w:tcW w:w="39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4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4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94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总投资1185万元。该项目于2021年10月3日开工建设。项目完成后，体育馆配备的空调、音响、电子显示屏、灯光将满足所有在馆内的赛事需求，能够提升赛事的承办能力，每年承接国家、民间赛事活动场次增加10场/年，更好</w:t>
            </w:r>
            <w:r>
              <w:rPr>
                <w:rFonts w:hint="eastAsia" w:ascii="宋体" w:hAnsi="宋体" w:cs="宋体"/>
                <w:i w:val="0"/>
                <w:iCs w:val="0"/>
                <w:color w:val="000000"/>
                <w:kern w:val="0"/>
                <w:sz w:val="24"/>
                <w:szCs w:val="24"/>
                <w:u w:val="none"/>
                <w:lang w:val="en-US" w:eastAsia="zh-CN" w:bidi="ar"/>
              </w:rPr>
              <w:t>地</w:t>
            </w:r>
            <w:r>
              <w:rPr>
                <w:rFonts w:hint="eastAsia" w:ascii="宋体" w:hAnsi="宋体" w:eastAsia="宋体" w:cs="宋体"/>
                <w:i w:val="0"/>
                <w:iCs w:val="0"/>
                <w:color w:val="000000"/>
                <w:kern w:val="0"/>
                <w:sz w:val="24"/>
                <w:szCs w:val="24"/>
                <w:u w:val="none"/>
                <w:lang w:val="en-US" w:eastAsia="zh-CN" w:bidi="ar"/>
              </w:rPr>
              <w:t>为攀枝花经济社会发展服务。</w:t>
            </w:r>
          </w:p>
        </w:tc>
        <w:tc>
          <w:tcPr>
            <w:tcW w:w="345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项目未完工，预计在2022年3月完工。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年度绩效指标完成情况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新增体育赛事活动</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新增健身人群数量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增加10%</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提升体育馆综合接待质量，评价指标为施工验收规范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合格</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项目总金额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1165万元</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  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改造后免费低收费开放与对外开放项目的收益指数不低于改造前的值</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维持原值</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维持原值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为群众提供优质的健身场所</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优良中差</w:t>
            </w:r>
          </w:p>
        </w:tc>
        <w:tc>
          <w:tcPr>
            <w:tcW w:w="2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健身群众满意度</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22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22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5"/>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bookmarkStart w:id="93" w:name="_Toc22010"/>
      <w:r>
        <w:rPr>
          <w:rFonts w:hint="eastAsia" w:ascii="黑体" w:hAnsi="黑体" w:eastAsia="黑体"/>
          <w:sz w:val="44"/>
          <w:szCs w:val="44"/>
        </w:rPr>
        <w:t>第</w:t>
      </w:r>
      <w:r>
        <w:rPr>
          <w:rStyle w:val="24"/>
          <w:rFonts w:hint="eastAsia" w:ascii="黑体" w:hAnsi="黑体" w:eastAsia="黑体"/>
          <w:b w:val="0"/>
        </w:rPr>
        <w:t>五部分 附表</w:t>
      </w:r>
      <w:bookmarkEnd w:id="88"/>
      <w:bookmarkEnd w:id="92"/>
      <w:bookmarkEnd w:id="93"/>
      <w:bookmarkStart w:id="94" w:name="_Toc15396619"/>
    </w:p>
    <w:p>
      <w:pPr>
        <w:pStyle w:val="3"/>
        <w:rPr>
          <w:rFonts w:ascii="仿宋" w:hAnsi="仿宋" w:eastAsia="仿宋"/>
        </w:rPr>
      </w:pPr>
      <w:bookmarkStart w:id="95" w:name="_Toc8115"/>
      <w:r>
        <w:rPr>
          <w:rFonts w:hint="eastAsia" w:ascii="仿宋" w:hAnsi="仿宋" w:eastAsia="仿宋"/>
          <w:b w:val="0"/>
        </w:rPr>
        <w:t>一、收</w:t>
      </w:r>
      <w:r>
        <w:rPr>
          <w:rStyle w:val="25"/>
          <w:rFonts w:hint="eastAsia" w:ascii="仿宋" w:hAnsi="仿宋" w:eastAsia="仿宋"/>
          <w:b w:val="0"/>
          <w:bCs w:val="0"/>
        </w:rPr>
        <w:t>入支出决算总表</w:t>
      </w:r>
      <w:bookmarkEnd w:id="94"/>
      <w:bookmarkEnd w:id="95"/>
    </w:p>
    <w:p>
      <w:pPr>
        <w:pStyle w:val="3"/>
        <w:rPr>
          <w:rFonts w:ascii="仿宋" w:hAnsi="仿宋" w:eastAsia="仿宋"/>
        </w:rPr>
      </w:pPr>
      <w:bookmarkStart w:id="96" w:name="_Toc15396620"/>
      <w:bookmarkStart w:id="97" w:name="_Toc20582"/>
      <w:r>
        <w:rPr>
          <w:rFonts w:hint="eastAsia" w:ascii="仿宋" w:hAnsi="仿宋" w:eastAsia="仿宋"/>
          <w:b w:val="0"/>
        </w:rPr>
        <w:t>二、收</w:t>
      </w:r>
      <w:r>
        <w:rPr>
          <w:rStyle w:val="25"/>
          <w:rFonts w:hint="eastAsia" w:ascii="仿宋" w:hAnsi="仿宋" w:eastAsia="仿宋"/>
          <w:b w:val="0"/>
          <w:bCs w:val="0"/>
        </w:rPr>
        <w:t>入决算表</w:t>
      </w:r>
      <w:bookmarkEnd w:id="96"/>
      <w:bookmarkEnd w:id="97"/>
    </w:p>
    <w:p>
      <w:pPr>
        <w:pStyle w:val="3"/>
        <w:rPr>
          <w:rFonts w:ascii="仿宋" w:hAnsi="仿宋" w:eastAsia="仿宋"/>
        </w:rPr>
      </w:pPr>
      <w:bookmarkStart w:id="98" w:name="_Toc15396621"/>
      <w:bookmarkStart w:id="99" w:name="_Toc10599"/>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98"/>
      <w:bookmarkEnd w:id="99"/>
    </w:p>
    <w:p>
      <w:pPr>
        <w:pStyle w:val="3"/>
        <w:rPr>
          <w:rFonts w:ascii="仿宋" w:hAnsi="仿宋" w:eastAsia="仿宋"/>
          <w:b w:val="0"/>
        </w:rPr>
      </w:pPr>
      <w:bookmarkStart w:id="100" w:name="_Toc15396622"/>
      <w:bookmarkStart w:id="101" w:name="_Toc24331"/>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100"/>
      <w:bookmarkEnd w:id="101"/>
    </w:p>
    <w:p>
      <w:pPr>
        <w:pStyle w:val="3"/>
        <w:rPr>
          <w:rStyle w:val="25"/>
          <w:rFonts w:ascii="仿宋" w:hAnsi="仿宋" w:eastAsia="仿宋"/>
          <w:b w:val="0"/>
          <w:bCs w:val="0"/>
        </w:rPr>
      </w:pPr>
      <w:bookmarkStart w:id="102" w:name="_Toc15396623"/>
      <w:bookmarkStart w:id="103" w:name="_Toc13909"/>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102"/>
      <w:bookmarkEnd w:id="103"/>
      <w:bookmarkStart w:id="104" w:name="_Toc15396624"/>
    </w:p>
    <w:p>
      <w:pPr>
        <w:pStyle w:val="3"/>
        <w:rPr>
          <w:rFonts w:ascii="仿宋" w:hAnsi="仿宋" w:eastAsia="仿宋"/>
        </w:rPr>
      </w:pPr>
      <w:bookmarkStart w:id="105" w:name="_Toc22855"/>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104"/>
      <w:bookmarkEnd w:id="105"/>
    </w:p>
    <w:p>
      <w:pPr>
        <w:pStyle w:val="3"/>
        <w:rPr>
          <w:rFonts w:ascii="仿宋" w:hAnsi="仿宋" w:eastAsia="仿宋"/>
        </w:rPr>
      </w:pPr>
      <w:bookmarkStart w:id="106" w:name="_Toc15396625"/>
      <w:bookmarkStart w:id="107" w:name="_Toc43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106"/>
      <w:bookmarkEnd w:id="107"/>
    </w:p>
    <w:p>
      <w:pPr>
        <w:pStyle w:val="3"/>
        <w:rPr>
          <w:rFonts w:ascii="仿宋" w:hAnsi="仿宋" w:eastAsia="仿宋"/>
        </w:rPr>
      </w:pPr>
      <w:bookmarkStart w:id="108" w:name="_Toc15396626"/>
      <w:bookmarkStart w:id="109" w:name="_Toc29079"/>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108"/>
      <w:bookmarkEnd w:id="109"/>
    </w:p>
    <w:p>
      <w:pPr>
        <w:pStyle w:val="3"/>
        <w:rPr>
          <w:rFonts w:ascii="仿宋" w:hAnsi="仿宋" w:eastAsia="仿宋"/>
        </w:rPr>
      </w:pPr>
      <w:bookmarkStart w:id="110" w:name="_Toc15396627"/>
      <w:bookmarkStart w:id="111" w:name="_Toc20386"/>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110"/>
      <w:bookmarkEnd w:id="111"/>
    </w:p>
    <w:p>
      <w:pPr>
        <w:pStyle w:val="3"/>
        <w:rPr>
          <w:rFonts w:ascii="仿宋" w:hAnsi="仿宋" w:eastAsia="仿宋"/>
        </w:rPr>
      </w:pPr>
      <w:bookmarkStart w:id="112" w:name="_Toc15396628"/>
      <w:bookmarkStart w:id="113" w:name="_Toc12494"/>
      <w:r>
        <w:rPr>
          <w:rStyle w:val="25"/>
          <w:rFonts w:hint="eastAsia" w:ascii="仿宋" w:hAnsi="仿宋" w:eastAsia="仿宋"/>
          <w:b w:val="0"/>
          <w:bCs w:val="0"/>
        </w:rPr>
        <w:t>十、</w:t>
      </w:r>
      <w:r>
        <w:rPr>
          <w:rFonts w:hint="eastAsia" w:ascii="仿宋" w:hAnsi="仿宋" w:eastAsia="仿宋"/>
          <w:b w:val="0"/>
        </w:rPr>
        <w:t>一</w:t>
      </w:r>
      <w:r>
        <w:rPr>
          <w:rStyle w:val="25"/>
          <w:rFonts w:hint="eastAsia" w:ascii="仿宋" w:hAnsi="仿宋" w:eastAsia="仿宋"/>
          <w:b w:val="0"/>
          <w:bCs w:val="0"/>
        </w:rPr>
        <w:t>般公共预算财政拨款“三公”经费支出决算表</w:t>
      </w:r>
      <w:bookmarkEnd w:id="112"/>
      <w:bookmarkEnd w:id="113"/>
    </w:p>
    <w:p>
      <w:pPr>
        <w:pStyle w:val="3"/>
        <w:rPr>
          <w:rFonts w:ascii="仿宋" w:hAnsi="仿宋" w:eastAsia="仿宋"/>
        </w:rPr>
      </w:pPr>
      <w:bookmarkStart w:id="114" w:name="_Toc15396629"/>
      <w:bookmarkStart w:id="115" w:name="_Toc19985"/>
      <w:r>
        <w:rPr>
          <w:rStyle w:val="25"/>
          <w:rFonts w:hint="eastAsia" w:ascii="仿宋" w:hAnsi="仿宋" w:eastAsia="仿宋"/>
          <w:b w:val="0"/>
          <w:bCs w:val="0"/>
        </w:rPr>
        <w:t>十一、</w:t>
      </w:r>
      <w:r>
        <w:rPr>
          <w:rFonts w:hint="eastAsia" w:ascii="仿宋" w:hAnsi="仿宋" w:eastAsia="仿宋"/>
          <w:b w:val="0"/>
        </w:rPr>
        <w:t>政</w:t>
      </w:r>
      <w:r>
        <w:rPr>
          <w:rStyle w:val="25"/>
          <w:rFonts w:hint="eastAsia" w:ascii="仿宋" w:hAnsi="仿宋" w:eastAsia="仿宋"/>
          <w:b w:val="0"/>
          <w:bCs w:val="0"/>
        </w:rPr>
        <w:t>府性基金预算财政拨款收入支出决算表</w:t>
      </w:r>
      <w:bookmarkEnd w:id="114"/>
      <w:bookmarkEnd w:id="115"/>
    </w:p>
    <w:p>
      <w:pPr>
        <w:pStyle w:val="3"/>
        <w:rPr>
          <w:rFonts w:ascii="仿宋" w:hAnsi="仿宋" w:eastAsia="仿宋"/>
        </w:rPr>
      </w:pPr>
      <w:bookmarkStart w:id="116" w:name="_Toc15396630"/>
      <w:bookmarkStart w:id="117" w:name="_Toc23517"/>
      <w:r>
        <w:rPr>
          <w:rStyle w:val="25"/>
          <w:rFonts w:hint="eastAsia" w:ascii="仿宋" w:hAnsi="仿宋" w:eastAsia="仿宋"/>
          <w:b w:val="0"/>
          <w:bCs w:val="0"/>
        </w:rPr>
        <w:t>十二、</w:t>
      </w:r>
      <w:r>
        <w:rPr>
          <w:rFonts w:hint="eastAsia" w:ascii="仿宋" w:hAnsi="仿宋" w:eastAsia="仿宋"/>
          <w:b w:val="0"/>
        </w:rPr>
        <w:t>政</w:t>
      </w:r>
      <w:r>
        <w:rPr>
          <w:rStyle w:val="25"/>
          <w:rFonts w:hint="eastAsia" w:ascii="仿宋" w:hAnsi="仿宋" w:eastAsia="仿宋"/>
          <w:b w:val="0"/>
          <w:bCs w:val="0"/>
        </w:rPr>
        <w:t>府性基金预算财政拨款“三公”经费支出决算表</w:t>
      </w:r>
      <w:bookmarkEnd w:id="116"/>
      <w:r>
        <w:rPr>
          <w:rStyle w:val="25"/>
          <w:rFonts w:hint="eastAsia" w:ascii="仿宋" w:hAnsi="仿宋" w:eastAsia="仿宋"/>
          <w:b w:val="0"/>
          <w:bCs w:val="0"/>
        </w:rPr>
        <w:t>（此表无数据）</w:t>
      </w:r>
      <w:bookmarkEnd w:id="117"/>
    </w:p>
    <w:p>
      <w:pPr>
        <w:pStyle w:val="3"/>
        <w:rPr>
          <w:rStyle w:val="25"/>
          <w:rFonts w:ascii="仿宋" w:hAnsi="仿宋" w:eastAsia="仿宋"/>
          <w:b w:val="0"/>
          <w:bCs w:val="0"/>
        </w:rPr>
      </w:pPr>
      <w:bookmarkStart w:id="118" w:name="_Toc15396631"/>
      <w:bookmarkStart w:id="119" w:name="_Toc18925"/>
      <w:r>
        <w:rPr>
          <w:rStyle w:val="25"/>
          <w:rFonts w:hint="eastAsia" w:ascii="仿宋" w:hAnsi="仿宋" w:eastAsia="仿宋"/>
          <w:b w:val="0"/>
          <w:bCs w:val="0"/>
        </w:rPr>
        <w:t>十三、</w:t>
      </w:r>
      <w:r>
        <w:rPr>
          <w:rFonts w:hint="eastAsia" w:ascii="仿宋" w:hAnsi="仿宋" w:eastAsia="仿宋"/>
          <w:b w:val="0"/>
        </w:rPr>
        <w:t>国</w:t>
      </w:r>
      <w:r>
        <w:rPr>
          <w:rStyle w:val="25"/>
          <w:rFonts w:hint="eastAsia" w:ascii="仿宋" w:hAnsi="仿宋" w:eastAsia="仿宋"/>
          <w:b w:val="0"/>
          <w:bCs w:val="0"/>
        </w:rPr>
        <w:t>有资本经营预算财政拨款收入支出决算表</w:t>
      </w:r>
      <w:bookmarkEnd w:id="118"/>
      <w:r>
        <w:rPr>
          <w:rStyle w:val="25"/>
          <w:rFonts w:hint="eastAsia" w:ascii="仿宋" w:hAnsi="仿宋" w:eastAsia="仿宋"/>
          <w:b w:val="0"/>
          <w:bCs w:val="0"/>
        </w:rPr>
        <w:t>（此表无数据）</w:t>
      </w:r>
      <w:bookmarkEnd w:id="119"/>
    </w:p>
    <w:p>
      <w:pPr>
        <w:rPr>
          <w:rFonts w:eastAsia="仿宋"/>
        </w:rPr>
      </w:pPr>
      <w:bookmarkStart w:id="120" w:name="_Toc8403"/>
      <w:r>
        <w:rPr>
          <w:rStyle w:val="25"/>
          <w:rFonts w:hint="eastAsia" w:ascii="仿宋" w:hAnsi="仿宋" w:eastAsia="仿宋"/>
          <w:b w:val="0"/>
          <w:bCs w:val="0"/>
        </w:rPr>
        <w:t>十四、国有资本经营预算财政拨款支出决算表（此表无数据）</w:t>
      </w:r>
      <w:bookmarkEnd w:id="12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A302DA2"/>
    <w:multiLevelType w:val="multilevel"/>
    <w:tmpl w:val="2A302DA2"/>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ZDkzMmI3NWFkMmMxZmM3N2E2YzdlMzlhNTlhMGEzM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7D62"/>
    <w:rsid w:val="00114E9B"/>
    <w:rsid w:val="00142216"/>
    <w:rsid w:val="00144D6A"/>
    <w:rsid w:val="0014729F"/>
    <w:rsid w:val="00157BAB"/>
    <w:rsid w:val="001654D1"/>
    <w:rsid w:val="00174518"/>
    <w:rsid w:val="0018106D"/>
    <w:rsid w:val="00184DC5"/>
    <w:rsid w:val="001877A7"/>
    <w:rsid w:val="00191536"/>
    <w:rsid w:val="00196687"/>
    <w:rsid w:val="001C08A3"/>
    <w:rsid w:val="001C0962"/>
    <w:rsid w:val="001D7531"/>
    <w:rsid w:val="001E737D"/>
    <w:rsid w:val="001F0592"/>
    <w:rsid w:val="001F7506"/>
    <w:rsid w:val="002006CD"/>
    <w:rsid w:val="00202B36"/>
    <w:rsid w:val="00204B7A"/>
    <w:rsid w:val="00204CDE"/>
    <w:rsid w:val="0021101A"/>
    <w:rsid w:val="00220536"/>
    <w:rsid w:val="00223E9C"/>
    <w:rsid w:val="00235629"/>
    <w:rsid w:val="00237E80"/>
    <w:rsid w:val="00260C38"/>
    <w:rsid w:val="002616C0"/>
    <w:rsid w:val="00265372"/>
    <w:rsid w:val="002662AA"/>
    <w:rsid w:val="00280496"/>
    <w:rsid w:val="00287A20"/>
    <w:rsid w:val="00294DC9"/>
    <w:rsid w:val="00295495"/>
    <w:rsid w:val="002A31DE"/>
    <w:rsid w:val="002B2613"/>
    <w:rsid w:val="002D6D05"/>
    <w:rsid w:val="002E7043"/>
    <w:rsid w:val="002F1818"/>
    <w:rsid w:val="002F567B"/>
    <w:rsid w:val="003216A9"/>
    <w:rsid w:val="00335A74"/>
    <w:rsid w:val="00347529"/>
    <w:rsid w:val="0036561B"/>
    <w:rsid w:val="0037013F"/>
    <w:rsid w:val="00380C92"/>
    <w:rsid w:val="003A484F"/>
    <w:rsid w:val="003A4883"/>
    <w:rsid w:val="003B0BE0"/>
    <w:rsid w:val="003B0C1B"/>
    <w:rsid w:val="003B688C"/>
    <w:rsid w:val="003C0291"/>
    <w:rsid w:val="003C1243"/>
    <w:rsid w:val="003C39AE"/>
    <w:rsid w:val="003C7B60"/>
    <w:rsid w:val="003D0C0F"/>
    <w:rsid w:val="003D1FB2"/>
    <w:rsid w:val="003D66DA"/>
    <w:rsid w:val="003E1310"/>
    <w:rsid w:val="003E6F55"/>
    <w:rsid w:val="003F02E2"/>
    <w:rsid w:val="00406254"/>
    <w:rsid w:val="00411FFB"/>
    <w:rsid w:val="004223DE"/>
    <w:rsid w:val="00434489"/>
    <w:rsid w:val="00437085"/>
    <w:rsid w:val="00443880"/>
    <w:rsid w:val="004464F4"/>
    <w:rsid w:val="0045088B"/>
    <w:rsid w:val="00453B3D"/>
    <w:rsid w:val="00471401"/>
    <w:rsid w:val="004726F1"/>
    <w:rsid w:val="00473F31"/>
    <w:rsid w:val="0048263A"/>
    <w:rsid w:val="00487E5D"/>
    <w:rsid w:val="004A711F"/>
    <w:rsid w:val="004B199D"/>
    <w:rsid w:val="004B4690"/>
    <w:rsid w:val="004C033F"/>
    <w:rsid w:val="004E0A2D"/>
    <w:rsid w:val="004E15B8"/>
    <w:rsid w:val="004E206B"/>
    <w:rsid w:val="004E6DF7"/>
    <w:rsid w:val="004F0FBD"/>
    <w:rsid w:val="00505A47"/>
    <w:rsid w:val="00512FDA"/>
    <w:rsid w:val="00520DA0"/>
    <w:rsid w:val="00541E46"/>
    <w:rsid w:val="005664BB"/>
    <w:rsid w:val="00566FFA"/>
    <w:rsid w:val="0057481D"/>
    <w:rsid w:val="0058486E"/>
    <w:rsid w:val="00585B33"/>
    <w:rsid w:val="0059014D"/>
    <w:rsid w:val="00595BC4"/>
    <w:rsid w:val="005B5C64"/>
    <w:rsid w:val="005C19EA"/>
    <w:rsid w:val="005C5337"/>
    <w:rsid w:val="005C6BD0"/>
    <w:rsid w:val="005D1C8B"/>
    <w:rsid w:val="005D468D"/>
    <w:rsid w:val="005D5CED"/>
    <w:rsid w:val="005F1A4C"/>
    <w:rsid w:val="00605688"/>
    <w:rsid w:val="006070AF"/>
    <w:rsid w:val="00607E6C"/>
    <w:rsid w:val="006101B1"/>
    <w:rsid w:val="00614E02"/>
    <w:rsid w:val="00614E44"/>
    <w:rsid w:val="0062270A"/>
    <w:rsid w:val="00622830"/>
    <w:rsid w:val="00623DA0"/>
    <w:rsid w:val="00630AEF"/>
    <w:rsid w:val="00631CFE"/>
    <w:rsid w:val="006325F8"/>
    <w:rsid w:val="00633463"/>
    <w:rsid w:val="00634C9A"/>
    <w:rsid w:val="006440E4"/>
    <w:rsid w:val="00656672"/>
    <w:rsid w:val="0066343B"/>
    <w:rsid w:val="00664777"/>
    <w:rsid w:val="00673309"/>
    <w:rsid w:val="006748A4"/>
    <w:rsid w:val="00681A31"/>
    <w:rsid w:val="00683E73"/>
    <w:rsid w:val="006936A9"/>
    <w:rsid w:val="006A16F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774E7"/>
    <w:rsid w:val="00784D24"/>
    <w:rsid w:val="00785FBA"/>
    <w:rsid w:val="00786E4A"/>
    <w:rsid w:val="007875EB"/>
    <w:rsid w:val="0079426B"/>
    <w:rsid w:val="0079796E"/>
    <w:rsid w:val="007D1682"/>
    <w:rsid w:val="007D312A"/>
    <w:rsid w:val="007D3F19"/>
    <w:rsid w:val="007E23B0"/>
    <w:rsid w:val="007E23E5"/>
    <w:rsid w:val="007E7B3A"/>
    <w:rsid w:val="007F1991"/>
    <w:rsid w:val="007F2C2F"/>
    <w:rsid w:val="007F55FC"/>
    <w:rsid w:val="007F5665"/>
    <w:rsid w:val="00800112"/>
    <w:rsid w:val="00802314"/>
    <w:rsid w:val="00807642"/>
    <w:rsid w:val="00812BA0"/>
    <w:rsid w:val="00813348"/>
    <w:rsid w:val="008253BB"/>
    <w:rsid w:val="0083706E"/>
    <w:rsid w:val="008408F6"/>
    <w:rsid w:val="008423A5"/>
    <w:rsid w:val="00850625"/>
    <w:rsid w:val="00853718"/>
    <w:rsid w:val="00854ACA"/>
    <w:rsid w:val="00855221"/>
    <w:rsid w:val="00860645"/>
    <w:rsid w:val="00861D38"/>
    <w:rsid w:val="00871F71"/>
    <w:rsid w:val="00872FD8"/>
    <w:rsid w:val="00885AF4"/>
    <w:rsid w:val="008939CD"/>
    <w:rsid w:val="008B768C"/>
    <w:rsid w:val="008C4DB1"/>
    <w:rsid w:val="008C4EAF"/>
    <w:rsid w:val="008C5176"/>
    <w:rsid w:val="008C7FD0"/>
    <w:rsid w:val="008E1DE7"/>
    <w:rsid w:val="008E707C"/>
    <w:rsid w:val="008F0E6D"/>
    <w:rsid w:val="00900B08"/>
    <w:rsid w:val="00902155"/>
    <w:rsid w:val="00902FA3"/>
    <w:rsid w:val="00904A0E"/>
    <w:rsid w:val="00923564"/>
    <w:rsid w:val="0092392E"/>
    <w:rsid w:val="009315F9"/>
    <w:rsid w:val="00933499"/>
    <w:rsid w:val="00935C98"/>
    <w:rsid w:val="00946945"/>
    <w:rsid w:val="00951248"/>
    <w:rsid w:val="0095152F"/>
    <w:rsid w:val="00954C49"/>
    <w:rsid w:val="00955E37"/>
    <w:rsid w:val="0096379F"/>
    <w:rsid w:val="0097099F"/>
    <w:rsid w:val="00971997"/>
    <w:rsid w:val="00971FFC"/>
    <w:rsid w:val="009752AA"/>
    <w:rsid w:val="0098660A"/>
    <w:rsid w:val="009931C3"/>
    <w:rsid w:val="009B2C43"/>
    <w:rsid w:val="009B4EAE"/>
    <w:rsid w:val="009B7573"/>
    <w:rsid w:val="009C22F4"/>
    <w:rsid w:val="009C2A4B"/>
    <w:rsid w:val="009C2E98"/>
    <w:rsid w:val="009D3447"/>
    <w:rsid w:val="009D4711"/>
    <w:rsid w:val="009F1185"/>
    <w:rsid w:val="009F18CD"/>
    <w:rsid w:val="009F2A13"/>
    <w:rsid w:val="009F707B"/>
    <w:rsid w:val="009F7527"/>
    <w:rsid w:val="00A02FB8"/>
    <w:rsid w:val="00A04EB0"/>
    <w:rsid w:val="00A13CC1"/>
    <w:rsid w:val="00A16847"/>
    <w:rsid w:val="00A237D8"/>
    <w:rsid w:val="00A268C4"/>
    <w:rsid w:val="00A307CD"/>
    <w:rsid w:val="00A331C8"/>
    <w:rsid w:val="00A40A00"/>
    <w:rsid w:val="00A4142F"/>
    <w:rsid w:val="00A422EB"/>
    <w:rsid w:val="00A45BB7"/>
    <w:rsid w:val="00A56DF2"/>
    <w:rsid w:val="00A56E6E"/>
    <w:rsid w:val="00A624BF"/>
    <w:rsid w:val="00A6798C"/>
    <w:rsid w:val="00A67AB5"/>
    <w:rsid w:val="00A733B2"/>
    <w:rsid w:val="00A741C2"/>
    <w:rsid w:val="00A855FC"/>
    <w:rsid w:val="00A91760"/>
    <w:rsid w:val="00A93B00"/>
    <w:rsid w:val="00A93C21"/>
    <w:rsid w:val="00AB64C9"/>
    <w:rsid w:val="00AC3C6A"/>
    <w:rsid w:val="00AD5620"/>
    <w:rsid w:val="00AD656B"/>
    <w:rsid w:val="00AD7C1B"/>
    <w:rsid w:val="00AE16BA"/>
    <w:rsid w:val="00AE1EBE"/>
    <w:rsid w:val="00B01C27"/>
    <w:rsid w:val="00B03C9D"/>
    <w:rsid w:val="00B060AE"/>
    <w:rsid w:val="00B10517"/>
    <w:rsid w:val="00B14E76"/>
    <w:rsid w:val="00B161B8"/>
    <w:rsid w:val="00B2048C"/>
    <w:rsid w:val="00B310B9"/>
    <w:rsid w:val="00B31EE2"/>
    <w:rsid w:val="00B35F3F"/>
    <w:rsid w:val="00B36CBB"/>
    <w:rsid w:val="00B425E0"/>
    <w:rsid w:val="00B440AA"/>
    <w:rsid w:val="00B44B70"/>
    <w:rsid w:val="00B51FFC"/>
    <w:rsid w:val="00B53C56"/>
    <w:rsid w:val="00B57DAF"/>
    <w:rsid w:val="00B739A9"/>
    <w:rsid w:val="00B778F9"/>
    <w:rsid w:val="00B77EA6"/>
    <w:rsid w:val="00B81598"/>
    <w:rsid w:val="00B841F1"/>
    <w:rsid w:val="00B944D6"/>
    <w:rsid w:val="00B97B86"/>
    <w:rsid w:val="00BB4DF0"/>
    <w:rsid w:val="00BC289F"/>
    <w:rsid w:val="00BC2D50"/>
    <w:rsid w:val="00BC5361"/>
    <w:rsid w:val="00BC5460"/>
    <w:rsid w:val="00BC6B50"/>
    <w:rsid w:val="00BD0E25"/>
    <w:rsid w:val="00BF5BD6"/>
    <w:rsid w:val="00C03E31"/>
    <w:rsid w:val="00C24715"/>
    <w:rsid w:val="00C33E72"/>
    <w:rsid w:val="00C354B2"/>
    <w:rsid w:val="00C35554"/>
    <w:rsid w:val="00C3614F"/>
    <w:rsid w:val="00C42709"/>
    <w:rsid w:val="00C50A2A"/>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5F31"/>
    <w:rsid w:val="00CE7B61"/>
    <w:rsid w:val="00CF4296"/>
    <w:rsid w:val="00CF5EAC"/>
    <w:rsid w:val="00D00095"/>
    <w:rsid w:val="00D004C4"/>
    <w:rsid w:val="00D114F0"/>
    <w:rsid w:val="00D20620"/>
    <w:rsid w:val="00D254F7"/>
    <w:rsid w:val="00D26091"/>
    <w:rsid w:val="00D2685C"/>
    <w:rsid w:val="00D34E7C"/>
    <w:rsid w:val="00D35489"/>
    <w:rsid w:val="00D36AFE"/>
    <w:rsid w:val="00D51276"/>
    <w:rsid w:val="00D7035F"/>
    <w:rsid w:val="00DA634F"/>
    <w:rsid w:val="00DA65AC"/>
    <w:rsid w:val="00DB0565"/>
    <w:rsid w:val="00DB1913"/>
    <w:rsid w:val="00DC410D"/>
    <w:rsid w:val="00DC43E3"/>
    <w:rsid w:val="00DC5A81"/>
    <w:rsid w:val="00DC68CA"/>
    <w:rsid w:val="00DC7CBA"/>
    <w:rsid w:val="00DD73B7"/>
    <w:rsid w:val="00DF28BC"/>
    <w:rsid w:val="00DF34B9"/>
    <w:rsid w:val="00DF7D7D"/>
    <w:rsid w:val="00E01053"/>
    <w:rsid w:val="00E07ACF"/>
    <w:rsid w:val="00E22251"/>
    <w:rsid w:val="00E331A1"/>
    <w:rsid w:val="00E33202"/>
    <w:rsid w:val="00E336A9"/>
    <w:rsid w:val="00E46BF9"/>
    <w:rsid w:val="00E472B1"/>
    <w:rsid w:val="00E50624"/>
    <w:rsid w:val="00E568DF"/>
    <w:rsid w:val="00E64269"/>
    <w:rsid w:val="00E711B7"/>
    <w:rsid w:val="00E82267"/>
    <w:rsid w:val="00E853CE"/>
    <w:rsid w:val="00E867B6"/>
    <w:rsid w:val="00EA010F"/>
    <w:rsid w:val="00ED1B63"/>
    <w:rsid w:val="00ED3C1F"/>
    <w:rsid w:val="00ED4085"/>
    <w:rsid w:val="00ED420E"/>
    <w:rsid w:val="00ED6FBE"/>
    <w:rsid w:val="00EE2F57"/>
    <w:rsid w:val="00EE6252"/>
    <w:rsid w:val="00EF4C34"/>
    <w:rsid w:val="00EF77C6"/>
    <w:rsid w:val="00F05438"/>
    <w:rsid w:val="00F057AB"/>
    <w:rsid w:val="00F1361C"/>
    <w:rsid w:val="00F156F0"/>
    <w:rsid w:val="00F160C7"/>
    <w:rsid w:val="00F2408F"/>
    <w:rsid w:val="00F240E9"/>
    <w:rsid w:val="00F30A03"/>
    <w:rsid w:val="00F36D8F"/>
    <w:rsid w:val="00F417B1"/>
    <w:rsid w:val="00F4581D"/>
    <w:rsid w:val="00F45853"/>
    <w:rsid w:val="00F602DF"/>
    <w:rsid w:val="00F63E89"/>
    <w:rsid w:val="00F754A1"/>
    <w:rsid w:val="00F81FD9"/>
    <w:rsid w:val="00F841AA"/>
    <w:rsid w:val="00F84A94"/>
    <w:rsid w:val="00F87E96"/>
    <w:rsid w:val="00F92B13"/>
    <w:rsid w:val="00FA23E8"/>
    <w:rsid w:val="00FB0AE8"/>
    <w:rsid w:val="00FD3CC1"/>
    <w:rsid w:val="00FF1E02"/>
    <w:rsid w:val="00FF30B4"/>
    <w:rsid w:val="0A2032A3"/>
    <w:rsid w:val="0B8A37D8"/>
    <w:rsid w:val="10C055FF"/>
    <w:rsid w:val="118107EC"/>
    <w:rsid w:val="11DD6519"/>
    <w:rsid w:val="16BB723D"/>
    <w:rsid w:val="18015F3F"/>
    <w:rsid w:val="199E386A"/>
    <w:rsid w:val="1BE8440E"/>
    <w:rsid w:val="1D155CEE"/>
    <w:rsid w:val="20696F77"/>
    <w:rsid w:val="20F57F95"/>
    <w:rsid w:val="212B1EC7"/>
    <w:rsid w:val="21FC1A76"/>
    <w:rsid w:val="23A03E9E"/>
    <w:rsid w:val="240371BF"/>
    <w:rsid w:val="25C741E6"/>
    <w:rsid w:val="27842671"/>
    <w:rsid w:val="29FD04D3"/>
    <w:rsid w:val="2A154580"/>
    <w:rsid w:val="2ABE7A3E"/>
    <w:rsid w:val="2EFA178C"/>
    <w:rsid w:val="30B46D73"/>
    <w:rsid w:val="319F7F4E"/>
    <w:rsid w:val="34BC6872"/>
    <w:rsid w:val="34FD36E3"/>
    <w:rsid w:val="39AE70AB"/>
    <w:rsid w:val="3C0C0783"/>
    <w:rsid w:val="3F9F3A96"/>
    <w:rsid w:val="4533183A"/>
    <w:rsid w:val="479A678C"/>
    <w:rsid w:val="493C27E9"/>
    <w:rsid w:val="496F39ED"/>
    <w:rsid w:val="49E80AED"/>
    <w:rsid w:val="49FF41D3"/>
    <w:rsid w:val="4BE068DB"/>
    <w:rsid w:val="4BF6002B"/>
    <w:rsid w:val="4ECE2238"/>
    <w:rsid w:val="50FB5306"/>
    <w:rsid w:val="51B51ED6"/>
    <w:rsid w:val="51D36E15"/>
    <w:rsid w:val="51DB4B86"/>
    <w:rsid w:val="528A6D1D"/>
    <w:rsid w:val="531B1411"/>
    <w:rsid w:val="548D0E99"/>
    <w:rsid w:val="55333C3E"/>
    <w:rsid w:val="5DC01633"/>
    <w:rsid w:val="5FD96977"/>
    <w:rsid w:val="61BE33AF"/>
    <w:rsid w:val="64CA39A1"/>
    <w:rsid w:val="66F27490"/>
    <w:rsid w:val="678311EF"/>
    <w:rsid w:val="6C4A05C8"/>
    <w:rsid w:val="72734D90"/>
    <w:rsid w:val="75FC7119"/>
    <w:rsid w:val="76E41B79"/>
    <w:rsid w:val="79E7B28D"/>
    <w:rsid w:val="7CF95DB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36213;&#23376;&#24698;&#30340;&#30005;&#33041;\Desktop\&#26032;&#24314;%20Microsoft%20Excel%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36213;&#23376;&#24698;&#30340;&#30005;&#33041;\Desktop\&#26032;&#24314;%20Microsoft%20Excel%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36213;&#23376;&#24698;&#30340;&#30005;&#33041;\Desktop\&#26032;&#24314;%20Microsoft%20Excel%20&#24037;&#20316;&#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36213;&#23376;&#24698;&#30340;&#30005;&#33041;\Desktop\&#26032;&#24314;%20Microsoft%20Excel%20&#24037;&#20316;&#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36213;&#23376;&#24698;&#30340;&#30005;&#33041;\Desktop\&#26032;&#24314;%20Microsoft%20Excel%20&#24037;&#20316;&#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36213;&#23376;&#24698;&#30340;&#30005;&#33041;\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收、支决算总计变动情况图</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Sheet1!$I$15:$I$16</c:f>
              <c:strCache>
                <c:ptCount val="2"/>
                <c:pt idx="0">
                  <c:v>2020年</c:v>
                </c:pt>
                <c:pt idx="1">
                  <c:v>2021年</c:v>
                </c:pt>
              </c:strCache>
            </c:strRef>
          </c:cat>
          <c:val>
            <c:numRef>
              <c:f>Sheet1!$J$15:$J$16</c:f>
              <c:numCache>
                <c:formatCode>General</c:formatCode>
                <c:ptCount val="2"/>
                <c:pt idx="0">
                  <c:v>1514.33</c:v>
                </c:pt>
                <c:pt idx="1">
                  <c:v>1175.65</c:v>
                </c:pt>
              </c:numCache>
            </c:numRef>
          </c:val>
        </c:ser>
        <c:dLbls>
          <c:showLegendKey val="0"/>
          <c:showVal val="0"/>
          <c:showCatName val="0"/>
          <c:showSerName val="0"/>
          <c:showPercent val="0"/>
          <c:showBubbleSize val="0"/>
        </c:dLbls>
        <c:gapWidth val="400"/>
        <c:overlap val="-27"/>
        <c:axId val="1144635360"/>
        <c:axId val="1144638272"/>
      </c:barChart>
      <c:catAx>
        <c:axId val="114463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4638272"/>
        <c:crosses val="autoZero"/>
        <c:auto val="1"/>
        <c:lblAlgn val="ctr"/>
        <c:lblOffset val="100"/>
        <c:noMultiLvlLbl val="0"/>
      </c:catAx>
      <c:valAx>
        <c:axId val="114463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463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收入决算结构图</a:t>
            </a:r>
            <a:endParaRPr lang="zh-CN" altLang="en-US"/>
          </a:p>
        </c:rich>
      </c:tx>
      <c:layout/>
      <c:overlay val="0"/>
      <c:spPr>
        <a:noFill/>
        <a:ln>
          <a:noFill/>
        </a:ln>
        <a:effectLst/>
      </c:spPr>
    </c:title>
    <c:autoTitleDeleted val="0"/>
    <c:plotArea>
      <c:layout/>
      <c:pieChart>
        <c:varyColors val="1"/>
        <c:ser>
          <c:idx val="0"/>
          <c:order val="0"/>
          <c:spPr/>
          <c:explosion val="5"/>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Sheet1!$I$30:$I$31</c:f>
              <c:strCache>
                <c:ptCount val="2"/>
                <c:pt idx="0">
                  <c:v>一般公共预算财政拨款收入</c:v>
                </c:pt>
                <c:pt idx="1">
                  <c:v>政府性基金预算财政拨款收入</c:v>
                </c:pt>
              </c:strCache>
            </c:strRef>
          </c:cat>
          <c:val>
            <c:numRef>
              <c:f>Sheet1!$J$30:$J$31</c:f>
              <c:numCache>
                <c:formatCode>General</c:formatCode>
                <c:ptCount val="2"/>
                <c:pt idx="0">
                  <c:v>701.85</c:v>
                </c:pt>
                <c:pt idx="1">
                  <c:v>121.8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支出决算结构图</a:t>
            </a:r>
            <a:endParaRPr lang="zh-CN" altLang="en-US"/>
          </a:p>
        </c:rich>
      </c:tx>
      <c:layout/>
      <c:overlay val="0"/>
      <c:spPr>
        <a:noFill/>
        <a:ln>
          <a:noFill/>
        </a:ln>
        <a:effectLst/>
      </c:spPr>
    </c:title>
    <c:autoTitleDeleted val="0"/>
    <c:plotArea>
      <c:layout/>
      <c:pieChart>
        <c:varyColors val="1"/>
        <c:ser>
          <c:idx val="0"/>
          <c:order val="0"/>
          <c:spPr/>
          <c:explosion val="5"/>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Sheet1!$I$41:$I$42</c:f>
              <c:strCache>
                <c:ptCount val="2"/>
                <c:pt idx="0">
                  <c:v>基本支出</c:v>
                </c:pt>
                <c:pt idx="1">
                  <c:v>项目支出</c:v>
                </c:pt>
              </c:strCache>
            </c:strRef>
          </c:cat>
          <c:val>
            <c:numRef>
              <c:f>Sheet1!$J$41:$J$42</c:f>
              <c:numCache>
                <c:formatCode>General</c:formatCode>
                <c:ptCount val="2"/>
                <c:pt idx="0">
                  <c:v>580.5</c:v>
                </c:pt>
                <c:pt idx="1">
                  <c:v>594.58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财政拨款收、支决算总计变动情况</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Pt>
            <c:idx val="0"/>
            <c:invertIfNegative val="0"/>
            <c:bubble3D val="0"/>
            <c:spPr>
              <a:solidFill>
                <a:schemeClr val="accent1"/>
              </a:solidFill>
              <a:ln>
                <a:noFill/>
              </a:ln>
              <a:effectLst/>
            </c:spPr>
          </c:dPt>
          <c:dPt>
            <c:idx val="1"/>
            <c:invertIfNegative val="0"/>
            <c:bubble3D val="0"/>
            <c:spPr>
              <a:solidFill>
                <a:schemeClr val="accent6"/>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Sheet1!$I$20:$I$21</c:f>
              <c:strCache>
                <c:ptCount val="2"/>
                <c:pt idx="0">
                  <c:v>2020年</c:v>
                </c:pt>
                <c:pt idx="1">
                  <c:v>2021年</c:v>
                </c:pt>
              </c:strCache>
            </c:strRef>
          </c:cat>
          <c:val>
            <c:numRef>
              <c:f>Sheet1!$J$20:$J$21</c:f>
              <c:numCache>
                <c:formatCode>General</c:formatCode>
                <c:ptCount val="2"/>
                <c:pt idx="0">
                  <c:v>1514.33</c:v>
                </c:pt>
                <c:pt idx="1">
                  <c:v>1175.65</c:v>
                </c:pt>
              </c:numCache>
            </c:numRef>
          </c:val>
        </c:ser>
        <c:dLbls>
          <c:showLegendKey val="0"/>
          <c:showVal val="0"/>
          <c:showCatName val="0"/>
          <c:showSerName val="0"/>
          <c:showPercent val="0"/>
          <c:showBubbleSize val="0"/>
        </c:dLbls>
        <c:gapWidth val="400"/>
        <c:overlap val="-27"/>
        <c:axId val="1920817088"/>
        <c:axId val="121154688"/>
      </c:barChart>
      <c:catAx>
        <c:axId val="192081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1154688"/>
        <c:crosses val="autoZero"/>
        <c:auto val="1"/>
        <c:lblAlgn val="ctr"/>
        <c:lblOffset val="100"/>
        <c:noMultiLvlLbl val="0"/>
      </c:catAx>
      <c:valAx>
        <c:axId val="12115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0817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工作表.xlsx]Sheet1'!$F$13:$F$14</c:f>
              <c:strCache>
                <c:ptCount val="2"/>
                <c:pt idx="0">
                  <c:v>2020年</c:v>
                </c:pt>
                <c:pt idx="1">
                  <c:v>2021年</c:v>
                </c:pt>
              </c:strCache>
            </c:strRef>
          </c:cat>
          <c:val>
            <c:numRef>
              <c:f>'[新建 XLSX 工作表.xlsx]Sheet1'!$G$13:$G$14</c:f>
              <c:numCache>
                <c:formatCode>General</c:formatCode>
                <c:ptCount val="2"/>
                <c:pt idx="0">
                  <c:v>805.54</c:v>
                </c:pt>
                <c:pt idx="1">
                  <c:v>701.28</c:v>
                </c:pt>
              </c:numCache>
            </c:numRef>
          </c:val>
        </c:ser>
        <c:dLbls>
          <c:showLegendKey val="0"/>
          <c:showVal val="1"/>
          <c:showCatName val="0"/>
          <c:showSerName val="0"/>
          <c:showPercent val="0"/>
          <c:showBubbleSize val="0"/>
        </c:dLbls>
        <c:gapWidth val="400"/>
        <c:overlap val="-27"/>
        <c:axId val="393340295"/>
        <c:axId val="461030548"/>
      </c:barChart>
      <c:catAx>
        <c:axId val="3933402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1030548"/>
        <c:crosses val="autoZero"/>
        <c:auto val="1"/>
        <c:lblAlgn val="ctr"/>
        <c:lblOffset val="100"/>
        <c:noMultiLvlLbl val="0"/>
      </c:catAx>
      <c:valAx>
        <c:axId val="4610305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340295"/>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一般公共预算财政拨款支出决算结构</a:t>
            </a:r>
            <a:endParaRPr lang="zh-CN" altLang="en-US"/>
          </a:p>
        </c:rich>
      </c:tx>
      <c:layout/>
      <c:overlay val="0"/>
      <c:spPr>
        <a:noFill/>
        <a:ln>
          <a:noFill/>
        </a:ln>
        <a:effectLst/>
      </c:spPr>
    </c:title>
    <c:autoTitleDeleted val="0"/>
    <c:plotArea>
      <c:layout/>
      <c:pieChart>
        <c:varyColors val="1"/>
        <c:ser>
          <c:idx val="0"/>
          <c:order val="0"/>
          <c:spPr/>
          <c:explosion val="5"/>
          <c:dPt>
            <c:idx val="0"/>
            <c:bubble3D val="0"/>
            <c:spPr>
              <a:solidFill>
                <a:srgbClr val="FFFF00"/>
              </a:solidFill>
              <a:ln w="19050">
                <a:solidFill>
                  <a:schemeClr val="lt1"/>
                </a:solidFill>
              </a:ln>
              <a:effectLst/>
            </c:spPr>
          </c:dPt>
          <c:dPt>
            <c:idx val="1"/>
            <c:bubble3D val="0"/>
            <c:spPr>
              <a:solidFill>
                <a:schemeClr val="accent1"/>
              </a:solidFill>
              <a:ln w="19050">
                <a:solidFill>
                  <a:schemeClr val="lt1"/>
                </a:solidFill>
              </a:ln>
              <a:effectLst/>
            </c:spPr>
          </c:dPt>
          <c:dPt>
            <c:idx val="2"/>
            <c:bubble3D val="0"/>
            <c:spPr>
              <a:solidFill>
                <a:schemeClr val="accent6"/>
              </a:solidFill>
              <a:ln w="19050">
                <a:solidFill>
                  <a:schemeClr val="lt1"/>
                </a:solidFill>
              </a:ln>
              <a:effectLst/>
            </c:spPr>
          </c:dPt>
          <c:dPt>
            <c:idx val="3"/>
            <c:bubble3D val="0"/>
            <c:spPr>
              <a:solidFill>
                <a:schemeClr val="accent3"/>
              </a:solidFill>
              <a:ln w="19050">
                <a:solidFill>
                  <a:schemeClr val="lt1"/>
                </a:solidFill>
              </a:ln>
              <a:effectLst/>
            </c:spPr>
          </c:dPt>
          <c:dLbls>
            <c:dLbl>
              <c:idx val="0"/>
              <c:layout>
                <c:manualLayout>
                  <c:x val="0.00916062714660279"/>
                  <c:y val="0.004578779106942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8571421526602"/>
                  <c:y val="0.004542416626610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Sheet1!$I$47:$I$50</c:f>
              <c:strCache>
                <c:ptCount val="4"/>
                <c:pt idx="0">
                  <c:v>教育支出</c:v>
                </c:pt>
                <c:pt idx="1">
                  <c:v>文化旅游体育与传媒</c:v>
                </c:pt>
                <c:pt idx="2">
                  <c:v>社会保障和就业</c:v>
                </c:pt>
                <c:pt idx="3">
                  <c:v>住房保障支出</c:v>
                </c:pt>
              </c:strCache>
            </c:strRef>
          </c:cat>
          <c:val>
            <c:numRef>
              <c:f>Sheet1!$J$47:$J$50</c:f>
              <c:numCache>
                <c:formatCode>General</c:formatCode>
                <c:ptCount val="4"/>
                <c:pt idx="0">
                  <c:v>4.36</c:v>
                </c:pt>
                <c:pt idx="1">
                  <c:v>616.48</c:v>
                </c:pt>
                <c:pt idx="2">
                  <c:v>40.84</c:v>
                </c:pt>
                <c:pt idx="3">
                  <c:v>39.6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zh-CN" sz="1400" b="0" i="0" u="none" strike="noStrike" baseline="0">
                <a:effectLst/>
              </a:rPr>
              <a:t>“三公”经费财政拨款支出结构</a:t>
            </a:r>
            <a:endParaRPr lang="zh-CN" altLang="en-US"/>
          </a:p>
        </c:rich>
      </c:tx>
      <c:layout/>
      <c:overlay val="0"/>
      <c:spPr>
        <a:noFill/>
        <a:ln>
          <a:noFill/>
        </a:ln>
        <a:effectLst/>
      </c:spPr>
    </c:title>
    <c:autoTitleDeleted val="0"/>
    <c:plotArea>
      <c:layout/>
      <c:pieChart>
        <c:varyColors val="1"/>
        <c:ser>
          <c:idx val="0"/>
          <c:order val="0"/>
          <c:spPr/>
          <c:explosion val="5"/>
          <c:dPt>
            <c:idx val="0"/>
            <c:bubble3D val="0"/>
            <c:spPr>
              <a:solidFill>
                <a:schemeClr val="accent1"/>
              </a:solidFill>
              <a:ln w="19050">
                <a:solidFill>
                  <a:schemeClr val="lt1"/>
                </a:solidFill>
              </a:ln>
              <a:effectLst/>
            </c:spPr>
          </c:dPt>
          <c:dPt>
            <c:idx val="1"/>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Sheet1!$I$53:$I$54</c:f>
              <c:strCache>
                <c:ptCount val="2"/>
                <c:pt idx="0">
                  <c:v>公务用车购置及运行维护费支出</c:v>
                </c:pt>
                <c:pt idx="1">
                  <c:v>公务接待费支出</c:v>
                </c:pt>
              </c:strCache>
            </c:strRef>
          </c:cat>
          <c:val>
            <c:numRef>
              <c:f>Sheet1!$J$53:$J$54</c:f>
              <c:numCache>
                <c:formatCode>General</c:formatCode>
                <c:ptCount val="2"/>
                <c:pt idx="0">
                  <c:v>1.62</c:v>
                </c:pt>
                <c:pt idx="1">
                  <c:v>0.12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24</Pages>
  <Words>6433</Words>
  <Characters>7163</Characters>
  <Lines>51</Lines>
  <Paragraphs>14</Paragraphs>
  <TotalTime>3</TotalTime>
  <ScaleCrop>false</ScaleCrop>
  <LinksUpToDate>false</LinksUpToDate>
  <CharactersWithSpaces>7325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赵子恺的电脑</cp:lastModifiedBy>
  <cp:lastPrinted>2022-08-06T02:23:00Z</cp:lastPrinted>
  <dcterms:modified xsi:type="dcterms:W3CDTF">2023-09-26T02:22:54Z</dcterms:modified>
  <dc:title>四川省***</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6307C2702578405BA17DA7E18570440A</vt:lpwstr>
  </property>
</Properties>
</file>