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31" w:rsidRDefault="00F60C31">
      <w:pPr>
        <w:spacing w:line="600" w:lineRule="exact"/>
        <w:jc w:val="center"/>
        <w:outlineLvl w:val="0"/>
        <w:rPr>
          <w:rFonts w:ascii="方正小标宋简体" w:eastAsia="方正小标宋简体" w:hAnsi="宋体"/>
          <w:sz w:val="72"/>
          <w:szCs w:val="72"/>
        </w:rPr>
      </w:pPr>
      <w:bookmarkStart w:id="0" w:name="_Toc15306267"/>
    </w:p>
    <w:p w:rsidR="00F60C31" w:rsidRDefault="00F60C31">
      <w:pPr>
        <w:spacing w:line="600" w:lineRule="exact"/>
        <w:jc w:val="center"/>
        <w:outlineLvl w:val="0"/>
        <w:rPr>
          <w:rFonts w:ascii="方正小标宋简体" w:eastAsia="方正小标宋简体" w:hAnsi="宋体"/>
          <w:sz w:val="72"/>
          <w:szCs w:val="72"/>
        </w:rPr>
      </w:pPr>
    </w:p>
    <w:p w:rsidR="00F60C31" w:rsidRDefault="00F60C31">
      <w:pPr>
        <w:spacing w:line="600" w:lineRule="exact"/>
        <w:jc w:val="center"/>
        <w:outlineLvl w:val="0"/>
        <w:rPr>
          <w:rFonts w:ascii="方正小标宋简体" w:eastAsia="方正小标宋简体" w:hAnsi="宋体"/>
          <w:sz w:val="72"/>
          <w:szCs w:val="72"/>
        </w:rPr>
      </w:pPr>
    </w:p>
    <w:p w:rsidR="00F60C31" w:rsidRDefault="00F60C31">
      <w:pPr>
        <w:spacing w:line="600" w:lineRule="exact"/>
        <w:jc w:val="center"/>
        <w:outlineLvl w:val="0"/>
        <w:rPr>
          <w:rFonts w:ascii="方正小标宋简体" w:eastAsia="方正小标宋简体" w:hAnsi="宋体"/>
          <w:sz w:val="72"/>
          <w:szCs w:val="72"/>
        </w:rPr>
      </w:pPr>
    </w:p>
    <w:p w:rsidR="00DD4CAB" w:rsidRDefault="00DD4CAB" w:rsidP="00DD4CAB">
      <w:pPr>
        <w:adjustRightInd w:val="0"/>
        <w:snapToGrid w:val="0"/>
        <w:spacing w:line="360" w:lineRule="auto"/>
        <w:jc w:val="center"/>
        <w:outlineLvl w:val="0"/>
        <w:rPr>
          <w:rFonts w:ascii="方正小标宋简体" w:eastAsia="方正小标宋简体" w:hAnsi="方正小标宋简体" w:cs="方正小标宋简体"/>
          <w:sz w:val="44"/>
          <w:szCs w:val="44"/>
        </w:rPr>
      </w:pPr>
      <w:bookmarkStart w:id="1" w:name="_Toc15377193"/>
      <w:bookmarkStart w:id="2" w:name="_Toc15378441"/>
      <w:bookmarkStart w:id="3" w:name="_Toc15396597"/>
      <w:bookmarkStart w:id="4" w:name="_Toc15396475"/>
      <w:bookmarkStart w:id="5" w:name="_Toc15377425"/>
    </w:p>
    <w:p w:rsidR="00DD4CAB" w:rsidRDefault="00DD4CAB" w:rsidP="00DD4CAB">
      <w:pPr>
        <w:adjustRightInd w:val="0"/>
        <w:snapToGrid w:val="0"/>
        <w:spacing w:line="360" w:lineRule="auto"/>
        <w:jc w:val="center"/>
        <w:outlineLvl w:val="0"/>
        <w:rPr>
          <w:rFonts w:ascii="方正小标宋简体" w:eastAsia="方正小标宋简体" w:hAnsi="方正小标宋简体" w:cs="方正小标宋简体"/>
          <w:sz w:val="44"/>
          <w:szCs w:val="44"/>
        </w:rPr>
      </w:pPr>
    </w:p>
    <w:p w:rsidR="00DD4CAB" w:rsidRDefault="00DD4CAB" w:rsidP="00DD4CAB">
      <w:pPr>
        <w:adjustRightInd w:val="0"/>
        <w:snapToGrid w:val="0"/>
        <w:spacing w:line="360" w:lineRule="auto"/>
        <w:jc w:val="center"/>
        <w:outlineLvl w:val="0"/>
        <w:rPr>
          <w:rFonts w:ascii="方正小标宋简体" w:eastAsia="方正小标宋简体" w:hAnsi="方正小标宋简体" w:cs="方正小标宋简体"/>
          <w:sz w:val="44"/>
          <w:szCs w:val="44"/>
        </w:rPr>
      </w:pPr>
    </w:p>
    <w:p w:rsidR="00DD4CAB" w:rsidRPr="00DD4CAB" w:rsidRDefault="00C93128" w:rsidP="00DD4CAB">
      <w:pPr>
        <w:adjustRightInd w:val="0"/>
        <w:snapToGrid w:val="0"/>
        <w:spacing w:line="360" w:lineRule="auto"/>
        <w:jc w:val="center"/>
        <w:outlineLvl w:val="0"/>
        <w:rPr>
          <w:rFonts w:ascii="方正小标宋简体" w:eastAsia="方正小标宋简体" w:hAnsi="方正小标宋简体" w:cs="方正小标宋简体"/>
          <w:sz w:val="44"/>
          <w:szCs w:val="44"/>
        </w:rPr>
      </w:pPr>
      <w:r w:rsidRPr="00DD4CAB">
        <w:rPr>
          <w:rFonts w:ascii="方正小标宋简体" w:eastAsia="方正小标宋简体" w:hAnsi="方正小标宋简体" w:cs="方正小标宋简体" w:hint="eastAsia"/>
          <w:sz w:val="44"/>
          <w:szCs w:val="44"/>
        </w:rPr>
        <w:t>2021年度</w:t>
      </w:r>
      <w:bookmarkStart w:id="6" w:name="_Toc15396598"/>
      <w:bookmarkStart w:id="7" w:name="_Toc15377426"/>
      <w:bookmarkStart w:id="8" w:name="_Toc15396476"/>
      <w:bookmarkStart w:id="9" w:name="_Toc15378442"/>
      <w:bookmarkStart w:id="10" w:name="_Toc15377194"/>
      <w:bookmarkStart w:id="11" w:name="_Toc15306268"/>
      <w:bookmarkEnd w:id="0"/>
      <w:bookmarkEnd w:id="1"/>
      <w:bookmarkEnd w:id="2"/>
      <w:bookmarkEnd w:id="3"/>
      <w:bookmarkEnd w:id="4"/>
      <w:bookmarkEnd w:id="5"/>
      <w:r w:rsidR="00F3574D" w:rsidRPr="00DD4CAB">
        <w:rPr>
          <w:rFonts w:ascii="方正小标宋简体" w:eastAsia="方正小标宋简体" w:hAnsi="方正小标宋简体" w:cs="方正小标宋简体" w:hint="eastAsia"/>
          <w:sz w:val="44"/>
          <w:szCs w:val="44"/>
        </w:rPr>
        <w:t>攀枝花市电化教育(技术装备)中心</w:t>
      </w:r>
    </w:p>
    <w:p w:rsidR="00F60C31" w:rsidRPr="00DD4CAB" w:rsidRDefault="00C93128" w:rsidP="00DD4CAB">
      <w:pPr>
        <w:adjustRightInd w:val="0"/>
        <w:snapToGrid w:val="0"/>
        <w:spacing w:line="360" w:lineRule="auto"/>
        <w:jc w:val="center"/>
        <w:outlineLvl w:val="0"/>
        <w:rPr>
          <w:rFonts w:ascii="方正小标宋简体" w:eastAsia="方正小标宋简体" w:hAnsi="方正小标宋简体" w:cs="方正小标宋简体"/>
          <w:sz w:val="44"/>
          <w:szCs w:val="44"/>
        </w:rPr>
      </w:pPr>
      <w:r w:rsidRPr="00DD4CAB">
        <w:rPr>
          <w:rFonts w:ascii="方正小标宋简体" w:eastAsia="方正小标宋简体" w:hAnsi="方正小标宋简体" w:cs="方正小标宋简体" w:hint="eastAsia"/>
          <w:sz w:val="44"/>
          <w:szCs w:val="44"/>
        </w:rPr>
        <w:t>单位决算</w:t>
      </w:r>
      <w:bookmarkEnd w:id="6"/>
      <w:bookmarkEnd w:id="7"/>
      <w:bookmarkEnd w:id="8"/>
      <w:bookmarkEnd w:id="9"/>
      <w:bookmarkEnd w:id="10"/>
      <w:bookmarkEnd w:id="11"/>
      <w:r w:rsidR="00DD4CAB" w:rsidRPr="00DD4CAB">
        <w:rPr>
          <w:rFonts w:ascii="方正小标宋简体" w:eastAsia="方正小标宋简体" w:hAnsi="方正小标宋简体" w:cs="方正小标宋简体" w:hint="eastAsia"/>
          <w:sz w:val="44"/>
          <w:szCs w:val="44"/>
        </w:rPr>
        <w:t>公开编制说明</w:t>
      </w:r>
    </w:p>
    <w:p w:rsidR="00F60C31" w:rsidRDefault="00C93128">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F60C31" w:rsidRDefault="00F60C31">
      <w:pPr>
        <w:widowControl/>
        <w:jc w:val="center"/>
        <w:rPr>
          <w:rFonts w:ascii="黑体" w:eastAsia="黑体" w:hAnsi="黑体" w:cstheme="minorBidi"/>
          <w:sz w:val="28"/>
          <w:szCs w:val="28"/>
        </w:rPr>
      </w:pPr>
    </w:p>
    <w:p w:rsidR="00F60C31" w:rsidRDefault="00C93128">
      <w:pPr>
        <w:pStyle w:val="10"/>
      </w:pPr>
      <w:r>
        <w:rPr>
          <w:rFonts w:hint="eastAsia"/>
        </w:rPr>
        <w:t>公开时间：2022年9月</w:t>
      </w:r>
      <w:r w:rsidR="00EB779F">
        <w:rPr>
          <w:rFonts w:hint="eastAsia"/>
        </w:rPr>
        <w:t>13</w:t>
      </w:r>
      <w:r>
        <w:rPr>
          <w:rFonts w:hint="eastAsia"/>
        </w:rPr>
        <w:t>日</w:t>
      </w:r>
    </w:p>
    <w:p w:rsidR="00F60C31" w:rsidRDefault="00F60C31"/>
    <w:p w:rsidR="00F60C31" w:rsidRPr="00E340AC" w:rsidRDefault="00C93128">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sidR="00F3574D">
        <w:rPr>
          <w:rFonts w:hint="eastAsia"/>
          <w:sz w:val="24"/>
        </w:rPr>
        <w:t>…………………………………………</w:t>
      </w:r>
      <w:r w:rsidR="00E340AC">
        <w:rPr>
          <w:rFonts w:hint="eastAsia"/>
          <w:sz w:val="24"/>
        </w:rPr>
        <w:t>…………………</w:t>
      </w:r>
      <w:r w:rsidR="0013634F">
        <w:rPr>
          <w:rFonts w:hint="eastAsia"/>
          <w:sz w:val="24"/>
        </w:rPr>
        <w:t>…</w:t>
      </w:r>
      <w:r w:rsidR="00E340AC">
        <w:rPr>
          <w:rFonts w:hint="eastAsia"/>
          <w:sz w:val="24"/>
        </w:rPr>
        <w:t>…</w:t>
      </w:r>
      <w:r w:rsidR="0013634F">
        <w:rPr>
          <w:rFonts w:hint="eastAsia"/>
          <w:sz w:val="24"/>
        </w:rPr>
        <w:t>3</w:t>
      </w:r>
    </w:p>
    <w:p w:rsidR="00F60C31" w:rsidRDefault="00C93128">
      <w:pPr>
        <w:pStyle w:val="20"/>
        <w:adjustRightInd w:val="0"/>
        <w:snapToGrid w:val="0"/>
        <w:spacing w:line="440" w:lineRule="exact"/>
        <w:jc w:val="left"/>
        <w:rPr>
          <w:sz w:val="24"/>
        </w:rPr>
      </w:pPr>
      <w:r>
        <w:rPr>
          <w:rFonts w:hint="eastAsia"/>
          <w:sz w:val="24"/>
        </w:rPr>
        <w:t>一、职能简介</w:t>
      </w:r>
      <w:r w:rsidR="00E340AC">
        <w:rPr>
          <w:rFonts w:hint="eastAsia"/>
          <w:sz w:val="24"/>
        </w:rPr>
        <w:t>…………………………………………………………………</w:t>
      </w:r>
      <w:r w:rsidR="0013634F">
        <w:rPr>
          <w:rFonts w:hint="eastAsia"/>
          <w:sz w:val="24"/>
        </w:rPr>
        <w:t>…</w:t>
      </w:r>
      <w:r w:rsidR="0013634F">
        <w:rPr>
          <w:rFonts w:hint="eastAsia"/>
          <w:sz w:val="24"/>
        </w:rPr>
        <w:t>3</w:t>
      </w:r>
    </w:p>
    <w:p w:rsidR="00F60C31" w:rsidRDefault="00C93128">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r w:rsidR="00E340AC">
        <w:rPr>
          <w:rFonts w:hint="eastAsia"/>
          <w:sz w:val="24"/>
        </w:rPr>
        <w:t>………………………………………………</w:t>
      </w:r>
      <w:r w:rsidR="0013634F">
        <w:rPr>
          <w:rFonts w:hint="eastAsia"/>
          <w:sz w:val="24"/>
        </w:rPr>
        <w:t>…</w:t>
      </w:r>
      <w:r w:rsidR="0013634F">
        <w:rPr>
          <w:rFonts w:hint="eastAsia"/>
          <w:sz w:val="24"/>
        </w:rPr>
        <w:t>3</w:t>
      </w:r>
    </w:p>
    <w:p w:rsidR="00AB5D39" w:rsidRDefault="00AB5D39" w:rsidP="00AB5D39">
      <w:pPr>
        <w:pStyle w:val="20"/>
        <w:adjustRightInd w:val="0"/>
        <w:snapToGrid w:val="0"/>
        <w:spacing w:line="440" w:lineRule="exact"/>
        <w:jc w:val="left"/>
        <w:rPr>
          <w:rFonts w:hint="eastAsia"/>
          <w:sz w:val="24"/>
        </w:rPr>
      </w:pPr>
      <w:r w:rsidRPr="00AB5D39">
        <w:rPr>
          <w:rFonts w:asciiTheme="minorEastAsia" w:eastAsiaTheme="minorEastAsia" w:hAnsiTheme="minorEastAsia" w:cstheme="minorEastAsia" w:hint="eastAsia"/>
          <w:sz w:val="24"/>
        </w:rPr>
        <w:t>三、</w:t>
      </w:r>
      <w:r>
        <w:rPr>
          <w:rFonts w:hint="eastAsia"/>
          <w:sz w:val="24"/>
        </w:rPr>
        <w:t>机构设置……………………………………………………………………</w:t>
      </w:r>
      <w:r>
        <w:rPr>
          <w:rFonts w:hint="eastAsia"/>
          <w:sz w:val="24"/>
        </w:rPr>
        <w:t>6</w:t>
      </w:r>
    </w:p>
    <w:p w:rsidR="00F60C31" w:rsidRPr="00AB5D39" w:rsidRDefault="00C93128" w:rsidP="00AB5D39">
      <w:pPr>
        <w:pStyle w:val="10"/>
        <w:adjustRightInd w:val="0"/>
        <w:snapToGrid w:val="0"/>
        <w:spacing w:before="0" w:line="440" w:lineRule="exact"/>
        <w:jc w:val="left"/>
        <w:rPr>
          <w:sz w:val="24"/>
        </w:rPr>
      </w:pPr>
      <w:r>
        <w:rPr>
          <w:rFonts w:hint="eastAsia"/>
          <w:sz w:val="24"/>
        </w:rPr>
        <w:t>第二部分 2021年度单位决算情况说明</w:t>
      </w:r>
      <w:r w:rsidR="00E340AC">
        <w:rPr>
          <w:rFonts w:hint="eastAsia"/>
          <w:sz w:val="24"/>
        </w:rPr>
        <w:t>…………………………………………</w:t>
      </w:r>
      <w:r w:rsidR="0013634F">
        <w:rPr>
          <w:rFonts w:hint="eastAsia"/>
          <w:sz w:val="24"/>
        </w:rPr>
        <w:t>…7</w:t>
      </w:r>
      <w:bookmarkStart w:id="12" w:name="_GoBack"/>
      <w:bookmarkEnd w:id="12"/>
    </w:p>
    <w:p w:rsidR="00F60C31" w:rsidRDefault="00C93128">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E340AC">
        <w:rPr>
          <w:rFonts w:hint="eastAsia"/>
          <w:sz w:val="24"/>
        </w:rPr>
        <w:t>……………………………………………</w:t>
      </w:r>
      <w:r w:rsidR="0013634F">
        <w:rPr>
          <w:rFonts w:hint="eastAsia"/>
          <w:sz w:val="24"/>
        </w:rPr>
        <w:t>…</w:t>
      </w:r>
      <w:r w:rsidR="0013634F">
        <w:rPr>
          <w:rFonts w:hint="eastAsia"/>
          <w:sz w:val="24"/>
        </w:rPr>
        <w:t>7</w:t>
      </w:r>
    </w:p>
    <w:p w:rsidR="00F60C31" w:rsidRDefault="00C93128">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E340AC">
        <w:rPr>
          <w:rFonts w:hint="eastAsia"/>
          <w:sz w:val="24"/>
        </w:rPr>
        <w:t>………………………………………………………</w:t>
      </w:r>
      <w:r w:rsidR="0013634F">
        <w:rPr>
          <w:rFonts w:hint="eastAsia"/>
          <w:sz w:val="24"/>
        </w:rPr>
        <w:t>…</w:t>
      </w:r>
      <w:r w:rsidR="0013634F">
        <w:rPr>
          <w:rFonts w:hint="eastAsia"/>
          <w:sz w:val="24"/>
        </w:rPr>
        <w:t>7</w:t>
      </w:r>
    </w:p>
    <w:p w:rsidR="00F60C31" w:rsidRDefault="00C93128">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E340AC">
        <w:rPr>
          <w:rFonts w:hint="eastAsia"/>
          <w:sz w:val="24"/>
        </w:rPr>
        <w:t>………………………………………………………</w:t>
      </w:r>
      <w:r w:rsidR="0013634F">
        <w:rPr>
          <w:rFonts w:hint="eastAsia"/>
          <w:sz w:val="24"/>
        </w:rPr>
        <w:t>…</w:t>
      </w:r>
      <w:r w:rsidR="0013634F">
        <w:rPr>
          <w:rFonts w:hint="eastAsia"/>
          <w:sz w:val="24"/>
        </w:rPr>
        <w:t>8</w:t>
      </w:r>
    </w:p>
    <w:p w:rsidR="00F60C31" w:rsidRDefault="00C93128">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E340AC">
        <w:rPr>
          <w:rFonts w:hint="eastAsia"/>
          <w:sz w:val="24"/>
        </w:rPr>
        <w:t>…………………………………</w:t>
      </w:r>
      <w:r w:rsidR="0013634F">
        <w:rPr>
          <w:rFonts w:hint="eastAsia"/>
          <w:sz w:val="24"/>
        </w:rPr>
        <w:t>…</w:t>
      </w:r>
      <w:r w:rsidR="0013634F">
        <w:rPr>
          <w:rFonts w:hint="eastAsia"/>
          <w:sz w:val="24"/>
        </w:rPr>
        <w:t>9</w:t>
      </w:r>
    </w:p>
    <w:p w:rsidR="00F60C31" w:rsidRDefault="00C93128">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E340AC">
        <w:rPr>
          <w:rFonts w:hint="eastAsia"/>
          <w:sz w:val="24"/>
        </w:rPr>
        <w:t>……………………………</w:t>
      </w:r>
      <w:r w:rsidR="0013634F">
        <w:rPr>
          <w:rFonts w:hint="eastAsia"/>
          <w:sz w:val="24"/>
        </w:rPr>
        <w:t>…</w:t>
      </w:r>
      <w:r w:rsidR="0013634F">
        <w:rPr>
          <w:rFonts w:hint="eastAsia"/>
          <w:sz w:val="24"/>
        </w:rPr>
        <w:t>10</w:t>
      </w:r>
    </w:p>
    <w:p w:rsidR="00F60C31" w:rsidRDefault="00C93128">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E340AC">
        <w:rPr>
          <w:rFonts w:hint="eastAsia"/>
          <w:sz w:val="24"/>
        </w:rPr>
        <w:t>………………………</w:t>
      </w:r>
      <w:r w:rsidR="0013634F">
        <w:rPr>
          <w:rFonts w:hint="eastAsia"/>
          <w:sz w:val="24"/>
        </w:rPr>
        <w:t>…</w:t>
      </w:r>
      <w:r w:rsidR="0013634F">
        <w:rPr>
          <w:rFonts w:hint="eastAsia"/>
          <w:sz w:val="24"/>
        </w:rPr>
        <w:t>12</w:t>
      </w:r>
    </w:p>
    <w:p w:rsidR="00F60C31" w:rsidRDefault="00C93128">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E340AC">
        <w:rPr>
          <w:rFonts w:hint="eastAsia"/>
          <w:sz w:val="24"/>
        </w:rPr>
        <w:t>……………………………</w:t>
      </w:r>
      <w:r w:rsidR="0013634F">
        <w:rPr>
          <w:rFonts w:hint="eastAsia"/>
          <w:sz w:val="24"/>
        </w:rPr>
        <w:t>…</w:t>
      </w:r>
      <w:r w:rsidR="0013634F">
        <w:rPr>
          <w:rFonts w:hint="eastAsia"/>
          <w:sz w:val="24"/>
        </w:rPr>
        <w:t>12</w:t>
      </w:r>
    </w:p>
    <w:p w:rsidR="00F60C31" w:rsidRDefault="00C93128">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E340AC">
        <w:rPr>
          <w:rFonts w:hint="eastAsia"/>
          <w:sz w:val="24"/>
        </w:rPr>
        <w:t>……………………………………</w:t>
      </w:r>
      <w:r w:rsidR="0013634F">
        <w:rPr>
          <w:rFonts w:hint="eastAsia"/>
          <w:sz w:val="24"/>
        </w:rPr>
        <w:t>…</w:t>
      </w:r>
      <w:r w:rsidR="0013634F">
        <w:rPr>
          <w:rFonts w:hint="eastAsia"/>
          <w:sz w:val="24"/>
        </w:rPr>
        <w:t>14</w:t>
      </w:r>
    </w:p>
    <w:p w:rsidR="00F60C31" w:rsidRDefault="00C93128">
      <w:pPr>
        <w:pStyle w:val="20"/>
        <w:adjustRightInd w:val="0"/>
        <w:snapToGrid w:val="0"/>
        <w:spacing w:line="440" w:lineRule="exact"/>
        <w:jc w:val="left"/>
        <w:rPr>
          <w:sz w:val="24"/>
        </w:rPr>
      </w:pPr>
      <w:r>
        <w:rPr>
          <w:rFonts w:hint="eastAsia"/>
          <w:sz w:val="24"/>
        </w:rPr>
        <w:t>九、国有资本经营预算支出决算情况说明</w:t>
      </w:r>
      <w:r w:rsidR="00E340AC">
        <w:rPr>
          <w:rFonts w:hint="eastAsia"/>
          <w:sz w:val="24"/>
        </w:rPr>
        <w:t>…………………………………</w:t>
      </w:r>
      <w:r w:rsidR="0013634F">
        <w:rPr>
          <w:rFonts w:hint="eastAsia"/>
          <w:sz w:val="24"/>
        </w:rPr>
        <w:t>…</w:t>
      </w:r>
      <w:r w:rsidR="0013634F">
        <w:rPr>
          <w:rFonts w:hint="eastAsia"/>
          <w:sz w:val="24"/>
        </w:rPr>
        <w:t>14</w:t>
      </w:r>
    </w:p>
    <w:p w:rsidR="00F60C31" w:rsidRDefault="00C93128">
      <w:pPr>
        <w:pStyle w:val="20"/>
        <w:adjustRightInd w:val="0"/>
        <w:snapToGrid w:val="0"/>
        <w:spacing w:line="440" w:lineRule="exact"/>
        <w:jc w:val="left"/>
        <w:rPr>
          <w:sz w:val="24"/>
        </w:rPr>
      </w:pPr>
      <w:r>
        <w:rPr>
          <w:rFonts w:hint="eastAsia"/>
          <w:sz w:val="24"/>
        </w:rPr>
        <w:t>十、其他重要事项的情况说明</w:t>
      </w:r>
      <w:r w:rsidR="00E340AC">
        <w:rPr>
          <w:rFonts w:hint="eastAsia"/>
          <w:sz w:val="24"/>
        </w:rPr>
        <w:t>………………………………………………</w:t>
      </w:r>
      <w:r w:rsidR="0013634F">
        <w:rPr>
          <w:rFonts w:hint="eastAsia"/>
          <w:sz w:val="24"/>
        </w:rPr>
        <w:t>…</w:t>
      </w:r>
      <w:r w:rsidR="0013634F">
        <w:rPr>
          <w:rFonts w:hint="eastAsia"/>
          <w:sz w:val="24"/>
        </w:rPr>
        <w:t>14</w:t>
      </w:r>
    </w:p>
    <w:p w:rsidR="00F60C31" w:rsidRDefault="00C93128">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E340AC">
        <w:rPr>
          <w:rFonts w:hint="eastAsia"/>
          <w:sz w:val="24"/>
        </w:rPr>
        <w:t>…………………………………………………………………</w:t>
      </w:r>
      <w:r w:rsidR="0013634F">
        <w:rPr>
          <w:rFonts w:hint="eastAsia"/>
          <w:sz w:val="24"/>
        </w:rPr>
        <w:t>16</w:t>
      </w:r>
    </w:p>
    <w:p w:rsidR="00F60C31" w:rsidRDefault="00C93128">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E340AC">
        <w:rPr>
          <w:rFonts w:hint="eastAsia"/>
          <w:sz w:val="24"/>
        </w:rPr>
        <w:t>…………………………………………………………………</w:t>
      </w:r>
      <w:r w:rsidR="0013634F">
        <w:rPr>
          <w:rFonts w:hint="eastAsia"/>
          <w:sz w:val="24"/>
        </w:rPr>
        <w:t>……18</w:t>
      </w:r>
    </w:p>
    <w:p w:rsidR="00F60C31" w:rsidRDefault="00C93128">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E340AC">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一、收入支出决算总表</w:t>
      </w:r>
      <w:r w:rsidR="00E340AC">
        <w:rPr>
          <w:rFonts w:hint="eastAsia"/>
          <w:sz w:val="24"/>
        </w:rPr>
        <w:t>………………………………………………………</w:t>
      </w:r>
      <w:r w:rsidR="0013634F">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二、收入决算表</w:t>
      </w:r>
      <w:r w:rsidR="00E340AC">
        <w:rPr>
          <w:rFonts w:hint="eastAsia"/>
          <w:sz w:val="24"/>
        </w:rPr>
        <w:t>………………………………………………………</w:t>
      </w:r>
      <w:r w:rsidR="0013634F">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三、支出决算表</w:t>
      </w:r>
      <w:r w:rsidR="00E340AC">
        <w:rPr>
          <w:rFonts w:hint="eastAsia"/>
          <w:sz w:val="24"/>
        </w:rPr>
        <w:t>………………………………………………………</w:t>
      </w:r>
      <w:r w:rsidR="0013634F">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四、财政拨款收入支出决算总表</w:t>
      </w:r>
      <w:r w:rsidR="00E340AC">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五、财政拨款支出决算明细表</w:t>
      </w:r>
      <w:r w:rsidR="00E340AC">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六、一般公共预算财政拨款支出决算表</w:t>
      </w:r>
      <w:r w:rsidR="00E340AC">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七、一般公共预算财政拨款支出决算明细表</w:t>
      </w:r>
      <w:r w:rsidR="00E340AC">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八、一般公共预算财政拨款基本支出决算表</w:t>
      </w:r>
      <w:r w:rsidR="00E340AC">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lastRenderedPageBreak/>
        <w:t>九、一般公共预算财政拨款项目支出决算表</w:t>
      </w:r>
      <w:r w:rsidR="00E340AC">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十、一般公共预算财政拨款“三公”经费支出决算表</w:t>
      </w:r>
      <w:r w:rsidR="0013634F">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十一、政府性基金预算财政拨款收入支出决算表</w:t>
      </w:r>
      <w:r w:rsidR="00E340AC">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十二、政府性基金预算财政拨款“三公”经费支出决算表</w:t>
      </w:r>
      <w:r w:rsidR="00E340AC">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十三、国有资本经营预算财政拨款收入支出决算表</w:t>
      </w:r>
      <w:r w:rsidR="00E340AC">
        <w:rPr>
          <w:rFonts w:hint="eastAsia"/>
          <w:sz w:val="24"/>
        </w:rPr>
        <w:t>………………………</w:t>
      </w:r>
      <w:r w:rsidR="0013634F">
        <w:rPr>
          <w:rFonts w:hint="eastAsia"/>
          <w:sz w:val="24"/>
        </w:rPr>
        <w:t>…</w:t>
      </w:r>
      <w:r w:rsidR="0013634F">
        <w:rPr>
          <w:rFonts w:hint="eastAsia"/>
          <w:sz w:val="24"/>
        </w:rPr>
        <w:t>20</w:t>
      </w:r>
    </w:p>
    <w:p w:rsidR="00F60C31" w:rsidRDefault="00C93128">
      <w:pPr>
        <w:pStyle w:val="20"/>
        <w:adjustRightInd w:val="0"/>
        <w:snapToGrid w:val="0"/>
        <w:spacing w:line="440" w:lineRule="exact"/>
        <w:jc w:val="left"/>
        <w:rPr>
          <w:sz w:val="24"/>
        </w:rPr>
      </w:pPr>
      <w:r>
        <w:rPr>
          <w:rFonts w:hint="eastAsia"/>
          <w:sz w:val="24"/>
        </w:rPr>
        <w:t>十四、国有资本经营预算财政拨款支出决算表</w:t>
      </w:r>
      <w:r w:rsidR="00E340AC">
        <w:rPr>
          <w:rFonts w:hint="eastAsia"/>
          <w:sz w:val="24"/>
        </w:rPr>
        <w:t>………………………………</w:t>
      </w:r>
      <w:r w:rsidR="0013634F">
        <w:rPr>
          <w:rFonts w:hint="eastAsia"/>
          <w:sz w:val="24"/>
        </w:rPr>
        <w:t>20</w:t>
      </w:r>
    </w:p>
    <w:p w:rsidR="00F60C31" w:rsidRDefault="00F60C31">
      <w:pPr>
        <w:widowControl/>
        <w:adjustRightInd w:val="0"/>
        <w:snapToGrid w:val="0"/>
        <w:spacing w:line="440" w:lineRule="exact"/>
        <w:ind w:firstLineChars="550" w:firstLine="1320"/>
        <w:jc w:val="left"/>
        <w:rPr>
          <w:rFonts w:ascii="仿宋" w:eastAsia="仿宋" w:hAnsi="仿宋"/>
          <w:sz w:val="24"/>
        </w:rPr>
      </w:pPr>
    </w:p>
    <w:p w:rsidR="00F60C31" w:rsidRDefault="00C93128">
      <w:pPr>
        <w:widowControl/>
        <w:spacing w:line="440" w:lineRule="exact"/>
        <w:jc w:val="left"/>
        <w:rPr>
          <w:rFonts w:ascii="仿宋" w:eastAsia="仿宋" w:hAnsi="仿宋"/>
          <w:bCs/>
          <w:kern w:val="44"/>
          <w:sz w:val="24"/>
        </w:rPr>
      </w:pPr>
      <w:bookmarkStart w:id="13" w:name="_Toc15396599"/>
      <w:bookmarkStart w:id="14" w:name="_Toc15377196"/>
      <w:r>
        <w:rPr>
          <w:rFonts w:ascii="仿宋" w:eastAsia="仿宋" w:hAnsi="仿宋"/>
          <w:b/>
          <w:sz w:val="24"/>
        </w:rPr>
        <w:br w:type="page"/>
      </w:r>
    </w:p>
    <w:p w:rsidR="00F60C31" w:rsidRPr="0013634F" w:rsidRDefault="00C93128" w:rsidP="0013634F">
      <w:pPr>
        <w:pStyle w:val="1"/>
        <w:jc w:val="center"/>
        <w:rPr>
          <w:rFonts w:ascii="黑体" w:eastAsia="黑体" w:hAnsi="黑体"/>
          <w:bCs w:val="0"/>
        </w:rPr>
      </w:pPr>
      <w:r>
        <w:rPr>
          <w:rFonts w:ascii="黑体" w:eastAsia="黑体" w:hAnsi="黑体" w:hint="eastAsia"/>
          <w:b w:val="0"/>
        </w:rPr>
        <w:lastRenderedPageBreak/>
        <w:t>第一部分 单位</w:t>
      </w:r>
      <w:r>
        <w:rPr>
          <w:rStyle w:val="1Char"/>
          <w:rFonts w:ascii="黑体" w:eastAsia="黑体" w:hAnsi="黑体" w:hint="eastAsia"/>
        </w:rPr>
        <w:t>概况</w:t>
      </w:r>
      <w:bookmarkEnd w:id="13"/>
      <w:bookmarkEnd w:id="14"/>
    </w:p>
    <w:p w:rsidR="00F60C31" w:rsidRDefault="00C93128">
      <w:pPr>
        <w:pStyle w:val="2"/>
        <w:rPr>
          <w:rStyle w:val="2Char"/>
          <w:rFonts w:ascii="黑体" w:eastAsia="黑体" w:hAnsi="黑体"/>
        </w:rPr>
      </w:pPr>
      <w:bookmarkStart w:id="15" w:name="_Toc15396600"/>
      <w:bookmarkStart w:id="16" w:name="_Toc15377197"/>
      <w:r>
        <w:rPr>
          <w:rStyle w:val="2Char"/>
          <w:rFonts w:ascii="黑体" w:eastAsia="黑体" w:hAnsi="黑体" w:hint="eastAsia"/>
        </w:rPr>
        <w:t>一、职能简介</w:t>
      </w:r>
    </w:p>
    <w:p w:rsidR="00463E0F" w:rsidRDefault="00AA0EB2" w:rsidP="00463E0F">
      <w:pPr>
        <w:pStyle w:val="a0"/>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创</w:t>
      </w:r>
      <w:r w:rsidR="00463E0F">
        <w:rPr>
          <w:rFonts w:ascii="仿宋" w:eastAsia="仿宋" w:hAnsi="仿宋" w:hint="eastAsia"/>
          <w:bCs/>
          <w:color w:val="000000"/>
          <w:sz w:val="32"/>
          <w:szCs w:val="32"/>
        </w:rPr>
        <w:t>一流的办学条件，为全市教育现代化服务。主要负责全市电化教育发展规划、年度工作计划，负责对全市中小学现代教育技术的评估、督导和检查工作；负责中小学实验室、计算机室、艺体劳技室和图书室等教育装备及其配套设施的建设、配备、管理和使用；组织开展基于多媒体和网络环境下的学科优质课竞赛，教师自制CAI教学软件和中小学生电脑作品大赛等活动；负责组织中学实验操作考核、高中信息技术毕业会考工作，负责组织全市中小学实验竞赛；指导、评估学校现代教育技术及科研课题的推广应用及研究；负责国家、省、市现代教育技术示范学校和实验教学示范学校的管理、评估；负责农村中小学现代远程教育的管理与应用指导；负责攀枝花市城域网建设、信息资源中心建设、远程教育、视频会议、网络技术、安全维护等工作；具体负责攀枝花市教育新闻的宣传报道工作。</w:t>
      </w:r>
    </w:p>
    <w:p w:rsidR="00463E0F" w:rsidRPr="00463E0F" w:rsidRDefault="00463E0F" w:rsidP="00463E0F"/>
    <w:p w:rsidR="00463E0F" w:rsidRPr="00463E0F" w:rsidRDefault="00463E0F" w:rsidP="00463E0F"/>
    <w:p w:rsidR="00F60C31" w:rsidRDefault="00C93128">
      <w:pPr>
        <w:pStyle w:val="2"/>
        <w:rPr>
          <w:rFonts w:ascii="黑体" w:eastAsia="黑体" w:hAnsi="黑体"/>
          <w:b w:val="0"/>
        </w:rPr>
      </w:pPr>
      <w:r>
        <w:rPr>
          <w:rFonts w:ascii="黑体" w:eastAsia="黑体" w:hAnsi="黑体" w:hint="eastAsia"/>
          <w:b w:val="0"/>
        </w:rPr>
        <w:t>二、2021年重点工作</w:t>
      </w:r>
      <w:bookmarkEnd w:id="15"/>
      <w:bookmarkEnd w:id="16"/>
      <w:r>
        <w:rPr>
          <w:rFonts w:ascii="黑体" w:eastAsia="黑体" w:hAnsi="黑体" w:hint="eastAsia"/>
          <w:b w:val="0"/>
        </w:rPr>
        <w:t>完成情况</w:t>
      </w:r>
    </w:p>
    <w:p w:rsidR="00463E0F" w:rsidRDefault="00463E0F" w:rsidP="00463E0F">
      <w:pPr>
        <w:pStyle w:val="21"/>
        <w:spacing w:after="0" w:line="560" w:lineRule="exact"/>
        <w:ind w:leftChars="0" w:left="0" w:firstLineChars="0" w:firstLine="0"/>
        <w:rPr>
          <w:rFonts w:ascii="仿宋_GB2312" w:eastAsia="仿宋_GB2312" w:hAnsi="仿宋_GB2312" w:cs="仿宋_GB2312"/>
          <w:color w:val="000000"/>
          <w:sz w:val="32"/>
          <w:szCs w:val="32"/>
        </w:rPr>
      </w:pPr>
      <w:r>
        <w:rPr>
          <w:rFonts w:ascii="方正楷体简体" w:eastAsia="方正楷体简体" w:hAnsi="仿宋_GB2312" w:cs="仿宋_GB2312" w:hint="eastAsia"/>
          <w:b/>
          <w:bCs/>
          <w:color w:val="000000"/>
          <w:sz w:val="32"/>
          <w:szCs w:val="32"/>
        </w:rPr>
        <w:t>（一）</w:t>
      </w:r>
      <w:r>
        <w:rPr>
          <w:rFonts w:ascii="方正楷体简体" w:eastAsia="方正楷体简体" w:hAnsi="仿宋_GB2312" w:cs="仿宋_GB2312" w:hint="eastAsia"/>
          <w:b/>
          <w:color w:val="000000"/>
          <w:sz w:val="32"/>
          <w:szCs w:val="32"/>
        </w:rPr>
        <w:t>党史学习教育深入人心。</w:t>
      </w:r>
      <w:r>
        <w:rPr>
          <w:rFonts w:ascii="仿宋_GB2312" w:eastAsia="仿宋_GB2312" w:hAnsi="仿宋_GB2312" w:cs="仿宋_GB2312" w:hint="eastAsia"/>
          <w:color w:val="000000"/>
          <w:sz w:val="32"/>
          <w:szCs w:val="32"/>
        </w:rPr>
        <w:t>中心为深入学习贯彻习近平总书记关于学习党史的重要讲话和指示精神，持续深化爱国、爱党教育，围绕 “学党史、悟思想、办实事、开新局”的</w:t>
      </w:r>
      <w:r>
        <w:rPr>
          <w:rFonts w:ascii="仿宋_GB2312" w:eastAsia="仿宋_GB2312" w:hAnsi="仿宋_GB2312" w:cs="仿宋_GB2312" w:hint="eastAsia"/>
          <w:color w:val="000000"/>
          <w:sz w:val="32"/>
          <w:szCs w:val="32"/>
        </w:rPr>
        <w:lastRenderedPageBreak/>
        <w:t>主题开展了党史学习教育，引导全体党员进一步坚定理想信念，努力做到学史明理、学史增信、学史崇德、学史力行，促进党史学习教育入耳入脑入心，在悟思想、办实事、开新局上取得一定成效，为推动全市电教技装事业高质量发展提供了坚强保证。在市教育和体育局及中心微信公众号开设专栏——党史百年天天读，利用微信公众号向教体群体推送学习内容，确保了党史学习教育走深走实。</w:t>
      </w:r>
    </w:p>
    <w:p w:rsidR="00463E0F" w:rsidRDefault="00463E0F" w:rsidP="00463E0F">
      <w:pPr>
        <w:pStyle w:val="21"/>
        <w:spacing w:line="560" w:lineRule="exact"/>
        <w:ind w:leftChars="0" w:left="0" w:firstLineChars="0" w:firstLine="0"/>
        <w:rPr>
          <w:rFonts w:ascii="仿宋_GB2312" w:eastAsia="仿宋_GB2312" w:hAnsi="仿宋_GB2312" w:cs="仿宋_GB2312"/>
          <w:color w:val="000000"/>
          <w:sz w:val="32"/>
          <w:szCs w:val="32"/>
        </w:rPr>
      </w:pPr>
      <w:r>
        <w:rPr>
          <w:rFonts w:ascii="楷体_GB2312" w:eastAsia="楷体_GB2312" w:hAnsi="楷体_GB2312" w:cs="楷体_GB2312" w:hint="eastAsia"/>
          <w:b/>
          <w:bCs/>
          <w:sz w:val="32"/>
          <w:szCs w:val="32"/>
        </w:rPr>
        <w:t>（二）精心制作宣传短片增强干事创业意识</w:t>
      </w:r>
      <w:r>
        <w:rPr>
          <w:rFonts w:ascii="仿宋_GB2312" w:eastAsia="仿宋_GB2312" w:hAnsi="Calibri" w:hint="eastAsia"/>
          <w:b/>
          <w:bCs/>
          <w:sz w:val="32"/>
          <w:szCs w:val="32"/>
        </w:rPr>
        <w:t>。</w:t>
      </w:r>
      <w:r>
        <w:rPr>
          <w:rFonts w:ascii="仿宋_GB2312" w:eastAsia="仿宋_GB2312" w:hAnsi="Calibri" w:hint="eastAsia"/>
          <w:sz w:val="32"/>
          <w:szCs w:val="32"/>
        </w:rPr>
        <w:t>为建党100周年献礼，我中心拍摄了《党建引领 献礼百年》全市电教技装工作的宣传视频片。这是一部反映全市电化教育技术装备人，立足新时代，把党建和业务工作结合起来，展示全市电化教育技术装备人，特别是党员同志的先锋带头作用。视频以中心的党建品牌“党建引领  技术先锋”为主题，以“学校标准化、教育信息化”建设内容为中心，突出改善办学条件，聚焦教育信息化 2.0 八项行动，强化教体宣传和电化教育工作，全力推动全市教育技术装备与教育信息化建设的宣传片。</w:t>
      </w:r>
      <w:r>
        <w:rPr>
          <w:rFonts w:ascii="仿宋_GB2312" w:eastAsia="仿宋_GB2312" w:hAnsi="仿宋_GB2312" w:cs="仿宋_GB2312" w:hint="eastAsia"/>
          <w:color w:val="000000"/>
          <w:sz w:val="32"/>
          <w:szCs w:val="32"/>
        </w:rPr>
        <w:t>坚持立德树人根本任务，坚持用党的创新理论铸魂育人，突出“为党育人 为国育才”的初心使命，为培养担当民族复兴大人的时代新人和德智体美劳全面发展的社会主义建设者和接班人作出新的贡献。</w:t>
      </w:r>
    </w:p>
    <w:p w:rsidR="00463E0F" w:rsidRDefault="00463E0F" w:rsidP="00463E0F">
      <w:pPr>
        <w:pStyle w:val="21"/>
        <w:spacing w:line="560" w:lineRule="exact"/>
        <w:ind w:leftChars="0" w:left="0" w:firstLineChars="0" w:firstLine="0"/>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（三）加快教育信息化2.0建设，教育信息化取得新突破。</w:t>
      </w:r>
      <w:r>
        <w:rPr>
          <w:rFonts w:ascii="仿宋_GB2312" w:eastAsia="仿宋_GB2312" w:hAnsi="仿宋_GB2312" w:cs="仿宋_GB2312" w:hint="eastAsia"/>
          <w:color w:val="000000"/>
          <w:sz w:val="32"/>
          <w:szCs w:val="32"/>
        </w:rPr>
        <w:t>2021年7月，攀枝花市人民政府办公室正式印发《攀枝花市教育信息化2.0行动计划实施方案》，明确我市教育信息化2.0行动计划指导思想、建设原则、建设内容、推进策略、</w:t>
      </w:r>
      <w:r>
        <w:rPr>
          <w:rFonts w:ascii="仿宋_GB2312" w:eastAsia="仿宋_GB2312" w:hAnsi="仿宋_GB2312" w:cs="仿宋_GB2312" w:hint="eastAsia"/>
          <w:color w:val="000000"/>
          <w:sz w:val="32"/>
          <w:szCs w:val="32"/>
        </w:rPr>
        <w:lastRenderedPageBreak/>
        <w:t>资金投入、保证措施等内容。召开全市教育信息化推进工作会，全面安排部署各级教育行政部门和各类学校教育信息化2.0建设任务和要求。编制并印发《攀枝花市教育信息化2.0软件项目建设指南》，为全市各单位教育信息化2.0软件项目建设提供参考和指导。极将教育信息化2.0建设融入攀西基础教育大数据中心、区域教育资源中心、区域优质教育中心等改革试点项目中。启动全市教育信息化2.0软件项目一期工程建设，开展四川省中小学教师信息技术应用能力提升工程2.0项目省级“样板校”和市级“试点校”的培训，依托“四川云教”探索资源共享新模式，组织开展了全市第二届中小学创新课堂教学展评活动，以活动为载体，为全市教师利用信息技术创新传统课堂提供了展示和交流的舞台，推动信息技术与教育教学的融合应用。</w:t>
      </w:r>
    </w:p>
    <w:p w:rsidR="00463E0F" w:rsidRDefault="00463E0F" w:rsidP="00463E0F">
      <w:pPr>
        <w:pStyle w:val="21"/>
        <w:ind w:leftChars="0" w:left="0" w:firstLineChars="0" w:firstLine="0"/>
        <w:rPr>
          <w:rFonts w:ascii="黑体" w:eastAsia="黑体" w:hAnsi="黑体" w:cs="仿宋_GB2312"/>
          <w:color w:val="000000"/>
          <w:sz w:val="32"/>
          <w:szCs w:val="32"/>
        </w:rPr>
      </w:pPr>
      <w:r>
        <w:rPr>
          <w:rFonts w:ascii="楷体_GB2312" w:eastAsia="楷体_GB2312" w:hAnsi="楷体_GB2312" w:cs="楷体_GB2312" w:hint="eastAsia"/>
          <w:b/>
          <w:bCs/>
          <w:color w:val="000000"/>
          <w:sz w:val="32"/>
          <w:szCs w:val="32"/>
        </w:rPr>
        <w:t>（四）贯彻落实教育技术装备新标准，大力推动教育技术装备优质均衡发展。</w:t>
      </w:r>
      <w:r>
        <w:rPr>
          <w:rFonts w:ascii="仿宋_GB2312" w:eastAsia="仿宋_GB2312" w:hAnsi="仿宋_GB2312" w:cs="仿宋_GB2312" w:hint="eastAsia"/>
          <w:color w:val="000000"/>
          <w:sz w:val="32"/>
          <w:szCs w:val="32"/>
        </w:rPr>
        <w:t>积极宣传并贯彻落实《四川省中小学教育技术装备标准（试行）》，做好了相关缺口数据的统计，制定工作计划和实施方案，分年度开展学科专用教室建设和教学仪器设备配齐、配足工作。根据《四川省义务教育优质均衡发展县（市、区）创建工作方案》，下发文件要求各县（区）及学校做好建设规划，有计划、有目标逐步推动我市教育技术装备优质均衡发展，不断满足教育教学工作需要和社会对优质教育资源的需求，努力实现2025年攀枝花市全域义务教育优质均衡发展；</w:t>
      </w:r>
      <w:r>
        <w:rPr>
          <w:rFonts w:ascii="仿宋_GB2312" w:eastAsia="仿宋_GB2312" w:hAnsi="仿宋_GB2312" w:cs="仿宋_GB2312" w:hint="eastAsia"/>
          <w:bCs/>
          <w:color w:val="000000"/>
          <w:sz w:val="32"/>
          <w:szCs w:val="32"/>
        </w:rPr>
        <w:t>钒钛高新区管委会</w:t>
      </w:r>
      <w:r>
        <w:rPr>
          <w:rFonts w:ascii="仿宋_GB2312" w:eastAsia="仿宋_GB2312" w:hAnsi="仿宋_GB2312" w:cs="仿宋_GB2312" w:hint="eastAsia"/>
          <w:color w:val="000000"/>
          <w:sz w:val="32"/>
          <w:szCs w:val="32"/>
        </w:rPr>
        <w:t>高度重视，对金江中</w:t>
      </w:r>
      <w:r>
        <w:rPr>
          <w:rFonts w:ascii="仿宋_GB2312" w:eastAsia="仿宋_GB2312" w:hAnsi="仿宋_GB2312" w:cs="仿宋_GB2312" w:hint="eastAsia"/>
          <w:color w:val="000000"/>
          <w:sz w:val="32"/>
          <w:szCs w:val="32"/>
        </w:rPr>
        <w:lastRenderedPageBreak/>
        <w:t>小学、江林小学功能室及教室进行整体规划、整体改造，金江中小学使用中的教室、功能室、办公室、图书室、会议室等健康护眼照明改造预算为人民币陆拾壹万元（61万元）；江林小学教室、功能室、办公室、图书室、会议室健</w:t>
      </w:r>
      <w:r>
        <w:rPr>
          <w:rFonts w:ascii="仿宋_GB2312" w:eastAsia="仿宋_GB2312" w:hAnsi="宋体" w:cs="仿宋_GB2312" w:hint="eastAsia"/>
          <w:color w:val="000000"/>
          <w:sz w:val="32"/>
          <w:szCs w:val="32"/>
        </w:rPr>
        <w:t>康护眼照明改造预算为人民币贰拾伍万元（25万元），两所学校健康护眼照明改造初步预算资金86万元整。</w:t>
      </w:r>
    </w:p>
    <w:p w:rsidR="00AB5D39" w:rsidRDefault="00AB5D39" w:rsidP="00AB5D39">
      <w:pPr>
        <w:snapToGrid w:val="0"/>
        <w:spacing w:line="520" w:lineRule="exact"/>
        <w:rPr>
          <w:rFonts w:ascii="黑体" w:eastAsia="黑体" w:hAnsi="黑体" w:hint="eastAsia"/>
          <w:sz w:val="32"/>
          <w:szCs w:val="32"/>
        </w:rPr>
      </w:pPr>
    </w:p>
    <w:p w:rsidR="00AB5D39" w:rsidRDefault="00AB5D39" w:rsidP="00AB5D39">
      <w:pPr>
        <w:snapToGrid w:val="0"/>
        <w:spacing w:line="520" w:lineRule="exact"/>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、机构设置</w:t>
      </w:r>
    </w:p>
    <w:p w:rsidR="00AB5D39" w:rsidRDefault="00AB5D39" w:rsidP="00AB5D39">
      <w:pPr>
        <w:snapToGrid w:val="0"/>
        <w:spacing w:line="520" w:lineRule="exact"/>
        <w:ind w:firstLineChars="200" w:firstLine="640"/>
        <w:rPr>
          <w:rFonts w:ascii="仿宋" w:eastAsia="仿宋" w:hAnsi="仿宋"/>
          <w:sz w:val="32"/>
          <w:szCs w:val="32"/>
        </w:rPr>
      </w:pPr>
    </w:p>
    <w:p w:rsidR="00AB5D39" w:rsidRDefault="00AB5D39" w:rsidP="00AB5D39">
      <w:pPr>
        <w:snapToGrid w:val="0"/>
        <w:spacing w:line="520" w:lineRule="exact"/>
        <w:ind w:firstLineChars="200" w:firstLine="640"/>
        <w:rPr>
          <w:rFonts w:ascii="黑体" w:eastAsia="黑体" w:hAnsi="黑体"/>
        </w:rPr>
      </w:pPr>
      <w:r>
        <w:rPr>
          <w:rFonts w:ascii="仿宋" w:eastAsia="仿宋" w:hAnsi="仿宋" w:hint="eastAsia"/>
          <w:sz w:val="32"/>
          <w:szCs w:val="32"/>
        </w:rPr>
        <w:t>攀枝花市电化教育（技术装备）中心</w:t>
      </w:r>
      <w:r>
        <w:rPr>
          <w:rFonts w:ascii="仿宋" w:eastAsia="仿宋" w:hAnsi="仿宋" w:hint="eastAsia"/>
          <w:color w:val="000000"/>
          <w:sz w:val="32"/>
          <w:szCs w:val="32"/>
        </w:rPr>
        <w:t>下属二级单位0个，其中行政单位0个，参照公务员法管理的事业单位0个，其他事业单位0个。</w:t>
      </w:r>
    </w:p>
    <w:p w:rsidR="00F60C31" w:rsidRDefault="00C93128">
      <w:pPr>
        <w:widowControl/>
        <w:jc w:val="left"/>
        <w:rPr>
          <w:rFonts w:ascii="仿宋" w:eastAsia="仿宋" w:hAnsi="仿宋"/>
          <w:kern w:val="0"/>
          <w:sz w:val="32"/>
          <w:szCs w:val="32"/>
        </w:rPr>
      </w:pPr>
      <w:r>
        <w:rPr>
          <w:rFonts w:ascii="仿宋" w:eastAsia="仿宋" w:hAnsi="仿宋"/>
          <w:sz w:val="32"/>
          <w:szCs w:val="32"/>
        </w:rPr>
        <w:br w:type="page"/>
      </w:r>
    </w:p>
    <w:p w:rsidR="00F60C31" w:rsidRDefault="00C93128">
      <w:pPr>
        <w:pStyle w:val="1"/>
        <w:ind w:right="440"/>
        <w:jc w:val="center"/>
        <w:rPr>
          <w:rStyle w:val="1Char"/>
          <w:rFonts w:ascii="黑体" w:eastAsia="黑体" w:hAnsi="黑体"/>
          <w:bCs/>
        </w:rPr>
      </w:pPr>
      <w:bookmarkStart w:id="17" w:name="_Toc15396602"/>
      <w:bookmarkStart w:id="18" w:name="_Toc1537720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7"/>
      <w:bookmarkEnd w:id="18"/>
    </w:p>
    <w:p w:rsidR="00F60C31" w:rsidRDefault="00F60C31"/>
    <w:p w:rsidR="00F60C31" w:rsidRDefault="00C93128">
      <w:pPr>
        <w:pStyle w:val="a9"/>
        <w:numPr>
          <w:ilvl w:val="0"/>
          <w:numId w:val="1"/>
        </w:numPr>
        <w:spacing w:line="600" w:lineRule="exact"/>
        <w:ind w:firstLineChars="0"/>
        <w:outlineLvl w:val="1"/>
        <w:rPr>
          <w:rStyle w:val="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223158" w:rsidRPr="005D3606" w:rsidRDefault="00AA0EB2" w:rsidP="00AA0EB2">
      <w:pPr>
        <w:spacing w:line="600" w:lineRule="exact"/>
        <w:ind w:firstLineChars="200" w:firstLine="640"/>
        <w:rPr>
          <w:rFonts w:ascii="仿宋" w:eastAsia="仿宋" w:hAnsi="仿宋"/>
          <w:color w:val="000000"/>
          <w:sz w:val="32"/>
          <w:szCs w:val="32"/>
        </w:rPr>
      </w:pPr>
      <w:r w:rsidRPr="00AA0EB2">
        <w:rPr>
          <w:rFonts w:ascii="仿宋" w:eastAsia="仿宋" w:hAnsi="仿宋" w:hint="eastAsia"/>
          <w:sz w:val="32"/>
          <w:szCs w:val="32"/>
        </w:rPr>
        <w:t>2021年度收</w:t>
      </w:r>
      <w:r>
        <w:rPr>
          <w:rFonts w:ascii="仿宋" w:eastAsia="仿宋" w:hAnsi="仿宋" w:hint="eastAsia"/>
          <w:sz w:val="32"/>
          <w:szCs w:val="32"/>
        </w:rPr>
        <w:t>、</w:t>
      </w:r>
      <w:r w:rsidRPr="00AA0EB2">
        <w:rPr>
          <w:rFonts w:ascii="仿宋" w:eastAsia="仿宋" w:hAnsi="仿宋" w:hint="eastAsia"/>
          <w:sz w:val="32"/>
          <w:szCs w:val="32"/>
        </w:rPr>
        <w:t>支出总计359.57万元</w:t>
      </w:r>
      <w:r w:rsidR="00C93128">
        <w:rPr>
          <w:rFonts w:ascii="仿宋" w:eastAsia="仿宋" w:hAnsi="仿宋" w:hint="eastAsia"/>
          <w:sz w:val="32"/>
          <w:szCs w:val="32"/>
        </w:rPr>
        <w:t>。</w:t>
      </w:r>
      <w:r w:rsidR="00463E0F">
        <w:rPr>
          <w:rFonts w:ascii="仿宋_GB2312" w:eastAsia="仿宋_GB2312" w:hAnsi="仿宋" w:hint="eastAsia"/>
          <w:sz w:val="32"/>
          <w:szCs w:val="32"/>
        </w:rPr>
        <w:t>其中本年收入354.65万元，上年结转4.92万元。</w:t>
      </w:r>
      <w:r w:rsidR="00C93128">
        <w:rPr>
          <w:rFonts w:ascii="仿宋" w:eastAsia="仿宋" w:hAnsi="仿宋" w:hint="eastAsia"/>
          <w:sz w:val="32"/>
          <w:szCs w:val="32"/>
        </w:rPr>
        <w:t>与2020年相比，收</w:t>
      </w:r>
      <w:r w:rsidR="0019630D">
        <w:rPr>
          <w:rFonts w:ascii="仿宋" w:eastAsia="仿宋" w:hAnsi="仿宋" w:hint="eastAsia"/>
          <w:sz w:val="32"/>
          <w:szCs w:val="32"/>
        </w:rPr>
        <w:t>入减少81.62万元</w:t>
      </w:r>
      <w:r w:rsidR="00C93128">
        <w:rPr>
          <w:rFonts w:ascii="仿宋" w:eastAsia="仿宋" w:hAnsi="仿宋" w:hint="eastAsia"/>
          <w:sz w:val="32"/>
          <w:szCs w:val="32"/>
        </w:rPr>
        <w:t>、</w:t>
      </w:r>
      <w:r w:rsidR="0019630D">
        <w:rPr>
          <w:rFonts w:ascii="仿宋" w:eastAsia="仿宋" w:hAnsi="仿宋" w:hint="eastAsia"/>
          <w:sz w:val="32"/>
          <w:szCs w:val="32"/>
        </w:rPr>
        <w:t>收入下降22.7%，</w:t>
      </w:r>
      <w:r w:rsidR="00C93128">
        <w:rPr>
          <w:rFonts w:ascii="仿宋" w:eastAsia="仿宋" w:hAnsi="仿宋" w:hint="eastAsia"/>
          <w:sz w:val="32"/>
          <w:szCs w:val="32"/>
        </w:rPr>
        <w:t>支</w:t>
      </w:r>
      <w:r w:rsidR="0019630D">
        <w:rPr>
          <w:rFonts w:ascii="仿宋" w:eastAsia="仿宋" w:hAnsi="仿宋" w:hint="eastAsia"/>
          <w:sz w:val="32"/>
          <w:szCs w:val="32"/>
        </w:rPr>
        <w:t>出</w:t>
      </w:r>
      <w:r w:rsidR="00C93128">
        <w:rPr>
          <w:rFonts w:ascii="仿宋" w:eastAsia="仿宋" w:hAnsi="仿宋" w:hint="eastAsia"/>
          <w:sz w:val="32"/>
          <w:szCs w:val="32"/>
        </w:rPr>
        <w:t>减少</w:t>
      </w:r>
      <w:r w:rsidR="0019630D">
        <w:rPr>
          <w:rFonts w:ascii="仿宋" w:eastAsia="仿宋" w:hAnsi="仿宋" w:hint="eastAsia"/>
          <w:sz w:val="32"/>
          <w:szCs w:val="32"/>
        </w:rPr>
        <w:t>69.51</w:t>
      </w:r>
      <w:r w:rsidR="00C93128">
        <w:rPr>
          <w:rFonts w:ascii="仿宋" w:eastAsia="仿宋" w:hAnsi="仿宋" w:hint="eastAsia"/>
          <w:sz w:val="32"/>
          <w:szCs w:val="32"/>
        </w:rPr>
        <w:t>万元</w:t>
      </w:r>
      <w:r w:rsidR="0019630D">
        <w:rPr>
          <w:rFonts w:ascii="仿宋" w:eastAsia="仿宋" w:hAnsi="仿宋" w:hint="eastAsia"/>
          <w:sz w:val="32"/>
          <w:szCs w:val="32"/>
        </w:rPr>
        <w:t>，支出下降19.33</w:t>
      </w:r>
      <w:r w:rsidR="00C93128">
        <w:rPr>
          <w:rFonts w:ascii="仿宋" w:eastAsia="仿宋" w:hAnsi="仿宋"/>
          <w:sz w:val="32"/>
          <w:szCs w:val="32"/>
        </w:rPr>
        <w:t>%</w:t>
      </w:r>
      <w:r w:rsidR="00C93128">
        <w:rPr>
          <w:rFonts w:ascii="仿宋" w:eastAsia="仿宋" w:hAnsi="仿宋" w:hint="eastAsia"/>
          <w:sz w:val="32"/>
          <w:szCs w:val="32"/>
        </w:rPr>
        <w:t>。</w:t>
      </w:r>
      <w:r w:rsidR="00692E3F">
        <w:rPr>
          <w:rFonts w:ascii="仿宋" w:eastAsia="仿宋" w:hAnsi="仿宋" w:hint="eastAsia"/>
          <w:sz w:val="32"/>
          <w:szCs w:val="32"/>
        </w:rPr>
        <w:t>主要变动原因是</w:t>
      </w:r>
      <w:r w:rsidR="00692E3F">
        <w:rPr>
          <w:rFonts w:ascii="仿宋" w:eastAsia="仿宋" w:hAnsi="仿宋" w:hint="eastAsia"/>
          <w:color w:val="000000"/>
          <w:sz w:val="32"/>
          <w:szCs w:val="32"/>
        </w:rPr>
        <w:t>因疫情影响，财政经济压力大，部分教体系统信息技术、学校标准化建设比赛受到影响，经费使用减少。</w:t>
      </w:r>
    </w:p>
    <w:p w:rsidR="00D82050" w:rsidRPr="00D04F71" w:rsidRDefault="00D52CFB" w:rsidP="00A254D0">
      <w:pPr>
        <w:spacing w:line="600" w:lineRule="exact"/>
        <w:rPr>
          <w:rFonts w:ascii="仿宋" w:eastAsia="仿宋" w:hAnsi="仿宋"/>
          <w:sz w:val="32"/>
          <w:szCs w:val="32"/>
        </w:rPr>
      </w:pPr>
      <w:r>
        <w:rPr>
          <w:rFonts w:ascii="仿宋" w:eastAsia="仿宋" w:hAnsi="仿宋"/>
          <w:noProof/>
          <w:sz w:val="32"/>
          <w:szCs w:val="32"/>
        </w:rPr>
        <w:drawing>
          <wp:anchor distT="0" distB="0" distL="114300" distR="114300" simplePos="0" relativeHeight="251668480" behindDoc="1" locked="0" layoutInCell="1" allowOverlap="1" wp14:anchorId="6CEC8D7C" wp14:editId="49FCACAE">
            <wp:simplePos x="0" y="0"/>
            <wp:positionH relativeFrom="column">
              <wp:posOffset>405130</wp:posOffset>
            </wp:positionH>
            <wp:positionV relativeFrom="paragraph">
              <wp:posOffset>204470</wp:posOffset>
            </wp:positionV>
            <wp:extent cx="4577080" cy="3278505"/>
            <wp:effectExtent l="0" t="0" r="0" b="0"/>
            <wp:wrapTight wrapText="bothSides">
              <wp:wrapPolygon edited="0">
                <wp:start x="0" y="0"/>
                <wp:lineTo x="0" y="21462"/>
                <wp:lineTo x="21486" y="21462"/>
                <wp:lineTo x="21486"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7080" cy="3278505"/>
                    </a:xfrm>
                    <a:prstGeom prst="rect">
                      <a:avLst/>
                    </a:prstGeom>
                    <a:noFill/>
                  </pic:spPr>
                </pic:pic>
              </a:graphicData>
            </a:graphic>
            <wp14:sizeRelH relativeFrom="page">
              <wp14:pctWidth>0</wp14:pctWidth>
            </wp14:sizeRelH>
            <wp14:sizeRelV relativeFrom="page">
              <wp14:pctHeight>0</wp14:pctHeight>
            </wp14:sizeRelV>
          </wp:anchor>
        </w:drawing>
      </w:r>
    </w:p>
    <w:p w:rsidR="00377FC6" w:rsidRPr="00223158" w:rsidRDefault="00C93128" w:rsidP="00D04F71">
      <w:pPr>
        <w:spacing w:line="600" w:lineRule="exact"/>
        <w:ind w:firstLineChars="250" w:firstLine="80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F60C31" w:rsidRDefault="00C93128">
      <w:pPr>
        <w:pStyle w:val="a9"/>
        <w:numPr>
          <w:ilvl w:val="0"/>
          <w:numId w:val="1"/>
        </w:numPr>
        <w:spacing w:line="600" w:lineRule="exact"/>
        <w:ind w:firstLineChars="0"/>
        <w:outlineLvl w:val="1"/>
        <w:rPr>
          <w:rStyle w:val="2Char"/>
          <w:rFonts w:ascii="黑体" w:eastAsia="黑体" w:hAnsi="黑体"/>
          <w:b w:val="0"/>
        </w:rPr>
      </w:pPr>
      <w:bookmarkStart w:id="21" w:name="_Toc15396604"/>
      <w:bookmarkStart w:id="22"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D52CFB" w:rsidRDefault="00C93128" w:rsidP="00D52CFB">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sidR="00E90706">
        <w:rPr>
          <w:rFonts w:ascii="仿宋" w:eastAsia="仿宋" w:hAnsi="仿宋" w:hint="eastAsia"/>
          <w:sz w:val="32"/>
          <w:szCs w:val="32"/>
        </w:rPr>
        <w:t>359.57</w:t>
      </w:r>
      <w:r>
        <w:rPr>
          <w:rFonts w:ascii="仿宋" w:eastAsia="仿宋" w:hAnsi="仿宋" w:hint="eastAsia"/>
          <w:sz w:val="32"/>
          <w:szCs w:val="32"/>
        </w:rPr>
        <w:t>万元，其中：一般公共预</w:t>
      </w:r>
      <w:r>
        <w:rPr>
          <w:rFonts w:ascii="仿宋" w:eastAsia="仿宋" w:hAnsi="仿宋" w:hint="eastAsia"/>
          <w:sz w:val="32"/>
          <w:szCs w:val="32"/>
        </w:rPr>
        <w:lastRenderedPageBreak/>
        <w:t>算财政拨款收入</w:t>
      </w:r>
      <w:r w:rsidR="00E90706">
        <w:rPr>
          <w:rFonts w:ascii="仿宋" w:eastAsia="仿宋" w:hAnsi="仿宋" w:hint="eastAsia"/>
          <w:sz w:val="32"/>
          <w:szCs w:val="32"/>
        </w:rPr>
        <w:t>359.57</w:t>
      </w:r>
      <w:r>
        <w:rPr>
          <w:rFonts w:ascii="仿宋" w:eastAsia="仿宋" w:hAnsi="仿宋" w:hint="eastAsia"/>
          <w:sz w:val="32"/>
          <w:szCs w:val="32"/>
        </w:rPr>
        <w:t>万元，占</w:t>
      </w:r>
      <w:r w:rsidR="00E90706">
        <w:rPr>
          <w:rFonts w:ascii="仿宋" w:eastAsia="仿宋" w:hAnsi="仿宋" w:hint="eastAsia"/>
          <w:sz w:val="32"/>
          <w:szCs w:val="32"/>
        </w:rPr>
        <w:t>100</w:t>
      </w:r>
      <w:r>
        <w:rPr>
          <w:rFonts w:ascii="仿宋" w:eastAsia="仿宋" w:hAnsi="仿宋"/>
          <w:sz w:val="32"/>
          <w:szCs w:val="32"/>
        </w:rPr>
        <w:t>%</w:t>
      </w:r>
      <w:r w:rsidR="00E90706">
        <w:rPr>
          <w:rFonts w:ascii="仿宋" w:eastAsia="仿宋" w:hAnsi="仿宋" w:hint="eastAsia"/>
          <w:sz w:val="32"/>
          <w:szCs w:val="32"/>
        </w:rPr>
        <w:t>（</w:t>
      </w:r>
      <w:r w:rsidR="00E90706">
        <w:rPr>
          <w:rFonts w:ascii="仿宋_GB2312" w:eastAsia="仿宋_GB2312" w:hAnsi="仿宋" w:hint="eastAsia"/>
          <w:sz w:val="32"/>
          <w:szCs w:val="32"/>
        </w:rPr>
        <w:t>本年收入354.65万元，上年结转4.92万元</w:t>
      </w:r>
      <w:r w:rsidR="00E90706">
        <w:rPr>
          <w:rFonts w:ascii="仿宋" w:eastAsia="仿宋" w:hAnsi="仿宋" w:hint="eastAsia"/>
          <w:sz w:val="32"/>
          <w:szCs w:val="32"/>
        </w:rPr>
        <w:t>）</w:t>
      </w:r>
      <w:r>
        <w:rPr>
          <w:rFonts w:ascii="仿宋" w:eastAsia="仿宋" w:hAnsi="仿宋" w:hint="eastAsia"/>
          <w:sz w:val="32"/>
          <w:szCs w:val="32"/>
        </w:rPr>
        <w:t>；政府性基金预算财政拨款收入</w:t>
      </w:r>
      <w:r w:rsidR="00E90706">
        <w:rPr>
          <w:rFonts w:ascii="仿宋" w:eastAsia="仿宋" w:hAnsi="仿宋" w:hint="eastAsia"/>
          <w:sz w:val="32"/>
          <w:szCs w:val="32"/>
        </w:rPr>
        <w:t>0</w:t>
      </w:r>
      <w:r>
        <w:rPr>
          <w:rFonts w:ascii="仿宋" w:eastAsia="仿宋" w:hAnsi="仿宋" w:hint="eastAsia"/>
          <w:sz w:val="32"/>
          <w:szCs w:val="32"/>
        </w:rPr>
        <w:t>万元，占</w:t>
      </w:r>
      <w:r w:rsidR="00E9070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sidR="00E90706">
        <w:rPr>
          <w:rFonts w:ascii="仿宋" w:eastAsia="仿宋" w:hAnsi="仿宋" w:hint="eastAsia"/>
          <w:sz w:val="32"/>
          <w:szCs w:val="32"/>
        </w:rPr>
        <w:t>0</w:t>
      </w:r>
      <w:r>
        <w:rPr>
          <w:rFonts w:ascii="仿宋" w:eastAsia="仿宋" w:hAnsi="仿宋" w:hint="eastAsia"/>
          <w:sz w:val="32"/>
          <w:szCs w:val="32"/>
        </w:rPr>
        <w:t>万元，占</w:t>
      </w:r>
      <w:r w:rsidR="00E9070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E90706">
        <w:rPr>
          <w:rFonts w:ascii="仿宋" w:eastAsia="仿宋" w:hAnsi="仿宋" w:hint="eastAsia"/>
          <w:sz w:val="32"/>
          <w:szCs w:val="32"/>
        </w:rPr>
        <w:t>0</w:t>
      </w:r>
      <w:r>
        <w:rPr>
          <w:rFonts w:ascii="仿宋" w:eastAsia="仿宋" w:hAnsi="仿宋" w:hint="eastAsia"/>
          <w:sz w:val="32"/>
          <w:szCs w:val="32"/>
        </w:rPr>
        <w:t>万元，占</w:t>
      </w:r>
      <w:r w:rsidR="00E9070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E90706">
        <w:rPr>
          <w:rFonts w:ascii="仿宋" w:eastAsia="仿宋" w:hAnsi="仿宋" w:hint="eastAsia"/>
          <w:sz w:val="32"/>
          <w:szCs w:val="32"/>
        </w:rPr>
        <w:t>0</w:t>
      </w:r>
      <w:r>
        <w:rPr>
          <w:rFonts w:ascii="仿宋" w:eastAsia="仿宋" w:hAnsi="仿宋" w:hint="eastAsia"/>
          <w:sz w:val="32"/>
          <w:szCs w:val="32"/>
        </w:rPr>
        <w:t>万元，占</w:t>
      </w:r>
      <w:r w:rsidR="00E9070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E90706">
        <w:rPr>
          <w:rFonts w:ascii="仿宋" w:eastAsia="仿宋" w:hAnsi="仿宋" w:hint="eastAsia"/>
          <w:sz w:val="32"/>
          <w:szCs w:val="32"/>
        </w:rPr>
        <w:t>0</w:t>
      </w:r>
      <w:r>
        <w:rPr>
          <w:rFonts w:ascii="仿宋" w:eastAsia="仿宋" w:hAnsi="仿宋" w:hint="eastAsia"/>
          <w:sz w:val="32"/>
          <w:szCs w:val="32"/>
        </w:rPr>
        <w:t>万元，占</w:t>
      </w:r>
      <w:r w:rsidR="00E9070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E90706">
        <w:rPr>
          <w:rFonts w:ascii="仿宋" w:eastAsia="仿宋" w:hAnsi="仿宋" w:hint="eastAsia"/>
          <w:sz w:val="32"/>
          <w:szCs w:val="32"/>
        </w:rPr>
        <w:t>0</w:t>
      </w:r>
      <w:r>
        <w:rPr>
          <w:rFonts w:ascii="仿宋" w:eastAsia="仿宋" w:hAnsi="仿宋" w:hint="eastAsia"/>
          <w:sz w:val="32"/>
          <w:szCs w:val="32"/>
        </w:rPr>
        <w:t>万元，占</w:t>
      </w:r>
      <w:r w:rsidR="00E9070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E90706">
        <w:rPr>
          <w:rFonts w:ascii="仿宋" w:eastAsia="仿宋" w:hAnsi="仿宋" w:hint="eastAsia"/>
          <w:sz w:val="32"/>
          <w:szCs w:val="32"/>
        </w:rPr>
        <w:t>0</w:t>
      </w:r>
      <w:r>
        <w:rPr>
          <w:rFonts w:ascii="仿宋" w:eastAsia="仿宋" w:hAnsi="仿宋" w:hint="eastAsia"/>
          <w:sz w:val="32"/>
          <w:szCs w:val="32"/>
        </w:rPr>
        <w:t>万元，占</w:t>
      </w:r>
      <w:r w:rsidR="00E9070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D52CFB" w:rsidRDefault="00A254D0" w:rsidP="00D52CFB">
      <w:pPr>
        <w:pStyle w:val="a0"/>
        <w:spacing w:before="93"/>
        <w:rPr>
          <w:rFonts w:ascii="仿宋" w:eastAsia="仿宋" w:hAnsi="仿宋"/>
          <w:kern w:val="2"/>
          <w:sz w:val="32"/>
          <w:szCs w:val="32"/>
        </w:rPr>
      </w:pPr>
      <w:r>
        <w:rPr>
          <w:rFonts w:ascii="仿宋" w:eastAsia="仿宋" w:hAnsi="仿宋"/>
          <w:noProof/>
          <w:sz w:val="32"/>
          <w:szCs w:val="32"/>
        </w:rPr>
        <w:drawing>
          <wp:anchor distT="0" distB="0" distL="114300" distR="114300" simplePos="0" relativeHeight="251667456" behindDoc="1" locked="0" layoutInCell="1" allowOverlap="1" wp14:anchorId="508A694F" wp14:editId="68F6DFCD">
            <wp:simplePos x="0" y="0"/>
            <wp:positionH relativeFrom="column">
              <wp:posOffset>429895</wp:posOffset>
            </wp:positionH>
            <wp:positionV relativeFrom="paragraph">
              <wp:posOffset>94615</wp:posOffset>
            </wp:positionV>
            <wp:extent cx="4390390" cy="3031490"/>
            <wp:effectExtent l="0" t="0" r="0" b="0"/>
            <wp:wrapTight wrapText="bothSides">
              <wp:wrapPolygon edited="0">
                <wp:start x="0" y="0"/>
                <wp:lineTo x="0" y="21446"/>
                <wp:lineTo x="21463" y="21446"/>
                <wp:lineTo x="21463" y="0"/>
                <wp:lineTo x="0"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0390" cy="3031490"/>
                    </a:xfrm>
                    <a:prstGeom prst="rect">
                      <a:avLst/>
                    </a:prstGeom>
                    <a:noFill/>
                  </pic:spPr>
                </pic:pic>
              </a:graphicData>
            </a:graphic>
            <wp14:sizeRelH relativeFrom="page">
              <wp14:pctWidth>0</wp14:pctWidth>
            </wp14:sizeRelH>
            <wp14:sizeRelV relativeFrom="page">
              <wp14:pctHeight>0</wp14:pctHeight>
            </wp14:sizeRelV>
          </wp:anchor>
        </w:drawing>
      </w:r>
    </w:p>
    <w:p w:rsidR="00D52CFB" w:rsidRDefault="00D52CFB" w:rsidP="00D52CFB">
      <w:pPr>
        <w:pStyle w:val="a0"/>
        <w:spacing w:before="93"/>
        <w:rPr>
          <w:rFonts w:ascii="仿宋" w:eastAsia="仿宋" w:hAnsi="仿宋"/>
          <w:kern w:val="2"/>
          <w:sz w:val="32"/>
          <w:szCs w:val="32"/>
        </w:rPr>
      </w:pPr>
    </w:p>
    <w:p w:rsidR="00D52CFB" w:rsidRDefault="00D52CFB" w:rsidP="00D52CFB">
      <w:pPr>
        <w:pStyle w:val="a0"/>
        <w:spacing w:before="93"/>
        <w:rPr>
          <w:rFonts w:ascii="仿宋" w:eastAsia="仿宋" w:hAnsi="仿宋"/>
          <w:kern w:val="2"/>
          <w:sz w:val="32"/>
          <w:szCs w:val="32"/>
        </w:rPr>
      </w:pPr>
    </w:p>
    <w:p w:rsidR="00D52CFB" w:rsidRDefault="00D52CFB" w:rsidP="00D52CFB">
      <w:pPr>
        <w:pStyle w:val="a0"/>
        <w:spacing w:before="93"/>
        <w:rPr>
          <w:rFonts w:ascii="仿宋" w:eastAsia="仿宋" w:hAnsi="仿宋"/>
          <w:kern w:val="2"/>
          <w:sz w:val="32"/>
          <w:szCs w:val="32"/>
        </w:rPr>
      </w:pPr>
    </w:p>
    <w:p w:rsidR="00D52CFB" w:rsidRDefault="00D52CFB" w:rsidP="00D52CFB">
      <w:pPr>
        <w:pStyle w:val="a0"/>
        <w:spacing w:before="93"/>
        <w:rPr>
          <w:rFonts w:ascii="仿宋" w:eastAsia="仿宋" w:hAnsi="仿宋"/>
          <w:kern w:val="2"/>
          <w:sz w:val="32"/>
          <w:szCs w:val="32"/>
        </w:rPr>
      </w:pPr>
    </w:p>
    <w:p w:rsidR="00D52CFB" w:rsidRPr="00A254D0" w:rsidRDefault="00D52CFB" w:rsidP="00D52CFB">
      <w:pPr>
        <w:pStyle w:val="a0"/>
        <w:spacing w:before="93"/>
        <w:rPr>
          <w:rFonts w:ascii="仿宋" w:eastAsia="仿宋" w:hAnsi="仿宋"/>
          <w:kern w:val="2"/>
          <w:sz w:val="32"/>
          <w:szCs w:val="32"/>
        </w:rPr>
      </w:pPr>
    </w:p>
    <w:p w:rsidR="00F60C31" w:rsidRPr="005D3606" w:rsidRDefault="00C93128" w:rsidP="00D52CFB">
      <w:pPr>
        <w:pStyle w:val="a0"/>
        <w:spacing w:before="93"/>
        <w:jc w:val="center"/>
      </w:pPr>
      <w:r>
        <w:rPr>
          <w:rFonts w:ascii="仿宋" w:eastAsia="仿宋" w:hAnsi="仿宋" w:hint="eastAsia"/>
          <w:sz w:val="32"/>
          <w:szCs w:val="32"/>
        </w:rPr>
        <w:t>（图2：收入决算结构图）（饼状图）</w:t>
      </w:r>
    </w:p>
    <w:p w:rsidR="00F60C31" w:rsidRDefault="00C93128">
      <w:pPr>
        <w:pStyle w:val="a9"/>
        <w:numPr>
          <w:ilvl w:val="0"/>
          <w:numId w:val="1"/>
        </w:numPr>
        <w:spacing w:line="600" w:lineRule="exact"/>
        <w:ind w:firstLineChars="0"/>
        <w:outlineLvl w:val="1"/>
        <w:rPr>
          <w:rStyle w:val="2Char"/>
          <w:rFonts w:ascii="黑体" w:eastAsia="黑体" w:hAnsi="黑体"/>
          <w:b w:val="0"/>
        </w:rPr>
      </w:pPr>
      <w:bookmarkStart w:id="23" w:name="_Toc15396605"/>
      <w:bookmarkStart w:id="24"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F60C31" w:rsidRPr="00D52CFB" w:rsidRDefault="00C93128" w:rsidP="00D52CFB">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w:t>
      </w:r>
      <w:r w:rsidR="00E2274B">
        <w:rPr>
          <w:rFonts w:ascii="仿宋" w:eastAsia="仿宋" w:hAnsi="仿宋" w:hint="eastAsia"/>
          <w:sz w:val="32"/>
          <w:szCs w:val="32"/>
        </w:rPr>
        <w:t>359.57</w:t>
      </w:r>
      <w:r>
        <w:rPr>
          <w:rFonts w:ascii="仿宋" w:eastAsia="仿宋" w:hAnsi="仿宋" w:hint="eastAsia"/>
          <w:sz w:val="32"/>
          <w:szCs w:val="32"/>
        </w:rPr>
        <w:t>万元，</w:t>
      </w:r>
      <w:r w:rsidR="00E2274B">
        <w:rPr>
          <w:rFonts w:ascii="仿宋_GB2312" w:eastAsia="仿宋_GB2312" w:hAnsi="仿宋" w:hint="eastAsia"/>
          <w:sz w:val="32"/>
          <w:szCs w:val="32"/>
        </w:rPr>
        <w:t>含上年结转4.92万元。</w:t>
      </w:r>
      <w:r>
        <w:rPr>
          <w:rFonts w:ascii="仿宋" w:eastAsia="仿宋" w:hAnsi="仿宋" w:hint="eastAsia"/>
          <w:sz w:val="32"/>
          <w:szCs w:val="32"/>
        </w:rPr>
        <w:t>其中：基本支出</w:t>
      </w:r>
      <w:r w:rsidR="00E2274B">
        <w:rPr>
          <w:rFonts w:ascii="仿宋" w:eastAsia="仿宋" w:hAnsi="仿宋" w:hint="eastAsia"/>
          <w:sz w:val="32"/>
          <w:szCs w:val="32"/>
        </w:rPr>
        <w:t>329.21</w:t>
      </w:r>
      <w:r>
        <w:rPr>
          <w:rFonts w:ascii="仿宋" w:eastAsia="仿宋" w:hAnsi="仿宋" w:hint="eastAsia"/>
          <w:sz w:val="32"/>
          <w:szCs w:val="32"/>
        </w:rPr>
        <w:t>万元，占</w:t>
      </w:r>
      <w:r w:rsidR="00E2274B">
        <w:rPr>
          <w:rFonts w:ascii="仿宋" w:eastAsia="仿宋" w:hAnsi="仿宋" w:hint="eastAsia"/>
          <w:sz w:val="32"/>
          <w:szCs w:val="32"/>
        </w:rPr>
        <w:t>91.55</w:t>
      </w:r>
      <w:r>
        <w:rPr>
          <w:rFonts w:ascii="仿宋" w:eastAsia="仿宋" w:hAnsi="仿宋"/>
          <w:sz w:val="32"/>
          <w:szCs w:val="32"/>
        </w:rPr>
        <w:t>%</w:t>
      </w:r>
      <w:r>
        <w:rPr>
          <w:rFonts w:ascii="仿宋" w:eastAsia="仿宋" w:hAnsi="仿宋" w:hint="eastAsia"/>
          <w:sz w:val="32"/>
          <w:szCs w:val="32"/>
        </w:rPr>
        <w:t>；项目支出</w:t>
      </w:r>
      <w:r w:rsidR="00E2274B">
        <w:rPr>
          <w:rFonts w:ascii="仿宋" w:eastAsia="仿宋" w:hAnsi="仿宋" w:hint="eastAsia"/>
          <w:sz w:val="32"/>
          <w:szCs w:val="32"/>
        </w:rPr>
        <w:t>30.36</w:t>
      </w:r>
      <w:r>
        <w:rPr>
          <w:rFonts w:ascii="仿宋" w:eastAsia="仿宋" w:hAnsi="仿宋" w:hint="eastAsia"/>
          <w:sz w:val="32"/>
          <w:szCs w:val="32"/>
        </w:rPr>
        <w:t>万元，占</w:t>
      </w:r>
      <w:r w:rsidR="00E2274B">
        <w:rPr>
          <w:rFonts w:ascii="仿宋" w:eastAsia="仿宋" w:hAnsi="仿宋" w:hint="eastAsia"/>
          <w:sz w:val="32"/>
          <w:szCs w:val="32"/>
        </w:rPr>
        <w:t>8.45</w:t>
      </w:r>
      <w:r>
        <w:rPr>
          <w:rFonts w:ascii="仿宋" w:eastAsia="仿宋" w:hAnsi="仿宋"/>
          <w:sz w:val="32"/>
          <w:szCs w:val="32"/>
        </w:rPr>
        <w:t>%</w:t>
      </w:r>
      <w:r>
        <w:rPr>
          <w:rFonts w:ascii="仿宋" w:eastAsia="仿宋" w:hAnsi="仿宋" w:hint="eastAsia"/>
          <w:sz w:val="32"/>
          <w:szCs w:val="32"/>
        </w:rPr>
        <w:t>；上缴上级支出</w:t>
      </w:r>
      <w:r w:rsidR="00E2274B">
        <w:rPr>
          <w:rFonts w:ascii="仿宋" w:eastAsia="仿宋" w:hAnsi="仿宋" w:hint="eastAsia"/>
          <w:sz w:val="32"/>
          <w:szCs w:val="32"/>
        </w:rPr>
        <w:t>0</w:t>
      </w:r>
      <w:r>
        <w:rPr>
          <w:rFonts w:ascii="仿宋" w:eastAsia="仿宋" w:hAnsi="仿宋" w:hint="eastAsia"/>
          <w:sz w:val="32"/>
          <w:szCs w:val="32"/>
        </w:rPr>
        <w:t>万元，占</w:t>
      </w:r>
      <w:r w:rsidR="00E2274B">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E2274B">
        <w:rPr>
          <w:rFonts w:ascii="仿宋" w:eastAsia="仿宋" w:hAnsi="仿宋" w:hint="eastAsia"/>
          <w:sz w:val="32"/>
          <w:szCs w:val="32"/>
        </w:rPr>
        <w:t>0</w:t>
      </w:r>
      <w:r>
        <w:rPr>
          <w:rFonts w:ascii="仿宋" w:eastAsia="仿宋" w:hAnsi="仿宋" w:hint="eastAsia"/>
          <w:sz w:val="32"/>
          <w:szCs w:val="32"/>
        </w:rPr>
        <w:t>万元，占</w:t>
      </w:r>
      <w:r w:rsidR="00E2274B">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E2274B">
        <w:rPr>
          <w:rFonts w:ascii="仿宋" w:eastAsia="仿宋" w:hAnsi="仿宋" w:hint="eastAsia"/>
          <w:sz w:val="32"/>
          <w:szCs w:val="32"/>
        </w:rPr>
        <w:t>0</w:t>
      </w:r>
      <w:r>
        <w:rPr>
          <w:rFonts w:ascii="仿宋" w:eastAsia="仿宋" w:hAnsi="仿宋" w:hint="eastAsia"/>
          <w:sz w:val="32"/>
          <w:szCs w:val="32"/>
        </w:rPr>
        <w:t>万元，占</w:t>
      </w:r>
      <w:r w:rsidR="00E2274B">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6320D7" w:rsidRPr="006320D7" w:rsidRDefault="00D52CFB" w:rsidP="006320D7">
      <w:pPr>
        <w:pStyle w:val="a0"/>
        <w:spacing w:before="93"/>
      </w:pPr>
      <w:r>
        <w:rPr>
          <w:noProof/>
        </w:rPr>
        <w:lastRenderedPageBreak/>
        <w:drawing>
          <wp:anchor distT="0" distB="0" distL="114300" distR="114300" simplePos="0" relativeHeight="251669504" behindDoc="1" locked="0" layoutInCell="1" allowOverlap="1">
            <wp:simplePos x="0" y="0"/>
            <wp:positionH relativeFrom="column">
              <wp:posOffset>347980</wp:posOffset>
            </wp:positionH>
            <wp:positionV relativeFrom="paragraph">
              <wp:posOffset>-49530</wp:posOffset>
            </wp:positionV>
            <wp:extent cx="4620895" cy="2685415"/>
            <wp:effectExtent l="0" t="0" r="8255" b="635"/>
            <wp:wrapTight wrapText="bothSides">
              <wp:wrapPolygon edited="0">
                <wp:start x="0" y="0"/>
                <wp:lineTo x="0" y="21452"/>
                <wp:lineTo x="21550" y="21452"/>
                <wp:lineTo x="21550"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0895" cy="2685415"/>
                    </a:xfrm>
                    <a:prstGeom prst="rect">
                      <a:avLst/>
                    </a:prstGeom>
                    <a:noFill/>
                  </pic:spPr>
                </pic:pic>
              </a:graphicData>
            </a:graphic>
            <wp14:sizeRelH relativeFrom="page">
              <wp14:pctWidth>0</wp14:pctWidth>
            </wp14:sizeRelH>
            <wp14:sizeRelV relativeFrom="page">
              <wp14:pctHeight>0</wp14:pctHeight>
            </wp14:sizeRelV>
          </wp:anchor>
        </w:drawing>
      </w:r>
    </w:p>
    <w:p w:rsidR="00F60C31" w:rsidRPr="006320D7" w:rsidRDefault="00C93128" w:rsidP="005D3606">
      <w:pPr>
        <w:spacing w:line="600" w:lineRule="exact"/>
        <w:ind w:firstLineChars="500" w:firstLine="1600"/>
        <w:rPr>
          <w:rFonts w:ascii="仿宋" w:eastAsia="仿宋" w:hAnsi="仿宋"/>
          <w:sz w:val="32"/>
          <w:szCs w:val="32"/>
        </w:rPr>
      </w:pPr>
      <w:r>
        <w:rPr>
          <w:rFonts w:ascii="仿宋" w:eastAsia="仿宋" w:hAnsi="仿宋" w:hint="eastAsia"/>
          <w:sz w:val="32"/>
          <w:szCs w:val="32"/>
        </w:rPr>
        <w:t>（图3：支出决算结构图）（饼状图）</w:t>
      </w:r>
    </w:p>
    <w:p w:rsidR="00F60C31" w:rsidRDefault="00C93128">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5"/>
      <w:bookmarkEnd w:id="26"/>
    </w:p>
    <w:p w:rsidR="006320D7" w:rsidRPr="00D52CFB" w:rsidRDefault="00D52CFB" w:rsidP="00D52CFB">
      <w:pPr>
        <w:spacing w:line="600" w:lineRule="exact"/>
        <w:ind w:firstLine="640"/>
        <w:rPr>
          <w:rFonts w:ascii="仿宋" w:eastAsia="仿宋" w:hAnsi="仿宋"/>
          <w:color w:val="000000"/>
          <w:sz w:val="32"/>
          <w:szCs w:val="32"/>
        </w:rPr>
      </w:pPr>
      <w:r>
        <w:rPr>
          <w:rFonts w:ascii="仿宋" w:eastAsia="仿宋" w:hAnsi="仿宋"/>
          <w:noProof/>
          <w:sz w:val="32"/>
          <w:szCs w:val="32"/>
        </w:rPr>
        <w:drawing>
          <wp:anchor distT="0" distB="0" distL="114300" distR="114300" simplePos="0" relativeHeight="251666432" behindDoc="1" locked="0" layoutInCell="1" allowOverlap="1" wp14:anchorId="50A1CF79" wp14:editId="6AA12893">
            <wp:simplePos x="0" y="0"/>
            <wp:positionH relativeFrom="column">
              <wp:posOffset>545465</wp:posOffset>
            </wp:positionH>
            <wp:positionV relativeFrom="paragraph">
              <wp:posOffset>2369820</wp:posOffset>
            </wp:positionV>
            <wp:extent cx="4299585" cy="2561590"/>
            <wp:effectExtent l="0" t="0" r="5715" b="0"/>
            <wp:wrapTight wrapText="bothSides">
              <wp:wrapPolygon edited="0">
                <wp:start x="0" y="0"/>
                <wp:lineTo x="0" y="21364"/>
                <wp:lineTo x="21533" y="21364"/>
                <wp:lineTo x="21533"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9585" cy="2561590"/>
                    </a:xfrm>
                    <a:prstGeom prst="rect">
                      <a:avLst/>
                    </a:prstGeom>
                    <a:noFill/>
                  </pic:spPr>
                </pic:pic>
              </a:graphicData>
            </a:graphic>
            <wp14:sizeRelH relativeFrom="page">
              <wp14:pctWidth>0</wp14:pctWidth>
            </wp14:sizeRelH>
            <wp14:sizeRelV relativeFrom="page">
              <wp14:pctHeight>0</wp14:pctHeight>
            </wp14:sizeRelV>
          </wp:anchor>
        </w:drawing>
      </w:r>
      <w:r w:rsidR="00D04F71">
        <w:rPr>
          <w:rFonts w:ascii="仿宋" w:eastAsia="仿宋" w:hAnsi="仿宋" w:hint="eastAsia"/>
          <w:sz w:val="32"/>
          <w:szCs w:val="32"/>
        </w:rPr>
        <w:t>2021</w:t>
      </w:r>
      <w:r w:rsidR="00AA0EB2">
        <w:rPr>
          <w:rFonts w:ascii="仿宋" w:eastAsia="仿宋" w:hAnsi="仿宋" w:hint="eastAsia"/>
          <w:sz w:val="32"/>
          <w:szCs w:val="32"/>
        </w:rPr>
        <w:t>年度财政拨款收、支</w:t>
      </w:r>
      <w:r w:rsidR="00D04F71">
        <w:rPr>
          <w:rFonts w:ascii="仿宋" w:eastAsia="仿宋" w:hAnsi="仿宋" w:hint="eastAsia"/>
          <w:sz w:val="32"/>
          <w:szCs w:val="32"/>
        </w:rPr>
        <w:t>总计359.57万元。</w:t>
      </w:r>
      <w:r w:rsidR="00D04F71">
        <w:rPr>
          <w:rFonts w:ascii="仿宋_GB2312" w:eastAsia="仿宋_GB2312" w:hAnsi="仿宋" w:hint="eastAsia"/>
          <w:sz w:val="32"/>
          <w:szCs w:val="32"/>
        </w:rPr>
        <w:t>其中本年收入354.65万元，上年结转4.92万元。</w:t>
      </w:r>
      <w:r w:rsidR="00D04F71">
        <w:rPr>
          <w:rFonts w:ascii="仿宋" w:eastAsia="仿宋" w:hAnsi="仿宋" w:hint="eastAsia"/>
          <w:sz w:val="32"/>
          <w:szCs w:val="32"/>
        </w:rPr>
        <w:t>与2020年相比，收入减少81.62万元、收入下降22.7%，支出减少69.51万元，支出下降19.33</w:t>
      </w:r>
      <w:r w:rsidR="00D04F71">
        <w:rPr>
          <w:rFonts w:ascii="仿宋" w:eastAsia="仿宋" w:hAnsi="仿宋"/>
          <w:sz w:val="32"/>
          <w:szCs w:val="32"/>
        </w:rPr>
        <w:t>%</w:t>
      </w:r>
      <w:r w:rsidR="00D04F71">
        <w:rPr>
          <w:rFonts w:ascii="仿宋" w:eastAsia="仿宋" w:hAnsi="仿宋" w:hint="eastAsia"/>
          <w:sz w:val="32"/>
          <w:szCs w:val="32"/>
        </w:rPr>
        <w:t>。</w:t>
      </w:r>
      <w:r w:rsidR="00C93128">
        <w:rPr>
          <w:rFonts w:ascii="仿宋" w:eastAsia="仿宋" w:hAnsi="仿宋" w:hint="eastAsia"/>
          <w:sz w:val="32"/>
          <w:szCs w:val="32"/>
        </w:rPr>
        <w:t>主要变动原因是</w:t>
      </w:r>
      <w:r w:rsidR="000F6950">
        <w:rPr>
          <w:rFonts w:ascii="仿宋" w:eastAsia="仿宋" w:hAnsi="仿宋" w:hint="eastAsia"/>
          <w:color w:val="000000"/>
          <w:sz w:val="32"/>
          <w:szCs w:val="32"/>
        </w:rPr>
        <w:t>因疫情影响，</w:t>
      </w:r>
      <w:r w:rsidR="00692E3F">
        <w:rPr>
          <w:rFonts w:ascii="仿宋" w:eastAsia="仿宋" w:hAnsi="仿宋" w:hint="eastAsia"/>
          <w:color w:val="000000"/>
          <w:sz w:val="32"/>
          <w:szCs w:val="32"/>
        </w:rPr>
        <w:t>财政经济压力大，</w:t>
      </w:r>
      <w:r w:rsidR="000F6950">
        <w:rPr>
          <w:rFonts w:ascii="仿宋" w:eastAsia="仿宋" w:hAnsi="仿宋" w:hint="eastAsia"/>
          <w:color w:val="000000"/>
          <w:sz w:val="32"/>
          <w:szCs w:val="32"/>
        </w:rPr>
        <w:t>部分教体系统信息技术、学校标准化建设比赛受到影响，经费使用减少</w:t>
      </w:r>
      <w:r w:rsidR="000764DA">
        <w:rPr>
          <w:rFonts w:ascii="仿宋" w:eastAsia="仿宋" w:hAnsi="仿宋" w:hint="eastAsia"/>
          <w:color w:val="000000"/>
          <w:sz w:val="32"/>
          <w:szCs w:val="32"/>
        </w:rPr>
        <w:t>。</w:t>
      </w:r>
    </w:p>
    <w:p w:rsidR="00F60C31" w:rsidRPr="006320D7" w:rsidRDefault="00C93128" w:rsidP="006320D7">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F60C31" w:rsidRDefault="00C93128">
      <w:pPr>
        <w:spacing w:line="600" w:lineRule="exact"/>
        <w:ind w:firstLineChars="200" w:firstLine="640"/>
        <w:outlineLvl w:val="1"/>
        <w:rPr>
          <w:rStyle w:val="2Char"/>
          <w:rFonts w:ascii="黑体" w:eastAsia="黑体" w:hAnsi="黑体"/>
          <w:b w:val="0"/>
        </w:rPr>
      </w:pPr>
      <w:bookmarkStart w:id="27" w:name="_Toc15396607"/>
      <w:bookmarkStart w:id="28" w:name="_Toc15377209"/>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F60C31" w:rsidRDefault="00C93128">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F60C31" w:rsidRDefault="00A254D0" w:rsidP="00F10B53">
      <w:pPr>
        <w:spacing w:line="60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5408" behindDoc="1" locked="0" layoutInCell="1" allowOverlap="1" wp14:anchorId="2028FFEB" wp14:editId="5FEE9DA8">
            <wp:simplePos x="0" y="0"/>
            <wp:positionH relativeFrom="column">
              <wp:posOffset>405130</wp:posOffset>
            </wp:positionH>
            <wp:positionV relativeFrom="paragraph">
              <wp:posOffset>1981200</wp:posOffset>
            </wp:positionV>
            <wp:extent cx="4579620" cy="2800350"/>
            <wp:effectExtent l="0" t="0" r="0" b="0"/>
            <wp:wrapTight wrapText="bothSides">
              <wp:wrapPolygon edited="0">
                <wp:start x="0" y="0"/>
                <wp:lineTo x="0" y="21453"/>
                <wp:lineTo x="21474" y="21453"/>
                <wp:lineTo x="21474"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9620" cy="2800350"/>
                    </a:xfrm>
                    <a:prstGeom prst="rect">
                      <a:avLst/>
                    </a:prstGeom>
                    <a:noFill/>
                  </pic:spPr>
                </pic:pic>
              </a:graphicData>
            </a:graphic>
            <wp14:sizeRelH relativeFrom="page">
              <wp14:pctWidth>0</wp14:pctWidth>
            </wp14:sizeRelH>
            <wp14:sizeRelV relativeFrom="page">
              <wp14:pctHeight>0</wp14:pctHeight>
            </wp14:sizeRelV>
          </wp:anchor>
        </w:drawing>
      </w:r>
      <w:r w:rsidR="00C93128">
        <w:rPr>
          <w:rFonts w:ascii="仿宋" w:eastAsia="仿宋" w:hAnsi="仿宋"/>
          <w:sz w:val="32"/>
          <w:szCs w:val="32"/>
        </w:rPr>
        <w:t>20</w:t>
      </w:r>
      <w:r w:rsidR="00C93128">
        <w:rPr>
          <w:rFonts w:ascii="仿宋" w:eastAsia="仿宋" w:hAnsi="仿宋" w:hint="eastAsia"/>
          <w:sz w:val="32"/>
          <w:szCs w:val="32"/>
        </w:rPr>
        <w:t>21年一般公共预算财政拨款支出</w:t>
      </w:r>
      <w:r w:rsidR="000F6950" w:rsidRPr="000F6950">
        <w:rPr>
          <w:rFonts w:ascii="仿宋" w:eastAsia="仿宋" w:hAnsi="仿宋"/>
          <w:sz w:val="32"/>
          <w:szCs w:val="32"/>
        </w:rPr>
        <w:t>359.57</w:t>
      </w:r>
      <w:r w:rsidR="00C93128">
        <w:rPr>
          <w:rFonts w:ascii="仿宋" w:eastAsia="仿宋" w:hAnsi="仿宋" w:hint="eastAsia"/>
          <w:sz w:val="32"/>
          <w:szCs w:val="32"/>
        </w:rPr>
        <w:t>万元，</w:t>
      </w:r>
      <w:r w:rsidR="000F6950">
        <w:rPr>
          <w:rFonts w:ascii="仿宋_GB2312" w:eastAsia="仿宋_GB2312" w:hAnsi="仿宋" w:hint="eastAsia"/>
          <w:sz w:val="32"/>
          <w:szCs w:val="32"/>
        </w:rPr>
        <w:t>含上年结转4.92万元,</w:t>
      </w:r>
      <w:r w:rsidR="00C93128">
        <w:rPr>
          <w:rFonts w:ascii="仿宋" w:eastAsia="仿宋" w:hAnsi="仿宋" w:hint="eastAsia"/>
          <w:sz w:val="32"/>
          <w:szCs w:val="32"/>
        </w:rPr>
        <w:t>占本年支出合计的</w:t>
      </w:r>
      <w:r w:rsidR="000F6950">
        <w:rPr>
          <w:rFonts w:ascii="仿宋" w:eastAsia="仿宋" w:hAnsi="仿宋" w:hint="eastAsia"/>
          <w:sz w:val="32"/>
          <w:szCs w:val="32"/>
        </w:rPr>
        <w:t>100</w:t>
      </w:r>
      <w:r w:rsidR="00C93128">
        <w:rPr>
          <w:rFonts w:ascii="仿宋" w:eastAsia="仿宋" w:hAnsi="仿宋"/>
          <w:sz w:val="32"/>
          <w:szCs w:val="32"/>
        </w:rPr>
        <w:t>%</w:t>
      </w:r>
      <w:r w:rsidR="00C93128">
        <w:rPr>
          <w:rFonts w:ascii="仿宋" w:eastAsia="仿宋" w:hAnsi="仿宋" w:hint="eastAsia"/>
          <w:sz w:val="32"/>
          <w:szCs w:val="32"/>
        </w:rPr>
        <w:t>。与</w:t>
      </w:r>
      <w:r w:rsidR="00C93128">
        <w:rPr>
          <w:rFonts w:ascii="仿宋" w:eastAsia="仿宋" w:hAnsi="仿宋"/>
          <w:sz w:val="32"/>
          <w:szCs w:val="32"/>
        </w:rPr>
        <w:t>20</w:t>
      </w:r>
      <w:r w:rsidR="00C93128">
        <w:rPr>
          <w:rFonts w:ascii="仿宋" w:eastAsia="仿宋" w:hAnsi="仿宋" w:hint="eastAsia"/>
          <w:sz w:val="32"/>
          <w:szCs w:val="32"/>
        </w:rPr>
        <w:t>20年相比，一般公共预算财政拨款支出减少</w:t>
      </w:r>
      <w:r w:rsidR="000F6950" w:rsidRPr="000F6950">
        <w:rPr>
          <w:rFonts w:ascii="仿宋" w:eastAsia="仿宋" w:hAnsi="仿宋"/>
          <w:sz w:val="32"/>
          <w:szCs w:val="32"/>
        </w:rPr>
        <w:t>69.51</w:t>
      </w:r>
      <w:r w:rsidR="00C93128">
        <w:rPr>
          <w:rFonts w:ascii="仿宋" w:eastAsia="仿宋" w:hAnsi="仿宋" w:hint="eastAsia"/>
          <w:sz w:val="32"/>
          <w:szCs w:val="32"/>
        </w:rPr>
        <w:t>万元，下降</w:t>
      </w:r>
      <w:r w:rsidR="000F6950">
        <w:rPr>
          <w:rFonts w:ascii="仿宋" w:eastAsia="仿宋" w:hAnsi="仿宋" w:hint="eastAsia"/>
          <w:sz w:val="32"/>
          <w:szCs w:val="32"/>
        </w:rPr>
        <w:t>16.2</w:t>
      </w:r>
      <w:r w:rsidR="00C93128">
        <w:rPr>
          <w:rFonts w:ascii="仿宋" w:eastAsia="仿宋" w:hAnsi="仿宋"/>
          <w:sz w:val="32"/>
          <w:szCs w:val="32"/>
        </w:rPr>
        <w:t>%</w:t>
      </w:r>
      <w:r w:rsidR="00C93128">
        <w:rPr>
          <w:rFonts w:ascii="仿宋" w:eastAsia="仿宋" w:hAnsi="仿宋" w:hint="eastAsia"/>
          <w:sz w:val="32"/>
          <w:szCs w:val="32"/>
        </w:rPr>
        <w:t>。</w:t>
      </w:r>
      <w:r w:rsidR="00692E3F">
        <w:rPr>
          <w:rFonts w:ascii="仿宋" w:eastAsia="仿宋" w:hAnsi="仿宋" w:hint="eastAsia"/>
          <w:sz w:val="32"/>
          <w:szCs w:val="32"/>
        </w:rPr>
        <w:t>主要变动原因是</w:t>
      </w:r>
      <w:r w:rsidR="00692E3F">
        <w:rPr>
          <w:rFonts w:ascii="仿宋" w:eastAsia="仿宋" w:hAnsi="仿宋" w:hint="eastAsia"/>
          <w:color w:val="000000"/>
          <w:sz w:val="32"/>
          <w:szCs w:val="32"/>
        </w:rPr>
        <w:t>因疫情影响，财政经济压力大，部分教体系统信息技术、学校标准化建设比赛受到影响，经费使用减少</w:t>
      </w:r>
      <w:r w:rsidR="00F10B53">
        <w:rPr>
          <w:rFonts w:ascii="仿宋" w:eastAsia="仿宋" w:hAnsi="仿宋" w:hint="eastAsia"/>
          <w:color w:val="000000"/>
          <w:sz w:val="32"/>
          <w:szCs w:val="32"/>
        </w:rPr>
        <w:t>。</w:t>
      </w:r>
      <w:r w:rsidR="00C93128">
        <w:rPr>
          <w:rFonts w:ascii="仿宋" w:eastAsia="仿宋" w:hAnsi="仿宋" w:hint="eastAsia"/>
          <w:sz w:val="32"/>
          <w:szCs w:val="32"/>
        </w:rPr>
        <w:t>（图5：一般公共预算财政拨款支出决算变动情况）（柱状图）</w:t>
      </w:r>
    </w:p>
    <w:p w:rsidR="00F60C31" w:rsidRDefault="00C93128" w:rsidP="00A254D0">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F60C31" w:rsidRPr="00A34515" w:rsidRDefault="00C93128" w:rsidP="00A34515">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1267CA" w:rsidRPr="001267CA">
        <w:rPr>
          <w:rFonts w:ascii="仿宋" w:eastAsia="仿宋" w:hAnsi="仿宋"/>
          <w:sz w:val="32"/>
          <w:szCs w:val="32"/>
        </w:rPr>
        <w:t>359.57</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教育支出（类）</w:t>
      </w:r>
      <w:r w:rsidR="0019083F" w:rsidRPr="0019083F">
        <w:rPr>
          <w:rFonts w:ascii="仿宋" w:eastAsia="仿宋" w:hAnsi="仿宋"/>
          <w:sz w:val="32"/>
          <w:szCs w:val="32"/>
        </w:rPr>
        <w:t>308.83</w:t>
      </w:r>
      <w:r>
        <w:rPr>
          <w:rFonts w:ascii="仿宋" w:eastAsia="仿宋" w:hAnsi="仿宋" w:hint="eastAsia"/>
          <w:sz w:val="32"/>
          <w:szCs w:val="32"/>
        </w:rPr>
        <w:t>万元，占</w:t>
      </w:r>
      <w:r w:rsidR="0019083F">
        <w:rPr>
          <w:rFonts w:ascii="仿宋" w:eastAsia="仿宋" w:hAnsi="仿宋" w:hint="eastAsia"/>
          <w:sz w:val="32"/>
          <w:szCs w:val="32"/>
        </w:rPr>
        <w:t>85.89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sidRPr="00F10B53">
        <w:rPr>
          <w:rFonts w:ascii="仿宋" w:eastAsia="仿宋" w:hAnsi="仿宋" w:hint="eastAsia"/>
          <w:b/>
          <w:sz w:val="32"/>
          <w:szCs w:val="32"/>
        </w:rPr>
        <w:t>）支出</w:t>
      </w:r>
      <w:r w:rsidR="0019083F" w:rsidRPr="0019083F">
        <w:rPr>
          <w:rFonts w:ascii="仿宋" w:eastAsia="仿宋" w:hAnsi="仿宋"/>
          <w:sz w:val="32"/>
          <w:szCs w:val="32"/>
        </w:rPr>
        <w:t>26.17</w:t>
      </w:r>
      <w:r>
        <w:rPr>
          <w:rFonts w:ascii="仿宋" w:eastAsia="仿宋" w:hAnsi="仿宋" w:hint="eastAsia"/>
          <w:sz w:val="32"/>
          <w:szCs w:val="32"/>
        </w:rPr>
        <w:t>万元，占</w:t>
      </w:r>
      <w:r w:rsidR="0019083F">
        <w:rPr>
          <w:rFonts w:ascii="仿宋" w:eastAsia="仿宋" w:hAnsi="仿宋" w:hint="eastAsia"/>
          <w:sz w:val="32"/>
          <w:szCs w:val="32"/>
        </w:rPr>
        <w:t>7.28</w:t>
      </w:r>
      <w:r>
        <w:rPr>
          <w:rFonts w:ascii="仿宋" w:eastAsia="仿宋" w:hAnsi="仿宋"/>
          <w:sz w:val="32"/>
          <w:szCs w:val="32"/>
        </w:rPr>
        <w:t>%</w:t>
      </w:r>
      <w:r>
        <w:rPr>
          <w:rFonts w:ascii="仿宋" w:eastAsia="仿宋" w:hAnsi="仿宋" w:hint="eastAsia"/>
          <w:sz w:val="32"/>
          <w:szCs w:val="32"/>
        </w:rPr>
        <w:t>；</w:t>
      </w:r>
      <w:r w:rsidRPr="00F10B53">
        <w:rPr>
          <w:rFonts w:ascii="仿宋" w:eastAsia="仿宋" w:hAnsi="仿宋" w:hint="eastAsia"/>
          <w:b/>
          <w:sz w:val="32"/>
          <w:szCs w:val="32"/>
        </w:rPr>
        <w:t>住房保障支出</w:t>
      </w:r>
      <w:r w:rsidR="0019083F" w:rsidRPr="0019083F">
        <w:rPr>
          <w:rFonts w:ascii="仿宋" w:eastAsia="仿宋" w:hAnsi="仿宋"/>
          <w:sz w:val="32"/>
          <w:szCs w:val="32"/>
        </w:rPr>
        <w:t>24.57</w:t>
      </w:r>
      <w:r>
        <w:rPr>
          <w:rFonts w:ascii="仿宋" w:eastAsia="仿宋" w:hAnsi="仿宋" w:hint="eastAsia"/>
          <w:sz w:val="32"/>
          <w:szCs w:val="32"/>
        </w:rPr>
        <w:t>万元，占</w:t>
      </w:r>
      <w:r w:rsidR="0019083F">
        <w:rPr>
          <w:rFonts w:ascii="仿宋" w:eastAsia="仿宋" w:hAnsi="仿宋" w:hint="eastAsia"/>
          <w:sz w:val="32"/>
          <w:szCs w:val="32"/>
        </w:rPr>
        <w:t>6.83</w:t>
      </w:r>
      <w:r>
        <w:rPr>
          <w:rFonts w:ascii="仿宋" w:eastAsia="仿宋" w:hAnsi="仿宋"/>
          <w:sz w:val="32"/>
          <w:szCs w:val="32"/>
        </w:rPr>
        <w:t>%</w:t>
      </w:r>
      <w:r>
        <w:rPr>
          <w:rFonts w:ascii="仿宋" w:eastAsia="仿宋" w:hAnsi="仿宋" w:hint="eastAsia"/>
          <w:sz w:val="32"/>
          <w:szCs w:val="32"/>
        </w:rPr>
        <w:t>。</w:t>
      </w:r>
    </w:p>
    <w:p w:rsidR="001A108C" w:rsidRDefault="00F10B53">
      <w:pPr>
        <w:spacing w:line="600" w:lineRule="exact"/>
        <w:ind w:firstLineChars="200" w:firstLine="640"/>
        <w:rPr>
          <w:rFonts w:ascii="仿宋" w:eastAsia="仿宋" w:hAnsi="仿宋"/>
          <w:sz w:val="32"/>
          <w:szCs w:val="32"/>
        </w:rPr>
      </w:pPr>
      <w:r>
        <w:rPr>
          <w:rFonts w:ascii="仿宋" w:eastAsia="仿宋" w:hAnsi="仿宋"/>
          <w:noProof/>
          <w:sz w:val="32"/>
          <w:szCs w:val="32"/>
        </w:rPr>
        <w:lastRenderedPageBreak/>
        <w:drawing>
          <wp:anchor distT="0" distB="0" distL="114300" distR="114300" simplePos="0" relativeHeight="251664384" behindDoc="1" locked="0" layoutInCell="1" allowOverlap="1" wp14:anchorId="490F96D0" wp14:editId="7619778F">
            <wp:simplePos x="0" y="0"/>
            <wp:positionH relativeFrom="column">
              <wp:posOffset>695960</wp:posOffset>
            </wp:positionH>
            <wp:positionV relativeFrom="paragraph">
              <wp:posOffset>67310</wp:posOffset>
            </wp:positionV>
            <wp:extent cx="4584700" cy="2755900"/>
            <wp:effectExtent l="0" t="0" r="6350" b="6350"/>
            <wp:wrapTight wrapText="bothSides">
              <wp:wrapPolygon edited="0">
                <wp:start x="0" y="0"/>
                <wp:lineTo x="0" y="21500"/>
                <wp:lineTo x="21540" y="21500"/>
                <wp:lineTo x="21540"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1A108C" w:rsidRDefault="001A108C">
      <w:pPr>
        <w:spacing w:line="600" w:lineRule="exact"/>
        <w:ind w:firstLineChars="200" w:firstLine="640"/>
        <w:rPr>
          <w:rFonts w:ascii="仿宋" w:eastAsia="仿宋" w:hAnsi="仿宋"/>
          <w:sz w:val="32"/>
          <w:szCs w:val="32"/>
        </w:rPr>
      </w:pPr>
    </w:p>
    <w:p w:rsidR="00F10B53" w:rsidRDefault="00F10B53" w:rsidP="00F10B53">
      <w:pPr>
        <w:pStyle w:val="a0"/>
        <w:spacing w:before="93"/>
      </w:pPr>
    </w:p>
    <w:p w:rsidR="00F10B53" w:rsidRPr="00F10B53" w:rsidRDefault="00F10B53" w:rsidP="00F10B53">
      <w:pPr>
        <w:pStyle w:val="a0"/>
        <w:spacing w:before="93"/>
      </w:pPr>
    </w:p>
    <w:p w:rsidR="00F60C31" w:rsidRDefault="00C93128" w:rsidP="00D52CFB">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F60C31" w:rsidRDefault="00C93128">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F60C31" w:rsidRDefault="00C93128">
      <w:pPr>
        <w:spacing w:line="600" w:lineRule="exact"/>
        <w:ind w:firstLineChars="200" w:firstLine="643"/>
        <w:outlineLvl w:val="2"/>
        <w:rPr>
          <w:rFonts w:ascii="仿宋" w:eastAsia="仿宋" w:hAnsi="仿宋"/>
          <w:sz w:val="32"/>
          <w:szCs w:val="32"/>
        </w:rPr>
      </w:pPr>
      <w:bookmarkStart w:id="32" w:name="_Toc15378460"/>
      <w:bookmarkStart w:id="33" w:name="_Toc15377213"/>
      <w:bookmarkStart w:id="34" w:name="_Toc15377444"/>
      <w:r>
        <w:rPr>
          <w:rFonts w:ascii="仿宋" w:eastAsia="仿宋" w:hAnsi="仿宋" w:hint="eastAsia"/>
          <w:b/>
          <w:sz w:val="32"/>
          <w:szCs w:val="32"/>
        </w:rPr>
        <w:t>2021年一般公共预算支出决算数为</w:t>
      </w:r>
      <w:r w:rsidR="00E90FED" w:rsidRPr="00E90FED">
        <w:rPr>
          <w:rFonts w:ascii="仿宋" w:eastAsia="仿宋" w:hAnsi="仿宋"/>
          <w:b/>
          <w:sz w:val="32"/>
          <w:szCs w:val="32"/>
        </w:rPr>
        <w:t>359.57</w:t>
      </w:r>
      <w:r>
        <w:rPr>
          <w:rFonts w:ascii="仿宋" w:eastAsia="仿宋" w:hAnsi="仿宋" w:hint="eastAsia"/>
          <w:sz w:val="32"/>
          <w:szCs w:val="32"/>
        </w:rPr>
        <w:t>，</w:t>
      </w:r>
      <w:r>
        <w:rPr>
          <w:rStyle w:val="a7"/>
          <w:rFonts w:ascii="仿宋" w:eastAsia="仿宋" w:hAnsi="仿宋" w:hint="eastAsia"/>
          <w:bCs/>
          <w:sz w:val="32"/>
          <w:szCs w:val="32"/>
        </w:rPr>
        <w:t>完成预算</w:t>
      </w:r>
      <w:r w:rsidR="00E90FED">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2"/>
      <w:bookmarkEnd w:id="33"/>
      <w:bookmarkEnd w:id="34"/>
    </w:p>
    <w:p w:rsidR="00E90FED" w:rsidRDefault="00E90FED" w:rsidP="00E90FED">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1.</w:t>
      </w:r>
      <w:r>
        <w:rPr>
          <w:rStyle w:val="a7"/>
          <w:rFonts w:ascii="仿宋" w:eastAsia="仿宋" w:hAnsi="仿宋" w:hint="eastAsia"/>
          <w:color w:val="000000"/>
          <w:sz w:val="32"/>
          <w:szCs w:val="32"/>
        </w:rPr>
        <w:t>教育支出（类）其他教育支出（款）其他教育支出（项）</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 xml:space="preserve"> 支出决算为278.47万元，完成预算100%。</w:t>
      </w:r>
    </w:p>
    <w:p w:rsidR="00E90FED" w:rsidRDefault="00E90FED" w:rsidP="00E90FED">
      <w:pPr>
        <w:spacing w:line="600" w:lineRule="exact"/>
        <w:ind w:firstLineChars="200" w:firstLine="643"/>
        <w:rPr>
          <w:rStyle w:val="a7"/>
          <w:rFonts w:ascii="仿宋" w:eastAsia="仿宋" w:hAnsi="仿宋"/>
          <w:color w:val="000000"/>
          <w:sz w:val="32"/>
          <w:szCs w:val="32"/>
        </w:rPr>
      </w:pPr>
      <w:r>
        <w:rPr>
          <w:rStyle w:val="a7"/>
          <w:rFonts w:ascii="仿宋" w:eastAsia="仿宋" w:hAnsi="仿宋" w:hint="eastAsia"/>
          <w:color w:val="000000"/>
          <w:sz w:val="32"/>
          <w:szCs w:val="32"/>
        </w:rPr>
        <w:t>2.教育支出（类）教育费附加安排的支出（款）其他教育费附加安排的支出（项）:</w:t>
      </w:r>
      <w:r>
        <w:rPr>
          <w:rStyle w:val="a7"/>
          <w:rFonts w:ascii="仿宋" w:eastAsia="仿宋" w:hAnsi="仿宋" w:hint="eastAsia"/>
          <w:b w:val="0"/>
          <w:bCs/>
          <w:color w:val="000000"/>
          <w:sz w:val="32"/>
          <w:szCs w:val="32"/>
        </w:rPr>
        <w:t>支出决算为30.36万元，含上年结余3.68万元。</w:t>
      </w:r>
    </w:p>
    <w:p w:rsidR="00E90FED" w:rsidRDefault="00E90FED" w:rsidP="00E90FED">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color w:val="000000"/>
          <w:sz w:val="32"/>
          <w:szCs w:val="32"/>
        </w:rPr>
        <w:t>3.社会保障和就业支出（类）行政事业单位养老支出（款）机关事业单位基本养老保险缴费支出（项）</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 xml:space="preserve"> 支出决算为</w:t>
      </w:r>
      <w:r w:rsidRPr="00E90FED">
        <w:rPr>
          <w:rStyle w:val="a7"/>
          <w:rFonts w:ascii="仿宋" w:eastAsia="仿宋" w:hAnsi="仿宋"/>
          <w:b w:val="0"/>
          <w:bCs/>
          <w:color w:val="000000"/>
          <w:sz w:val="32"/>
          <w:szCs w:val="32"/>
        </w:rPr>
        <w:t>20.25</w:t>
      </w:r>
      <w:r>
        <w:rPr>
          <w:rStyle w:val="a7"/>
          <w:rFonts w:ascii="仿宋" w:eastAsia="仿宋" w:hAnsi="仿宋" w:hint="eastAsia"/>
          <w:b w:val="0"/>
          <w:bCs/>
          <w:color w:val="000000"/>
          <w:sz w:val="32"/>
          <w:szCs w:val="32"/>
        </w:rPr>
        <w:t>万元，完成预算100%。</w:t>
      </w:r>
    </w:p>
    <w:p w:rsidR="00E90FED" w:rsidRDefault="00E90FED" w:rsidP="00E90FED">
      <w:pPr>
        <w:spacing w:line="600" w:lineRule="exact"/>
        <w:ind w:firstLineChars="200" w:firstLine="643"/>
        <w:rPr>
          <w:b/>
        </w:rPr>
      </w:pPr>
      <w:r>
        <w:rPr>
          <w:rStyle w:val="a7"/>
          <w:rFonts w:ascii="仿宋" w:eastAsia="仿宋" w:hAnsi="仿宋" w:hint="eastAsia"/>
          <w:color w:val="000000"/>
          <w:sz w:val="32"/>
          <w:szCs w:val="32"/>
        </w:rPr>
        <w:t>4.社会保障和就业支出（类）抚恤（款）死亡抚恤（项）:</w:t>
      </w:r>
      <w:r>
        <w:rPr>
          <w:rStyle w:val="a7"/>
          <w:rFonts w:ascii="仿宋" w:eastAsia="仿宋" w:hAnsi="仿宋" w:hint="eastAsia"/>
          <w:b w:val="0"/>
          <w:bCs/>
          <w:color w:val="000000"/>
          <w:sz w:val="32"/>
          <w:szCs w:val="32"/>
        </w:rPr>
        <w:t>支出决算为5.92万元，完成预算100%，含上年</w:t>
      </w:r>
      <w:r>
        <w:rPr>
          <w:rFonts w:ascii="仿宋" w:eastAsia="仿宋" w:hAnsi="仿宋" w:hint="eastAsia"/>
          <w:color w:val="000000"/>
          <w:sz w:val="32"/>
          <w:szCs w:val="32"/>
        </w:rPr>
        <w:t>未及时发放丧葬抚恤金1.23万元。</w:t>
      </w:r>
    </w:p>
    <w:p w:rsidR="00F60C31" w:rsidRPr="00A34515" w:rsidRDefault="00E90FED" w:rsidP="00A34515">
      <w:pPr>
        <w:spacing w:line="600" w:lineRule="exact"/>
        <w:ind w:firstLineChars="200" w:firstLine="643"/>
        <w:rPr>
          <w:rFonts w:ascii="仿宋" w:eastAsia="仿宋" w:hAnsi="仿宋"/>
          <w:b/>
          <w:color w:val="000000"/>
          <w:sz w:val="32"/>
          <w:szCs w:val="32"/>
        </w:rPr>
      </w:pPr>
      <w:r>
        <w:rPr>
          <w:rFonts w:ascii="仿宋" w:eastAsia="仿宋" w:hAnsi="仿宋" w:hint="eastAsia"/>
          <w:b/>
          <w:bCs/>
          <w:color w:val="000000"/>
          <w:sz w:val="32"/>
          <w:szCs w:val="32"/>
        </w:rPr>
        <w:lastRenderedPageBreak/>
        <w:t>5.住房保障支出</w:t>
      </w:r>
      <w:r>
        <w:rPr>
          <w:rStyle w:val="a7"/>
          <w:rFonts w:ascii="仿宋" w:eastAsia="仿宋" w:hAnsi="仿宋" w:hint="eastAsia"/>
          <w:color w:val="000000"/>
          <w:sz w:val="32"/>
          <w:szCs w:val="32"/>
        </w:rPr>
        <w:t>（类）住房改革支出（款）住房公积金（项）:</w:t>
      </w:r>
      <w:r>
        <w:rPr>
          <w:rStyle w:val="a7"/>
          <w:rFonts w:ascii="仿宋" w:eastAsia="仿宋" w:hAnsi="仿宋" w:hint="eastAsia"/>
          <w:b w:val="0"/>
          <w:bCs/>
          <w:color w:val="000000"/>
          <w:sz w:val="32"/>
          <w:szCs w:val="32"/>
        </w:rPr>
        <w:t>支出决算为</w:t>
      </w:r>
      <w:r w:rsidRPr="004E2129">
        <w:rPr>
          <w:rFonts w:ascii="仿宋" w:eastAsia="仿宋" w:hAnsi="仿宋" w:hint="eastAsia"/>
          <w:color w:val="000000"/>
          <w:sz w:val="32"/>
          <w:szCs w:val="32"/>
        </w:rPr>
        <w:t>24.57</w:t>
      </w:r>
      <w:r>
        <w:rPr>
          <w:rStyle w:val="a7"/>
          <w:rFonts w:ascii="仿宋" w:eastAsia="仿宋" w:hAnsi="仿宋" w:hint="eastAsia"/>
          <w:b w:val="0"/>
          <w:bCs/>
          <w:color w:val="000000"/>
          <w:sz w:val="32"/>
          <w:szCs w:val="32"/>
        </w:rPr>
        <w:t>万元，完成预算100%。</w:t>
      </w:r>
    </w:p>
    <w:p w:rsidR="00F60C31" w:rsidRDefault="00C93128">
      <w:pPr>
        <w:tabs>
          <w:tab w:val="right" w:pos="8306"/>
        </w:tabs>
        <w:spacing w:line="600" w:lineRule="exact"/>
        <w:ind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F60C31" w:rsidRDefault="00C93128">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816CF1" w:rsidRPr="00816CF1">
        <w:rPr>
          <w:rFonts w:ascii="仿宋" w:eastAsia="仿宋" w:hAnsi="仿宋"/>
          <w:sz w:val="32"/>
          <w:szCs w:val="32"/>
        </w:rPr>
        <w:t>329.21</w:t>
      </w:r>
      <w:r>
        <w:rPr>
          <w:rFonts w:ascii="仿宋" w:eastAsia="仿宋" w:hAnsi="仿宋" w:hint="eastAsia"/>
          <w:sz w:val="32"/>
          <w:szCs w:val="32"/>
        </w:rPr>
        <w:t>万元，其中：</w:t>
      </w:r>
    </w:p>
    <w:p w:rsidR="00F60C31" w:rsidRPr="00A34515" w:rsidRDefault="00C93128" w:rsidP="00A34515">
      <w:pPr>
        <w:spacing w:line="600" w:lineRule="exact"/>
        <w:ind w:firstLine="645"/>
        <w:rPr>
          <w:rFonts w:ascii="仿宋" w:eastAsia="仿宋" w:hAnsi="仿宋"/>
          <w:sz w:val="32"/>
          <w:szCs w:val="32"/>
        </w:rPr>
      </w:pPr>
      <w:r>
        <w:rPr>
          <w:rFonts w:ascii="仿宋" w:eastAsia="仿宋" w:hAnsi="仿宋" w:hint="eastAsia"/>
          <w:sz w:val="32"/>
          <w:szCs w:val="32"/>
        </w:rPr>
        <w:t>人员经费</w:t>
      </w:r>
      <w:r w:rsidR="00400ED5" w:rsidRPr="00400ED5">
        <w:rPr>
          <w:rFonts w:ascii="仿宋" w:eastAsia="仿宋" w:hAnsi="仿宋"/>
          <w:sz w:val="32"/>
          <w:szCs w:val="32"/>
        </w:rPr>
        <w:t>296.56</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400ED5" w:rsidRPr="00400ED5">
        <w:rPr>
          <w:rFonts w:ascii="仿宋" w:eastAsia="仿宋" w:hAnsi="仿宋"/>
          <w:sz w:val="32"/>
          <w:szCs w:val="32"/>
        </w:rPr>
        <w:t>32.65</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F60C31" w:rsidRDefault="00C93128">
      <w:pPr>
        <w:spacing w:line="600" w:lineRule="exact"/>
        <w:ind w:firstLine="640"/>
        <w:outlineLvl w:val="1"/>
        <w:rPr>
          <w:rStyle w:val="2Char"/>
          <w:rFonts w:ascii="黑体" w:eastAsia="黑体" w:hAnsi="黑体"/>
          <w:b w:val="0"/>
        </w:rPr>
      </w:pPr>
      <w:bookmarkStart w:id="37" w:name="_Toc15396609"/>
      <w:bookmarkStart w:id="3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F60C31" w:rsidRDefault="00C93128">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DB3F03" w:rsidRDefault="00C93128" w:rsidP="00DB3F03">
      <w:pPr>
        <w:spacing w:line="600" w:lineRule="exact"/>
        <w:ind w:firstLine="640"/>
        <w:rPr>
          <w:rFonts w:ascii="仿宋" w:eastAsia="仿宋" w:hAnsi="仿宋"/>
          <w:color w:val="000000"/>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sidR="00E309F5">
        <w:rPr>
          <w:rFonts w:ascii="仿宋" w:eastAsia="仿宋" w:hAnsi="仿宋" w:hint="eastAsia"/>
          <w:sz w:val="32"/>
          <w:szCs w:val="32"/>
        </w:rPr>
        <w:t>1.59</w:t>
      </w:r>
      <w:r>
        <w:rPr>
          <w:rFonts w:ascii="仿宋" w:eastAsia="仿宋" w:hAnsi="仿宋" w:hint="eastAsia"/>
          <w:sz w:val="32"/>
          <w:szCs w:val="32"/>
        </w:rPr>
        <w:t>万元，完成预算</w:t>
      </w:r>
      <w:r w:rsidR="00DB3F03">
        <w:rPr>
          <w:rFonts w:ascii="仿宋" w:eastAsia="仿宋" w:hAnsi="仿宋" w:hint="eastAsia"/>
          <w:sz w:val="32"/>
          <w:szCs w:val="32"/>
        </w:rPr>
        <w:t>70.35</w:t>
      </w:r>
      <w:r>
        <w:rPr>
          <w:rFonts w:ascii="仿宋" w:eastAsia="仿宋" w:hAnsi="仿宋"/>
          <w:sz w:val="32"/>
          <w:szCs w:val="32"/>
        </w:rPr>
        <w:t>%</w:t>
      </w:r>
      <w:r>
        <w:rPr>
          <w:rFonts w:ascii="仿宋" w:eastAsia="仿宋" w:hAnsi="仿宋" w:hint="eastAsia"/>
          <w:sz w:val="32"/>
          <w:szCs w:val="32"/>
        </w:rPr>
        <w:t>，决算数小于预算数</w:t>
      </w:r>
      <w:r w:rsidR="00DB3F03">
        <w:rPr>
          <w:rFonts w:ascii="仿宋" w:eastAsia="仿宋" w:hAnsi="仿宋" w:hint="eastAsia"/>
          <w:color w:val="000000"/>
          <w:sz w:val="32"/>
          <w:szCs w:val="32"/>
        </w:rPr>
        <w:t>的主要原因是未发生公务接待费用和因公出国费用。</w:t>
      </w:r>
    </w:p>
    <w:p w:rsidR="00F60C31" w:rsidRDefault="00C93128">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F60C31" w:rsidRDefault="00C93128">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21年“三公”经费财政拨款支出决算中，因公出国（境）费支出决算</w:t>
      </w:r>
      <w:r w:rsidR="00C868A2">
        <w:rPr>
          <w:rFonts w:ascii="仿宋" w:eastAsia="仿宋" w:hAnsi="仿宋" w:hint="eastAsia"/>
          <w:sz w:val="32"/>
          <w:szCs w:val="32"/>
        </w:rPr>
        <w:t>0</w:t>
      </w:r>
      <w:r>
        <w:rPr>
          <w:rFonts w:ascii="仿宋" w:eastAsia="仿宋" w:hAnsi="仿宋" w:hint="eastAsia"/>
          <w:sz w:val="32"/>
          <w:szCs w:val="32"/>
        </w:rPr>
        <w:t>万元，占</w:t>
      </w:r>
      <w:r w:rsidR="00C868A2">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C868A2">
        <w:rPr>
          <w:rFonts w:ascii="仿宋" w:eastAsia="仿宋" w:hAnsi="仿宋" w:hint="eastAsia"/>
          <w:sz w:val="32"/>
          <w:szCs w:val="32"/>
        </w:rPr>
        <w:t>1.59</w:t>
      </w:r>
      <w:r>
        <w:rPr>
          <w:rFonts w:ascii="仿宋" w:eastAsia="仿宋" w:hAnsi="仿宋" w:hint="eastAsia"/>
          <w:sz w:val="32"/>
          <w:szCs w:val="32"/>
        </w:rPr>
        <w:t>万元，占</w:t>
      </w:r>
      <w:r w:rsidR="00C868A2">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；公务接待费支出决算</w:t>
      </w:r>
      <w:r w:rsidR="00C868A2">
        <w:rPr>
          <w:rFonts w:ascii="仿宋" w:eastAsia="仿宋" w:hAnsi="仿宋" w:hint="eastAsia"/>
          <w:sz w:val="32"/>
          <w:szCs w:val="32"/>
        </w:rPr>
        <w:t>0</w:t>
      </w:r>
      <w:r>
        <w:rPr>
          <w:rFonts w:ascii="仿宋" w:eastAsia="仿宋" w:hAnsi="仿宋" w:hint="eastAsia"/>
          <w:sz w:val="32"/>
          <w:szCs w:val="32"/>
        </w:rPr>
        <w:t>万元，占</w:t>
      </w:r>
      <w:r w:rsidR="00C868A2">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。具体情况如下：</w:t>
      </w:r>
    </w:p>
    <w:p w:rsidR="00A254D0" w:rsidRPr="00A254D0" w:rsidRDefault="00904D6B" w:rsidP="00A254D0">
      <w:pPr>
        <w:pStyle w:val="a0"/>
        <w:spacing w:before="93"/>
      </w:pPr>
      <w:r>
        <w:rPr>
          <w:noProof/>
        </w:rPr>
        <w:drawing>
          <wp:anchor distT="0" distB="0" distL="114300" distR="114300" simplePos="0" relativeHeight="251670528" behindDoc="1" locked="0" layoutInCell="1" allowOverlap="1">
            <wp:simplePos x="0" y="0"/>
            <wp:positionH relativeFrom="column">
              <wp:posOffset>495935</wp:posOffset>
            </wp:positionH>
            <wp:positionV relativeFrom="paragraph">
              <wp:posOffset>254635</wp:posOffset>
            </wp:positionV>
            <wp:extent cx="4584700" cy="2755900"/>
            <wp:effectExtent l="0" t="0" r="6350" b="6350"/>
            <wp:wrapTight wrapText="bothSides">
              <wp:wrapPolygon edited="0">
                <wp:start x="0" y="0"/>
                <wp:lineTo x="0" y="21500"/>
                <wp:lineTo x="21540" y="21500"/>
                <wp:lineTo x="21540" y="0"/>
                <wp:lineTo x="0" y="0"/>
              </wp:wrapPolygon>
            </wp:wrapTigh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F60C31" w:rsidRDefault="00C93128">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F60C31" w:rsidRDefault="00C93128">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C868A2">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C868A2">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C868A2">
        <w:rPr>
          <w:rFonts w:ascii="仿宋_GB2312" w:eastAsia="仿宋_GB2312" w:hint="eastAsia"/>
          <w:sz w:val="32"/>
          <w:szCs w:val="32"/>
        </w:rPr>
        <w:t>0</w:t>
      </w:r>
      <w:r>
        <w:rPr>
          <w:rFonts w:ascii="仿宋_GB2312" w:eastAsia="仿宋_GB2312" w:hint="eastAsia"/>
          <w:sz w:val="32"/>
          <w:szCs w:val="32"/>
        </w:rPr>
        <w:t>次，出国（境）</w:t>
      </w:r>
      <w:r w:rsidR="00C868A2">
        <w:rPr>
          <w:rFonts w:ascii="仿宋_GB2312" w:eastAsia="仿宋_GB2312" w:hint="eastAsia"/>
          <w:sz w:val="32"/>
          <w:szCs w:val="32"/>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w:t>
      </w:r>
      <w:r w:rsidR="00C868A2">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sidR="00C868A2">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。主要原因是</w:t>
      </w:r>
      <w:r w:rsidR="00C868A2">
        <w:rPr>
          <w:rFonts w:ascii="仿宋_GB2312" w:eastAsia="仿宋_GB2312" w:hint="eastAsia"/>
          <w:sz w:val="32"/>
          <w:szCs w:val="32"/>
        </w:rPr>
        <w:t>无预算未发生</w:t>
      </w:r>
      <w:r>
        <w:rPr>
          <w:rFonts w:ascii="仿宋_GB2312" w:eastAsia="仿宋_GB2312" w:hint="eastAsia"/>
          <w:sz w:val="32"/>
          <w:szCs w:val="32"/>
        </w:rPr>
        <w:t>。</w:t>
      </w:r>
    </w:p>
    <w:p w:rsidR="00F60C31" w:rsidRDefault="00C93128">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C868A2">
        <w:rPr>
          <w:rFonts w:ascii="仿宋_GB2312" w:eastAsia="仿宋_GB2312" w:hint="eastAsia"/>
          <w:sz w:val="32"/>
          <w:szCs w:val="32"/>
        </w:rPr>
        <w:t>1.59</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C868A2">
        <w:rPr>
          <w:rStyle w:val="a7"/>
          <w:rFonts w:ascii="仿宋" w:eastAsia="仿宋" w:hAnsi="仿宋" w:hint="eastAsia"/>
          <w:b w:val="0"/>
          <w:bCs/>
          <w:sz w:val="32"/>
          <w:szCs w:val="32"/>
        </w:rPr>
        <w:t>98.15</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w:t>
      </w:r>
      <w:r w:rsidR="00C868A2">
        <w:rPr>
          <w:rFonts w:ascii="仿宋_GB2312" w:eastAsia="仿宋_GB2312" w:hint="eastAsia"/>
          <w:sz w:val="32"/>
          <w:szCs w:val="32"/>
        </w:rPr>
        <w:t>0.55</w:t>
      </w:r>
      <w:r>
        <w:rPr>
          <w:rFonts w:ascii="仿宋_GB2312" w:eastAsia="仿宋_GB2312" w:hint="eastAsia"/>
          <w:sz w:val="32"/>
          <w:szCs w:val="32"/>
        </w:rPr>
        <w:t>万元，增长</w:t>
      </w:r>
      <w:r w:rsidR="00C868A2">
        <w:rPr>
          <w:rFonts w:ascii="仿宋_GB2312" w:eastAsia="仿宋_GB2312" w:hint="eastAsia"/>
          <w:sz w:val="32"/>
          <w:szCs w:val="32"/>
        </w:rPr>
        <w:t>34.59</w:t>
      </w:r>
      <w:r>
        <w:rPr>
          <w:rFonts w:ascii="仿宋_GB2312" w:eastAsia="仿宋_GB2312"/>
          <w:sz w:val="32"/>
          <w:szCs w:val="32"/>
        </w:rPr>
        <w:t>%</w:t>
      </w:r>
      <w:r>
        <w:rPr>
          <w:rFonts w:ascii="仿宋_GB2312" w:eastAsia="仿宋_GB2312" w:hint="eastAsia"/>
          <w:sz w:val="32"/>
          <w:szCs w:val="32"/>
        </w:rPr>
        <w:t>。</w:t>
      </w:r>
      <w:r w:rsidR="00290BE4">
        <w:rPr>
          <w:rFonts w:ascii="仿宋_GB2312" w:eastAsia="仿宋_GB2312" w:hint="eastAsia"/>
          <w:color w:val="000000"/>
          <w:sz w:val="32"/>
          <w:szCs w:val="32"/>
        </w:rPr>
        <w:t>主要原因是2021年车辆维修、区县过路过桥费用有所增加</w:t>
      </w:r>
      <w:r>
        <w:rPr>
          <w:rFonts w:ascii="仿宋_GB2312" w:eastAsia="仿宋_GB2312" w:hint="eastAsia"/>
          <w:sz w:val="32"/>
          <w:szCs w:val="32"/>
        </w:rPr>
        <w:t>。</w:t>
      </w:r>
    </w:p>
    <w:p w:rsidR="00F60C31" w:rsidRDefault="00C93128">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290BE4">
        <w:rPr>
          <w:rFonts w:ascii="仿宋_GB2312" w:eastAsia="仿宋_GB2312" w:hint="eastAsia"/>
          <w:sz w:val="32"/>
          <w:szCs w:val="32"/>
        </w:rPr>
        <w:t>0</w:t>
      </w:r>
      <w:r>
        <w:rPr>
          <w:rFonts w:ascii="仿宋_GB2312" w:eastAsia="仿宋_GB2312" w:hint="eastAsia"/>
          <w:sz w:val="32"/>
          <w:szCs w:val="32"/>
        </w:rPr>
        <w:t>万元。全年按规定更新购置公务用车</w:t>
      </w:r>
      <w:r w:rsidR="00290BE4">
        <w:rPr>
          <w:rFonts w:ascii="仿宋_GB2312" w:eastAsia="仿宋_GB2312" w:hint="eastAsia"/>
          <w:sz w:val="32"/>
          <w:szCs w:val="32"/>
        </w:rPr>
        <w:t>0</w:t>
      </w:r>
      <w:r>
        <w:rPr>
          <w:rFonts w:ascii="仿宋_GB2312" w:eastAsia="仿宋_GB2312" w:hint="eastAsia"/>
          <w:sz w:val="32"/>
          <w:szCs w:val="32"/>
        </w:rPr>
        <w:t>辆，其中：轿车</w:t>
      </w:r>
      <w:r w:rsidR="00290BE4">
        <w:rPr>
          <w:rFonts w:ascii="仿宋_GB2312" w:eastAsia="仿宋_GB2312" w:hint="eastAsia"/>
          <w:sz w:val="32"/>
          <w:szCs w:val="32"/>
        </w:rPr>
        <w:t>0</w:t>
      </w:r>
      <w:r>
        <w:rPr>
          <w:rFonts w:ascii="仿宋_GB2312" w:eastAsia="仿宋_GB2312" w:hint="eastAsia"/>
          <w:sz w:val="32"/>
          <w:szCs w:val="32"/>
        </w:rPr>
        <w:t>辆、金额</w:t>
      </w:r>
      <w:r w:rsidR="00290BE4">
        <w:rPr>
          <w:rFonts w:ascii="仿宋_GB2312" w:eastAsia="仿宋_GB2312" w:hint="eastAsia"/>
          <w:sz w:val="32"/>
          <w:szCs w:val="32"/>
        </w:rPr>
        <w:t>0</w:t>
      </w:r>
      <w:r>
        <w:rPr>
          <w:rFonts w:ascii="仿宋_GB2312" w:eastAsia="仿宋_GB2312" w:hint="eastAsia"/>
          <w:sz w:val="32"/>
          <w:szCs w:val="32"/>
        </w:rPr>
        <w:t>万元，越野车</w:t>
      </w:r>
      <w:r w:rsidR="00290BE4">
        <w:rPr>
          <w:rFonts w:ascii="仿宋_GB2312" w:eastAsia="仿宋_GB2312" w:hint="eastAsia"/>
          <w:sz w:val="32"/>
          <w:szCs w:val="32"/>
        </w:rPr>
        <w:t>0</w:t>
      </w:r>
      <w:r>
        <w:rPr>
          <w:rFonts w:ascii="仿宋_GB2312" w:eastAsia="仿宋_GB2312" w:hint="eastAsia"/>
          <w:sz w:val="32"/>
          <w:szCs w:val="32"/>
        </w:rPr>
        <w:t>辆、</w:t>
      </w:r>
      <w:r>
        <w:rPr>
          <w:rFonts w:ascii="仿宋_GB2312" w:eastAsia="仿宋_GB2312" w:hint="eastAsia"/>
          <w:sz w:val="32"/>
          <w:szCs w:val="32"/>
        </w:rPr>
        <w:lastRenderedPageBreak/>
        <w:t>金额</w:t>
      </w:r>
      <w:r w:rsidR="00290BE4">
        <w:rPr>
          <w:rFonts w:ascii="仿宋_GB2312" w:eastAsia="仿宋_GB2312" w:hint="eastAsia"/>
          <w:sz w:val="32"/>
          <w:szCs w:val="32"/>
        </w:rPr>
        <w:t>0</w:t>
      </w:r>
      <w:r>
        <w:rPr>
          <w:rFonts w:ascii="仿宋_GB2312" w:eastAsia="仿宋_GB2312" w:hint="eastAsia"/>
          <w:sz w:val="32"/>
          <w:szCs w:val="32"/>
        </w:rPr>
        <w:t>万元，载客汽车</w:t>
      </w:r>
      <w:r w:rsidR="00290BE4">
        <w:rPr>
          <w:rFonts w:ascii="仿宋_GB2312" w:eastAsia="仿宋_GB2312" w:hint="eastAsia"/>
          <w:sz w:val="32"/>
          <w:szCs w:val="32"/>
        </w:rPr>
        <w:t>0</w:t>
      </w:r>
      <w:r>
        <w:rPr>
          <w:rFonts w:ascii="仿宋_GB2312" w:eastAsia="仿宋_GB2312" w:hint="eastAsia"/>
          <w:sz w:val="32"/>
          <w:szCs w:val="32"/>
        </w:rPr>
        <w:t>辆、金额</w:t>
      </w:r>
      <w:r w:rsidR="00290BE4">
        <w:rPr>
          <w:rFonts w:ascii="仿宋_GB2312" w:eastAsia="仿宋_GB2312" w:hint="eastAsia"/>
          <w:sz w:val="32"/>
          <w:szCs w:val="32"/>
        </w:rPr>
        <w:t>0</w:t>
      </w:r>
      <w:r>
        <w:rPr>
          <w:rFonts w:ascii="仿宋_GB2312" w:eastAsia="仿宋_GB2312" w:hint="eastAsia"/>
          <w:sz w:val="32"/>
          <w:szCs w:val="32"/>
        </w:rPr>
        <w:t>万元，主要用于。截至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w:t>
      </w:r>
      <w:r w:rsidR="00290BE4">
        <w:rPr>
          <w:rFonts w:ascii="仿宋_GB2312" w:eastAsia="仿宋_GB2312" w:hint="eastAsia"/>
          <w:sz w:val="32"/>
          <w:szCs w:val="32"/>
        </w:rPr>
        <w:t>1</w:t>
      </w:r>
      <w:r>
        <w:rPr>
          <w:rFonts w:ascii="仿宋_GB2312" w:eastAsia="仿宋_GB2312" w:hint="eastAsia"/>
          <w:sz w:val="32"/>
          <w:szCs w:val="32"/>
        </w:rPr>
        <w:t>辆，其中：轿车</w:t>
      </w:r>
      <w:r w:rsidR="00290BE4">
        <w:rPr>
          <w:rFonts w:ascii="仿宋_GB2312" w:eastAsia="仿宋_GB2312" w:hint="eastAsia"/>
          <w:sz w:val="32"/>
          <w:szCs w:val="32"/>
        </w:rPr>
        <w:t>1</w:t>
      </w:r>
      <w:r>
        <w:rPr>
          <w:rFonts w:ascii="仿宋_GB2312" w:eastAsia="仿宋_GB2312" w:hint="eastAsia"/>
          <w:sz w:val="32"/>
          <w:szCs w:val="32"/>
        </w:rPr>
        <w:t>辆、越野车</w:t>
      </w:r>
      <w:r w:rsidR="00290BE4">
        <w:rPr>
          <w:rFonts w:ascii="仿宋_GB2312" w:eastAsia="仿宋_GB2312" w:hint="eastAsia"/>
          <w:sz w:val="32"/>
          <w:szCs w:val="32"/>
        </w:rPr>
        <w:t>0</w:t>
      </w:r>
      <w:r>
        <w:rPr>
          <w:rFonts w:ascii="仿宋_GB2312" w:eastAsia="仿宋_GB2312" w:hint="eastAsia"/>
          <w:sz w:val="32"/>
          <w:szCs w:val="32"/>
        </w:rPr>
        <w:t>辆、载客汽车</w:t>
      </w:r>
      <w:r w:rsidR="00290BE4">
        <w:rPr>
          <w:rFonts w:ascii="仿宋_GB2312" w:eastAsia="仿宋_GB2312" w:hint="eastAsia"/>
          <w:sz w:val="32"/>
          <w:szCs w:val="32"/>
        </w:rPr>
        <w:t>0</w:t>
      </w:r>
      <w:r>
        <w:rPr>
          <w:rFonts w:ascii="仿宋_GB2312" w:eastAsia="仿宋_GB2312" w:hint="eastAsia"/>
          <w:sz w:val="32"/>
          <w:szCs w:val="32"/>
        </w:rPr>
        <w:t>辆。</w:t>
      </w:r>
    </w:p>
    <w:p w:rsidR="00290BE4" w:rsidRDefault="00C93128">
      <w:pPr>
        <w:spacing w:line="600" w:lineRule="exact"/>
        <w:ind w:firstLine="640"/>
        <w:rPr>
          <w:rFonts w:ascii="仿宋_GB2312" w:eastAsia="仿宋_GB2312"/>
          <w:color w:val="000000"/>
          <w:sz w:val="32"/>
          <w:szCs w:val="32"/>
        </w:rPr>
      </w:pPr>
      <w:r>
        <w:rPr>
          <w:rFonts w:ascii="仿宋_GB2312" w:eastAsia="仿宋_GB2312" w:hint="eastAsia"/>
          <w:b/>
          <w:sz w:val="32"/>
          <w:szCs w:val="32"/>
        </w:rPr>
        <w:t>公务用车运行维护费支出</w:t>
      </w:r>
      <w:r w:rsidR="00290BE4">
        <w:rPr>
          <w:rFonts w:ascii="仿宋_GB2312" w:eastAsia="仿宋_GB2312" w:hint="eastAsia"/>
          <w:sz w:val="32"/>
          <w:szCs w:val="32"/>
        </w:rPr>
        <w:t>1.59</w:t>
      </w:r>
      <w:r>
        <w:rPr>
          <w:rFonts w:ascii="仿宋_GB2312" w:eastAsia="仿宋_GB2312" w:hint="eastAsia"/>
          <w:sz w:val="32"/>
          <w:szCs w:val="32"/>
        </w:rPr>
        <w:t>万元。</w:t>
      </w:r>
      <w:r w:rsidR="00290BE4">
        <w:rPr>
          <w:rFonts w:ascii="仿宋_GB2312" w:eastAsia="仿宋_GB2312" w:hint="eastAsia"/>
          <w:color w:val="000000"/>
          <w:sz w:val="32"/>
          <w:szCs w:val="32"/>
        </w:rPr>
        <w:t>主要用于教育宣传等所需的公务用车燃料费、维修费、过路过桥费、保险费等支出。</w:t>
      </w:r>
    </w:p>
    <w:p w:rsidR="00F60C31" w:rsidRDefault="00C93128">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290BE4">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290BE4">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w:t>
      </w:r>
      <w:r w:rsidR="00290BE4">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sidR="00290BE4">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。主要原因是</w:t>
      </w:r>
      <w:r w:rsidR="00290BE4">
        <w:rPr>
          <w:rFonts w:ascii="仿宋_GB2312" w:eastAsia="仿宋_GB2312" w:hint="eastAsia"/>
          <w:sz w:val="32"/>
          <w:szCs w:val="32"/>
        </w:rPr>
        <w:t>未发生</w:t>
      </w:r>
      <w:r>
        <w:rPr>
          <w:rFonts w:ascii="仿宋_GB2312" w:eastAsia="仿宋_GB2312" w:hint="eastAsia"/>
          <w:sz w:val="32"/>
          <w:szCs w:val="32"/>
        </w:rPr>
        <w:t>。其中：</w:t>
      </w:r>
    </w:p>
    <w:p w:rsidR="00F60C31" w:rsidRDefault="00C93128">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290BE4">
        <w:rPr>
          <w:rFonts w:ascii="仿宋" w:eastAsia="仿宋" w:hAnsi="仿宋" w:hint="eastAsia"/>
          <w:sz w:val="32"/>
          <w:szCs w:val="32"/>
        </w:rPr>
        <w:t>0</w:t>
      </w:r>
      <w:r>
        <w:rPr>
          <w:rFonts w:ascii="仿宋_GB2312" w:eastAsia="仿宋_GB2312" w:hint="eastAsia"/>
          <w:sz w:val="32"/>
          <w:szCs w:val="32"/>
        </w:rPr>
        <w:t>万元，主要用于</w:t>
      </w:r>
      <w:r w:rsidR="00290BE4">
        <w:rPr>
          <w:rFonts w:ascii="仿宋_GB2312" w:eastAsia="仿宋_GB2312" w:hint="eastAsia"/>
          <w:sz w:val="32"/>
          <w:szCs w:val="32"/>
        </w:rPr>
        <w:t xml:space="preserve"> </w:t>
      </w:r>
      <w:r>
        <w:rPr>
          <w:rFonts w:ascii="仿宋_GB2312" w:eastAsia="仿宋_GB2312" w:hint="eastAsia"/>
          <w:sz w:val="32"/>
          <w:szCs w:val="32"/>
        </w:rPr>
        <w:t>(执行公务、开展业务活动开支的交通费、住宿费、用餐费等)。国内公务接待</w:t>
      </w:r>
      <w:r w:rsidR="00290BE4">
        <w:rPr>
          <w:rFonts w:ascii="仿宋_GB2312" w:eastAsia="仿宋_GB2312" w:hint="eastAsia"/>
          <w:sz w:val="32"/>
          <w:szCs w:val="32"/>
        </w:rPr>
        <w:t>0</w:t>
      </w:r>
      <w:r>
        <w:rPr>
          <w:rFonts w:ascii="仿宋_GB2312" w:eastAsia="仿宋_GB2312" w:hint="eastAsia"/>
          <w:sz w:val="32"/>
          <w:szCs w:val="32"/>
        </w:rPr>
        <w:t>批次，</w:t>
      </w:r>
      <w:r w:rsidR="00290BE4">
        <w:rPr>
          <w:rFonts w:ascii="仿宋_GB2312" w:eastAsia="仿宋_GB2312" w:hint="eastAsia"/>
          <w:sz w:val="32"/>
          <w:szCs w:val="32"/>
        </w:rPr>
        <w:t>0</w:t>
      </w:r>
      <w:r>
        <w:rPr>
          <w:rFonts w:ascii="仿宋_GB2312" w:eastAsia="仿宋_GB2312" w:hint="eastAsia"/>
          <w:sz w:val="32"/>
          <w:szCs w:val="32"/>
        </w:rPr>
        <w:t>人次（不包括陪同人员），共计支出</w:t>
      </w:r>
      <w:r w:rsidR="00290BE4">
        <w:rPr>
          <w:rFonts w:ascii="仿宋_GB2312" w:eastAsia="仿宋_GB2312" w:hint="eastAsia"/>
          <w:sz w:val="32"/>
          <w:szCs w:val="32"/>
        </w:rPr>
        <w:t>0</w:t>
      </w:r>
      <w:r>
        <w:rPr>
          <w:rFonts w:ascii="仿宋_GB2312" w:eastAsia="仿宋_GB2312" w:hint="eastAsia"/>
          <w:sz w:val="32"/>
          <w:szCs w:val="32"/>
        </w:rPr>
        <w:t>万元。</w:t>
      </w:r>
    </w:p>
    <w:p w:rsidR="00F60C31" w:rsidRPr="00A34515" w:rsidRDefault="00C93128" w:rsidP="00A34515">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290BE4">
        <w:rPr>
          <w:rFonts w:ascii="仿宋" w:eastAsia="仿宋" w:hAnsi="仿宋" w:hint="eastAsia"/>
          <w:sz w:val="32"/>
          <w:szCs w:val="32"/>
        </w:rPr>
        <w:t>0</w:t>
      </w:r>
      <w:r>
        <w:rPr>
          <w:rFonts w:ascii="仿宋_GB2312" w:eastAsia="仿宋_GB2312" w:hint="eastAsia"/>
          <w:sz w:val="32"/>
          <w:szCs w:val="32"/>
        </w:rPr>
        <w:t>万元，外事接待</w:t>
      </w:r>
      <w:r w:rsidR="00290BE4">
        <w:rPr>
          <w:rFonts w:ascii="仿宋_GB2312" w:eastAsia="仿宋_GB2312" w:hint="eastAsia"/>
          <w:sz w:val="32"/>
          <w:szCs w:val="32"/>
        </w:rPr>
        <w:t>0</w:t>
      </w:r>
      <w:r>
        <w:rPr>
          <w:rFonts w:ascii="仿宋_GB2312" w:eastAsia="仿宋_GB2312" w:hint="eastAsia"/>
          <w:sz w:val="32"/>
          <w:szCs w:val="32"/>
        </w:rPr>
        <w:t>批次，</w:t>
      </w:r>
      <w:r w:rsidR="00290BE4">
        <w:rPr>
          <w:rFonts w:ascii="仿宋_GB2312" w:eastAsia="仿宋_GB2312" w:hint="eastAsia"/>
          <w:sz w:val="32"/>
          <w:szCs w:val="32"/>
        </w:rPr>
        <w:t>0</w:t>
      </w:r>
      <w:r>
        <w:rPr>
          <w:rFonts w:ascii="仿宋_GB2312" w:eastAsia="仿宋_GB2312" w:hint="eastAsia"/>
          <w:sz w:val="32"/>
          <w:szCs w:val="32"/>
        </w:rPr>
        <w:t>人，共计支出</w:t>
      </w:r>
      <w:r w:rsidR="00290BE4">
        <w:rPr>
          <w:rFonts w:ascii="仿宋_GB2312" w:eastAsia="仿宋_GB2312" w:hint="eastAsia"/>
          <w:sz w:val="32"/>
          <w:szCs w:val="32"/>
        </w:rPr>
        <w:t>0万元</w:t>
      </w:r>
      <w:r>
        <w:rPr>
          <w:rFonts w:ascii="仿宋_GB2312" w:eastAsia="仿宋_GB2312" w:hint="eastAsia"/>
          <w:sz w:val="32"/>
          <w:szCs w:val="32"/>
        </w:rPr>
        <w:t>。</w:t>
      </w:r>
      <w:bookmarkStart w:id="41" w:name="_Toc15396610"/>
      <w:bookmarkStart w:id="42" w:name="_Toc15377218"/>
    </w:p>
    <w:p w:rsidR="00F60C31" w:rsidRDefault="00C93128">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F60C31" w:rsidRDefault="00C93128" w:rsidP="00A3451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E17DC6">
        <w:rPr>
          <w:rFonts w:ascii="仿宋_GB2312" w:eastAsia="仿宋_GB2312" w:hint="eastAsia"/>
          <w:sz w:val="32"/>
          <w:szCs w:val="32"/>
        </w:rPr>
        <w:t>0</w:t>
      </w:r>
      <w:r>
        <w:rPr>
          <w:rFonts w:ascii="仿宋_GB2312" w:eastAsia="仿宋_GB2312" w:hint="eastAsia"/>
          <w:sz w:val="32"/>
          <w:szCs w:val="32"/>
        </w:rPr>
        <w:t>万元。</w:t>
      </w:r>
    </w:p>
    <w:p w:rsidR="00F60C31" w:rsidRDefault="00C93128">
      <w:pPr>
        <w:numPr>
          <w:ilvl w:val="0"/>
          <w:numId w:val="2"/>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F60C31" w:rsidRPr="00A34515" w:rsidRDefault="00C93128" w:rsidP="00A3451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E17DC6">
        <w:rPr>
          <w:rFonts w:ascii="仿宋_GB2312" w:eastAsia="仿宋_GB2312" w:hint="eastAsia"/>
          <w:sz w:val="32"/>
          <w:szCs w:val="32"/>
        </w:rPr>
        <w:t>0</w:t>
      </w:r>
      <w:r>
        <w:rPr>
          <w:rFonts w:ascii="仿宋_GB2312" w:eastAsia="仿宋_GB2312" w:hint="eastAsia"/>
          <w:sz w:val="32"/>
          <w:szCs w:val="32"/>
        </w:rPr>
        <w:t>万元。</w:t>
      </w:r>
    </w:p>
    <w:p w:rsidR="00F60C31" w:rsidRDefault="00C93128">
      <w:pPr>
        <w:numPr>
          <w:ilvl w:val="0"/>
          <w:numId w:val="2"/>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F60C31" w:rsidRDefault="00C93128">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F60C31" w:rsidRDefault="00C93128">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8F5BB0">
        <w:rPr>
          <w:rFonts w:ascii="仿宋_GB2312" w:eastAsia="仿宋_GB2312" w:hint="eastAsia"/>
          <w:color w:val="000000"/>
          <w:sz w:val="32"/>
          <w:szCs w:val="32"/>
        </w:rPr>
        <w:t>市电化教育（技术装备）中心</w:t>
      </w:r>
      <w:r>
        <w:rPr>
          <w:rFonts w:ascii="仿宋_GB2312" w:eastAsia="仿宋_GB2312" w:hint="eastAsia"/>
          <w:sz w:val="32"/>
          <w:szCs w:val="32"/>
        </w:rPr>
        <w:t>机关运行经费支出</w:t>
      </w:r>
      <w:r w:rsidR="008F5BB0">
        <w:rPr>
          <w:rFonts w:ascii="仿宋_GB2312" w:eastAsia="仿宋_GB2312" w:hint="eastAsia"/>
          <w:sz w:val="32"/>
          <w:szCs w:val="32"/>
        </w:rPr>
        <w:t>0</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w:t>
      </w:r>
      <w:r w:rsidR="008F5BB0">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sidR="008F5BB0">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。主要原因是</w:t>
      </w:r>
      <w:r w:rsidR="008F5BB0">
        <w:rPr>
          <w:rFonts w:ascii="仿宋_GB2312" w:eastAsia="仿宋_GB2312" w:hint="eastAsia"/>
          <w:sz w:val="32"/>
          <w:szCs w:val="32"/>
        </w:rPr>
        <w:t>属全额拨款的事业单位无机关运行经费。</w:t>
      </w:r>
    </w:p>
    <w:p w:rsidR="00F60C31" w:rsidRDefault="00C93128">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lastRenderedPageBreak/>
        <w:t>（二）政府采购支出情况</w:t>
      </w:r>
      <w:bookmarkEnd w:id="48"/>
    </w:p>
    <w:p w:rsidR="00F60C31" w:rsidRDefault="00C93128">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E17DC6">
        <w:rPr>
          <w:rFonts w:ascii="仿宋_GB2312" w:eastAsia="仿宋_GB2312" w:hint="eastAsia"/>
          <w:color w:val="000000"/>
          <w:sz w:val="32"/>
          <w:szCs w:val="32"/>
        </w:rPr>
        <w:t>市电化教育（技术装备）中心</w:t>
      </w:r>
      <w:r>
        <w:rPr>
          <w:rFonts w:ascii="仿宋_GB2312" w:eastAsia="仿宋_GB2312" w:hint="eastAsia"/>
          <w:sz w:val="32"/>
          <w:szCs w:val="32"/>
        </w:rPr>
        <w:t>政府采购支出总额</w:t>
      </w:r>
      <w:r w:rsidR="00E17DC6">
        <w:rPr>
          <w:rFonts w:ascii="仿宋_GB2312" w:eastAsia="仿宋_GB2312" w:hint="eastAsia"/>
          <w:sz w:val="32"/>
          <w:szCs w:val="32"/>
        </w:rPr>
        <w:t>0</w:t>
      </w:r>
      <w:r>
        <w:rPr>
          <w:rFonts w:ascii="仿宋_GB2312" w:eastAsia="仿宋_GB2312" w:hint="eastAsia"/>
          <w:sz w:val="32"/>
          <w:szCs w:val="32"/>
        </w:rPr>
        <w:t>万元，其中：政府采购货物支出</w:t>
      </w:r>
      <w:r w:rsidR="001C2CF9">
        <w:rPr>
          <w:rFonts w:ascii="仿宋_GB2312" w:eastAsia="仿宋_GB2312" w:hint="eastAsia"/>
          <w:sz w:val="32"/>
          <w:szCs w:val="32"/>
        </w:rPr>
        <w:t>0</w:t>
      </w:r>
      <w:r>
        <w:rPr>
          <w:rFonts w:ascii="仿宋_GB2312" w:eastAsia="仿宋_GB2312" w:hint="eastAsia"/>
          <w:sz w:val="32"/>
          <w:szCs w:val="32"/>
        </w:rPr>
        <w:t>万元、政府采购工程支出</w:t>
      </w:r>
      <w:r w:rsidR="001C2CF9">
        <w:rPr>
          <w:rFonts w:ascii="仿宋_GB2312" w:eastAsia="仿宋_GB2312" w:hint="eastAsia"/>
          <w:sz w:val="32"/>
          <w:szCs w:val="32"/>
        </w:rPr>
        <w:t>0</w:t>
      </w:r>
      <w:r>
        <w:rPr>
          <w:rFonts w:ascii="仿宋_GB2312" w:eastAsia="仿宋_GB2312" w:hint="eastAsia"/>
          <w:sz w:val="32"/>
          <w:szCs w:val="32"/>
        </w:rPr>
        <w:t>万元、政府采购服务支出</w:t>
      </w:r>
      <w:r w:rsidR="001C2CF9">
        <w:rPr>
          <w:rFonts w:ascii="仿宋_GB2312" w:eastAsia="仿宋_GB2312" w:hint="eastAsia"/>
          <w:sz w:val="32"/>
          <w:szCs w:val="32"/>
        </w:rPr>
        <w:t>0</w:t>
      </w:r>
      <w:r>
        <w:rPr>
          <w:rFonts w:ascii="仿宋_GB2312" w:eastAsia="仿宋_GB2312" w:hint="eastAsia"/>
          <w:sz w:val="32"/>
          <w:szCs w:val="32"/>
        </w:rPr>
        <w:t>万元。主要用于。授予中小企业合同金额</w:t>
      </w:r>
      <w:r w:rsidR="001C2CF9">
        <w:rPr>
          <w:rFonts w:ascii="仿宋_GB2312" w:eastAsia="仿宋_GB2312" w:hint="eastAsia"/>
          <w:sz w:val="32"/>
          <w:szCs w:val="32"/>
        </w:rPr>
        <w:t>0</w:t>
      </w:r>
      <w:r>
        <w:rPr>
          <w:rFonts w:ascii="仿宋_GB2312" w:eastAsia="仿宋_GB2312" w:hint="eastAsia"/>
          <w:sz w:val="32"/>
          <w:szCs w:val="32"/>
        </w:rPr>
        <w:t>万元，占政府采购支出总额的</w:t>
      </w:r>
      <w:r w:rsidR="001C2CF9">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，其中：授予小微企业合同金额</w:t>
      </w:r>
      <w:r w:rsidR="001C2CF9">
        <w:rPr>
          <w:rFonts w:ascii="仿宋_GB2312" w:eastAsia="仿宋_GB2312" w:hint="eastAsia"/>
          <w:sz w:val="32"/>
          <w:szCs w:val="32"/>
        </w:rPr>
        <w:t>0</w:t>
      </w:r>
      <w:r>
        <w:rPr>
          <w:rFonts w:ascii="仿宋_GB2312" w:eastAsia="仿宋_GB2312" w:hint="eastAsia"/>
          <w:sz w:val="32"/>
          <w:szCs w:val="32"/>
        </w:rPr>
        <w:t>万元，占政府采购支出总额的</w:t>
      </w:r>
      <w:r w:rsidR="001C2CF9">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F60C31" w:rsidRDefault="00C93128">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F60C31" w:rsidRDefault="00C93128">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FE7C55">
        <w:rPr>
          <w:rFonts w:ascii="仿宋_GB2312" w:eastAsia="仿宋_GB2312" w:hint="eastAsia"/>
          <w:color w:val="000000"/>
          <w:sz w:val="32"/>
          <w:szCs w:val="32"/>
        </w:rPr>
        <w:t>市电化教育（技术装备）中心</w:t>
      </w:r>
      <w:r>
        <w:rPr>
          <w:rFonts w:ascii="仿宋_GB2312" w:eastAsia="仿宋_GB2312" w:hint="eastAsia"/>
          <w:sz w:val="32"/>
          <w:szCs w:val="32"/>
        </w:rPr>
        <w:t>共有车辆</w:t>
      </w:r>
      <w:r w:rsidR="008D0DD5">
        <w:rPr>
          <w:rFonts w:ascii="仿宋_GB2312" w:eastAsia="仿宋_GB2312" w:hint="eastAsia"/>
          <w:sz w:val="32"/>
          <w:szCs w:val="32"/>
        </w:rPr>
        <w:t>1</w:t>
      </w:r>
      <w:r>
        <w:rPr>
          <w:rFonts w:ascii="仿宋_GB2312" w:eastAsia="仿宋_GB2312" w:hint="eastAsia"/>
          <w:sz w:val="32"/>
          <w:szCs w:val="32"/>
        </w:rPr>
        <w:t>辆，其中：主要领导干部用车</w:t>
      </w:r>
      <w:r w:rsidR="008D0DD5">
        <w:rPr>
          <w:rFonts w:ascii="仿宋_GB2312" w:eastAsia="仿宋_GB2312" w:hint="eastAsia"/>
          <w:sz w:val="32"/>
          <w:szCs w:val="32"/>
        </w:rPr>
        <w:t>0</w:t>
      </w:r>
      <w:r>
        <w:rPr>
          <w:rFonts w:ascii="仿宋_GB2312" w:eastAsia="仿宋_GB2312" w:hint="eastAsia"/>
          <w:sz w:val="32"/>
          <w:szCs w:val="32"/>
        </w:rPr>
        <w:t>辆、机要通信用车</w:t>
      </w:r>
      <w:r w:rsidR="008D0DD5">
        <w:rPr>
          <w:rFonts w:ascii="仿宋_GB2312" w:eastAsia="仿宋_GB2312" w:hint="eastAsia"/>
          <w:sz w:val="32"/>
          <w:szCs w:val="32"/>
        </w:rPr>
        <w:t>0</w:t>
      </w:r>
      <w:r>
        <w:rPr>
          <w:rFonts w:ascii="仿宋_GB2312" w:eastAsia="仿宋_GB2312" w:hint="eastAsia"/>
          <w:sz w:val="32"/>
          <w:szCs w:val="32"/>
        </w:rPr>
        <w:t>辆、应急保障用车</w:t>
      </w:r>
      <w:r w:rsidR="008D0DD5">
        <w:rPr>
          <w:rFonts w:ascii="仿宋_GB2312" w:eastAsia="仿宋_GB2312" w:hint="eastAsia"/>
          <w:sz w:val="32"/>
          <w:szCs w:val="32"/>
        </w:rPr>
        <w:t>0</w:t>
      </w:r>
      <w:r>
        <w:rPr>
          <w:rFonts w:ascii="仿宋_GB2312" w:eastAsia="仿宋_GB2312" w:hint="eastAsia"/>
          <w:sz w:val="32"/>
          <w:szCs w:val="32"/>
        </w:rPr>
        <w:t>辆、其他用车</w:t>
      </w:r>
      <w:r w:rsidR="008D0DD5">
        <w:rPr>
          <w:rFonts w:ascii="仿宋_GB2312" w:eastAsia="仿宋_GB2312" w:hint="eastAsia"/>
          <w:sz w:val="32"/>
          <w:szCs w:val="32"/>
        </w:rPr>
        <w:t>1</w:t>
      </w:r>
      <w:r>
        <w:rPr>
          <w:rFonts w:ascii="仿宋_GB2312" w:eastAsia="仿宋_GB2312" w:hint="eastAsia"/>
          <w:sz w:val="32"/>
          <w:szCs w:val="32"/>
        </w:rPr>
        <w:t>辆</w:t>
      </w:r>
      <w:r w:rsidR="008D0DD5">
        <w:rPr>
          <w:rFonts w:ascii="仿宋_GB2312" w:eastAsia="仿宋_GB2312" w:hint="eastAsia"/>
          <w:sz w:val="32"/>
          <w:szCs w:val="32"/>
        </w:rPr>
        <w:t>，</w:t>
      </w:r>
      <w:r>
        <w:rPr>
          <w:rFonts w:ascii="仿宋_GB2312" w:eastAsia="仿宋_GB2312" w:hint="eastAsia"/>
          <w:sz w:val="32"/>
          <w:szCs w:val="32"/>
        </w:rPr>
        <w:t>其他用车主要是用于</w:t>
      </w:r>
      <w:r w:rsidR="008D0DD5">
        <w:rPr>
          <w:rFonts w:ascii="仿宋_GB2312" w:eastAsia="仿宋_GB2312" w:hint="eastAsia"/>
          <w:color w:val="000000"/>
          <w:sz w:val="32"/>
          <w:szCs w:val="32"/>
        </w:rPr>
        <w:t>教育体育宣传、教育和体育常规工作。</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8D0DD5">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8D0DD5">
        <w:rPr>
          <w:rFonts w:ascii="仿宋_GB2312" w:eastAsia="仿宋_GB2312" w:hint="eastAsia"/>
          <w:sz w:val="32"/>
          <w:szCs w:val="32"/>
        </w:rPr>
        <w:t>0</w:t>
      </w:r>
      <w:r>
        <w:rPr>
          <w:rFonts w:ascii="仿宋_GB2312" w:eastAsia="仿宋_GB2312" w:hint="eastAsia"/>
          <w:sz w:val="32"/>
          <w:szCs w:val="32"/>
        </w:rPr>
        <w:t>台（套）。</w:t>
      </w:r>
    </w:p>
    <w:p w:rsidR="00F60C31" w:rsidRDefault="00C93128">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F60C31" w:rsidRDefault="00C9312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w:t>
      </w:r>
      <w:r w:rsidR="00981D88">
        <w:rPr>
          <w:rFonts w:ascii="仿宋_GB2312" w:eastAsia="仿宋_GB2312" w:hAnsi="仿宋_GB2312" w:cs="仿宋_GB2312" w:hint="eastAsia"/>
          <w:sz w:val="32"/>
          <w:szCs w:val="32"/>
        </w:rPr>
        <w:t>1</w:t>
      </w:r>
      <w:r w:rsidR="00CB3A5C" w:rsidRPr="00CB3A5C">
        <w:rPr>
          <w:rFonts w:ascii="仿宋_GB2312" w:eastAsia="仿宋_GB2312" w:hAnsi="仿宋_GB2312" w:cs="仿宋_GB2312" w:hint="eastAsia"/>
          <w:sz w:val="32"/>
          <w:szCs w:val="32"/>
        </w:rPr>
        <w:t>市电化教育（技术装备）经费</w:t>
      </w:r>
      <w:r>
        <w:rPr>
          <w:rFonts w:ascii="仿宋_GB2312" w:eastAsia="仿宋_GB2312" w:hAnsi="仿宋_GB2312" w:cs="仿宋_GB2312" w:hint="eastAsia"/>
          <w:sz w:val="32"/>
          <w:szCs w:val="32"/>
        </w:rPr>
        <w:t>项目开展了预算事前绩效评估，对</w:t>
      </w:r>
      <w:r w:rsidR="00981D8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个项目编制了绩效目标，预算执行过程中，选取</w:t>
      </w:r>
      <w:r w:rsidR="00981D8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个项目开展绩效监控，年终执行完毕后，对</w:t>
      </w:r>
      <w:r w:rsidR="00981D8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个项目开展了绩效自评，2021年特定目标类部门预算项目绩效目标自评表见附件（第四部分）。</w:t>
      </w:r>
    </w:p>
    <w:p w:rsidR="00F60C31" w:rsidRDefault="00F60C31" w:rsidP="00F3574D">
      <w:pPr>
        <w:pStyle w:val="a0"/>
        <w:spacing w:before="93"/>
        <w:rPr>
          <w:highlight w:val="yellow"/>
        </w:rPr>
      </w:pPr>
    </w:p>
    <w:p w:rsidR="00F60C31" w:rsidRDefault="00C93128">
      <w:pPr>
        <w:widowControl/>
        <w:jc w:val="left"/>
        <w:rPr>
          <w:rFonts w:ascii="仿宋_GB2312" w:eastAsia="仿宋_GB2312"/>
          <w:b/>
          <w:sz w:val="32"/>
          <w:szCs w:val="32"/>
        </w:rPr>
      </w:pPr>
      <w:r>
        <w:rPr>
          <w:rFonts w:ascii="仿宋_GB2312" w:eastAsia="仿宋_GB2312"/>
          <w:b/>
          <w:sz w:val="32"/>
          <w:szCs w:val="32"/>
        </w:rPr>
        <w:br w:type="page"/>
      </w:r>
    </w:p>
    <w:p w:rsidR="00F60C31" w:rsidRDefault="00C93128">
      <w:pPr>
        <w:numPr>
          <w:ilvl w:val="0"/>
          <w:numId w:val="3"/>
        </w:numPr>
        <w:spacing w:line="600" w:lineRule="exact"/>
        <w:ind w:firstLineChars="150" w:firstLine="660"/>
        <w:jc w:val="center"/>
        <w:outlineLvl w:val="0"/>
        <w:rPr>
          <w:rStyle w:val="1Char"/>
          <w:rFonts w:ascii="黑体" w:eastAsia="黑体" w:hAnsi="黑体"/>
          <w:b w:val="0"/>
        </w:rPr>
      </w:pPr>
      <w:bookmarkStart w:id="50" w:name="_Toc15396613"/>
      <w:bookmarkStart w:id="51"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F60C31" w:rsidRDefault="00F60C31">
      <w:pPr>
        <w:spacing w:line="600" w:lineRule="exact"/>
        <w:jc w:val="left"/>
        <w:rPr>
          <w:rFonts w:ascii="宋体"/>
          <w:b/>
          <w:sz w:val="44"/>
          <w:szCs w:val="44"/>
        </w:rPr>
      </w:pPr>
    </w:p>
    <w:p w:rsidR="00981D88" w:rsidRDefault="00981D88" w:rsidP="00981D88">
      <w:pPr>
        <w:ind w:firstLineChars="200" w:firstLine="640"/>
        <w:rPr>
          <w:rFonts w:ascii="仿宋_GB2312" w:eastAsia="仿宋_GB2312"/>
          <w:sz w:val="32"/>
          <w:szCs w:val="32"/>
        </w:rPr>
      </w:pPr>
      <w:r>
        <w:rPr>
          <w:rFonts w:ascii="仿宋_GB2312" w:eastAsia="仿宋_GB2312" w:hint="eastAsia"/>
          <w:sz w:val="32"/>
          <w:szCs w:val="32"/>
        </w:rPr>
        <w:t>1.财政拨款收入：指单位从同级财政部门取得的财政预算资金。</w:t>
      </w:r>
    </w:p>
    <w:p w:rsidR="00981D88" w:rsidRDefault="00981D88" w:rsidP="00981D88">
      <w:pPr>
        <w:ind w:firstLineChars="200" w:firstLine="640"/>
        <w:rPr>
          <w:rFonts w:ascii="仿宋_GB2312" w:eastAsia="仿宋_GB2312"/>
          <w:sz w:val="32"/>
          <w:szCs w:val="32"/>
        </w:rPr>
      </w:pPr>
      <w:r>
        <w:rPr>
          <w:rFonts w:ascii="仿宋_GB2312" w:eastAsia="仿宋_GB2312" w:hint="eastAsia"/>
          <w:sz w:val="32"/>
          <w:szCs w:val="32"/>
        </w:rPr>
        <w:t xml:space="preserve">2.其他收入：指单位取得的除上述收入以外的各项收入。主要是利息收入、除财政外其他相关单位拨款等。 </w:t>
      </w:r>
    </w:p>
    <w:p w:rsidR="00981D88" w:rsidRDefault="00981D88" w:rsidP="00981D88">
      <w:pPr>
        <w:ind w:firstLineChars="200" w:firstLine="640"/>
        <w:rPr>
          <w:rFonts w:ascii="仿宋_GB2312" w:eastAsia="仿宋_GB2312"/>
          <w:sz w:val="32"/>
          <w:szCs w:val="32"/>
        </w:rPr>
      </w:pPr>
      <w:r>
        <w:rPr>
          <w:rFonts w:ascii="仿宋_GB2312" w:eastAsia="仿宋_GB2312" w:hint="eastAsia"/>
          <w:sz w:val="32"/>
          <w:szCs w:val="32"/>
        </w:rPr>
        <w:t>3.年初结转和结余：指以前年度尚未完成、结转到本年按有关规定继续使用的资金。</w:t>
      </w:r>
    </w:p>
    <w:p w:rsidR="00981D88" w:rsidRDefault="00981D88" w:rsidP="00981D88">
      <w:pPr>
        <w:ind w:firstLineChars="200" w:firstLine="640"/>
        <w:rPr>
          <w:rFonts w:ascii="仿宋_GB2312" w:eastAsia="仿宋_GB2312"/>
          <w:sz w:val="32"/>
          <w:szCs w:val="32"/>
        </w:rPr>
      </w:pPr>
      <w:r>
        <w:rPr>
          <w:rFonts w:ascii="仿宋_GB2312" w:eastAsia="仿宋_GB2312" w:hint="eastAsia"/>
          <w:sz w:val="32"/>
          <w:szCs w:val="32"/>
        </w:rPr>
        <w:t>4.年末结转和结余：指单位按有关规定结转到下年或以后年度继续使用的资金。</w:t>
      </w:r>
    </w:p>
    <w:p w:rsidR="00981D88" w:rsidRDefault="00981D88" w:rsidP="00981D88">
      <w:pPr>
        <w:ind w:firstLineChars="200" w:firstLine="640"/>
        <w:rPr>
          <w:rFonts w:ascii="仿宋_GB2312" w:eastAsia="仿宋_GB2312"/>
          <w:sz w:val="32"/>
          <w:szCs w:val="32"/>
        </w:rPr>
      </w:pPr>
      <w:r>
        <w:rPr>
          <w:rFonts w:ascii="仿宋_GB2312" w:eastAsia="仿宋_GB2312" w:hint="eastAsia"/>
          <w:sz w:val="32"/>
          <w:szCs w:val="32"/>
        </w:rPr>
        <w:t>5.教育（类）教育附加安排的支出（款）其他教育附加安排的支出（项）:反映除农村中小学校舍建设、农村中小学教学设施、城市中小学校舍建设、城市中小学教学设施、中等职业学校教学设施以外的教育费附加支出。教育（类）其他教育支出（款）其他教育支出（项）：其他用于教育方面的支出。</w:t>
      </w:r>
    </w:p>
    <w:p w:rsidR="00981D88" w:rsidRDefault="00981D88" w:rsidP="00981D88">
      <w:pPr>
        <w:widowControl/>
        <w:spacing w:line="560" w:lineRule="exact"/>
        <w:ind w:firstLine="660"/>
        <w:rPr>
          <w:rFonts w:ascii="仿宋_GB2312" w:eastAsia="仿宋_GB2312" w:cs="仿宋_GB2312"/>
          <w:sz w:val="32"/>
          <w:szCs w:val="32"/>
        </w:rPr>
      </w:pPr>
      <w:r>
        <w:rPr>
          <w:rFonts w:ascii="仿宋" w:eastAsia="仿宋" w:hAnsi="仿宋" w:cs="仿宋_GB2312" w:hint="eastAsia"/>
          <w:sz w:val="32"/>
          <w:szCs w:val="32"/>
        </w:rPr>
        <w:t>6.社会保障和就业（类）行政事业单位离退休（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以及丧葬补助费。</w:t>
      </w:r>
    </w:p>
    <w:p w:rsidR="00981D88" w:rsidRDefault="00981D88" w:rsidP="00981D88">
      <w:pPr>
        <w:widowControl/>
        <w:spacing w:line="560" w:lineRule="exact"/>
        <w:ind w:firstLine="660"/>
        <w:rPr>
          <w:rFonts w:ascii="仿宋_GB2312" w:eastAsia="仿宋_GB2312"/>
          <w:color w:val="000000"/>
          <w:sz w:val="32"/>
          <w:szCs w:val="32"/>
        </w:rPr>
      </w:pPr>
      <w:r>
        <w:rPr>
          <w:rFonts w:ascii="仿宋" w:eastAsia="仿宋" w:hAnsi="仿宋" w:cs="仿宋_GB2312" w:hint="eastAsia"/>
          <w:sz w:val="32"/>
          <w:szCs w:val="32"/>
        </w:rPr>
        <w:lastRenderedPageBreak/>
        <w:t>7.住房保障（类）住房改革支出（款）住房公积金（项）：指反映行政事业单位按人力资源和社会保障部、财政部规定的基本工资和津贴补贴以及规定比列为职工缴纳的住房公积金</w:t>
      </w:r>
    </w:p>
    <w:p w:rsidR="00F60C31" w:rsidRDefault="00981D88">
      <w:pPr>
        <w:ind w:firstLineChars="200" w:firstLine="640"/>
        <w:rPr>
          <w:rFonts w:ascii="仿宋_GB2312" w:eastAsia="仿宋_GB2312"/>
          <w:sz w:val="32"/>
          <w:szCs w:val="32"/>
        </w:rPr>
      </w:pPr>
      <w:r>
        <w:rPr>
          <w:rFonts w:ascii="仿宋_GB2312" w:eastAsia="仿宋_GB2312" w:hint="eastAsia"/>
          <w:sz w:val="32"/>
          <w:szCs w:val="32"/>
        </w:rPr>
        <w:t>8</w:t>
      </w:r>
      <w:r w:rsidR="00C93128">
        <w:rPr>
          <w:rFonts w:ascii="仿宋_GB2312" w:eastAsia="仿宋_GB2312"/>
          <w:sz w:val="32"/>
          <w:szCs w:val="32"/>
        </w:rPr>
        <w:t>.</w:t>
      </w:r>
      <w:r w:rsidR="00C93128">
        <w:rPr>
          <w:rFonts w:ascii="仿宋_GB2312" w:eastAsia="仿宋_GB2312" w:hint="eastAsia"/>
          <w:sz w:val="32"/>
          <w:szCs w:val="32"/>
        </w:rPr>
        <w:t>基本支出：指为保障机构正常运转、完成日常工作任务而发生的人员支出和公用支出。</w:t>
      </w:r>
    </w:p>
    <w:p w:rsidR="00F60C31" w:rsidRDefault="00981D88">
      <w:pPr>
        <w:ind w:firstLineChars="200" w:firstLine="640"/>
        <w:rPr>
          <w:rFonts w:ascii="仿宋_GB2312" w:eastAsia="仿宋_GB2312"/>
          <w:sz w:val="32"/>
          <w:szCs w:val="32"/>
        </w:rPr>
      </w:pPr>
      <w:r>
        <w:rPr>
          <w:rFonts w:ascii="仿宋_GB2312" w:eastAsia="仿宋_GB2312" w:hint="eastAsia"/>
          <w:sz w:val="32"/>
          <w:szCs w:val="32"/>
        </w:rPr>
        <w:t>9</w:t>
      </w:r>
      <w:r w:rsidR="00C93128">
        <w:rPr>
          <w:rFonts w:ascii="仿宋_GB2312" w:eastAsia="仿宋_GB2312"/>
          <w:sz w:val="32"/>
          <w:szCs w:val="32"/>
        </w:rPr>
        <w:t>.</w:t>
      </w:r>
      <w:r w:rsidR="00C93128">
        <w:rPr>
          <w:rFonts w:ascii="仿宋_GB2312" w:eastAsia="仿宋_GB2312" w:hint="eastAsia"/>
          <w:sz w:val="32"/>
          <w:szCs w:val="32"/>
        </w:rPr>
        <w:t>项目支出：指在基本支出之外为完成特定行政任务和事业发展目标所发生的支出。</w:t>
      </w:r>
      <w:r w:rsidR="00C93128">
        <w:rPr>
          <w:rFonts w:ascii="仿宋_GB2312" w:eastAsia="仿宋_GB2312"/>
          <w:sz w:val="32"/>
          <w:szCs w:val="32"/>
        </w:rPr>
        <w:t xml:space="preserve"> </w:t>
      </w:r>
    </w:p>
    <w:p w:rsidR="00F60C31" w:rsidRDefault="00981D8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w:t>
      </w:r>
      <w:r w:rsidR="00C93128">
        <w:rPr>
          <w:rFonts w:ascii="仿宋_GB2312" w:eastAsia="仿宋_GB2312"/>
          <w:color w:val="auto"/>
          <w:sz w:val="32"/>
          <w:szCs w:val="32"/>
        </w:rPr>
        <w:t>.</w:t>
      </w:r>
      <w:r w:rsidR="00C93128">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60C31" w:rsidRDefault="00981D8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11</w:t>
      </w:r>
      <w:r w:rsidR="00C93128">
        <w:rPr>
          <w:rFonts w:ascii="仿宋_GB2312" w:eastAsia="仿宋_GB2312"/>
          <w:color w:val="auto"/>
          <w:sz w:val="32"/>
          <w:szCs w:val="32"/>
        </w:rPr>
        <w:t>.</w:t>
      </w:r>
      <w:r w:rsidR="00C93128">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60C31" w:rsidRDefault="00C93128">
      <w:pPr>
        <w:spacing w:line="600" w:lineRule="exact"/>
        <w:jc w:val="center"/>
        <w:outlineLvl w:val="0"/>
        <w:rPr>
          <w:rStyle w:val="1Char"/>
          <w:rFonts w:ascii="黑体" w:eastAsia="黑体" w:hAnsi="黑体"/>
          <w:b w:val="0"/>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3"/>
    </w:p>
    <w:p w:rsidR="00F60C31" w:rsidRPr="00E0150A" w:rsidRDefault="00E0150A" w:rsidP="00E0150A">
      <w:pPr>
        <w:spacing w:line="572" w:lineRule="exact"/>
        <w:jc w:val="center"/>
        <w:outlineLvl w:val="0"/>
        <w:rPr>
          <w:rFonts w:asciiTheme="majorEastAsia" w:eastAsiaTheme="majorEastAsia" w:hAnsiTheme="majorEastAsia" w:cs="黑体"/>
          <w:b/>
          <w:sz w:val="32"/>
          <w:szCs w:val="32"/>
        </w:rPr>
      </w:pPr>
      <w:r w:rsidRPr="00E0150A">
        <w:rPr>
          <w:rFonts w:asciiTheme="majorEastAsia" w:eastAsiaTheme="majorEastAsia" w:hAnsiTheme="majorEastAsia" w:cs="仿宋_GB2312" w:hint="eastAsia"/>
          <w:b/>
          <w:sz w:val="36"/>
          <w:szCs w:val="36"/>
        </w:rPr>
        <w:t>2021年特定目标类部门预算项目绩效目标自评表</w:t>
      </w:r>
    </w:p>
    <w:tbl>
      <w:tblPr>
        <w:tblW w:w="9215" w:type="dxa"/>
        <w:tblInd w:w="-318" w:type="dxa"/>
        <w:tblLayout w:type="fixed"/>
        <w:tblLook w:val="04A0" w:firstRow="1" w:lastRow="0" w:firstColumn="1" w:lastColumn="0" w:noHBand="0" w:noVBand="1"/>
      </w:tblPr>
      <w:tblGrid>
        <w:gridCol w:w="993"/>
        <w:gridCol w:w="668"/>
        <w:gridCol w:w="130"/>
        <w:gridCol w:w="1191"/>
        <w:gridCol w:w="138"/>
        <w:gridCol w:w="1984"/>
        <w:gridCol w:w="1550"/>
        <w:gridCol w:w="435"/>
        <w:gridCol w:w="2126"/>
      </w:tblGrid>
      <w:tr w:rsidR="00014C0B" w:rsidRPr="00014C0B" w:rsidTr="00E0150A">
        <w:trPr>
          <w:trHeight w:val="663"/>
        </w:trPr>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bookmarkStart w:id="54" w:name="_Toc15396618"/>
            <w:r w:rsidRPr="00014C0B">
              <w:rPr>
                <w:rFonts w:ascii="宋体" w:hAnsi="宋体" w:cs="宋体" w:hint="eastAsia"/>
                <w:color w:val="000000"/>
                <w:kern w:val="0"/>
                <w:sz w:val="24"/>
              </w:rPr>
              <w:t>主管部门及代码</w:t>
            </w:r>
          </w:p>
        </w:tc>
        <w:tc>
          <w:tcPr>
            <w:tcW w:w="3443" w:type="dxa"/>
            <w:gridSpan w:val="4"/>
            <w:tcBorders>
              <w:top w:val="single" w:sz="4" w:space="0" w:color="auto"/>
              <w:left w:val="nil"/>
              <w:bottom w:val="single" w:sz="4" w:space="0" w:color="auto"/>
              <w:right w:val="single" w:sz="4" w:space="0" w:color="auto"/>
            </w:tcBorders>
            <w:shd w:val="clear" w:color="auto" w:fill="auto"/>
            <w:vAlign w:val="center"/>
            <w:hideMark/>
          </w:tcPr>
          <w:p w:rsidR="00014C0B" w:rsidRPr="00014C0B" w:rsidRDefault="00014C0B" w:rsidP="00014C0B">
            <w:pPr>
              <w:widowControl/>
              <w:rPr>
                <w:rFonts w:ascii="宋体" w:hAnsi="宋体" w:cs="宋体"/>
                <w:color w:val="000000"/>
                <w:kern w:val="0"/>
                <w:sz w:val="24"/>
              </w:rPr>
            </w:pPr>
            <w:r w:rsidRPr="00014C0B">
              <w:rPr>
                <w:rFonts w:ascii="宋体" w:hAnsi="宋体" w:cs="宋体" w:hint="eastAsia"/>
                <w:color w:val="000000"/>
                <w:kern w:val="0"/>
                <w:sz w:val="24"/>
              </w:rPr>
              <w:t>攀枝花市教育和体育局</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实施单位</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攀枝花市电化教育（技术装备）中心</w:t>
            </w:r>
          </w:p>
        </w:tc>
      </w:tr>
      <w:tr w:rsidR="00014C0B" w:rsidRPr="00014C0B" w:rsidTr="00E0150A">
        <w:trPr>
          <w:trHeight w:val="572"/>
        </w:trPr>
        <w:tc>
          <w:tcPr>
            <w:tcW w:w="16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项目预算         执行情况        （万元）</w:t>
            </w:r>
          </w:p>
        </w:tc>
        <w:tc>
          <w:tcPr>
            <w:tcW w:w="1321"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color w:val="000000"/>
                <w:kern w:val="0"/>
                <w:sz w:val="24"/>
              </w:rPr>
            </w:pPr>
            <w:r w:rsidRPr="00014C0B">
              <w:rPr>
                <w:rFonts w:ascii="宋体" w:hAnsi="宋体" w:cs="宋体" w:hint="eastAsia"/>
                <w:color w:val="000000"/>
                <w:kern w:val="0"/>
                <w:sz w:val="24"/>
              </w:rPr>
              <w:t xml:space="preserve"> 预算数：</w:t>
            </w:r>
          </w:p>
        </w:tc>
        <w:tc>
          <w:tcPr>
            <w:tcW w:w="2122"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359.57</w:t>
            </w:r>
          </w:p>
        </w:tc>
        <w:tc>
          <w:tcPr>
            <w:tcW w:w="1550"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color w:val="000000"/>
                <w:kern w:val="0"/>
                <w:sz w:val="24"/>
              </w:rPr>
            </w:pPr>
            <w:r w:rsidRPr="00014C0B">
              <w:rPr>
                <w:rFonts w:ascii="宋体" w:hAnsi="宋体" w:cs="宋体" w:hint="eastAsia"/>
                <w:color w:val="000000"/>
                <w:kern w:val="0"/>
                <w:sz w:val="24"/>
              </w:rPr>
              <w:t xml:space="preserve"> 执行数：</w:t>
            </w:r>
          </w:p>
        </w:tc>
        <w:tc>
          <w:tcPr>
            <w:tcW w:w="2561"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359.57</w:t>
            </w:r>
          </w:p>
        </w:tc>
      </w:tr>
      <w:tr w:rsidR="00014C0B" w:rsidRPr="00014C0B" w:rsidTr="00E0150A">
        <w:trPr>
          <w:trHeight w:val="313"/>
        </w:trPr>
        <w:tc>
          <w:tcPr>
            <w:tcW w:w="1661" w:type="dxa"/>
            <w:gridSpan w:val="2"/>
            <w:vMerge/>
            <w:tcBorders>
              <w:top w:val="single" w:sz="4" w:space="0" w:color="auto"/>
              <w:left w:val="single" w:sz="4" w:space="0" w:color="auto"/>
              <w:bottom w:val="single" w:sz="4" w:space="0" w:color="000000"/>
              <w:right w:val="single" w:sz="4" w:space="0" w:color="000000"/>
            </w:tcBorders>
            <w:vAlign w:val="center"/>
            <w:hideMark/>
          </w:tcPr>
          <w:p w:rsidR="00014C0B" w:rsidRPr="00014C0B" w:rsidRDefault="00014C0B" w:rsidP="00014C0B">
            <w:pPr>
              <w:widowControl/>
              <w:jc w:val="left"/>
              <w:rPr>
                <w:rFonts w:ascii="宋体" w:hAnsi="宋体" w:cs="宋体"/>
                <w:color w:val="000000"/>
                <w:kern w:val="0"/>
                <w:sz w:val="24"/>
              </w:rPr>
            </w:pPr>
          </w:p>
        </w:tc>
        <w:tc>
          <w:tcPr>
            <w:tcW w:w="13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left"/>
              <w:rPr>
                <w:rFonts w:ascii="宋体" w:hAnsi="宋体" w:cs="宋体"/>
                <w:color w:val="000000"/>
                <w:kern w:val="0"/>
                <w:sz w:val="24"/>
              </w:rPr>
            </w:pPr>
            <w:r w:rsidRPr="00014C0B">
              <w:rPr>
                <w:rFonts w:ascii="宋体" w:hAnsi="宋体" w:cs="宋体" w:hint="eastAsia"/>
                <w:color w:val="000000"/>
                <w:kern w:val="0"/>
                <w:sz w:val="24"/>
              </w:rPr>
              <w:t>其中：       财政拨款</w:t>
            </w:r>
          </w:p>
        </w:tc>
        <w:tc>
          <w:tcPr>
            <w:tcW w:w="21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359.57</w:t>
            </w:r>
          </w:p>
        </w:tc>
        <w:tc>
          <w:tcPr>
            <w:tcW w:w="1550" w:type="dxa"/>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left"/>
              <w:rPr>
                <w:rFonts w:ascii="宋体" w:hAnsi="宋体" w:cs="宋体"/>
                <w:color w:val="000000"/>
                <w:kern w:val="0"/>
                <w:sz w:val="24"/>
              </w:rPr>
            </w:pPr>
            <w:r w:rsidRPr="00014C0B">
              <w:rPr>
                <w:rFonts w:ascii="宋体" w:hAnsi="宋体" w:cs="宋体" w:hint="eastAsia"/>
                <w:color w:val="000000"/>
                <w:kern w:val="0"/>
                <w:sz w:val="24"/>
              </w:rPr>
              <w:t>其中：          财政拨款</w:t>
            </w:r>
          </w:p>
        </w:tc>
        <w:tc>
          <w:tcPr>
            <w:tcW w:w="25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359.57</w:t>
            </w:r>
          </w:p>
        </w:tc>
      </w:tr>
      <w:tr w:rsidR="00014C0B" w:rsidRPr="00014C0B" w:rsidTr="00E0150A">
        <w:trPr>
          <w:trHeight w:val="313"/>
        </w:trPr>
        <w:tc>
          <w:tcPr>
            <w:tcW w:w="1661" w:type="dxa"/>
            <w:gridSpan w:val="2"/>
            <w:vMerge/>
            <w:tcBorders>
              <w:top w:val="single" w:sz="4" w:space="0" w:color="auto"/>
              <w:left w:val="single" w:sz="4" w:space="0" w:color="auto"/>
              <w:bottom w:val="single" w:sz="4" w:space="0" w:color="000000"/>
              <w:right w:val="single" w:sz="4" w:space="0" w:color="000000"/>
            </w:tcBorders>
            <w:vAlign w:val="center"/>
            <w:hideMark/>
          </w:tcPr>
          <w:p w:rsidR="00014C0B" w:rsidRPr="00014C0B" w:rsidRDefault="00014C0B" w:rsidP="00014C0B">
            <w:pPr>
              <w:widowControl/>
              <w:jc w:val="left"/>
              <w:rPr>
                <w:rFonts w:ascii="宋体" w:hAnsi="宋体" w:cs="宋体"/>
                <w:color w:val="000000"/>
                <w:kern w:val="0"/>
                <w:sz w:val="24"/>
              </w:rPr>
            </w:pPr>
          </w:p>
        </w:tc>
        <w:tc>
          <w:tcPr>
            <w:tcW w:w="1321"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宋体" w:hAnsi="宋体" w:cs="宋体"/>
                <w:color w:val="000000"/>
                <w:kern w:val="0"/>
                <w:sz w:val="24"/>
              </w:rPr>
            </w:pPr>
          </w:p>
        </w:tc>
        <w:tc>
          <w:tcPr>
            <w:tcW w:w="2122" w:type="dxa"/>
            <w:gridSpan w:val="2"/>
            <w:vMerge/>
            <w:tcBorders>
              <w:top w:val="nil"/>
              <w:left w:val="single" w:sz="4" w:space="0" w:color="auto"/>
              <w:bottom w:val="single" w:sz="4" w:space="0" w:color="auto"/>
              <w:right w:val="single" w:sz="4" w:space="0" w:color="auto"/>
            </w:tcBorders>
            <w:vAlign w:val="center"/>
            <w:hideMark/>
          </w:tcPr>
          <w:p w:rsidR="00014C0B" w:rsidRPr="00014C0B" w:rsidRDefault="00014C0B" w:rsidP="00014C0B">
            <w:pPr>
              <w:widowControl/>
              <w:jc w:val="left"/>
              <w:rPr>
                <w:rFonts w:ascii="宋体" w:hAnsi="宋体" w:cs="宋体"/>
                <w:color w:val="000000"/>
                <w:kern w:val="0"/>
                <w:sz w:val="24"/>
              </w:rPr>
            </w:pPr>
          </w:p>
        </w:tc>
        <w:tc>
          <w:tcPr>
            <w:tcW w:w="1550"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宋体" w:hAnsi="宋体" w:cs="宋体"/>
                <w:color w:val="000000"/>
                <w:kern w:val="0"/>
                <w:sz w:val="24"/>
              </w:rPr>
            </w:pPr>
          </w:p>
        </w:tc>
        <w:tc>
          <w:tcPr>
            <w:tcW w:w="2561" w:type="dxa"/>
            <w:gridSpan w:val="2"/>
            <w:vMerge/>
            <w:tcBorders>
              <w:top w:val="nil"/>
              <w:left w:val="single" w:sz="4" w:space="0" w:color="auto"/>
              <w:bottom w:val="single" w:sz="4" w:space="0" w:color="auto"/>
              <w:right w:val="single" w:sz="4" w:space="0" w:color="auto"/>
            </w:tcBorders>
            <w:vAlign w:val="center"/>
            <w:hideMark/>
          </w:tcPr>
          <w:p w:rsidR="00014C0B" w:rsidRPr="00014C0B" w:rsidRDefault="00014C0B" w:rsidP="00014C0B">
            <w:pPr>
              <w:widowControl/>
              <w:jc w:val="left"/>
              <w:rPr>
                <w:rFonts w:ascii="宋体" w:hAnsi="宋体" w:cs="宋体"/>
                <w:color w:val="000000"/>
                <w:kern w:val="0"/>
                <w:sz w:val="24"/>
              </w:rPr>
            </w:pPr>
          </w:p>
        </w:tc>
      </w:tr>
      <w:tr w:rsidR="00014C0B" w:rsidRPr="00014C0B" w:rsidTr="00E0150A">
        <w:trPr>
          <w:trHeight w:val="618"/>
        </w:trPr>
        <w:tc>
          <w:tcPr>
            <w:tcW w:w="1661" w:type="dxa"/>
            <w:gridSpan w:val="2"/>
            <w:vMerge/>
            <w:tcBorders>
              <w:top w:val="single" w:sz="4" w:space="0" w:color="auto"/>
              <w:left w:val="single" w:sz="4" w:space="0" w:color="auto"/>
              <w:bottom w:val="single" w:sz="4" w:space="0" w:color="000000"/>
              <w:right w:val="single" w:sz="4" w:space="0" w:color="000000"/>
            </w:tcBorders>
            <w:vAlign w:val="center"/>
            <w:hideMark/>
          </w:tcPr>
          <w:p w:rsidR="00014C0B" w:rsidRPr="00014C0B" w:rsidRDefault="00014C0B" w:rsidP="00014C0B">
            <w:pPr>
              <w:widowControl/>
              <w:jc w:val="left"/>
              <w:rPr>
                <w:rFonts w:ascii="宋体" w:hAnsi="宋体" w:cs="宋体"/>
                <w:color w:val="000000"/>
                <w:kern w:val="0"/>
                <w:sz w:val="24"/>
              </w:rPr>
            </w:pPr>
          </w:p>
        </w:tc>
        <w:tc>
          <w:tcPr>
            <w:tcW w:w="1321"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color w:val="000000"/>
                <w:kern w:val="0"/>
                <w:sz w:val="24"/>
              </w:rPr>
            </w:pPr>
            <w:r w:rsidRPr="00014C0B">
              <w:rPr>
                <w:rFonts w:ascii="宋体" w:hAnsi="宋体" w:cs="宋体" w:hint="eastAsia"/>
                <w:color w:val="000000"/>
                <w:kern w:val="0"/>
                <w:sz w:val="24"/>
              </w:rPr>
              <w:t>其他资金</w:t>
            </w:r>
          </w:p>
        </w:tc>
        <w:tc>
          <w:tcPr>
            <w:tcW w:w="2122"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color w:val="000000"/>
                <w:kern w:val="0"/>
                <w:sz w:val="24"/>
              </w:rPr>
            </w:pPr>
            <w:r w:rsidRPr="00014C0B">
              <w:rPr>
                <w:rFonts w:ascii="宋体" w:hAnsi="宋体" w:cs="宋体" w:hint="eastAsia"/>
                <w:color w:val="000000"/>
                <w:kern w:val="0"/>
                <w:sz w:val="24"/>
              </w:rPr>
              <w:t xml:space="preserve">　</w:t>
            </w:r>
          </w:p>
        </w:tc>
        <w:tc>
          <w:tcPr>
            <w:tcW w:w="1550"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color w:val="000000"/>
                <w:kern w:val="0"/>
                <w:sz w:val="24"/>
              </w:rPr>
            </w:pPr>
            <w:r w:rsidRPr="00014C0B">
              <w:rPr>
                <w:rFonts w:ascii="宋体" w:hAnsi="宋体" w:cs="宋体" w:hint="eastAsia"/>
                <w:color w:val="000000"/>
                <w:kern w:val="0"/>
                <w:sz w:val="24"/>
              </w:rPr>
              <w:t>其他资金</w:t>
            </w:r>
          </w:p>
        </w:tc>
        <w:tc>
          <w:tcPr>
            <w:tcW w:w="2561"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 xml:space="preserve">　</w:t>
            </w:r>
          </w:p>
        </w:tc>
      </w:tr>
      <w:tr w:rsidR="00014C0B" w:rsidRPr="00014C0B" w:rsidTr="00E0150A">
        <w:trPr>
          <w:trHeight w:val="57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年度总体目标</w:t>
            </w:r>
          </w:p>
        </w:tc>
        <w:tc>
          <w:tcPr>
            <w:tcW w:w="4111" w:type="dxa"/>
            <w:gridSpan w:val="5"/>
            <w:tcBorders>
              <w:top w:val="single" w:sz="4" w:space="0" w:color="auto"/>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预期目标</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目标实际完成情况</w:t>
            </w:r>
          </w:p>
        </w:tc>
      </w:tr>
      <w:tr w:rsidR="00014C0B" w:rsidRPr="00014C0B" w:rsidTr="00E0150A">
        <w:trPr>
          <w:trHeight w:val="23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color w:val="000000"/>
                <w:kern w:val="0"/>
                <w:sz w:val="24"/>
              </w:rPr>
            </w:pPr>
            <w:r w:rsidRPr="00014C0B">
              <w:rPr>
                <w:rFonts w:ascii="宋体" w:hAnsi="宋体" w:cs="宋体" w:hint="eastAsia"/>
                <w:color w:val="000000"/>
                <w:kern w:val="0"/>
                <w:sz w:val="24"/>
              </w:rPr>
              <w:t>完成情况</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014C0B" w:rsidRPr="00014C0B" w:rsidRDefault="00014C0B" w:rsidP="00014C0B">
            <w:pPr>
              <w:widowControl/>
              <w:jc w:val="left"/>
              <w:rPr>
                <w:rFonts w:ascii="宋体" w:hAnsi="宋体" w:cs="宋体"/>
                <w:color w:val="000000"/>
                <w:kern w:val="0"/>
                <w:sz w:val="24"/>
              </w:rPr>
            </w:pPr>
            <w:r w:rsidRPr="00014C0B">
              <w:rPr>
                <w:rFonts w:ascii="宋体" w:hAnsi="宋体" w:cs="宋体" w:hint="eastAsia"/>
                <w:color w:val="000000"/>
                <w:kern w:val="0"/>
                <w:sz w:val="24"/>
              </w:rPr>
              <w:t>保障中心工资福利及单位基本运行费；完成专项（项目）任务。完成教育信息化、学校标准化、电化教育等工作；教育宣传工作；初中实验操作考试、小学科学和初中信息技术抽考等考试；农村中小学现代远程教育工程经费：教育体育政务信息宣传平台建设及维护：市级实验教学市级评估；教育信息资源中心建设运行等。</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014C0B" w:rsidRPr="00014C0B" w:rsidRDefault="00014C0B" w:rsidP="00014C0B">
            <w:pPr>
              <w:widowControl/>
              <w:jc w:val="left"/>
              <w:rPr>
                <w:rFonts w:ascii="宋体" w:hAnsi="宋体" w:cs="宋体"/>
                <w:color w:val="000000"/>
                <w:kern w:val="0"/>
                <w:sz w:val="24"/>
              </w:rPr>
            </w:pPr>
            <w:r w:rsidRPr="00014C0B">
              <w:rPr>
                <w:rFonts w:ascii="宋体" w:hAnsi="宋体" w:cs="宋体" w:hint="eastAsia"/>
                <w:color w:val="000000"/>
                <w:kern w:val="0"/>
                <w:sz w:val="24"/>
              </w:rPr>
              <w:t>保障了中心工资福利及单位基本运行费，完成教育体育政务信息宣传平台建设及维护经费；初中实验操作考试、小学科学和初中信息技术抽考等考试费；教育宣传工作经费；教育信息化、学校标准化、电化教育等工作经费；教育信息资源中心建设运行经费；攀枝花智慧教育（含体育）软件平台项目经费。</w:t>
            </w:r>
          </w:p>
        </w:tc>
      </w:tr>
      <w:tr w:rsidR="00014C0B" w:rsidRPr="00014C0B" w:rsidTr="00E0150A">
        <w:trPr>
          <w:trHeight w:val="738"/>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年度绩效指标完成情况</w:t>
            </w:r>
          </w:p>
        </w:tc>
        <w:tc>
          <w:tcPr>
            <w:tcW w:w="7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4"/>
              </w:rPr>
            </w:pPr>
            <w:r w:rsidRPr="00014C0B">
              <w:rPr>
                <w:rFonts w:ascii="仿宋_GB2312" w:eastAsia="仿宋_GB2312" w:hAnsi="宋体" w:cs="宋体" w:hint="eastAsia"/>
                <w:color w:val="000000"/>
                <w:kern w:val="0"/>
                <w:sz w:val="24"/>
              </w:rPr>
              <w:t>一级指标</w:t>
            </w:r>
          </w:p>
        </w:tc>
        <w:tc>
          <w:tcPr>
            <w:tcW w:w="13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4"/>
              </w:rPr>
            </w:pPr>
            <w:r w:rsidRPr="00014C0B">
              <w:rPr>
                <w:rFonts w:ascii="仿宋_GB2312" w:eastAsia="仿宋_GB2312" w:hAnsi="宋体" w:cs="宋体" w:hint="eastAsia"/>
                <w:color w:val="000000"/>
                <w:kern w:val="0"/>
                <w:sz w:val="24"/>
              </w:rPr>
              <w:t>二级指标</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4"/>
              </w:rPr>
            </w:pPr>
            <w:r w:rsidRPr="00014C0B">
              <w:rPr>
                <w:rFonts w:ascii="仿宋_GB2312" w:eastAsia="仿宋_GB2312" w:hAnsi="宋体" w:cs="宋体" w:hint="eastAsia"/>
                <w:color w:val="000000"/>
                <w:kern w:val="0"/>
                <w:sz w:val="24"/>
              </w:rPr>
              <w:t>三级指标</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4"/>
              </w:rPr>
            </w:pPr>
            <w:r w:rsidRPr="00014C0B">
              <w:rPr>
                <w:rFonts w:ascii="仿宋_GB2312" w:eastAsia="仿宋_GB2312" w:hAnsi="宋体" w:cs="宋体" w:hint="eastAsia"/>
                <w:color w:val="000000"/>
                <w:kern w:val="0"/>
                <w:sz w:val="24"/>
              </w:rPr>
              <w:t>预期指标值</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4"/>
              </w:rPr>
            </w:pPr>
            <w:r w:rsidRPr="00014C0B">
              <w:rPr>
                <w:rFonts w:ascii="仿宋_GB2312" w:eastAsia="仿宋_GB2312" w:hAnsi="宋体" w:cs="宋体" w:hint="eastAsia"/>
                <w:color w:val="000000"/>
                <w:kern w:val="0"/>
                <w:sz w:val="24"/>
              </w:rPr>
              <w:t>实际完成指标值</w:t>
            </w:r>
          </w:p>
        </w:tc>
      </w:tr>
      <w:tr w:rsidR="00014C0B" w:rsidRPr="00014C0B" w:rsidTr="00E0150A">
        <w:trPr>
          <w:trHeight w:val="624"/>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auto"/>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2126" w:type="dxa"/>
            <w:vMerge/>
            <w:tcBorders>
              <w:top w:val="nil"/>
              <w:left w:val="single" w:sz="4" w:space="0" w:color="auto"/>
              <w:bottom w:val="single" w:sz="4" w:space="0" w:color="auto"/>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r>
      <w:tr w:rsidR="00014C0B" w:rsidRPr="00014C0B" w:rsidTr="00E0150A">
        <w:trPr>
          <w:trHeight w:val="776"/>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完成指标</w:t>
            </w:r>
          </w:p>
        </w:tc>
        <w:tc>
          <w:tcPr>
            <w:tcW w:w="13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数量指标</w:t>
            </w: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kern w:val="0"/>
                <w:sz w:val="20"/>
                <w:szCs w:val="20"/>
              </w:rPr>
            </w:pPr>
            <w:r w:rsidRPr="00014C0B">
              <w:rPr>
                <w:rFonts w:ascii="宋体" w:hAnsi="宋体" w:cs="宋体" w:hint="eastAsia"/>
                <w:kern w:val="0"/>
                <w:sz w:val="20"/>
                <w:szCs w:val="20"/>
              </w:rPr>
              <w:t>中心在职15人、退休19人，工资福利及单位基本运行费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kern w:val="0"/>
                <w:sz w:val="20"/>
                <w:szCs w:val="20"/>
              </w:rPr>
            </w:pPr>
            <w:r w:rsidRPr="00014C0B">
              <w:rPr>
                <w:rFonts w:ascii="宋体" w:hAnsi="宋体" w:cs="宋体" w:hint="eastAsia"/>
                <w:kern w:val="0"/>
                <w:sz w:val="20"/>
                <w:szCs w:val="20"/>
              </w:rPr>
              <w:t>329.21万元</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kern w:val="0"/>
                <w:sz w:val="20"/>
                <w:szCs w:val="20"/>
              </w:rPr>
            </w:pPr>
            <w:r w:rsidRPr="00014C0B">
              <w:rPr>
                <w:rFonts w:ascii="宋体" w:hAnsi="宋体" w:cs="宋体" w:hint="eastAsia"/>
                <w:kern w:val="0"/>
                <w:sz w:val="20"/>
                <w:szCs w:val="20"/>
              </w:rPr>
              <w:t>329.21万元</w:t>
            </w:r>
          </w:p>
        </w:tc>
      </w:tr>
      <w:tr w:rsidR="00014C0B" w:rsidRPr="00014C0B" w:rsidTr="00E0150A">
        <w:trPr>
          <w:trHeight w:val="482"/>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kern w:val="0"/>
                <w:sz w:val="20"/>
                <w:szCs w:val="20"/>
              </w:rPr>
            </w:pPr>
            <w:r w:rsidRPr="00014C0B">
              <w:rPr>
                <w:rFonts w:ascii="宋体" w:hAnsi="宋体" w:cs="宋体" w:hint="eastAsia"/>
                <w:kern w:val="0"/>
                <w:sz w:val="20"/>
                <w:szCs w:val="20"/>
              </w:rPr>
              <w:t xml:space="preserve"> 市电化教育（技术装备）项目经费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kern w:val="0"/>
                <w:sz w:val="20"/>
                <w:szCs w:val="20"/>
              </w:rPr>
            </w:pPr>
            <w:r w:rsidRPr="00014C0B">
              <w:rPr>
                <w:rFonts w:ascii="宋体" w:hAnsi="宋体" w:cs="宋体" w:hint="eastAsia"/>
                <w:kern w:val="0"/>
                <w:sz w:val="20"/>
                <w:szCs w:val="20"/>
              </w:rPr>
              <w:t>30.36万元</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center"/>
              <w:rPr>
                <w:rFonts w:ascii="宋体" w:hAnsi="宋体" w:cs="宋体"/>
                <w:kern w:val="0"/>
                <w:sz w:val="20"/>
                <w:szCs w:val="20"/>
              </w:rPr>
            </w:pPr>
            <w:r w:rsidRPr="00014C0B">
              <w:rPr>
                <w:rFonts w:ascii="宋体" w:hAnsi="宋体" w:cs="宋体" w:hint="eastAsia"/>
                <w:kern w:val="0"/>
                <w:sz w:val="20"/>
                <w:szCs w:val="20"/>
              </w:rPr>
              <w:t>30.36万元</w:t>
            </w:r>
          </w:p>
        </w:tc>
      </w:tr>
      <w:tr w:rsidR="00014C0B" w:rsidRPr="00014C0B" w:rsidTr="00E0150A">
        <w:trPr>
          <w:trHeight w:val="723"/>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质量指标</w:t>
            </w: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中心在职15人、退休19人，工资福利及单位基本运行费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在职15人、退休19人工资社保等及时准确全部到位</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在职15人、退休19人工资社保等及时准确全部到位</w:t>
            </w:r>
          </w:p>
        </w:tc>
      </w:tr>
      <w:tr w:rsidR="00014C0B" w:rsidRPr="00014C0B" w:rsidTr="00E0150A">
        <w:trPr>
          <w:trHeight w:val="964"/>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 xml:space="preserve"> 市电化教育（技术装备）项目经费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完成培训教师1000人次以上，实验管理人员100名以上，完成各类宣传1000条以上等</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完成培训教师1000人次以上，实验管理人员100名以上，完成各类宣传1000条以上等</w:t>
            </w:r>
          </w:p>
        </w:tc>
      </w:tr>
      <w:tr w:rsidR="00014C0B" w:rsidRPr="00014C0B" w:rsidTr="00E0150A">
        <w:trPr>
          <w:trHeight w:val="274"/>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时效指</w:t>
            </w:r>
            <w:r w:rsidRPr="00014C0B">
              <w:rPr>
                <w:rFonts w:ascii="仿宋_GB2312" w:eastAsia="仿宋_GB2312" w:hAnsi="宋体" w:cs="宋体" w:hint="eastAsia"/>
                <w:color w:val="000000"/>
                <w:kern w:val="0"/>
                <w:sz w:val="28"/>
                <w:szCs w:val="28"/>
              </w:rPr>
              <w:lastRenderedPageBreak/>
              <w:t>标</w:t>
            </w: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lastRenderedPageBreak/>
              <w:t>中心在职15人、退休19人，工资福利及单位基本运行费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2021年12月31日前完成</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2021年12月31日前完</w:t>
            </w:r>
          </w:p>
        </w:tc>
      </w:tr>
      <w:tr w:rsidR="00014C0B" w:rsidRPr="00014C0B" w:rsidTr="00E0150A">
        <w:trPr>
          <w:trHeight w:val="482"/>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 xml:space="preserve"> 市电化教育（技术装备）项目经费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2021年12月31日前完成</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2021年12月31日前完</w:t>
            </w:r>
          </w:p>
        </w:tc>
      </w:tr>
      <w:tr w:rsidR="00014C0B" w:rsidRPr="00014C0B" w:rsidTr="00E0150A">
        <w:trPr>
          <w:trHeight w:val="723"/>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成本指标</w:t>
            </w: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中心在职15人、退休19人，工资福利及单位基本运行费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329.21万元</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329.21万元</w:t>
            </w:r>
          </w:p>
        </w:tc>
      </w:tr>
      <w:tr w:rsidR="00014C0B" w:rsidRPr="00014C0B" w:rsidTr="00E0150A">
        <w:trPr>
          <w:trHeight w:val="482"/>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 xml:space="preserve"> 市电化教育（技术装备）项目经费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30.36万元</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30.36万元</w:t>
            </w:r>
          </w:p>
        </w:tc>
      </w:tr>
      <w:tr w:rsidR="00014C0B" w:rsidRPr="00014C0B" w:rsidTr="00E0150A">
        <w:trPr>
          <w:trHeight w:val="753"/>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效益指标</w:t>
            </w:r>
          </w:p>
        </w:tc>
        <w:tc>
          <w:tcPr>
            <w:tcW w:w="13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经济效益指标</w:t>
            </w: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中心在职15人、退休19人，工资福利及单位基本运行费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按照各项政策，及时完善制度各项制度</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按照各项政策，及时完善制度各项制度</w:t>
            </w:r>
          </w:p>
        </w:tc>
      </w:tr>
      <w:tr w:rsidR="00014C0B" w:rsidRPr="00014C0B" w:rsidTr="00E0150A">
        <w:trPr>
          <w:trHeight w:val="641"/>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 xml:space="preserve"> 市电化教育（技术装备）项目经费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提高服务学校意识，提升服务质量</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color w:val="000000"/>
                <w:kern w:val="0"/>
                <w:sz w:val="20"/>
                <w:szCs w:val="20"/>
              </w:rPr>
            </w:pPr>
            <w:r w:rsidRPr="00014C0B">
              <w:rPr>
                <w:rFonts w:ascii="宋体" w:hAnsi="宋体" w:cs="宋体" w:hint="eastAsia"/>
                <w:color w:val="000000"/>
                <w:kern w:val="0"/>
                <w:sz w:val="20"/>
                <w:szCs w:val="20"/>
              </w:rPr>
              <w:t>提高服务学校意识，提升服务质量</w:t>
            </w:r>
          </w:p>
        </w:tc>
      </w:tr>
      <w:tr w:rsidR="00014C0B" w:rsidRPr="00014C0B" w:rsidTr="00E0150A">
        <w:trPr>
          <w:trHeight w:val="723"/>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社会效益指标</w:t>
            </w: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中心在职15人、退休19人，工资福利及单位基本运行费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在职15人、退休19人工资社保等及时准确全部到位</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在职15人、退休19人工资社保等及时准确全部到位</w:t>
            </w:r>
          </w:p>
        </w:tc>
      </w:tr>
      <w:tr w:rsidR="00014C0B" w:rsidRPr="00014C0B" w:rsidTr="00E0150A">
        <w:trPr>
          <w:trHeight w:val="964"/>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 xml:space="preserve"> 市电化教育（技术装备）项目经费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普及攀枝花市教师提升信息化能力，教学仪器质量检测能力，实验管理能力等</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普及攀枝花市教师提升信息化能力，教学仪器质量检测能力，实验管理能力等</w:t>
            </w:r>
          </w:p>
        </w:tc>
      </w:tr>
      <w:tr w:rsidR="00014C0B" w:rsidRPr="00014C0B" w:rsidTr="00E0150A">
        <w:trPr>
          <w:trHeight w:val="753"/>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生态效益指标</w:t>
            </w: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中心在职15人、退休19人，工资福利及单位基本运行费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按照各项政策，及时完善制度各项制度</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按照各项政策，及时完善制度各项制度</w:t>
            </w:r>
          </w:p>
        </w:tc>
      </w:tr>
      <w:tr w:rsidR="00014C0B" w:rsidRPr="00014C0B" w:rsidTr="00E0150A">
        <w:trPr>
          <w:trHeight w:val="723"/>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 xml:space="preserve"> 市电化教育（技术装备）项目经费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提高服务学校意识，提升服务质量</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color w:val="000000"/>
                <w:kern w:val="0"/>
                <w:sz w:val="20"/>
                <w:szCs w:val="20"/>
              </w:rPr>
            </w:pPr>
            <w:r w:rsidRPr="00014C0B">
              <w:rPr>
                <w:rFonts w:ascii="宋体" w:hAnsi="宋体" w:cs="宋体" w:hint="eastAsia"/>
                <w:color w:val="000000"/>
                <w:kern w:val="0"/>
                <w:sz w:val="20"/>
                <w:szCs w:val="20"/>
              </w:rPr>
              <w:t>提高服务学校意识，提升服务质量</w:t>
            </w:r>
          </w:p>
        </w:tc>
      </w:tr>
      <w:tr w:rsidR="00014C0B" w:rsidRPr="00014C0B" w:rsidTr="00E0150A">
        <w:trPr>
          <w:trHeight w:val="753"/>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可持续影响指标</w:t>
            </w: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中心在职15人、退休19人，工资福利及单位基本运行费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在职15人、退休19人工资社保等及时准确全部到位</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在职15人、退休19人工资社保等及时准确全部到位</w:t>
            </w:r>
          </w:p>
        </w:tc>
      </w:tr>
      <w:tr w:rsidR="00014C0B" w:rsidRPr="00014C0B" w:rsidTr="00E0150A">
        <w:trPr>
          <w:trHeight w:val="723"/>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 xml:space="preserve"> 市电化教育（技术装备）项目经费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完成各项项目</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普及攀枝花市教师提升信息化能力，教学仪器质量检测能力，实验管理能力等</w:t>
            </w:r>
          </w:p>
        </w:tc>
      </w:tr>
      <w:tr w:rsidR="00014C0B" w:rsidRPr="00014C0B" w:rsidTr="00E0150A">
        <w:trPr>
          <w:trHeight w:val="753"/>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满意度指标</w:t>
            </w:r>
          </w:p>
        </w:tc>
        <w:tc>
          <w:tcPr>
            <w:tcW w:w="13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4C0B" w:rsidRPr="00014C0B" w:rsidRDefault="00014C0B" w:rsidP="00014C0B">
            <w:pPr>
              <w:widowControl/>
              <w:jc w:val="center"/>
              <w:rPr>
                <w:rFonts w:ascii="仿宋_GB2312" w:eastAsia="仿宋_GB2312" w:hAnsi="宋体" w:cs="宋体"/>
                <w:color w:val="000000"/>
                <w:kern w:val="0"/>
                <w:sz w:val="28"/>
                <w:szCs w:val="28"/>
              </w:rPr>
            </w:pPr>
            <w:r w:rsidRPr="00014C0B">
              <w:rPr>
                <w:rFonts w:ascii="仿宋_GB2312" w:eastAsia="仿宋_GB2312" w:hAnsi="宋体" w:cs="宋体" w:hint="eastAsia"/>
                <w:color w:val="000000"/>
                <w:kern w:val="0"/>
                <w:sz w:val="28"/>
                <w:szCs w:val="28"/>
              </w:rPr>
              <w:t>满意度指标</w:t>
            </w: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中心在职15人、退休19人，工资福利及单位基本运行费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90%以上</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≥95%</w:t>
            </w:r>
          </w:p>
        </w:tc>
      </w:tr>
      <w:tr w:rsidR="00014C0B" w:rsidRPr="00014C0B" w:rsidTr="00E0150A">
        <w:trPr>
          <w:trHeight w:val="515"/>
        </w:trPr>
        <w:tc>
          <w:tcPr>
            <w:tcW w:w="993" w:type="dxa"/>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014C0B" w:rsidRPr="00014C0B" w:rsidRDefault="00014C0B" w:rsidP="00014C0B">
            <w:pPr>
              <w:widowControl/>
              <w:jc w:val="left"/>
              <w:rPr>
                <w:rFonts w:ascii="仿宋_GB2312" w:eastAsia="仿宋_GB2312" w:hAnsi="宋体" w:cs="宋体"/>
                <w:color w:val="000000"/>
                <w:kern w:val="0"/>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 xml:space="preserve"> 市电化教育（技术装备）项目经费</w:t>
            </w:r>
          </w:p>
        </w:tc>
        <w:tc>
          <w:tcPr>
            <w:tcW w:w="1985" w:type="dxa"/>
            <w:gridSpan w:val="2"/>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90%以上</w:t>
            </w:r>
          </w:p>
        </w:tc>
        <w:tc>
          <w:tcPr>
            <w:tcW w:w="2126" w:type="dxa"/>
            <w:tcBorders>
              <w:top w:val="nil"/>
              <w:left w:val="nil"/>
              <w:bottom w:val="single" w:sz="4" w:space="0" w:color="auto"/>
              <w:right w:val="single" w:sz="4" w:space="0" w:color="auto"/>
            </w:tcBorders>
            <w:shd w:val="clear" w:color="auto" w:fill="auto"/>
            <w:vAlign w:val="center"/>
            <w:hideMark/>
          </w:tcPr>
          <w:p w:rsidR="00014C0B" w:rsidRPr="00014C0B" w:rsidRDefault="00014C0B" w:rsidP="00014C0B">
            <w:pPr>
              <w:widowControl/>
              <w:jc w:val="left"/>
              <w:rPr>
                <w:rFonts w:ascii="宋体" w:hAnsi="宋体" w:cs="宋体"/>
                <w:kern w:val="0"/>
                <w:sz w:val="20"/>
                <w:szCs w:val="20"/>
              </w:rPr>
            </w:pPr>
            <w:r w:rsidRPr="00014C0B">
              <w:rPr>
                <w:rFonts w:ascii="宋体" w:hAnsi="宋体" w:cs="宋体" w:hint="eastAsia"/>
                <w:kern w:val="0"/>
                <w:sz w:val="20"/>
                <w:szCs w:val="20"/>
              </w:rPr>
              <w:t>≥95%</w:t>
            </w:r>
          </w:p>
        </w:tc>
      </w:tr>
    </w:tbl>
    <w:p w:rsidR="004D7B80" w:rsidRDefault="004D7B80" w:rsidP="00014C0B">
      <w:pPr>
        <w:spacing w:line="600" w:lineRule="exact"/>
        <w:outlineLvl w:val="0"/>
        <w:rPr>
          <w:rFonts w:ascii="黑体" w:eastAsia="黑体" w:hAnsi="黑体"/>
          <w:sz w:val="44"/>
          <w:szCs w:val="44"/>
        </w:rPr>
      </w:pPr>
    </w:p>
    <w:p w:rsidR="00E0150A" w:rsidRDefault="00E0150A">
      <w:pPr>
        <w:spacing w:line="600" w:lineRule="exact"/>
        <w:jc w:val="center"/>
        <w:outlineLvl w:val="0"/>
        <w:rPr>
          <w:rFonts w:ascii="黑体" w:eastAsia="黑体" w:hAnsi="黑体"/>
          <w:sz w:val="44"/>
          <w:szCs w:val="44"/>
        </w:rPr>
      </w:pPr>
    </w:p>
    <w:p w:rsidR="00E0150A" w:rsidRDefault="00E0150A">
      <w:pPr>
        <w:spacing w:line="600" w:lineRule="exact"/>
        <w:jc w:val="center"/>
        <w:outlineLvl w:val="0"/>
        <w:rPr>
          <w:rFonts w:ascii="黑体" w:eastAsia="黑体" w:hAnsi="黑体"/>
          <w:sz w:val="44"/>
          <w:szCs w:val="44"/>
        </w:rPr>
      </w:pPr>
    </w:p>
    <w:p w:rsidR="00F60C31" w:rsidRDefault="00C93128">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End w:id="52"/>
      <w:bookmarkEnd w:id="54"/>
    </w:p>
    <w:p w:rsidR="00F60C31" w:rsidRPr="00981D88" w:rsidRDefault="00C93128" w:rsidP="00981D88">
      <w:pPr>
        <w:rPr>
          <w:sz w:val="32"/>
          <w:szCs w:val="32"/>
        </w:rPr>
      </w:pPr>
      <w:bookmarkStart w:id="55" w:name="_Toc15396619"/>
      <w:r w:rsidRPr="00981D88">
        <w:rPr>
          <w:rFonts w:hint="eastAsia"/>
          <w:sz w:val="32"/>
          <w:szCs w:val="32"/>
        </w:rPr>
        <w:t>一、收入支出决算总表</w:t>
      </w:r>
      <w:bookmarkEnd w:id="55"/>
    </w:p>
    <w:p w:rsidR="00F60C31" w:rsidRPr="00981D88" w:rsidRDefault="00C93128" w:rsidP="00981D88">
      <w:pPr>
        <w:rPr>
          <w:sz w:val="32"/>
          <w:szCs w:val="32"/>
        </w:rPr>
      </w:pPr>
      <w:bookmarkStart w:id="56" w:name="_Toc15396620"/>
      <w:r w:rsidRPr="00981D88">
        <w:rPr>
          <w:rFonts w:hint="eastAsia"/>
          <w:sz w:val="32"/>
          <w:szCs w:val="32"/>
        </w:rPr>
        <w:t>二、收入决算表</w:t>
      </w:r>
      <w:bookmarkEnd w:id="56"/>
    </w:p>
    <w:p w:rsidR="00F60C31" w:rsidRPr="00981D88" w:rsidRDefault="00C93128" w:rsidP="00981D88">
      <w:pPr>
        <w:rPr>
          <w:sz w:val="32"/>
          <w:szCs w:val="32"/>
        </w:rPr>
      </w:pPr>
      <w:bookmarkStart w:id="57" w:name="_Toc15396621"/>
      <w:r w:rsidRPr="00981D88">
        <w:rPr>
          <w:rFonts w:hint="eastAsia"/>
          <w:sz w:val="32"/>
          <w:szCs w:val="32"/>
        </w:rPr>
        <w:t>三、支出决算表</w:t>
      </w:r>
      <w:bookmarkEnd w:id="57"/>
    </w:p>
    <w:p w:rsidR="00F60C31" w:rsidRPr="00981D88" w:rsidRDefault="00C93128" w:rsidP="00981D88">
      <w:pPr>
        <w:rPr>
          <w:sz w:val="32"/>
          <w:szCs w:val="32"/>
        </w:rPr>
      </w:pPr>
      <w:bookmarkStart w:id="58" w:name="_Toc15396622"/>
      <w:r w:rsidRPr="00981D88">
        <w:rPr>
          <w:rFonts w:hint="eastAsia"/>
          <w:sz w:val="32"/>
          <w:szCs w:val="32"/>
        </w:rPr>
        <w:t>四、财政拨款收入支出决算总表</w:t>
      </w:r>
      <w:bookmarkEnd w:id="58"/>
    </w:p>
    <w:p w:rsidR="00F60C31" w:rsidRPr="00981D88" w:rsidRDefault="00C93128" w:rsidP="00981D88">
      <w:pPr>
        <w:rPr>
          <w:sz w:val="32"/>
          <w:szCs w:val="32"/>
        </w:rPr>
      </w:pPr>
      <w:bookmarkStart w:id="59" w:name="_Toc15396623"/>
      <w:r w:rsidRPr="00981D88">
        <w:rPr>
          <w:rFonts w:hint="eastAsia"/>
          <w:sz w:val="32"/>
          <w:szCs w:val="32"/>
        </w:rPr>
        <w:t>五、财政拨款支出决算明细表</w:t>
      </w:r>
      <w:bookmarkStart w:id="60" w:name="_Toc15396624"/>
      <w:bookmarkEnd w:id="59"/>
    </w:p>
    <w:p w:rsidR="00F60C31" w:rsidRPr="00981D88" w:rsidRDefault="00C93128" w:rsidP="00981D88">
      <w:pPr>
        <w:rPr>
          <w:sz w:val="32"/>
          <w:szCs w:val="32"/>
        </w:rPr>
      </w:pPr>
      <w:r w:rsidRPr="00981D88">
        <w:rPr>
          <w:rFonts w:hint="eastAsia"/>
          <w:sz w:val="32"/>
          <w:szCs w:val="32"/>
        </w:rPr>
        <w:t>六、一般公共预算财政拨款支出决算表</w:t>
      </w:r>
      <w:bookmarkEnd w:id="60"/>
    </w:p>
    <w:p w:rsidR="00F60C31" w:rsidRPr="00981D88" w:rsidRDefault="00C93128" w:rsidP="00981D88">
      <w:pPr>
        <w:rPr>
          <w:sz w:val="32"/>
          <w:szCs w:val="32"/>
        </w:rPr>
      </w:pPr>
      <w:bookmarkStart w:id="61" w:name="_Toc15396625"/>
      <w:r w:rsidRPr="00981D88">
        <w:rPr>
          <w:rFonts w:hint="eastAsia"/>
          <w:sz w:val="32"/>
          <w:szCs w:val="32"/>
        </w:rPr>
        <w:t>七、一般公共预算财政拨款支出决算明细表</w:t>
      </w:r>
      <w:bookmarkEnd w:id="61"/>
    </w:p>
    <w:p w:rsidR="00F60C31" w:rsidRPr="00981D88" w:rsidRDefault="00C93128" w:rsidP="00981D88">
      <w:pPr>
        <w:rPr>
          <w:sz w:val="32"/>
          <w:szCs w:val="32"/>
        </w:rPr>
      </w:pPr>
      <w:bookmarkStart w:id="62" w:name="_Toc15396626"/>
      <w:r w:rsidRPr="00981D88">
        <w:rPr>
          <w:rFonts w:hint="eastAsia"/>
          <w:sz w:val="32"/>
          <w:szCs w:val="32"/>
        </w:rPr>
        <w:t>八、一般公共预算财政拨款基本支出决算表</w:t>
      </w:r>
      <w:bookmarkEnd w:id="62"/>
    </w:p>
    <w:p w:rsidR="00F60C31" w:rsidRPr="00981D88" w:rsidRDefault="00C93128" w:rsidP="00981D88">
      <w:pPr>
        <w:rPr>
          <w:sz w:val="32"/>
          <w:szCs w:val="32"/>
        </w:rPr>
      </w:pPr>
      <w:bookmarkStart w:id="63" w:name="_Toc15396627"/>
      <w:r w:rsidRPr="00981D88">
        <w:rPr>
          <w:rFonts w:hint="eastAsia"/>
          <w:sz w:val="32"/>
          <w:szCs w:val="32"/>
        </w:rPr>
        <w:t>九、一般公共预算财政拨款项目支出决算表</w:t>
      </w:r>
      <w:bookmarkEnd w:id="63"/>
    </w:p>
    <w:p w:rsidR="00F60C31" w:rsidRPr="00981D88" w:rsidRDefault="00C93128" w:rsidP="00981D88">
      <w:pPr>
        <w:rPr>
          <w:sz w:val="32"/>
          <w:szCs w:val="32"/>
        </w:rPr>
      </w:pPr>
      <w:bookmarkStart w:id="64" w:name="_Toc15396628"/>
      <w:r w:rsidRPr="00981D88">
        <w:rPr>
          <w:rFonts w:hint="eastAsia"/>
          <w:sz w:val="32"/>
          <w:szCs w:val="32"/>
        </w:rPr>
        <w:t>十、一般公共预算财政拨款“三公”经费支出决算表</w:t>
      </w:r>
      <w:bookmarkEnd w:id="64"/>
    </w:p>
    <w:p w:rsidR="00F60C31" w:rsidRPr="00981D88" w:rsidRDefault="00C93128" w:rsidP="00981D88">
      <w:pPr>
        <w:rPr>
          <w:b/>
          <w:sz w:val="32"/>
          <w:szCs w:val="32"/>
        </w:rPr>
      </w:pPr>
      <w:bookmarkStart w:id="65" w:name="_Toc15396629"/>
      <w:r w:rsidRPr="00981D88">
        <w:rPr>
          <w:rFonts w:hint="eastAsia"/>
          <w:sz w:val="32"/>
          <w:szCs w:val="32"/>
        </w:rPr>
        <w:t>十一、政府性基金预算财政拨款收入支出决算表</w:t>
      </w:r>
      <w:bookmarkEnd w:id="65"/>
      <w:r w:rsidR="00981D88" w:rsidRPr="00981D88">
        <w:rPr>
          <w:rFonts w:hint="eastAsia"/>
          <w:b/>
          <w:sz w:val="32"/>
          <w:szCs w:val="32"/>
        </w:rPr>
        <w:t>（此表无数据）</w:t>
      </w:r>
    </w:p>
    <w:p w:rsidR="00F60C31" w:rsidRPr="00981D88" w:rsidRDefault="00C93128" w:rsidP="00981D88">
      <w:pPr>
        <w:rPr>
          <w:b/>
          <w:sz w:val="32"/>
          <w:szCs w:val="32"/>
        </w:rPr>
      </w:pPr>
      <w:bookmarkStart w:id="66" w:name="_Toc15396630"/>
      <w:r w:rsidRPr="00981D88">
        <w:rPr>
          <w:rFonts w:hint="eastAsia"/>
          <w:sz w:val="32"/>
          <w:szCs w:val="32"/>
        </w:rPr>
        <w:t>十二、政府性基金预算财政拨款“三公”经费支出决算表</w:t>
      </w:r>
      <w:bookmarkEnd w:id="66"/>
      <w:r w:rsidR="00981D88" w:rsidRPr="00981D88">
        <w:rPr>
          <w:rFonts w:hint="eastAsia"/>
          <w:b/>
          <w:sz w:val="32"/>
          <w:szCs w:val="32"/>
        </w:rPr>
        <w:t>（此表无数据）</w:t>
      </w:r>
    </w:p>
    <w:p w:rsidR="00F60C31" w:rsidRPr="00981D88" w:rsidRDefault="00C93128" w:rsidP="00981D88">
      <w:pPr>
        <w:rPr>
          <w:b/>
          <w:sz w:val="32"/>
          <w:szCs w:val="32"/>
        </w:rPr>
      </w:pPr>
      <w:bookmarkStart w:id="67" w:name="_Toc15396631"/>
      <w:r w:rsidRPr="00981D88">
        <w:rPr>
          <w:rFonts w:hint="eastAsia"/>
          <w:sz w:val="32"/>
          <w:szCs w:val="32"/>
        </w:rPr>
        <w:t>十三、国有资本经营预算财政拨款收入支出决算表</w:t>
      </w:r>
      <w:bookmarkEnd w:id="67"/>
      <w:r w:rsidR="00981D88" w:rsidRPr="00981D88">
        <w:rPr>
          <w:rFonts w:hint="eastAsia"/>
          <w:b/>
          <w:sz w:val="32"/>
          <w:szCs w:val="32"/>
        </w:rPr>
        <w:t>（此表无数据）</w:t>
      </w:r>
    </w:p>
    <w:p w:rsidR="00F60C31" w:rsidRPr="00981D88" w:rsidRDefault="00C93128" w:rsidP="00981D88">
      <w:pPr>
        <w:rPr>
          <w:b/>
          <w:sz w:val="32"/>
          <w:szCs w:val="32"/>
        </w:rPr>
      </w:pPr>
      <w:r w:rsidRPr="00981D88">
        <w:rPr>
          <w:rFonts w:hint="eastAsia"/>
          <w:sz w:val="32"/>
          <w:szCs w:val="32"/>
        </w:rPr>
        <w:t>十四、国有资本经营预算财政拨款支出决算表</w:t>
      </w:r>
      <w:r w:rsidR="00981D88" w:rsidRPr="00981D88">
        <w:rPr>
          <w:rFonts w:hint="eastAsia"/>
          <w:b/>
          <w:sz w:val="32"/>
          <w:szCs w:val="32"/>
        </w:rPr>
        <w:t>（此表无数据）</w:t>
      </w:r>
    </w:p>
    <w:sectPr w:rsidR="00F60C31" w:rsidRPr="00981D88" w:rsidSect="0013634F">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41" w:rsidRDefault="00AB5741">
      <w:r>
        <w:separator/>
      </w:r>
    </w:p>
  </w:endnote>
  <w:endnote w:type="continuationSeparator" w:id="0">
    <w:p w:rsidR="00AB5741" w:rsidRDefault="00AB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431678"/>
      <w:docPartObj>
        <w:docPartGallery w:val="Page Numbers (Bottom of Page)"/>
        <w:docPartUnique/>
      </w:docPartObj>
    </w:sdtPr>
    <w:sdtEndPr/>
    <w:sdtContent>
      <w:p w:rsidR="0013634F" w:rsidRDefault="0013634F">
        <w:pPr>
          <w:pStyle w:val="a5"/>
          <w:jc w:val="center"/>
        </w:pPr>
        <w:r>
          <w:fldChar w:fldCharType="begin"/>
        </w:r>
        <w:r>
          <w:instrText>PAGE   \* MERGEFORMAT</w:instrText>
        </w:r>
        <w:r>
          <w:fldChar w:fldCharType="separate"/>
        </w:r>
        <w:r w:rsidR="00AB5D39" w:rsidRPr="00AB5D39">
          <w:rPr>
            <w:noProof/>
            <w:lang w:val="zh-CN"/>
          </w:rPr>
          <w:t>1</w:t>
        </w:r>
        <w:r>
          <w:fldChar w:fldCharType="end"/>
        </w:r>
      </w:p>
    </w:sdtContent>
  </w:sdt>
  <w:p w:rsidR="00F60C31" w:rsidRDefault="00F60C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41" w:rsidRDefault="00AB5741">
      <w:r>
        <w:separator/>
      </w:r>
    </w:p>
  </w:footnote>
  <w:footnote w:type="continuationSeparator" w:id="0">
    <w:p w:rsidR="00AB5741" w:rsidRDefault="00AB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31" w:rsidRDefault="00F60C31">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9E3A10E2"/>
    <w:rsid w:val="F2E1F9D4"/>
    <w:rsid w:val="F7880819"/>
    <w:rsid w:val="00014C0B"/>
    <w:rsid w:val="000222C6"/>
    <w:rsid w:val="00023BB4"/>
    <w:rsid w:val="0002549F"/>
    <w:rsid w:val="000468DB"/>
    <w:rsid w:val="0006487A"/>
    <w:rsid w:val="00065F8F"/>
    <w:rsid w:val="00070A43"/>
    <w:rsid w:val="000764DA"/>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597E"/>
    <w:rsid w:val="000E6613"/>
    <w:rsid w:val="000E7119"/>
    <w:rsid w:val="000F6950"/>
    <w:rsid w:val="00114E9B"/>
    <w:rsid w:val="001267CA"/>
    <w:rsid w:val="0013634F"/>
    <w:rsid w:val="00142216"/>
    <w:rsid w:val="00144D6A"/>
    <w:rsid w:val="0014729F"/>
    <w:rsid w:val="00157BAB"/>
    <w:rsid w:val="001654D1"/>
    <w:rsid w:val="00174518"/>
    <w:rsid w:val="0018106D"/>
    <w:rsid w:val="001877A7"/>
    <w:rsid w:val="0019083F"/>
    <w:rsid w:val="00191536"/>
    <w:rsid w:val="0019630D"/>
    <w:rsid w:val="00196687"/>
    <w:rsid w:val="001A108C"/>
    <w:rsid w:val="001A17AB"/>
    <w:rsid w:val="001C0962"/>
    <w:rsid w:val="001C2CF9"/>
    <w:rsid w:val="001D7531"/>
    <w:rsid w:val="001E737D"/>
    <w:rsid w:val="001F0592"/>
    <w:rsid w:val="001F7506"/>
    <w:rsid w:val="002006CD"/>
    <w:rsid w:val="00202B36"/>
    <w:rsid w:val="00204B7A"/>
    <w:rsid w:val="00204CDE"/>
    <w:rsid w:val="0021101A"/>
    <w:rsid w:val="00212701"/>
    <w:rsid w:val="002163DD"/>
    <w:rsid w:val="00220536"/>
    <w:rsid w:val="00223158"/>
    <w:rsid w:val="00235629"/>
    <w:rsid w:val="002529B9"/>
    <w:rsid w:val="00260C38"/>
    <w:rsid w:val="002616C0"/>
    <w:rsid w:val="00265372"/>
    <w:rsid w:val="002662AA"/>
    <w:rsid w:val="00280496"/>
    <w:rsid w:val="00290BE4"/>
    <w:rsid w:val="00294DC9"/>
    <w:rsid w:val="00295495"/>
    <w:rsid w:val="002A31DE"/>
    <w:rsid w:val="002B2613"/>
    <w:rsid w:val="002D6D05"/>
    <w:rsid w:val="002F1818"/>
    <w:rsid w:val="002F567B"/>
    <w:rsid w:val="003216A9"/>
    <w:rsid w:val="00335A74"/>
    <w:rsid w:val="0036561B"/>
    <w:rsid w:val="0037013F"/>
    <w:rsid w:val="00377FC6"/>
    <w:rsid w:val="00380C92"/>
    <w:rsid w:val="003A484F"/>
    <w:rsid w:val="003A4883"/>
    <w:rsid w:val="003B0BE0"/>
    <w:rsid w:val="003B0C1B"/>
    <w:rsid w:val="003B688C"/>
    <w:rsid w:val="003C011E"/>
    <w:rsid w:val="003C0291"/>
    <w:rsid w:val="003C39AE"/>
    <w:rsid w:val="003C7B60"/>
    <w:rsid w:val="003D0C0F"/>
    <w:rsid w:val="003D1FB2"/>
    <w:rsid w:val="003D66DA"/>
    <w:rsid w:val="003E1310"/>
    <w:rsid w:val="003E6F55"/>
    <w:rsid w:val="00400ED5"/>
    <w:rsid w:val="00406254"/>
    <w:rsid w:val="004223DE"/>
    <w:rsid w:val="00434489"/>
    <w:rsid w:val="00437085"/>
    <w:rsid w:val="00443880"/>
    <w:rsid w:val="004464F4"/>
    <w:rsid w:val="00463E0F"/>
    <w:rsid w:val="00471401"/>
    <w:rsid w:val="00473F31"/>
    <w:rsid w:val="0048263A"/>
    <w:rsid w:val="00487E5D"/>
    <w:rsid w:val="004A711F"/>
    <w:rsid w:val="004B199D"/>
    <w:rsid w:val="004B4690"/>
    <w:rsid w:val="004D7B80"/>
    <w:rsid w:val="004E0A2D"/>
    <w:rsid w:val="004E206B"/>
    <w:rsid w:val="004E2129"/>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3606"/>
    <w:rsid w:val="005D468D"/>
    <w:rsid w:val="005D5CED"/>
    <w:rsid w:val="005F1A4C"/>
    <w:rsid w:val="00605688"/>
    <w:rsid w:val="006070AF"/>
    <w:rsid w:val="00607E6C"/>
    <w:rsid w:val="006101B1"/>
    <w:rsid w:val="00614E44"/>
    <w:rsid w:val="0062270A"/>
    <w:rsid w:val="00622830"/>
    <w:rsid w:val="00623DA0"/>
    <w:rsid w:val="00630AEF"/>
    <w:rsid w:val="006320D7"/>
    <w:rsid w:val="006325F8"/>
    <w:rsid w:val="00633463"/>
    <w:rsid w:val="00634C9A"/>
    <w:rsid w:val="006414BC"/>
    <w:rsid w:val="006440E4"/>
    <w:rsid w:val="0066343B"/>
    <w:rsid w:val="00664777"/>
    <w:rsid w:val="006748A4"/>
    <w:rsid w:val="00681A31"/>
    <w:rsid w:val="00683E73"/>
    <w:rsid w:val="00692E3F"/>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3F25"/>
    <w:rsid w:val="007E23B0"/>
    <w:rsid w:val="007E23E5"/>
    <w:rsid w:val="007F1991"/>
    <w:rsid w:val="007F2C2F"/>
    <w:rsid w:val="007F55FC"/>
    <w:rsid w:val="007F5665"/>
    <w:rsid w:val="00800112"/>
    <w:rsid w:val="00813348"/>
    <w:rsid w:val="00816CF1"/>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0DD5"/>
    <w:rsid w:val="008E1DE7"/>
    <w:rsid w:val="008E707C"/>
    <w:rsid w:val="008E7951"/>
    <w:rsid w:val="008F5BB0"/>
    <w:rsid w:val="00900B08"/>
    <w:rsid w:val="00902155"/>
    <w:rsid w:val="00902FA3"/>
    <w:rsid w:val="00904D6B"/>
    <w:rsid w:val="00923564"/>
    <w:rsid w:val="0092392E"/>
    <w:rsid w:val="009315F9"/>
    <w:rsid w:val="00933499"/>
    <w:rsid w:val="00935C98"/>
    <w:rsid w:val="00946945"/>
    <w:rsid w:val="00951248"/>
    <w:rsid w:val="0095152F"/>
    <w:rsid w:val="00954C49"/>
    <w:rsid w:val="00955E37"/>
    <w:rsid w:val="0097099F"/>
    <w:rsid w:val="00971997"/>
    <w:rsid w:val="00971FFC"/>
    <w:rsid w:val="00981D88"/>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54D0"/>
    <w:rsid w:val="00A268C4"/>
    <w:rsid w:val="00A307CD"/>
    <w:rsid w:val="00A331C8"/>
    <w:rsid w:val="00A34515"/>
    <w:rsid w:val="00A40A00"/>
    <w:rsid w:val="00A4142F"/>
    <w:rsid w:val="00A422EB"/>
    <w:rsid w:val="00A45BB7"/>
    <w:rsid w:val="00A56DF2"/>
    <w:rsid w:val="00A56E6E"/>
    <w:rsid w:val="00A67AB5"/>
    <w:rsid w:val="00A733B2"/>
    <w:rsid w:val="00A741C2"/>
    <w:rsid w:val="00A91760"/>
    <w:rsid w:val="00A93B00"/>
    <w:rsid w:val="00A93C21"/>
    <w:rsid w:val="00AA0EB2"/>
    <w:rsid w:val="00AB5741"/>
    <w:rsid w:val="00AB5D39"/>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B6C0F"/>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68A2"/>
    <w:rsid w:val="00C87FD8"/>
    <w:rsid w:val="00C91381"/>
    <w:rsid w:val="00C91CBB"/>
    <w:rsid w:val="00C93128"/>
    <w:rsid w:val="00CB3A5C"/>
    <w:rsid w:val="00CB4E70"/>
    <w:rsid w:val="00CC09B6"/>
    <w:rsid w:val="00CC666F"/>
    <w:rsid w:val="00CD1E3F"/>
    <w:rsid w:val="00CE44F6"/>
    <w:rsid w:val="00CE49DA"/>
    <w:rsid w:val="00CE7B61"/>
    <w:rsid w:val="00D00095"/>
    <w:rsid w:val="00D04F71"/>
    <w:rsid w:val="00D114F0"/>
    <w:rsid w:val="00D20620"/>
    <w:rsid w:val="00D254F7"/>
    <w:rsid w:val="00D26091"/>
    <w:rsid w:val="00D2685C"/>
    <w:rsid w:val="00D34E7C"/>
    <w:rsid w:val="00D35489"/>
    <w:rsid w:val="00D36AFE"/>
    <w:rsid w:val="00D51276"/>
    <w:rsid w:val="00D52CFB"/>
    <w:rsid w:val="00D7035F"/>
    <w:rsid w:val="00D82050"/>
    <w:rsid w:val="00DA634F"/>
    <w:rsid w:val="00DA65AC"/>
    <w:rsid w:val="00DB1913"/>
    <w:rsid w:val="00DB3F03"/>
    <w:rsid w:val="00DC410D"/>
    <w:rsid w:val="00DC5A81"/>
    <w:rsid w:val="00DC68CA"/>
    <w:rsid w:val="00DC7CBA"/>
    <w:rsid w:val="00DD4CAB"/>
    <w:rsid w:val="00DD73B7"/>
    <w:rsid w:val="00DF28BC"/>
    <w:rsid w:val="00DF34B9"/>
    <w:rsid w:val="00E01053"/>
    <w:rsid w:val="00E0150A"/>
    <w:rsid w:val="00E07ACF"/>
    <w:rsid w:val="00E17DC6"/>
    <w:rsid w:val="00E2274B"/>
    <w:rsid w:val="00E309F5"/>
    <w:rsid w:val="00E331A1"/>
    <w:rsid w:val="00E33202"/>
    <w:rsid w:val="00E336A9"/>
    <w:rsid w:val="00E340AC"/>
    <w:rsid w:val="00E472B1"/>
    <w:rsid w:val="00E50624"/>
    <w:rsid w:val="00E568DF"/>
    <w:rsid w:val="00E64269"/>
    <w:rsid w:val="00E650C9"/>
    <w:rsid w:val="00E82267"/>
    <w:rsid w:val="00E853CE"/>
    <w:rsid w:val="00E867B6"/>
    <w:rsid w:val="00E90706"/>
    <w:rsid w:val="00E90FED"/>
    <w:rsid w:val="00EA010F"/>
    <w:rsid w:val="00EB779F"/>
    <w:rsid w:val="00ED1B63"/>
    <w:rsid w:val="00ED3C1F"/>
    <w:rsid w:val="00ED4085"/>
    <w:rsid w:val="00ED420E"/>
    <w:rsid w:val="00ED6FBE"/>
    <w:rsid w:val="00EE2F57"/>
    <w:rsid w:val="00EF4C34"/>
    <w:rsid w:val="00EF77C6"/>
    <w:rsid w:val="00F05438"/>
    <w:rsid w:val="00F10B53"/>
    <w:rsid w:val="00F1361C"/>
    <w:rsid w:val="00F156F0"/>
    <w:rsid w:val="00F160C7"/>
    <w:rsid w:val="00F2408F"/>
    <w:rsid w:val="00F240E9"/>
    <w:rsid w:val="00F3574D"/>
    <w:rsid w:val="00F36D8F"/>
    <w:rsid w:val="00F417B1"/>
    <w:rsid w:val="00F45853"/>
    <w:rsid w:val="00F602DF"/>
    <w:rsid w:val="00F60C31"/>
    <w:rsid w:val="00F754A1"/>
    <w:rsid w:val="00F81BCB"/>
    <w:rsid w:val="00F81FD9"/>
    <w:rsid w:val="00F8241D"/>
    <w:rsid w:val="00F83658"/>
    <w:rsid w:val="00F841AA"/>
    <w:rsid w:val="00F84A94"/>
    <w:rsid w:val="00F87E96"/>
    <w:rsid w:val="00FA23E8"/>
    <w:rsid w:val="00FD3CC1"/>
    <w:rsid w:val="00FE7C55"/>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First Indent 2"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ody Text Indent"/>
    <w:basedOn w:val="a"/>
    <w:link w:val="Char3"/>
    <w:uiPriority w:val="99"/>
    <w:semiHidden/>
    <w:unhideWhenUsed/>
    <w:rsid w:val="00463E0F"/>
    <w:pPr>
      <w:spacing w:after="120"/>
      <w:ind w:leftChars="200" w:left="420"/>
    </w:pPr>
  </w:style>
  <w:style w:type="character" w:customStyle="1" w:styleId="Char3">
    <w:name w:val="正文文本缩进 Char"/>
    <w:basedOn w:val="a1"/>
    <w:link w:val="aa"/>
    <w:uiPriority w:val="99"/>
    <w:semiHidden/>
    <w:rsid w:val="00463E0F"/>
    <w:rPr>
      <w:rFonts w:ascii="Times New Roman" w:eastAsia="宋体" w:hAnsi="Times New Roman" w:cs="Times New Roman"/>
      <w:kern w:val="2"/>
      <w:sz w:val="21"/>
      <w:szCs w:val="24"/>
    </w:rPr>
  </w:style>
  <w:style w:type="paragraph" w:styleId="21">
    <w:name w:val="Body Text First Indent 2"/>
    <w:basedOn w:val="aa"/>
    <w:link w:val="2Char0"/>
    <w:uiPriority w:val="99"/>
    <w:unhideWhenUsed/>
    <w:qFormat/>
    <w:rsid w:val="00463E0F"/>
    <w:pPr>
      <w:ind w:firstLineChars="200" w:firstLine="420"/>
    </w:pPr>
  </w:style>
  <w:style w:type="character" w:customStyle="1" w:styleId="2Char0">
    <w:name w:val="正文首行缩进 2 Char"/>
    <w:basedOn w:val="Char3"/>
    <w:link w:val="21"/>
    <w:uiPriority w:val="99"/>
    <w:rsid w:val="00463E0F"/>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First Indent 2"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ody Text Indent"/>
    <w:basedOn w:val="a"/>
    <w:link w:val="Char3"/>
    <w:uiPriority w:val="99"/>
    <w:semiHidden/>
    <w:unhideWhenUsed/>
    <w:rsid w:val="00463E0F"/>
    <w:pPr>
      <w:spacing w:after="120"/>
      <w:ind w:leftChars="200" w:left="420"/>
    </w:pPr>
  </w:style>
  <w:style w:type="character" w:customStyle="1" w:styleId="Char3">
    <w:name w:val="正文文本缩进 Char"/>
    <w:basedOn w:val="a1"/>
    <w:link w:val="aa"/>
    <w:uiPriority w:val="99"/>
    <w:semiHidden/>
    <w:rsid w:val="00463E0F"/>
    <w:rPr>
      <w:rFonts w:ascii="Times New Roman" w:eastAsia="宋体" w:hAnsi="Times New Roman" w:cs="Times New Roman"/>
      <w:kern w:val="2"/>
      <w:sz w:val="21"/>
      <w:szCs w:val="24"/>
    </w:rPr>
  </w:style>
  <w:style w:type="paragraph" w:styleId="21">
    <w:name w:val="Body Text First Indent 2"/>
    <w:basedOn w:val="aa"/>
    <w:link w:val="2Char0"/>
    <w:uiPriority w:val="99"/>
    <w:unhideWhenUsed/>
    <w:qFormat/>
    <w:rsid w:val="00463E0F"/>
    <w:pPr>
      <w:ind w:firstLineChars="200" w:firstLine="420"/>
    </w:pPr>
  </w:style>
  <w:style w:type="character" w:customStyle="1" w:styleId="2Char0">
    <w:name w:val="正文首行缩进 2 Char"/>
    <w:basedOn w:val="Char3"/>
    <w:link w:val="21"/>
    <w:uiPriority w:val="99"/>
    <w:rsid w:val="00463E0F"/>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4478">
      <w:bodyDiv w:val="1"/>
      <w:marLeft w:val="0"/>
      <w:marRight w:val="0"/>
      <w:marTop w:val="0"/>
      <w:marBottom w:val="0"/>
      <w:divBdr>
        <w:top w:val="none" w:sz="0" w:space="0" w:color="auto"/>
        <w:left w:val="none" w:sz="0" w:space="0" w:color="auto"/>
        <w:bottom w:val="none" w:sz="0" w:space="0" w:color="auto"/>
        <w:right w:val="none" w:sz="0" w:space="0" w:color="auto"/>
      </w:divBdr>
    </w:div>
    <w:div w:id="1043558456">
      <w:bodyDiv w:val="1"/>
      <w:marLeft w:val="0"/>
      <w:marRight w:val="0"/>
      <w:marTop w:val="0"/>
      <w:marBottom w:val="0"/>
      <w:divBdr>
        <w:top w:val="none" w:sz="0" w:space="0" w:color="auto"/>
        <w:left w:val="none" w:sz="0" w:space="0" w:color="auto"/>
        <w:bottom w:val="none" w:sz="0" w:space="0" w:color="auto"/>
        <w:right w:val="none" w:sz="0" w:space="0" w:color="auto"/>
      </w:divBdr>
    </w:div>
    <w:div w:id="1139956226">
      <w:bodyDiv w:val="1"/>
      <w:marLeft w:val="0"/>
      <w:marRight w:val="0"/>
      <w:marTop w:val="0"/>
      <w:marBottom w:val="0"/>
      <w:divBdr>
        <w:top w:val="none" w:sz="0" w:space="0" w:color="auto"/>
        <w:left w:val="none" w:sz="0" w:space="0" w:color="auto"/>
        <w:bottom w:val="none" w:sz="0" w:space="0" w:color="auto"/>
        <w:right w:val="none" w:sz="0" w:space="0" w:color="auto"/>
      </w:divBdr>
    </w:div>
    <w:div w:id="1340690641">
      <w:bodyDiv w:val="1"/>
      <w:marLeft w:val="0"/>
      <w:marRight w:val="0"/>
      <w:marTop w:val="0"/>
      <w:marBottom w:val="0"/>
      <w:divBdr>
        <w:top w:val="none" w:sz="0" w:space="0" w:color="auto"/>
        <w:left w:val="none" w:sz="0" w:space="0" w:color="auto"/>
        <w:bottom w:val="none" w:sz="0" w:space="0" w:color="auto"/>
        <w:right w:val="none" w:sz="0" w:space="0" w:color="auto"/>
      </w:divBdr>
    </w:div>
    <w:div w:id="1459569803">
      <w:bodyDiv w:val="1"/>
      <w:marLeft w:val="0"/>
      <w:marRight w:val="0"/>
      <w:marTop w:val="0"/>
      <w:marBottom w:val="0"/>
      <w:divBdr>
        <w:top w:val="none" w:sz="0" w:space="0" w:color="auto"/>
        <w:left w:val="none" w:sz="0" w:space="0" w:color="auto"/>
        <w:bottom w:val="none" w:sz="0" w:space="0" w:color="auto"/>
        <w:right w:val="none" w:sz="0" w:space="0" w:color="auto"/>
      </w:divBdr>
    </w:div>
    <w:div w:id="1642464475">
      <w:bodyDiv w:val="1"/>
      <w:marLeft w:val="0"/>
      <w:marRight w:val="0"/>
      <w:marTop w:val="0"/>
      <w:marBottom w:val="0"/>
      <w:divBdr>
        <w:top w:val="none" w:sz="0" w:space="0" w:color="auto"/>
        <w:left w:val="none" w:sz="0" w:space="0" w:color="auto"/>
        <w:bottom w:val="none" w:sz="0" w:space="0" w:color="auto"/>
        <w:right w:val="none" w:sz="0" w:space="0" w:color="auto"/>
      </w:divBdr>
    </w:div>
    <w:div w:id="1914898973">
      <w:bodyDiv w:val="1"/>
      <w:marLeft w:val="0"/>
      <w:marRight w:val="0"/>
      <w:marTop w:val="0"/>
      <w:marBottom w:val="0"/>
      <w:divBdr>
        <w:top w:val="none" w:sz="0" w:space="0" w:color="auto"/>
        <w:left w:val="none" w:sz="0" w:space="0" w:color="auto"/>
        <w:bottom w:val="none" w:sz="0" w:space="0" w:color="auto"/>
        <w:right w:val="none" w:sz="0" w:space="0" w:color="auto"/>
      </w:divBdr>
    </w:div>
    <w:div w:id="196931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21</Pages>
  <Words>1400</Words>
  <Characters>7981</Characters>
  <Application>Microsoft Office Word</Application>
  <DocSecurity>0</DocSecurity>
  <Lines>66</Lines>
  <Paragraphs>18</Paragraphs>
  <ScaleCrop>false</ScaleCrop>
  <Company>四川省财政厅</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张曦云</cp:lastModifiedBy>
  <cp:revision>70</cp:revision>
  <cp:lastPrinted>2022-08-06T02:23:00Z</cp:lastPrinted>
  <dcterms:created xsi:type="dcterms:W3CDTF">2020-08-05T01:49:00Z</dcterms:created>
  <dcterms:modified xsi:type="dcterms:W3CDTF">2023-09-27T10:21:00Z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