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outlineLvl w:val="0"/>
        <w:rPr>
          <w:rFonts w:ascii="方正小标宋简体" w:eastAsia="方正小标宋简体"/>
          <w:sz w:val="72"/>
          <w:szCs w:val="72"/>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bookmarkStart w:id="1" w:name="_Toc15396597"/>
      <w:bookmarkStart w:id="2" w:name="_Toc15378441"/>
      <w:bookmarkStart w:id="3" w:name="_Toc15377425"/>
      <w:bookmarkStart w:id="4" w:name="_Toc15396475"/>
      <w:bookmarkStart w:id="5" w:name="_Toc15377193"/>
      <w:r>
        <w:rPr>
          <w:rFonts w:ascii="方正小标宋简体" w:eastAsia="方正小标宋简体" w:cs="方正小标宋简体" w:hint="eastAsia"/>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s="方正小标宋简体"/>
          <w:sz w:val="72"/>
          <w:szCs w:val="72"/>
        </w:rPr>
      </w:pPr>
      <w:bookmarkStart w:id="6" w:name="_Toc15396598"/>
      <w:bookmarkStart w:id="7" w:name="_Toc15377194"/>
      <w:bookmarkStart w:id="8" w:name="_Toc15396476"/>
      <w:bookmarkStart w:id="9" w:name="_Toc15377426"/>
      <w:bookmarkStart w:id="10" w:name="_Toc15378442"/>
      <w:r>
        <w:rPr>
          <w:rFonts w:ascii="方正小标宋简体" w:eastAsia="方正小标宋简体" w:cs="方正小标宋简体" w:hint="eastAsia"/>
          <w:sz w:val="72"/>
          <w:szCs w:val="72"/>
        </w:rPr>
        <w:t>四川省</w:t>
      </w:r>
      <w:bookmarkStart w:id="11" w:name="_Toc15306268"/>
      <w:bookmarkEnd w:id="0"/>
      <w:r>
        <w:rPr>
          <w:rFonts w:ascii="方正小标宋简体" w:eastAsia="方正小标宋简体" w:cs="方正小标宋简体" w:hint="eastAsia"/>
          <w:sz w:val="72"/>
          <w:szCs w:val="72"/>
        </w:rPr>
        <w:t>攀枝花市社会体育指导中心决算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t>目录</w:t>
      </w:r>
    </w:p>
    <w:p>
      <w:pPr>
        <w:widowControl/>
        <w:jc w:val="center"/>
        <w:rPr>
          <w:rFonts w:ascii="黑体" w:eastAsia="黑体" w:cs="Arial"/>
          <w:sz w:val="28"/>
          <w:szCs w:val="28"/>
        </w:rPr>
      </w:pPr>
    </w:p>
    <w:p>
      <w:pPr>
        <w:pStyle w:val="20"/>
        <w:tabs>
          <w:tab w:val="right" w:leader="dot" w:pos="8296"/>
        </w:tabs>
      </w:pPr>
      <w:r>
        <w:rPr>
          <w:rFonts w:hint="eastAsia"/>
        </w:rPr>
        <w:t>公开时间：2022年9月9日</w:t>
      </w:r>
    </w:p>
    <w:p/>
    <w:p>
      <w:pPr>
        <w:pStyle w:val="20"/>
        <w:tabs>
          <w:tab w:val="right" w:leader="dot" w:pos="8296"/>
        </w:tabs>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r>
        <w:rPr>
          <w:rFonts w:ascii="Times New Roman" w:eastAsia="宋体" w:hAnsi="Times New Roman" w:hint="eastAsia"/>
          <w:sz w:val="24"/>
          <w:szCs w:val="24"/>
        </w:rPr>
        <w:t>......................................................................................................</w:t>
      </w:r>
      <w:r>
        <w:rPr>
          <w:rFonts w:hint="eastAsia"/>
          <w:sz w:val="24"/>
        </w:rPr>
        <w:t>4</w:t>
      </w:r>
    </w:p>
    <w:p>
      <w:pPr>
        <w:pStyle w:val="21"/>
        <w:tabs>
          <w:tab w:val="right" w:leader="dot" w:pos="8296"/>
        </w:tabs>
        <w:adjustRightInd w:val="0"/>
        <w:snapToGrid w:val="0"/>
        <w:spacing w:line="440" w:lineRule="exact"/>
        <w:jc w:val="left"/>
        <w:rPr>
          <w:sz w:val="24"/>
        </w:rPr>
      </w:pPr>
      <w:r>
        <w:rPr>
          <w:rFonts w:hint="eastAsia"/>
          <w:sz w:val="24"/>
        </w:rPr>
        <w:t>一、职能简介...........................................................................................................4</w:t>
      </w:r>
    </w:p>
    <w:p>
      <w:pPr>
        <w:pStyle w:val="21"/>
        <w:tabs>
          <w:tab w:val="right" w:leader="dot" w:pos="8296"/>
        </w:tabs>
        <w:adjustRightInd w:val="0"/>
        <w:snapToGrid w:val="0"/>
        <w:spacing w:line="440" w:lineRule="exact"/>
        <w:jc w:val="left"/>
        <w:rPr>
          <w:rFonts w:ascii="宋体" w:eastAsia="宋体" w:cs="宋体"/>
          <w:sz w:val="24"/>
        </w:rPr>
      </w:pPr>
      <w:r>
        <w:rPr>
          <w:rFonts w:ascii="宋体" w:eastAsia="宋体" w:cs="宋体" w:hint="eastAsia"/>
          <w:sz w:val="24"/>
        </w:rPr>
        <w:t>二、2021年重点工作完成情况</w:t>
      </w:r>
      <w:r>
        <w:rPr>
          <w:rFonts w:eastAsia="宋体"/>
          <w:sz w:val="24"/>
        </w:rPr>
        <w:t>.............................................................................</w:t>
      </w:r>
      <w:r>
        <w:rPr>
          <w:rFonts w:ascii="宋体" w:eastAsia="宋体" w:cs="宋体" w:hint="eastAsia"/>
          <w:sz w:val="24"/>
        </w:rPr>
        <w:t>4</w:t>
      </w:r>
    </w:p>
    <w:p>
      <w:pPr>
        <w:pStyle w:val="21"/>
        <w:tabs>
          <w:tab w:val="right" w:leader="dot" w:pos="8296"/>
        </w:tabs>
        <w:adjustRightInd w:val="0"/>
        <w:snapToGrid w:val="0"/>
        <w:spacing w:line="440" w:lineRule="exact"/>
        <w:jc w:val="left"/>
        <w:rPr>
          <w:sz w:val="24"/>
        </w:rPr>
      </w:pPr>
      <w:r>
        <w:rPr>
          <w:sz w:val="24"/>
        </w:rPr>
        <w:t>三</w:t>
      </w:r>
      <w:r>
        <w:rPr>
          <w:rFonts w:hint="eastAsia"/>
          <w:sz w:val="24"/>
        </w:rPr>
        <w:t>、机构设置...........................................................................................................</w:t>
      </w:r>
      <w:r>
        <w:rPr>
          <w:sz w:val="24"/>
        </w:rPr>
        <w:t>6</w:t>
      </w:r>
    </w:p>
    <w:p>
      <w:pPr>
        <w:pStyle w:val="20"/>
        <w:tabs>
          <w:tab w:val="right" w:leader="dot" w:pos="8296"/>
        </w:tabs>
        <w:adjustRightInd w:val="0"/>
        <w:snapToGrid w:val="0"/>
        <w:spacing w:before="0" w:line="440" w:lineRule="exact"/>
        <w:jc w:val="left"/>
        <w:rPr>
          <w:sz w:val="24"/>
          <w:szCs w:val="24"/>
        </w:rPr>
      </w:pPr>
      <w:r>
        <w:rPr>
          <w:rFonts w:hint="eastAsia"/>
          <w:sz w:val="24"/>
        </w:rPr>
        <w:t>第二部分 2021年度单位决算情况说明</w:t>
      </w:r>
      <w:r>
        <w:rPr>
          <w:rFonts w:ascii="Times New Roman" w:eastAsia="宋体" w:hAnsi="Times New Roman"/>
          <w:sz w:val="24"/>
        </w:rPr>
        <w:t>.........................</w:t>
      </w:r>
      <w:r>
        <w:rPr>
          <w:rFonts w:ascii="Times New Roman" w:eastAsia="宋体" w:hAnsi="Times New Roman" w:hint="eastAsia"/>
          <w:sz w:val="24"/>
        </w:rPr>
        <w:t>....................................</w:t>
      </w:r>
      <w:r>
        <w:rPr>
          <w:rFonts w:ascii="Times New Roman" w:eastAsia="宋体" w:hAnsi="Times New Roman"/>
          <w:sz w:val="24"/>
        </w:rPr>
        <w:t>........</w:t>
      </w:r>
      <w:r>
        <w:rPr>
          <w:rFonts w:ascii="宋体" w:eastAsia="宋体" w:cs="宋体"/>
          <w:sz w:val="24"/>
        </w:rPr>
        <w:t>7</w:t>
      </w:r>
    </w:p>
    <w:p>
      <w:pPr>
        <w:pStyle w:val="21"/>
        <w:tabs>
          <w:tab w:val="right" w:leader="dot" w:pos="8296"/>
        </w:tabs>
        <w:adjustRightInd w:val="0"/>
        <w:snapToGrid w:val="0"/>
        <w:spacing w:line="440" w:lineRule="exact"/>
        <w:jc w:val="left"/>
        <w:rPr>
          <w:rFonts w:ascii="仿宋" w:cs="Arial" w:hAnsi="仿宋"/>
          <w:sz w:val="24"/>
        </w:rPr>
      </w:pPr>
      <w:r>
        <w:rPr>
          <w:rFonts w:hint="eastAsia"/>
          <w:sz w:val="24"/>
        </w:rPr>
        <w:t>一、收入支出决算总体情况说明.........................................................................</w:t>
      </w:r>
      <w:r>
        <w:rPr>
          <w:sz w:val="24"/>
        </w:rPr>
        <w:t>7</w:t>
      </w:r>
    </w:p>
    <w:p>
      <w:pPr>
        <w:pStyle w:val="21"/>
        <w:tabs>
          <w:tab w:val="right" w:leader="dot" w:pos="8296"/>
        </w:tabs>
        <w:adjustRightInd w:val="0"/>
        <w:snapToGrid w:val="0"/>
        <w:spacing w:line="440" w:lineRule="exact"/>
        <w:jc w:val="left"/>
        <w:rPr>
          <w:rFonts w:ascii="仿宋" w:cs="Arial" w:hAnsi="仿宋"/>
          <w:sz w:val="24"/>
        </w:rPr>
      </w:pPr>
      <w:r>
        <w:rPr>
          <w:rFonts w:hint="eastAsia"/>
          <w:sz w:val="24"/>
        </w:rPr>
        <w:t>二、收入决算情况说明.........................................................................................</w:t>
      </w:r>
      <w:r>
        <w:rPr>
          <w:sz w:val="24"/>
        </w:rPr>
        <w:t>8</w:t>
      </w:r>
    </w:p>
    <w:p>
      <w:pPr>
        <w:pStyle w:val="21"/>
        <w:tabs>
          <w:tab w:val="right" w:leader="dot" w:pos="8296"/>
        </w:tabs>
        <w:adjustRightInd w:val="0"/>
        <w:snapToGrid w:val="0"/>
        <w:spacing w:line="440" w:lineRule="exact"/>
        <w:jc w:val="left"/>
        <w:rPr>
          <w:rFonts w:ascii="仿宋" w:cs="Arial" w:hAnsi="仿宋"/>
          <w:sz w:val="24"/>
        </w:rPr>
      </w:pPr>
      <w:r>
        <w:rPr>
          <w:rFonts w:hint="eastAsia"/>
          <w:sz w:val="24"/>
        </w:rPr>
        <w:t>三、支出决算情况说明.........................................................................................</w:t>
      </w:r>
      <w:r>
        <w:rPr>
          <w:sz w:val="24"/>
        </w:rPr>
        <w:t>9</w:t>
      </w:r>
    </w:p>
    <w:p>
      <w:pPr>
        <w:pStyle w:val="21"/>
        <w:tabs>
          <w:tab w:val="right" w:leader="dot" w:pos="8296"/>
        </w:tabs>
        <w:adjustRightInd w:val="0"/>
        <w:snapToGrid w:val="0"/>
        <w:spacing w:line="440" w:lineRule="exact"/>
        <w:jc w:val="left"/>
        <w:rPr>
          <w:rFonts w:ascii="仿宋" w:cs="Arial" w:hAnsi="仿宋"/>
          <w:sz w:val="24"/>
        </w:rPr>
      </w:pPr>
      <w:r>
        <w:rPr>
          <w:rFonts w:hint="eastAsia"/>
          <w:sz w:val="24"/>
        </w:rPr>
        <w:t>四、财政拨款收入支出决算总体情况说明...........................................................9</w:t>
      </w:r>
    </w:p>
    <w:p>
      <w:pPr>
        <w:pStyle w:val="21"/>
        <w:tabs>
          <w:tab w:val="right" w:leader="dot" w:pos="8296"/>
        </w:tabs>
        <w:adjustRightInd w:val="0"/>
        <w:snapToGrid w:val="0"/>
        <w:spacing w:line="440" w:lineRule="exact"/>
        <w:jc w:val="left"/>
        <w:rPr>
          <w:rFonts w:ascii="仿宋" w:cs="Arial" w:hAnsi="仿宋"/>
          <w:sz w:val="24"/>
        </w:rPr>
      </w:pPr>
      <w:r>
        <w:rPr>
          <w:rFonts w:hint="eastAsia"/>
          <w:sz w:val="24"/>
        </w:rPr>
        <w:t>五、一般公共预算财政拨款支出决算情况说明.................................................10</w:t>
      </w:r>
    </w:p>
    <w:p>
      <w:pPr>
        <w:pStyle w:val="21"/>
        <w:tabs>
          <w:tab w:val="right" w:leader="dot" w:pos="8296"/>
        </w:tabs>
        <w:adjustRightInd w:val="0"/>
        <w:snapToGrid w:val="0"/>
        <w:spacing w:line="440" w:lineRule="exact"/>
        <w:jc w:val="left"/>
        <w:rPr>
          <w:rFonts w:ascii="仿宋" w:cs="Arial" w:hAnsi="仿宋"/>
          <w:sz w:val="24"/>
        </w:rPr>
      </w:pPr>
      <w:r>
        <w:rPr>
          <w:rFonts w:hint="eastAsia"/>
          <w:sz w:val="24"/>
        </w:rPr>
        <w:t>六、一般公共预算财政拨款基本支出决算情况说明.........................................13</w:t>
      </w:r>
    </w:p>
    <w:p>
      <w:pPr>
        <w:pStyle w:val="21"/>
        <w:tabs>
          <w:tab w:val="right" w:leader="dot" w:pos="8296"/>
        </w:tabs>
        <w:adjustRightInd w:val="0"/>
        <w:snapToGrid w:val="0"/>
        <w:spacing w:line="440" w:lineRule="exact"/>
        <w:jc w:val="left"/>
        <w:rPr>
          <w:rFonts w:ascii="仿宋" w:cs="Arial" w:hAnsi="仿宋"/>
          <w:sz w:val="24"/>
        </w:rPr>
      </w:pPr>
      <w:r>
        <w:rPr>
          <w:rFonts w:hint="eastAsia"/>
          <w:sz w:val="24"/>
        </w:rPr>
        <w:t>七、“三公”经费财政拨款支出决算情况说明...................................................13</w:t>
      </w:r>
    </w:p>
    <w:p>
      <w:pPr>
        <w:pStyle w:val="21"/>
        <w:tabs>
          <w:tab w:val="right" w:leader="dot" w:pos="8296"/>
        </w:tabs>
        <w:adjustRightInd w:val="0"/>
        <w:snapToGrid w:val="0"/>
        <w:spacing w:line="440" w:lineRule="exact"/>
        <w:jc w:val="left"/>
        <w:rPr>
          <w:rFonts w:ascii="仿宋" w:cs="Arial" w:hAnsi="仿宋"/>
          <w:sz w:val="24"/>
        </w:rPr>
      </w:pPr>
      <w:r>
        <w:rPr>
          <w:rFonts w:hint="eastAsia"/>
          <w:sz w:val="24"/>
        </w:rPr>
        <w:t>八、政府性基金预算支出决算情况说明............................................................14</w:t>
      </w:r>
    </w:p>
    <w:p>
      <w:pPr>
        <w:pStyle w:val="21"/>
        <w:tabs>
          <w:tab w:val="right" w:leader="dot" w:pos="8296"/>
        </w:tabs>
        <w:adjustRightInd w:val="0"/>
        <w:snapToGrid w:val="0"/>
        <w:spacing w:line="440" w:lineRule="exact"/>
        <w:jc w:val="left"/>
        <w:rPr>
          <w:sz w:val="24"/>
        </w:rPr>
      </w:pPr>
      <w:r>
        <w:rPr>
          <w:rFonts w:hint="eastAsia"/>
          <w:sz w:val="24"/>
        </w:rPr>
        <w:t>九、国有资本经营预算支出决算情况说明........................................................15</w:t>
      </w:r>
    </w:p>
    <w:p>
      <w:pPr>
        <w:pStyle w:val="21"/>
        <w:tabs>
          <w:tab w:val="right" w:leader="dot" w:pos="8296"/>
        </w:tabs>
        <w:adjustRightInd w:val="0"/>
        <w:snapToGrid w:val="0"/>
        <w:spacing w:line="440" w:lineRule="exact"/>
        <w:jc w:val="left"/>
        <w:rPr>
          <w:sz w:val="24"/>
        </w:rPr>
      </w:pPr>
      <w:r>
        <w:rPr>
          <w:rFonts w:hint="eastAsia"/>
          <w:sz w:val="24"/>
        </w:rPr>
        <w:t>十、其他重要事项的情况说明.............................................................................15</w:t>
      </w:r>
    </w:p>
    <w:p>
      <w:pPr>
        <w:pStyle w:val="20"/>
        <w:tabs>
          <w:tab w:val="right" w:leader="dot" w:pos="8296"/>
        </w:tabs>
        <w:adjustRightInd w:val="0"/>
        <w:snapToGrid w:val="0"/>
        <w:spacing w:before="0" w:line="440" w:lineRule="exact"/>
        <w:jc w:val="left"/>
        <w:rPr>
          <w:sz w:val="24"/>
        </w:rPr>
      </w:pPr>
      <w:r>
        <w:rPr>
          <w:rFonts w:hint="eastAsia"/>
          <w:sz w:val="24"/>
        </w:rPr>
        <w:t>第三部分</w:t>
      </w:r>
      <w:r>
        <w:rPr>
          <w:sz w:val="24"/>
        </w:rPr>
        <w:t xml:space="preserve"> </w:t>
      </w:r>
      <w:r>
        <w:rPr>
          <w:rFonts w:hint="eastAsia"/>
          <w:sz w:val="24"/>
        </w:rPr>
        <w:t>名词解释</w:t>
      </w:r>
      <w:r>
        <w:rPr>
          <w:rFonts w:ascii="Times New Roman" w:hAnsi="Times New Roman"/>
          <w:sz w:val="24"/>
        </w:rPr>
        <w:t>...................................</w:t>
      </w:r>
      <w:r>
        <w:rPr>
          <w:rFonts w:ascii="Times New Roman" w:hAnsi="Times New Roman" w:hint="eastAsia"/>
          <w:sz w:val="24"/>
        </w:rPr>
        <w:t>..................................................</w:t>
      </w:r>
      <w:r>
        <w:rPr>
          <w:rFonts w:ascii="Times New Roman" w:hAnsi="Times New Roman"/>
          <w:sz w:val="24"/>
        </w:rPr>
        <w:t>...............</w:t>
      </w:r>
      <w:r>
        <w:rPr>
          <w:rFonts w:hint="eastAsia"/>
          <w:sz w:val="24"/>
        </w:rPr>
        <w:t>16</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r>
        <w:rPr>
          <w:rFonts w:ascii="Times New Roman" w:hAnsi="Times New Roman"/>
          <w:sz w:val="24"/>
        </w:rPr>
        <w:t>...................................</w:t>
      </w:r>
      <w:r>
        <w:rPr>
          <w:rFonts w:ascii="Times New Roman" w:hAnsi="Times New Roman" w:hint="eastAsia"/>
          <w:sz w:val="24"/>
        </w:rPr>
        <w:t>..................................................</w:t>
      </w:r>
      <w:r>
        <w:rPr>
          <w:rFonts w:ascii="Times New Roman" w:hAnsi="Times New Roman"/>
          <w:sz w:val="24"/>
        </w:rPr>
        <w:t>...........</w:t>
      </w:r>
      <w:r>
        <w:rPr>
          <w:rFonts w:ascii="Times New Roman" w:hAnsi="Times New Roman" w:hint="eastAsia"/>
          <w:sz w:val="24"/>
        </w:rPr>
        <w:t>........</w:t>
      </w:r>
      <w:r>
        <w:rPr>
          <w:rFonts w:ascii="Times New Roman" w:hAnsi="Times New Roman"/>
          <w:sz w:val="24"/>
        </w:rPr>
        <w:t>....</w:t>
      </w:r>
      <w:r>
        <w:rPr>
          <w:rFonts w:hint="eastAsia"/>
          <w:sz w:val="24"/>
        </w:rPr>
        <w:t>22</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r>
        <w:rPr>
          <w:rFonts w:ascii="Times New Roman" w:hAnsi="Times New Roman"/>
          <w:sz w:val="24"/>
        </w:rPr>
        <w:t>....................................................</w:t>
      </w:r>
      <w:r>
        <w:rPr>
          <w:rFonts w:ascii="Times New Roman" w:hAnsi="Times New Roman" w:hint="eastAsia"/>
          <w:sz w:val="24"/>
        </w:rPr>
        <w:t>......................................................</w:t>
      </w:r>
      <w:r>
        <w:rPr>
          <w:rFonts w:ascii="Times New Roman" w:hAnsi="Times New Roman"/>
          <w:sz w:val="24"/>
        </w:rPr>
        <w:t>..</w:t>
      </w:r>
      <w:r>
        <w:rPr>
          <w:rFonts w:hint="eastAsia"/>
          <w:sz w:val="24"/>
        </w:rPr>
        <w:t>23</w:t>
      </w:r>
    </w:p>
    <w:p>
      <w:pPr>
        <w:pStyle w:val="21"/>
        <w:tabs>
          <w:tab w:val="right" w:leader="dot" w:pos="8296"/>
        </w:tabs>
        <w:adjustRightInd w:val="0"/>
        <w:snapToGrid w:val="0"/>
        <w:spacing w:line="440" w:lineRule="exact"/>
        <w:jc w:val="left"/>
        <w:rPr>
          <w:sz w:val="24"/>
        </w:rPr>
      </w:pPr>
      <w:r>
        <w:rPr>
          <w:rFonts w:hint="eastAsia"/>
          <w:sz w:val="24"/>
        </w:rPr>
        <w:t>一、收入支出决算总表.......................................................................................24</w:t>
      </w:r>
    </w:p>
    <w:p>
      <w:pPr>
        <w:pStyle w:val="21"/>
        <w:tabs>
          <w:tab w:val="right" w:leader="dot" w:pos="8296"/>
        </w:tabs>
        <w:adjustRightInd w:val="0"/>
        <w:snapToGrid w:val="0"/>
        <w:spacing w:line="440" w:lineRule="exact"/>
        <w:jc w:val="left"/>
        <w:rPr>
          <w:sz w:val="24"/>
        </w:rPr>
      </w:pPr>
      <w:r>
        <w:rPr>
          <w:rFonts w:hint="eastAsia"/>
          <w:sz w:val="24"/>
        </w:rPr>
        <w:t>二、收入决算表...................................................................................................24</w:t>
      </w:r>
    </w:p>
    <w:p>
      <w:pPr>
        <w:pStyle w:val="21"/>
        <w:tabs>
          <w:tab w:val="right" w:leader="dot" w:pos="8296"/>
        </w:tabs>
        <w:adjustRightInd w:val="0"/>
        <w:snapToGrid w:val="0"/>
        <w:spacing w:line="440" w:lineRule="exact"/>
        <w:jc w:val="left"/>
        <w:rPr>
          <w:sz w:val="24"/>
        </w:rPr>
      </w:pPr>
      <w:r>
        <w:rPr>
          <w:rFonts w:hint="eastAsia"/>
          <w:sz w:val="24"/>
        </w:rPr>
        <w:t>三、支出决算表...................................................................................................24</w:t>
      </w:r>
    </w:p>
    <w:p>
      <w:pPr>
        <w:pStyle w:val="21"/>
        <w:tabs>
          <w:tab w:val="right" w:leader="dot" w:pos="8296"/>
        </w:tabs>
        <w:adjustRightInd w:val="0"/>
        <w:snapToGrid w:val="0"/>
        <w:spacing w:line="440" w:lineRule="exact"/>
        <w:jc w:val="left"/>
        <w:rPr>
          <w:sz w:val="24"/>
        </w:rPr>
      </w:pPr>
      <w:r>
        <w:rPr>
          <w:rFonts w:hint="eastAsia"/>
          <w:sz w:val="24"/>
        </w:rPr>
        <w:t>四、财政拨款收入支出决算总表.......................................................................24</w:t>
      </w:r>
    </w:p>
    <w:p>
      <w:pPr>
        <w:pStyle w:val="21"/>
        <w:tabs>
          <w:tab w:val="right" w:leader="dot" w:pos="8296"/>
        </w:tabs>
        <w:adjustRightInd w:val="0"/>
        <w:snapToGrid w:val="0"/>
        <w:spacing w:line="440" w:lineRule="exact"/>
        <w:jc w:val="left"/>
        <w:rPr>
          <w:sz w:val="24"/>
        </w:rPr>
      </w:pPr>
      <w:r>
        <w:rPr>
          <w:rFonts w:hint="eastAsia"/>
          <w:sz w:val="24"/>
        </w:rPr>
        <w:t>五、财政拨款支出决算明细表.............................................................................24</w:t>
      </w:r>
    </w:p>
    <w:p>
      <w:pPr>
        <w:pStyle w:val="21"/>
        <w:tabs>
          <w:tab w:val="right" w:leader="dot" w:pos="8296"/>
        </w:tabs>
        <w:adjustRightInd w:val="0"/>
        <w:snapToGrid w:val="0"/>
        <w:spacing w:line="440" w:lineRule="exact"/>
        <w:jc w:val="left"/>
        <w:rPr>
          <w:sz w:val="24"/>
        </w:rPr>
      </w:pPr>
      <w:r>
        <w:rPr>
          <w:rFonts w:hint="eastAsia"/>
          <w:sz w:val="24"/>
        </w:rPr>
        <w:t>六、一般公共预算财政拨款支出决算表.............................................................24</w:t>
      </w:r>
    </w:p>
    <w:p>
      <w:pPr>
        <w:pStyle w:val="21"/>
        <w:tabs>
          <w:tab w:val="right" w:leader="dot" w:pos="8296"/>
        </w:tabs>
        <w:adjustRightInd w:val="0"/>
        <w:snapToGrid w:val="0"/>
        <w:spacing w:line="440" w:lineRule="exact"/>
        <w:jc w:val="left"/>
        <w:rPr>
          <w:sz w:val="24"/>
        </w:rPr>
      </w:pPr>
      <w:r>
        <w:rPr>
          <w:rFonts w:hint="eastAsia"/>
          <w:sz w:val="24"/>
        </w:rPr>
        <w:t>七、一般公共预算财政拨款支出决算明细表...................................................24</w:t>
      </w:r>
    </w:p>
    <w:p>
      <w:pPr>
        <w:pStyle w:val="21"/>
        <w:tabs>
          <w:tab w:val="right" w:leader="dot" w:pos="8296"/>
        </w:tabs>
        <w:adjustRightInd w:val="0"/>
        <w:snapToGrid w:val="0"/>
        <w:spacing w:line="440" w:lineRule="exact"/>
        <w:jc w:val="left"/>
        <w:rPr>
          <w:sz w:val="24"/>
        </w:rPr>
      </w:pPr>
      <w:r>
        <w:rPr>
          <w:rFonts w:hint="eastAsia"/>
          <w:sz w:val="24"/>
        </w:rPr>
        <w:t>八、一般公共预算财政拨款基本支出决算表...................................................24</w:t>
      </w:r>
    </w:p>
    <w:p>
      <w:pPr>
        <w:pStyle w:val="21"/>
        <w:tabs>
          <w:tab w:val="right" w:leader="dot" w:pos="8296"/>
        </w:tabs>
        <w:adjustRightInd w:val="0"/>
        <w:snapToGrid w:val="0"/>
        <w:spacing w:line="440" w:lineRule="exact"/>
        <w:jc w:val="left"/>
        <w:rPr>
          <w:rFonts w:hint="eastAsia"/>
          <w:sz w:val="24"/>
        </w:rPr>
      </w:pPr>
      <w:r>
        <w:rPr>
          <w:rFonts w:hint="eastAsia"/>
          <w:sz w:val="24"/>
        </w:rPr>
        <w:t>九、一般公共预算财政拨款项目支出决算表...................................................24</w:t>
      </w:r>
    </w:p>
    <w:p>
      <w:pPr>
        <w:pStyle w:val="21"/>
        <w:tabs>
          <w:tab w:val="right" w:leader="dot" w:pos="8296"/>
        </w:tabs>
        <w:adjustRightInd w:val="0"/>
        <w:snapToGrid w:val="0"/>
        <w:spacing w:line="440" w:lineRule="exact"/>
        <w:jc w:val="left"/>
        <w:rPr>
          <w:sz w:val="24"/>
        </w:rPr>
      </w:pPr>
      <w:r>
        <w:rPr>
          <w:rFonts w:hint="eastAsia"/>
          <w:sz w:val="24"/>
        </w:rPr>
        <w:t>十、一般公共预算财政拨款“三公”经费支出决算表.....................................24</w:t>
      </w:r>
    </w:p>
    <w:p>
      <w:pPr>
        <w:pStyle w:val="21"/>
        <w:tabs>
          <w:tab w:val="right" w:leader="dot" w:pos="8296"/>
        </w:tabs>
        <w:adjustRightInd w:val="0"/>
        <w:snapToGrid w:val="0"/>
        <w:spacing w:line="440" w:lineRule="exact"/>
        <w:jc w:val="left"/>
        <w:rPr>
          <w:sz w:val="24"/>
        </w:rPr>
      </w:pPr>
      <w:r>
        <w:rPr>
          <w:rFonts w:hint="eastAsia"/>
          <w:sz w:val="24"/>
        </w:rPr>
        <w:t>十一、政府性基金预算财政拨款收入支出决算表............................................24</w:t>
      </w:r>
    </w:p>
    <w:p>
      <w:pPr>
        <w:pStyle w:val="21"/>
        <w:tabs>
          <w:tab w:val="right" w:leader="dot" w:pos="8296"/>
        </w:tabs>
        <w:adjustRightInd w:val="0"/>
        <w:snapToGrid w:val="0"/>
        <w:spacing w:line="440" w:lineRule="exact"/>
        <w:jc w:val="left"/>
        <w:rPr>
          <w:sz w:val="24"/>
        </w:rPr>
      </w:pPr>
      <w:r>
        <w:rPr>
          <w:rFonts w:hint="eastAsia"/>
          <w:sz w:val="24"/>
        </w:rPr>
        <w:t>十二、政府性基金预算财政拨款“三公”经费支出决算表............................24</w:t>
      </w:r>
    </w:p>
    <w:p>
      <w:pPr>
        <w:pStyle w:val="21"/>
        <w:tabs>
          <w:tab w:val="right" w:leader="dot" w:pos="8296"/>
        </w:tabs>
        <w:adjustRightInd w:val="0"/>
        <w:snapToGrid w:val="0"/>
        <w:spacing w:line="440" w:lineRule="exact"/>
        <w:jc w:val="left"/>
        <w:rPr>
          <w:sz w:val="24"/>
        </w:rPr>
      </w:pPr>
      <w:r>
        <w:rPr>
          <w:rFonts w:hint="eastAsia"/>
          <w:sz w:val="24"/>
        </w:rPr>
        <w:t>十三、国有资本经营预算财政拨款收入支出决算表........................................24</w:t>
      </w:r>
    </w:p>
    <w:p>
      <w:pPr>
        <w:pStyle w:val="21"/>
        <w:tabs>
          <w:tab w:val="right" w:leader="dot" w:pos="8296"/>
        </w:tabs>
        <w:adjustRightInd w:val="0"/>
        <w:snapToGrid w:val="0"/>
        <w:spacing w:line="440" w:lineRule="exact"/>
        <w:jc w:val="left"/>
        <w:rPr>
          <w:sz w:val="24"/>
        </w:rPr>
      </w:pPr>
      <w:r>
        <w:rPr>
          <w:rFonts w:hint="eastAsia"/>
          <w:sz w:val="24"/>
        </w:rPr>
        <w:t>十四、国有资本经营预算财政拨款支出决算表................................................24</w:t>
      </w:r>
    </w:p>
    <w:p>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pPr>
        <w:pStyle w:val="1"/>
        <w:jc w:val="center"/>
        <w:rPr>
          <w:rFonts w:ascii="黑体" w:eastAsia="黑体"/>
          <w:bCs w:val="0"/>
        </w:rPr>
      </w:pPr>
      <w:r>
        <w:rPr>
          <w:rFonts w:ascii="黑体" w:eastAsia="黑体" w:hint="eastAsia"/>
          <w:b w:val="0"/>
        </w:rPr>
        <w:t>第一部分 单位</w:t>
      </w:r>
      <w:r>
        <w:rPr>
          <w:rStyle w:val="1Char"/>
          <w:rFonts w:ascii="黑体" w:eastAsia="黑体" w:hint="eastAsia"/>
          <w:b w:val="0"/>
          <w:bCs w:val="0"/>
        </w:rPr>
        <w:t>概况</w:t>
      </w:r>
      <w:bookmarkEnd w:id="12"/>
      <w:bookmarkEnd w:id="13"/>
    </w:p>
    <w:p>
      <w:pPr>
        <w:pStyle w:val="2"/>
        <w:numPr>
          <w:ilvl w:val="0"/>
          <w:numId w:val="1"/>
        </w:numPr>
        <w:rPr>
          <w:rStyle w:val="29"/>
          <w:rFonts w:ascii="黑体" w:eastAsia="黑体"/>
          <w:b w:val="0"/>
          <w:bCs w:val="0"/>
        </w:rPr>
      </w:pPr>
      <w:bookmarkStart w:id="14" w:name="_Toc15396600"/>
      <w:bookmarkStart w:id="15" w:name="_Toc15377197"/>
      <w:r>
        <w:rPr>
          <w:rStyle w:val="29"/>
          <w:rFonts w:ascii="黑体" w:eastAsia="黑体" w:hint="eastAsia"/>
          <w:b w:val="0"/>
          <w:bCs w:val="0"/>
        </w:rPr>
        <w:t>职能简介</w:t>
      </w:r>
    </w:p>
    <w:p>
      <w:pPr>
        <w:pStyle w:val="15"/>
        <w:adjustRightInd w:val="0"/>
        <w:spacing w:beforeLines="0" w:before="0" w:line="600" w:lineRule="exact"/>
        <w:ind w:firstLineChars="208" w:firstLine="666"/>
        <w:rPr>
          <w:rFonts w:ascii="仿宋" w:eastAsia="仿宋"/>
          <w:sz w:val="32"/>
        </w:rPr>
      </w:pPr>
      <w:r>
        <w:rPr>
          <w:rFonts w:ascii="仿宋" w:eastAsia="仿宋"/>
          <w:sz w:val="32"/>
        </w:rPr>
        <w:t>攀枝花市社会体育指导中心基本职能是承担全市全民健身赛事活动、国民体质测试和社会体育指导的具体技术性、事务性工作。</w:t>
      </w:r>
    </w:p>
    <w:p>
      <w:pPr>
        <w:pStyle w:val="2"/>
        <w:rPr>
          <w:rFonts w:ascii="黑体" w:eastAsia="黑体"/>
          <w:b w:val="0"/>
        </w:rPr>
      </w:pPr>
      <w:r>
        <w:rPr>
          <w:rFonts w:ascii="黑体" w:eastAsia="黑体" w:hint="eastAsia"/>
          <w:b w:val="0"/>
        </w:rPr>
        <w:t>二、2021年重点工作</w:t>
      </w:r>
      <w:bookmarkEnd w:id="14"/>
      <w:bookmarkEnd w:id="15"/>
      <w:r>
        <w:rPr>
          <w:rFonts w:ascii="黑体" w:eastAsia="黑体" w:hint="eastAsia"/>
          <w:b w:val="0"/>
        </w:rPr>
        <w:t>完成情况</w:t>
      </w:r>
    </w:p>
    <w:p>
      <w:pPr>
        <w:spacing w:line="540" w:lineRule="exact"/>
        <w:ind w:firstLineChars="225" w:firstLine="720"/>
        <w:rPr>
          <w:rFonts w:ascii="仿宋" w:eastAsia="仿宋"/>
          <w:sz w:val="32"/>
          <w:szCs w:val="32"/>
        </w:rPr>
      </w:pPr>
      <w:r>
        <w:rPr>
          <w:rFonts w:ascii="仿宋" w:eastAsia="仿宋" w:cs="宋体" w:hint="eastAsia"/>
          <w:sz w:val="32"/>
          <w:szCs w:val="32"/>
        </w:rPr>
        <w:t>（一）完成各项党建工作</w:t>
      </w:r>
    </w:p>
    <w:p>
      <w:pPr>
        <w:spacing w:line="540" w:lineRule="exact"/>
        <w:ind w:firstLineChars="225" w:firstLine="720"/>
        <w:rPr>
          <w:rFonts w:ascii="仿宋" w:eastAsia="仿宋"/>
          <w:sz w:val="32"/>
          <w:szCs w:val="32"/>
        </w:rPr>
      </w:pPr>
      <w:r>
        <w:rPr>
          <w:rFonts w:ascii="仿宋" w:eastAsia="仿宋" w:cs="宋体" w:hint="eastAsia"/>
          <w:sz w:val="32"/>
          <w:szCs w:val="32"/>
        </w:rPr>
        <w:t>推进全面从严治党、党风廉政建设和反腐败工作，加强意识形态工作，认真开展党史学习教育和“我为群众办实事”实践活动，开展以案促改和突出问题专项整治工作。利用“三会一课”、主题党日活动、党员学习日、“学习强国”平台等载体采取集中学习、个人自学、组织讨论等形式，组织干部职工集中学习了党章、党的十九大、十九届五中、六中全会、省委第十一届九次、十次全会、全市第十一次党代会精神、习近平《论中国共产党历史》、《毛泽东邓小平江泽民胡锦涛关于中国共产党历史论述摘编》、《习近平新时代中国特色社会主义思想学习问答》、《中国共产党简史》等党内重要精神，集中学习</w:t>
      </w:r>
      <w:r>
        <w:rPr>
          <w:rFonts w:ascii="仿宋" w:eastAsia="仿宋" w:cs="宋体"/>
          <w:sz w:val="32"/>
          <w:szCs w:val="32"/>
        </w:rPr>
        <w:t>12</w:t>
      </w:r>
      <w:r>
        <w:rPr>
          <w:rFonts w:ascii="仿宋" w:eastAsia="仿宋" w:cs="宋体" w:hint="eastAsia"/>
          <w:sz w:val="32"/>
          <w:szCs w:val="32"/>
        </w:rPr>
        <w:t>次，领导干部带头上党课</w:t>
      </w:r>
      <w:r>
        <w:rPr>
          <w:rFonts w:ascii="仿宋" w:eastAsia="仿宋" w:cs="宋体"/>
          <w:sz w:val="32"/>
          <w:szCs w:val="32"/>
        </w:rPr>
        <w:t>5</w:t>
      </w:r>
      <w:r>
        <w:rPr>
          <w:rFonts w:ascii="仿宋" w:eastAsia="仿宋" w:cs="宋体" w:hint="eastAsia"/>
          <w:sz w:val="32"/>
          <w:szCs w:val="32"/>
        </w:rPr>
        <w:t>次。组织全体党员干部参加志愿活动共</w:t>
      </w:r>
      <w:r>
        <w:rPr>
          <w:rFonts w:ascii="仿宋" w:eastAsia="仿宋" w:cs="宋体"/>
          <w:sz w:val="32"/>
          <w:szCs w:val="32"/>
        </w:rPr>
        <w:t>10</w:t>
      </w:r>
      <w:r>
        <w:rPr>
          <w:rFonts w:ascii="仿宋" w:eastAsia="仿宋" w:cs="宋体" w:hint="eastAsia"/>
          <w:sz w:val="32"/>
          <w:szCs w:val="32"/>
        </w:rPr>
        <w:t>人次，认真观看庆祝中国共产党成立</w:t>
      </w:r>
      <w:r>
        <w:rPr>
          <w:rFonts w:ascii="仿宋" w:eastAsia="仿宋" w:cs="宋体"/>
          <w:sz w:val="32"/>
          <w:szCs w:val="32"/>
        </w:rPr>
        <w:t>100</w:t>
      </w:r>
      <w:r>
        <w:rPr>
          <w:rFonts w:ascii="仿宋" w:eastAsia="仿宋" w:cs="宋体" w:hint="eastAsia"/>
          <w:sz w:val="32"/>
          <w:szCs w:val="32"/>
        </w:rPr>
        <w:t>周年大会盛况并认真聆听了习近平总书记的重要讲话，组织中心党员开展“铭记过去</w:t>
      </w:r>
      <w:r>
        <w:rPr>
          <w:rFonts w:ascii="仿宋" w:eastAsia="仿宋" w:cs="宋体"/>
          <w:sz w:val="32"/>
          <w:szCs w:val="32"/>
        </w:rPr>
        <w:t xml:space="preserve"> </w:t>
      </w:r>
      <w:r>
        <w:rPr>
          <w:rFonts w:ascii="仿宋" w:eastAsia="仿宋" w:cs="宋体" w:hint="eastAsia"/>
          <w:sz w:val="32"/>
          <w:szCs w:val="32"/>
        </w:rPr>
        <w:t>传承历史”庆祝中国共产党成立</w:t>
      </w:r>
      <w:r>
        <w:rPr>
          <w:rFonts w:ascii="仿宋" w:eastAsia="仿宋" w:cs="宋体"/>
          <w:sz w:val="32"/>
          <w:szCs w:val="32"/>
        </w:rPr>
        <w:t>100</w:t>
      </w:r>
      <w:r>
        <w:rPr>
          <w:rFonts w:ascii="仿宋" w:eastAsia="仿宋" w:cs="宋体" w:hint="eastAsia"/>
          <w:sz w:val="32"/>
          <w:szCs w:val="32"/>
        </w:rPr>
        <w:t>周年主题党日活动。</w:t>
      </w:r>
    </w:p>
    <w:p>
      <w:pPr>
        <w:spacing w:line="540" w:lineRule="exact"/>
        <w:ind w:firstLineChars="225" w:firstLine="720"/>
        <w:rPr>
          <w:rFonts w:ascii="仿宋" w:eastAsia="仿宋"/>
          <w:sz w:val="32"/>
          <w:szCs w:val="32"/>
        </w:rPr>
      </w:pPr>
      <w:r>
        <w:rPr>
          <w:rFonts w:ascii="仿宋" w:eastAsia="仿宋" w:cs="宋体" w:hint="eastAsia"/>
          <w:sz w:val="32"/>
          <w:szCs w:val="32"/>
        </w:rPr>
        <w:t>（二）做好疫情防控常态化管理工作</w:t>
      </w:r>
    </w:p>
    <w:p>
      <w:pPr>
        <w:spacing w:line="540" w:lineRule="exact"/>
        <w:ind w:firstLineChars="225" w:firstLine="720"/>
        <w:rPr>
          <w:rFonts w:ascii="仿宋" w:eastAsia="仿宋"/>
          <w:sz w:val="32"/>
          <w:szCs w:val="32"/>
        </w:rPr>
      </w:pPr>
      <w:r>
        <w:rPr>
          <w:rFonts w:ascii="仿宋" w:eastAsia="仿宋" w:cs="宋体" w:hint="eastAsia"/>
          <w:sz w:val="32"/>
          <w:szCs w:val="32"/>
        </w:rPr>
        <w:t>根据中央、省、市各项疫情防控措施和会议精神要求，</w:t>
      </w:r>
      <w:r>
        <w:rPr>
          <w:rFonts w:ascii="仿宋" w:eastAsia="仿宋" w:cs="宋体"/>
          <w:sz w:val="32"/>
          <w:szCs w:val="32"/>
        </w:rPr>
        <w:t>2021</w:t>
      </w:r>
      <w:r>
        <w:rPr>
          <w:rFonts w:ascii="仿宋" w:eastAsia="仿宋" w:cs="宋体" w:hint="eastAsia"/>
          <w:sz w:val="32"/>
          <w:szCs w:val="32"/>
        </w:rPr>
        <w:t>年各项赛事活动均设立疫情防控领导小组，根据每项赛事活动的不同，赛前周密制定“四方案一评估”并向市教育和体育局体文艺科报备、审批，严格落实安全应急预案和疫情防控方案，安排专人负责落实每场比赛疫情防控工作，抓好抓细各项防控措施，充分保障各项赛事安全顺利举行。</w:t>
      </w:r>
    </w:p>
    <w:p>
      <w:pPr>
        <w:spacing w:line="540" w:lineRule="exact"/>
        <w:ind w:firstLineChars="225" w:firstLine="720"/>
        <w:rPr>
          <w:rFonts w:ascii="仿宋" w:eastAsia="仿宋"/>
          <w:sz w:val="32"/>
          <w:szCs w:val="32"/>
        </w:rPr>
      </w:pPr>
      <w:r>
        <w:rPr>
          <w:rFonts w:ascii="仿宋" w:eastAsia="仿宋" w:cs="宋体"/>
          <w:sz w:val="32"/>
          <w:szCs w:val="32"/>
        </w:rPr>
        <w:t xml:space="preserve"> (</w:t>
      </w:r>
      <w:r>
        <w:rPr>
          <w:rFonts w:ascii="仿宋" w:eastAsia="仿宋" w:cs="宋体" w:hint="eastAsia"/>
          <w:sz w:val="32"/>
          <w:szCs w:val="32"/>
        </w:rPr>
        <w:t>三</w:t>
      </w:r>
      <w:r>
        <w:rPr>
          <w:rFonts w:ascii="仿宋" w:eastAsia="仿宋" w:cs="宋体"/>
          <w:sz w:val="32"/>
          <w:szCs w:val="32"/>
        </w:rPr>
        <w:t xml:space="preserve">) </w:t>
      </w:r>
      <w:r>
        <w:rPr>
          <w:rFonts w:ascii="仿宋" w:eastAsia="仿宋" w:cs="宋体" w:hint="eastAsia"/>
          <w:sz w:val="32"/>
          <w:szCs w:val="32"/>
        </w:rPr>
        <w:t>社会体育工作</w:t>
      </w:r>
    </w:p>
    <w:p>
      <w:pPr>
        <w:spacing w:line="540" w:lineRule="exact"/>
        <w:ind w:firstLineChars="225" w:firstLine="720"/>
        <w:rPr>
          <w:rFonts w:ascii="仿宋" w:eastAsia="仿宋"/>
          <w:sz w:val="32"/>
          <w:szCs w:val="32"/>
        </w:rPr>
      </w:pPr>
      <w:r>
        <w:rPr>
          <w:rFonts w:ascii="仿宋" w:eastAsia="仿宋" w:cs="宋体" w:hint="eastAsia"/>
          <w:sz w:val="32"/>
          <w:szCs w:val="32"/>
        </w:rPr>
        <w:t>坚持“防疫优先、统筹组织、分散实施”，在做好新冠疫情常态化防控的前提下组织开展群众体育赛事活动，营造全民健身活动氛围，引导市民形成良好的健身习惯，增强人民体质。</w:t>
      </w:r>
    </w:p>
    <w:p>
      <w:pPr>
        <w:spacing w:line="540" w:lineRule="exact"/>
        <w:ind w:firstLineChars="225" w:firstLine="720"/>
        <w:rPr>
          <w:rFonts w:ascii="仿宋" w:eastAsia="仿宋" w:cs="宋体"/>
          <w:sz w:val="32"/>
          <w:szCs w:val="32"/>
        </w:rPr>
      </w:pPr>
      <w:r>
        <w:rPr>
          <w:rFonts w:ascii="仿宋" w:eastAsia="仿宋" w:cs="宋体" w:hint="eastAsia"/>
          <w:sz w:val="32"/>
          <w:szCs w:val="32"/>
        </w:rPr>
        <w:t>完成攀枝花市第二届全民健身运动会暨四川省“百城千乡万村·社区”系列赛事活动筹备组织和竞赛工作。承办的攀枝花市第二届全民健身运动会暨四川省“百城千乡万村·社区”系列赛事活动包括：男子五人制足球、三人制篮球、羽毛球、网球、乒乓球等</w:t>
      </w:r>
      <w:r>
        <w:rPr>
          <w:rFonts w:ascii="仿宋" w:eastAsia="仿宋" w:cs="宋体"/>
          <w:sz w:val="32"/>
          <w:szCs w:val="32"/>
        </w:rPr>
        <w:t>9</w:t>
      </w:r>
      <w:r>
        <w:rPr>
          <w:rFonts w:ascii="仿宋" w:eastAsia="仿宋" w:cs="宋体" w:hint="eastAsia"/>
          <w:sz w:val="32"/>
          <w:szCs w:val="32"/>
        </w:rPr>
        <w:t>个大项</w:t>
      </w:r>
      <w:r>
        <w:rPr>
          <w:rFonts w:ascii="仿宋" w:eastAsia="仿宋" w:cs="宋体"/>
          <w:sz w:val="32"/>
          <w:szCs w:val="32"/>
        </w:rPr>
        <w:t>25</w:t>
      </w:r>
      <w:r>
        <w:rPr>
          <w:rFonts w:ascii="仿宋" w:eastAsia="仿宋" w:cs="宋体" w:hint="eastAsia"/>
          <w:sz w:val="32"/>
          <w:szCs w:val="32"/>
        </w:rPr>
        <w:t>个小项赛事，共计</w:t>
      </w:r>
      <w:r>
        <w:rPr>
          <w:rFonts w:ascii="仿宋" w:eastAsia="仿宋" w:cs="宋体"/>
          <w:sz w:val="32"/>
          <w:szCs w:val="32"/>
        </w:rPr>
        <w:t>1457</w:t>
      </w:r>
      <w:r>
        <w:rPr>
          <w:rFonts w:ascii="仿宋" w:eastAsia="仿宋" w:cs="宋体" w:hint="eastAsia"/>
          <w:sz w:val="32"/>
          <w:szCs w:val="32"/>
        </w:rPr>
        <w:t>人次运动员参加比赛；承办攀枝花市第四十七届元旦越野赛共计</w:t>
      </w:r>
      <w:r>
        <w:rPr>
          <w:rFonts w:ascii="仿宋" w:eastAsia="仿宋" w:cs="宋体"/>
          <w:sz w:val="32"/>
          <w:szCs w:val="32"/>
        </w:rPr>
        <w:t>3000</w:t>
      </w:r>
      <w:r>
        <w:rPr>
          <w:rFonts w:ascii="仿宋" w:eastAsia="仿宋" w:cs="宋体" w:hint="eastAsia"/>
          <w:sz w:val="32"/>
          <w:szCs w:val="32"/>
        </w:rPr>
        <w:t>余人次参加；协助举办“乒协杯”第六届乒乓球比赛、攀枝花市第三十五届网球比赛、协助市桥牌协会组队参加</w:t>
      </w:r>
      <w:r>
        <w:rPr>
          <w:rFonts w:ascii="仿宋" w:eastAsia="仿宋" w:cs="宋体"/>
          <w:sz w:val="32"/>
          <w:szCs w:val="32"/>
        </w:rPr>
        <w:t>2021</w:t>
      </w:r>
      <w:r>
        <w:rPr>
          <w:rFonts w:ascii="仿宋" w:eastAsia="仿宋" w:cs="宋体" w:hint="eastAsia"/>
          <w:sz w:val="32"/>
          <w:szCs w:val="32"/>
        </w:rPr>
        <w:t>年各级各类共计</w:t>
      </w:r>
      <w:r>
        <w:rPr>
          <w:rFonts w:ascii="仿宋" w:eastAsia="仿宋" w:cs="宋体"/>
          <w:sz w:val="32"/>
          <w:szCs w:val="32"/>
        </w:rPr>
        <w:t>5</w:t>
      </w:r>
      <w:r>
        <w:rPr>
          <w:rFonts w:ascii="仿宋" w:eastAsia="仿宋" w:cs="宋体" w:hint="eastAsia"/>
          <w:sz w:val="32"/>
          <w:szCs w:val="32"/>
        </w:rPr>
        <w:t>项桥牌比赛。指导三区两县举办四川省《国家体育锻炼标准》达标赛攀枝花分站赛。选派人员参加全国第十四届运动会桥牌比赛裁判工作。</w:t>
      </w:r>
    </w:p>
    <w:p>
      <w:pPr>
        <w:pStyle w:val="15"/>
        <w:spacing w:beforeLines="0" w:before="0"/>
      </w:pPr>
    </w:p>
    <w:p>
      <w:pPr>
        <w:spacing w:line="540" w:lineRule="exact"/>
        <w:ind w:firstLineChars="225" w:firstLine="720"/>
        <w:rPr>
          <w:rFonts w:ascii="仿宋" w:eastAsia="仿宋" w:cs="宋体"/>
          <w:sz w:val="32"/>
          <w:szCs w:val="32"/>
        </w:rPr>
      </w:pPr>
    </w:p>
    <w:p>
      <w:pPr>
        <w:spacing w:line="540" w:lineRule="exact"/>
        <w:ind w:firstLineChars="225" w:firstLine="720"/>
        <w:rPr>
          <w:rFonts w:ascii="仿宋" w:eastAsia="仿宋"/>
          <w:sz w:val="32"/>
          <w:szCs w:val="32"/>
        </w:rPr>
      </w:pPr>
      <w:r>
        <w:rPr>
          <w:rFonts w:ascii="仿宋" w:eastAsia="仿宋" w:cs="宋体" w:hint="eastAsia"/>
          <w:sz w:val="32"/>
          <w:szCs w:val="32"/>
        </w:rPr>
        <w:t>（四）国民体质监测工作</w:t>
      </w:r>
    </w:p>
    <w:p>
      <w:pPr>
        <w:spacing w:line="540" w:lineRule="exact"/>
        <w:ind w:firstLineChars="225" w:firstLine="720"/>
        <w:rPr>
          <w:rFonts w:ascii="仿宋" w:eastAsia="仿宋"/>
          <w:sz w:val="32"/>
          <w:szCs w:val="32"/>
        </w:rPr>
      </w:pPr>
      <w:r>
        <w:rPr>
          <w:rFonts w:ascii="仿宋" w:eastAsia="仿宋" w:cs="宋体" w:hint="eastAsia"/>
          <w:sz w:val="32"/>
          <w:szCs w:val="32"/>
        </w:rPr>
        <w:t>积极宣传和推广国民体质监测和科学健身知识，提高市民科学进行体育锻炼的能力。</w:t>
      </w:r>
    </w:p>
    <w:p>
      <w:pPr>
        <w:spacing w:line="540" w:lineRule="exact"/>
        <w:ind w:firstLineChars="225" w:firstLine="720"/>
        <w:rPr>
          <w:rFonts w:ascii="仿宋" w:eastAsia="仿宋"/>
          <w:sz w:val="32"/>
          <w:szCs w:val="32"/>
        </w:rPr>
      </w:pPr>
      <w:r>
        <w:rPr>
          <w:rFonts w:ascii="仿宋" w:eastAsia="仿宋" w:cs="宋体"/>
          <w:sz w:val="32"/>
          <w:szCs w:val="32"/>
        </w:rPr>
        <w:t>2021</w:t>
      </w:r>
      <w:r>
        <w:rPr>
          <w:rFonts w:ascii="仿宋" w:eastAsia="仿宋" w:cs="宋体" w:hint="eastAsia"/>
          <w:sz w:val="32"/>
          <w:szCs w:val="32"/>
        </w:rPr>
        <w:t>年主动联系相关企事业单位开展免费全民健身体质测试</w:t>
      </w:r>
      <w:r>
        <w:rPr>
          <w:rFonts w:ascii="仿宋" w:eastAsia="仿宋" w:cs="宋体"/>
          <w:sz w:val="32"/>
          <w:szCs w:val="32"/>
        </w:rPr>
        <w:t>30</w:t>
      </w:r>
      <w:r>
        <w:rPr>
          <w:rFonts w:ascii="仿宋" w:eastAsia="仿宋" w:cs="宋体" w:hint="eastAsia"/>
          <w:sz w:val="32"/>
          <w:szCs w:val="32"/>
        </w:rPr>
        <w:t>次，测试人数</w:t>
      </w:r>
      <w:r>
        <w:rPr>
          <w:rFonts w:ascii="仿宋" w:eastAsia="仿宋" w:cs="宋体"/>
          <w:sz w:val="32"/>
          <w:szCs w:val="32"/>
        </w:rPr>
        <w:t>1000</w:t>
      </w:r>
      <w:r>
        <w:rPr>
          <w:rFonts w:ascii="仿宋" w:eastAsia="仿宋" w:cs="宋体" w:hint="eastAsia"/>
          <w:sz w:val="32"/>
          <w:szCs w:val="32"/>
        </w:rPr>
        <w:t>余人次。</w:t>
      </w:r>
    </w:p>
    <w:p>
      <w:pPr>
        <w:spacing w:line="540" w:lineRule="exact"/>
        <w:ind w:firstLineChars="225" w:firstLine="720"/>
        <w:rPr>
          <w:rFonts w:ascii="仿宋" w:eastAsia="仿宋" w:cs="宋体"/>
          <w:sz w:val="32"/>
          <w:szCs w:val="32"/>
        </w:rPr>
      </w:pPr>
      <w:r>
        <w:rPr>
          <w:rFonts w:ascii="仿宋" w:eastAsia="仿宋" w:cs="宋体" w:hint="eastAsia"/>
          <w:sz w:val="32"/>
          <w:szCs w:val="32"/>
        </w:rPr>
        <w:t>全年发放科学健身知识手册</w:t>
      </w:r>
      <w:r>
        <w:rPr>
          <w:rFonts w:ascii="仿宋" w:eastAsia="仿宋" w:cs="宋体"/>
          <w:sz w:val="32"/>
          <w:szCs w:val="32"/>
        </w:rPr>
        <w:t>200</w:t>
      </w:r>
      <w:r>
        <w:rPr>
          <w:rFonts w:ascii="仿宋" w:eastAsia="仿宋" w:cs="宋体" w:hint="eastAsia"/>
          <w:sz w:val="32"/>
          <w:szCs w:val="32"/>
        </w:rPr>
        <w:t>余套，利用社会体育指导中心订阅号微信公众平台推送</w:t>
      </w:r>
      <w:r>
        <w:rPr>
          <w:rFonts w:ascii="仿宋" w:eastAsia="仿宋" w:cs="宋体"/>
          <w:sz w:val="32"/>
          <w:szCs w:val="32"/>
        </w:rPr>
        <w:t>30</w:t>
      </w:r>
      <w:r>
        <w:rPr>
          <w:rFonts w:ascii="仿宋" w:eastAsia="仿宋" w:cs="宋体" w:hint="eastAsia"/>
          <w:sz w:val="32"/>
          <w:szCs w:val="32"/>
        </w:rPr>
        <w:t>期科学健身云端微课堂，指导和帮助广大市民科学的参与全民健身。</w:t>
      </w:r>
    </w:p>
    <w:p>
      <w:pPr>
        <w:pStyle w:val="2"/>
        <w:rPr>
          <w:rFonts w:ascii="黑体" w:eastAsia="黑体" w:hint="eastAsia"/>
          <w:b w:val="0"/>
          <w:bdr w:val="none" w:sz="0" w:space="0" w:color="auto"/>
        </w:rPr>
      </w:pPr>
      <w:r>
        <w:rPr>
          <w:rFonts w:ascii="黑体" w:eastAsia="黑体" w:hint="eastAsia"/>
          <w:b w:val="0"/>
          <w:bdr w:val="none" w:sz="0" w:space="0" w:color="auto"/>
        </w:rPr>
        <w:t>三、</w:t>
      </w:r>
      <w:r>
        <w:rPr>
          <w:rFonts w:ascii="黑体" w:eastAsia="黑体" w:hint="eastAsia"/>
          <w:b w:val="0"/>
          <w:bdr w:val="none" w:sz="0" w:space="0" w:color="auto"/>
        </w:rPr>
        <w:t>机构设置</w:t>
      </w:r>
    </w:p>
    <w:p>
      <w:pPr>
        <w:ind w:firstLineChars="200" w:firstLine="640"/>
        <w:rPr>
          <w:rFonts w:ascii="仿宋" w:eastAsia="仿宋" w:cs="宋体"/>
          <w:sz w:val="32"/>
          <w:szCs w:val="32"/>
          <w:bdr w:val="none" w:sz="0" w:space="0" w:color="auto"/>
        </w:rPr>
      </w:pPr>
      <w:r>
        <w:rPr>
          <w:rFonts w:ascii="仿宋" w:eastAsia="仿宋" w:cs="宋体" w:hint="eastAsia"/>
          <w:sz w:val="32"/>
          <w:szCs w:val="32"/>
          <w:bdr w:val="none" w:sz="0" w:space="0" w:color="auto"/>
        </w:rPr>
        <w:t>攀枝花市社会体育指导中心是市教育和体育局下属独立核算差额拨款事业单位，单位事业编制</w:t>
      </w:r>
      <w:r>
        <w:rPr>
          <w:rFonts w:ascii="仿宋" w:eastAsia="仿宋" w:cs="宋体" w:hint="eastAsia"/>
          <w:sz w:val="32"/>
          <w:szCs w:val="32"/>
          <w:bdr w:val="none" w:sz="0" w:space="0" w:color="auto"/>
          <w:lang w:val="en-US" w:eastAsia="zh-CN"/>
        </w:rPr>
        <w:t>10</w:t>
      </w:r>
      <w:r>
        <w:rPr>
          <w:rFonts w:ascii="仿宋" w:eastAsia="仿宋" w:cs="宋体" w:hint="eastAsia"/>
          <w:sz w:val="32"/>
          <w:szCs w:val="32"/>
          <w:bdr w:val="none" w:sz="0" w:space="0" w:color="auto"/>
        </w:rPr>
        <w:t>人，内设机构4个。</w:t>
      </w:r>
    </w:p>
    <w:p>
      <w:pPr>
        <w:pStyle w:val="15"/>
      </w:pPr>
    </w:p>
    <w:p>
      <w:pPr>
        <w:pStyle w:val="15"/>
      </w:pPr>
    </w:p>
    <w:p>
      <w:pPr>
        <w:pStyle w:val="15"/>
      </w:pPr>
    </w:p>
    <w:p>
      <w:pPr>
        <w:pStyle w:val="15"/>
      </w:pPr>
    </w:p>
    <w:p>
      <w:pPr>
        <w:pStyle w:val="15"/>
      </w:pPr>
    </w:p>
    <w:p>
      <w:pPr>
        <w:pStyle w:val="15"/>
      </w:pPr>
    </w:p>
    <w:p>
      <w:pPr>
        <w:pStyle w:val="15"/>
      </w:pPr>
    </w:p>
    <w:p>
      <w:pPr>
        <w:pStyle w:val="1"/>
        <w:ind w:right="440"/>
        <w:jc w:val="center"/>
        <w:rPr>
          <w:rFonts w:ascii="黑体" w:eastAsia="黑体"/>
          <w:b w:val="0"/>
        </w:rPr>
      </w:pPr>
      <w:bookmarkStart w:id="16" w:name="_Toc15396602"/>
      <w:bookmarkStart w:id="17" w:name="_Toc15377204"/>
      <w:r>
        <w:rPr>
          <w:rFonts w:ascii="黑体" w:eastAsia="黑体" w:hint="eastAsia"/>
          <w:b w:val="0"/>
        </w:rPr>
        <w:t>第二部分 2021年度</w:t>
      </w:r>
      <w:r>
        <w:rPr>
          <w:rStyle w:val="1Char"/>
          <w:rFonts w:ascii="黑体" w:eastAsia="黑体" w:hint="eastAsia"/>
          <w:b w:val="0"/>
          <w:bCs/>
        </w:rPr>
        <w:t>单位决算情况说明</w:t>
      </w:r>
      <w:bookmarkEnd w:id="16"/>
      <w:bookmarkEnd w:id="17"/>
    </w:p>
    <w:p>
      <w:pPr>
        <w:pStyle w:val="28"/>
        <w:numPr>
          <w:ilvl w:val="0"/>
          <w:numId w:val="2"/>
        </w:numPr>
        <w:spacing w:line="600" w:lineRule="exact"/>
        <w:ind w:firstLineChars="0"/>
        <w:outlineLvl w:val="1"/>
        <w:rPr>
          <w:rStyle w:val="29"/>
          <w:rFonts w:ascii="黑体" w:eastAsia="黑体"/>
          <w:b w:val="0"/>
        </w:rPr>
      </w:pPr>
      <w:bookmarkStart w:id="18" w:name="_Toc15377205"/>
      <w:bookmarkStart w:id="19" w:name="_Toc15396603"/>
      <w:r>
        <w:rPr>
          <w:rFonts w:ascii="黑体" w:eastAsia="黑体" w:hint="eastAsia"/>
          <w:sz w:val="32"/>
          <w:szCs w:val="32"/>
        </w:rPr>
        <w:t>收</w:t>
      </w:r>
      <w:r>
        <w:rPr>
          <w:rStyle w:val="29"/>
          <w:rFonts w:ascii="黑体" w:eastAsia="黑体" w:hint="eastAsia"/>
          <w:b w:val="0"/>
        </w:rPr>
        <w:t>入支出决算总体情况说明</w:t>
      </w:r>
      <w:bookmarkEnd w:id="18"/>
      <w:bookmarkEnd w:id="19"/>
    </w:p>
    <w:p>
      <w:pPr>
        <w:spacing w:line="600" w:lineRule="exact"/>
        <w:ind w:firstLineChars="200" w:firstLine="640"/>
        <w:rPr>
          <w:rFonts w:ascii="仿宋" w:eastAsia="仿宋"/>
          <w:sz w:val="32"/>
          <w:szCs w:val="32"/>
        </w:rPr>
      </w:pPr>
      <w:r>
        <w:rPr>
          <w:rFonts w:ascii="仿宋" w:eastAsia="仿宋" w:hint="eastAsia"/>
          <w:sz w:val="32"/>
          <w:szCs w:val="32"/>
        </w:rPr>
        <w:t>2021年度收、支总计183.28万元。与2020年相比，收、支总计各减少53.31万元，下降5.09</w:t>
      </w:r>
      <w:r>
        <w:rPr>
          <w:rFonts w:ascii="仿宋" w:eastAsia="仿宋"/>
          <w:sz w:val="32"/>
          <w:szCs w:val="32"/>
        </w:rPr>
        <w:t>%</w:t>
      </w:r>
      <w:r>
        <w:rPr>
          <w:rFonts w:ascii="仿宋" w:eastAsia="仿宋" w:hint="eastAsia"/>
          <w:sz w:val="32"/>
          <w:szCs w:val="32"/>
        </w:rPr>
        <w:t>。主要变动原因是</w:t>
      </w:r>
      <w:r>
        <w:rPr>
          <w:rFonts w:ascii="仿宋" w:eastAsia="仿宋" w:hint="eastAsia"/>
          <w:color w:val="000000"/>
          <w:sz w:val="32"/>
          <w:szCs w:val="32"/>
        </w:rPr>
        <w:t>2021年因疫情影响，赛事项目减少，导致赛事拨款经费减少。</w:t>
      </w:r>
    </w:p>
    <w:p>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w:t>
      </w:r>
    </w:p>
    <w:p>
      <w:pPr>
        <w:tabs>
          <w:tab w:val="left" w:pos="2416"/>
        </w:tabs>
        <w:rPr>
          <w:rFonts w:ascii="仿宋" w:eastAsia="仿宋"/>
          <w:sz w:val="32"/>
          <w:szCs w:val="32"/>
        </w:rPr>
      </w:pPr>
    </w:p>
    <w:p>
      <w:pPr>
        <w:pStyle w:val="15"/>
        <w:spacing w:beforeLines="0" w:before="0"/>
      </w:pPr>
      <w:r>
        <w:drawing>
          <wp:inline distT="0" distB="0" distL="0" distR="0">
            <wp:extent cx="5783579" cy="5050853"/>
            <wp:effectExtent l="0" t="0" r="0" b="0"/>
            <wp:docPr id="1" name="图片 1"/>
            <wp:cNvGraphicFramePr>
              <a:graphicFrameLocks noChangeAspect="0"/>
            </wp:cNvGraphicFramePr>
            <a:graphic>
              <a:graphicData uri="http://schemas.openxmlformats.org/drawingml/2006/picture">
                <pic:pic>
                  <pic:nvPicPr>
                    <pic:cNvPr id="3" name="图片 3"/>
                    <pic:cNvPicPr/>
                  </pic:nvPicPr>
                  <pic:blipFill>
                    <a:blip r:embed="rId4"/>
                    <a:stretch>
                      <a:fillRect/>
                    </a:stretch>
                  </pic:blipFill>
                  <pic:spPr>
                    <a:xfrm rot="0">
                      <a:off x="0" y="0"/>
                      <a:ext cx="5783579" cy="5050853"/>
                    </a:xfrm>
                    <a:prstGeom prst="rect"/>
                    <a:noFill/>
                    <a:ln w="9525" cmpd="sng" cap="flat">
                      <a:solidFill>
                        <a:srgbClr val="000000"/>
                      </a:solidFill>
                      <a:prstDash val="solid"/>
                      <a:miter/>
                    </a:ln>
                  </pic:spPr>
                </pic:pic>
              </a:graphicData>
            </a:graphic>
          </wp:inline>
        </w:drawing>
      </w:r>
    </w:p>
    <w:p>
      <w:pPr>
        <w:pStyle w:val="15"/>
        <w:spacing w:beforeLines="0" w:before="0"/>
      </w:pPr>
    </w:p>
    <w:p>
      <w:pPr>
        <w:pStyle w:val="15"/>
        <w:spacing w:beforeLines="0" w:before="0"/>
      </w:pPr>
    </w:p>
    <w:p>
      <w:pPr>
        <w:pStyle w:val="28"/>
        <w:numPr>
          <w:ilvl w:val="0"/>
          <w:numId w:val="2"/>
        </w:numPr>
        <w:spacing w:line="600" w:lineRule="exact"/>
        <w:ind w:firstLineChars="0"/>
        <w:outlineLvl w:val="1"/>
        <w:rPr>
          <w:rStyle w:val="29"/>
          <w:rFonts w:ascii="黑体" w:eastAsia="黑体"/>
          <w:b w:val="0"/>
        </w:rPr>
      </w:pPr>
      <w:bookmarkStart w:id="20" w:name="_Toc15396604"/>
      <w:bookmarkStart w:id="21" w:name="_Toc15377206"/>
      <w:r>
        <w:rPr>
          <w:rFonts w:ascii="黑体" w:eastAsia="黑体" w:hint="eastAsia"/>
          <w:sz w:val="32"/>
          <w:szCs w:val="32"/>
        </w:rPr>
        <w:t>收</w:t>
      </w:r>
      <w:r>
        <w:rPr>
          <w:rStyle w:val="29"/>
          <w:rFonts w:ascii="黑体" w:eastAsia="黑体" w:hint="eastAsia"/>
          <w:b w:val="0"/>
        </w:rPr>
        <w:t>入决算情况说明</w:t>
      </w:r>
      <w:bookmarkEnd w:id="20"/>
      <w:bookmarkEnd w:id="21"/>
    </w:p>
    <w:p>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21年本年收入合计182.98万元，其中：一般公共预算财政拨款收入162.63万元，占88.88</w:t>
      </w:r>
      <w:r>
        <w:rPr>
          <w:rFonts w:ascii="仿宋" w:eastAsia="仿宋"/>
          <w:sz w:val="32"/>
          <w:szCs w:val="32"/>
        </w:rPr>
        <w:t>%</w:t>
      </w:r>
      <w:r>
        <w:rPr>
          <w:rFonts w:ascii="仿宋" w:eastAsia="仿宋" w:hint="eastAsia"/>
          <w:sz w:val="32"/>
          <w:szCs w:val="32"/>
        </w:rPr>
        <w:t>；政府性基金预算财政拨款收入20.35万元，占11.12</w:t>
      </w:r>
      <w:r>
        <w:rPr>
          <w:rFonts w:ascii="仿宋" w:eastAsia="仿宋"/>
          <w:sz w:val="32"/>
          <w:szCs w:val="32"/>
        </w:rPr>
        <w:t>%</w:t>
      </w:r>
      <w:r>
        <w:rPr>
          <w:rFonts w:ascii="仿宋" w:eastAsia="仿宋" w:hint="eastAsia"/>
          <w:sz w:val="32"/>
          <w:szCs w:val="32"/>
        </w:rPr>
        <w:t>；国有资本经营预算财政拨款收入0.00万元，占0.00</w:t>
      </w:r>
      <w:r>
        <w:rPr>
          <w:rFonts w:ascii="仿宋" w:eastAsia="仿宋"/>
          <w:sz w:val="32"/>
          <w:szCs w:val="32"/>
        </w:rPr>
        <w:t>%</w:t>
      </w:r>
      <w:r>
        <w:rPr>
          <w:rFonts w:ascii="仿宋" w:eastAsia="仿宋" w:hint="eastAsia"/>
          <w:sz w:val="32"/>
          <w:szCs w:val="32"/>
        </w:rPr>
        <w:t>；上级补助收入0.00万元，占0.00</w:t>
      </w:r>
      <w:r>
        <w:rPr>
          <w:rFonts w:ascii="仿宋" w:eastAsia="仿宋"/>
          <w:sz w:val="32"/>
          <w:szCs w:val="32"/>
        </w:rPr>
        <w:t>%</w:t>
      </w:r>
      <w:r>
        <w:rPr>
          <w:rFonts w:ascii="仿宋" w:eastAsia="仿宋" w:hint="eastAsia"/>
          <w:sz w:val="32"/>
          <w:szCs w:val="32"/>
        </w:rPr>
        <w:t>；事业收入0.00万元，占0.00</w:t>
      </w:r>
      <w:r>
        <w:rPr>
          <w:rFonts w:ascii="仿宋" w:eastAsia="仿宋"/>
          <w:sz w:val="32"/>
          <w:szCs w:val="32"/>
        </w:rPr>
        <w:t>%</w:t>
      </w:r>
      <w:r>
        <w:rPr>
          <w:rFonts w:ascii="仿宋" w:eastAsia="仿宋" w:hint="eastAsia"/>
          <w:sz w:val="32"/>
          <w:szCs w:val="32"/>
        </w:rPr>
        <w:t>；经营收入0.00万元，占0.00</w:t>
      </w:r>
      <w:r>
        <w:rPr>
          <w:rFonts w:ascii="仿宋" w:eastAsia="仿宋"/>
          <w:sz w:val="32"/>
          <w:szCs w:val="32"/>
        </w:rPr>
        <w:t>%</w:t>
      </w:r>
      <w:r>
        <w:rPr>
          <w:rFonts w:ascii="仿宋" w:eastAsia="仿宋" w:hint="eastAsia"/>
          <w:sz w:val="32"/>
          <w:szCs w:val="32"/>
        </w:rPr>
        <w:t>；附属单位上缴收入0.00万元，占0.00</w:t>
      </w:r>
      <w:r>
        <w:rPr>
          <w:rFonts w:ascii="仿宋" w:eastAsia="仿宋"/>
          <w:sz w:val="32"/>
          <w:szCs w:val="32"/>
        </w:rPr>
        <w:t>%</w:t>
      </w:r>
      <w:r>
        <w:rPr>
          <w:rFonts w:ascii="仿宋" w:eastAsia="仿宋" w:hint="eastAsia"/>
          <w:sz w:val="32"/>
          <w:szCs w:val="32"/>
        </w:rPr>
        <w:t>；其他收入0.00万元，占0.00</w:t>
      </w:r>
      <w:r>
        <w:rPr>
          <w:rFonts w:ascii="仿宋" w:eastAsia="仿宋"/>
          <w:sz w:val="32"/>
          <w:szCs w:val="32"/>
        </w:rPr>
        <w:t>%</w:t>
      </w:r>
      <w:r>
        <w:rPr>
          <w:rFonts w:ascii="仿宋" w:eastAsia="仿宋" w:hint="eastAsia"/>
          <w:sz w:val="32"/>
          <w:szCs w:val="32"/>
        </w:rPr>
        <w:t>。</w:t>
      </w:r>
    </w:p>
    <w:p>
      <w:pPr>
        <w:spacing w:line="600" w:lineRule="exact"/>
        <w:rPr>
          <w:rFonts w:ascii="仿宋" w:eastAsia="仿宋"/>
          <w:sz w:val="32"/>
          <w:szCs w:val="32"/>
        </w:rPr>
      </w:pPr>
      <w:r>
        <w:rPr>
          <w:rFonts w:ascii="仿宋" w:eastAsia="仿宋" w:hint="eastAsia"/>
          <w:sz w:val="32"/>
          <w:szCs w:val="32"/>
        </w:rPr>
        <w:t>（图2：收入决算结构图）（饼状图）</w:t>
      </w:r>
    </w:p>
    <w:p>
      <w:pPr>
        <w:pStyle w:val="15"/>
        <w:spacing w:beforeLines="0" w:before="0"/>
        <w:rPr>
          <w:rFonts w:eastAsia="仿宋"/>
        </w:rPr>
      </w:pPr>
      <w:r>
        <w:drawing>
          <wp:inline distT="0" distB="0" distL="0" distR="0">
            <wp:extent cx="5265420" cy="4617720"/>
            <wp:effectExtent l="0" t="0" r="0" b="0"/>
            <wp:docPr id="4" name="图片 4"/>
            <wp:cNvGraphicFramePr>
              <a:graphicFrameLocks noChangeAspect="0"/>
            </wp:cNvGraphicFramePr>
            <a:graphic>
              <a:graphicData uri="http://schemas.openxmlformats.org/drawingml/2006/picture">
                <pic:pic>
                  <pic:nvPicPr>
                    <pic:cNvPr id="6" name="图片 6"/>
                    <pic:cNvPicPr/>
                  </pic:nvPicPr>
                  <pic:blipFill>
                    <a:blip r:embed="rId5"/>
                    <a:stretch>
                      <a:fillRect/>
                    </a:stretch>
                  </pic:blipFill>
                  <pic:spPr>
                    <a:xfrm rot="0">
                      <a:off x="0" y="0"/>
                      <a:ext cx="5265420" cy="4617720"/>
                    </a:xfrm>
                    <a:prstGeom prst="rect"/>
                    <a:noFill/>
                    <a:ln w="9525" cmpd="sng" cap="flat">
                      <a:solidFill>
                        <a:srgbClr val="000000"/>
                      </a:solidFill>
                      <a:prstDash val="solid"/>
                      <a:miter/>
                    </a:ln>
                  </pic:spPr>
                </pic:pic>
              </a:graphicData>
            </a:graphic>
          </wp:inline>
        </w:drawing>
      </w:r>
    </w:p>
    <w:p>
      <w:pPr>
        <w:spacing w:line="600" w:lineRule="exact"/>
        <w:ind w:firstLineChars="200" w:firstLine="640"/>
        <w:rPr>
          <w:rFonts w:ascii="仿宋_GB2312" w:eastAsia="仿宋_GB2312"/>
          <w:sz w:val="32"/>
          <w:szCs w:val="32"/>
        </w:rPr>
      </w:pPr>
    </w:p>
    <w:p>
      <w:pPr>
        <w:pStyle w:val="28"/>
        <w:numPr>
          <w:ilvl w:val="0"/>
          <w:numId w:val="2"/>
        </w:numPr>
        <w:spacing w:line="600" w:lineRule="exact"/>
        <w:ind w:firstLineChars="0"/>
        <w:outlineLvl w:val="1"/>
        <w:rPr>
          <w:rStyle w:val="29"/>
          <w:rFonts w:ascii="黑体" w:eastAsia="黑体"/>
          <w:b w:val="0"/>
        </w:rPr>
      </w:pPr>
      <w:bookmarkStart w:id="22" w:name="_Toc15377207"/>
      <w:bookmarkStart w:id="23" w:name="_Toc15396605"/>
      <w:r>
        <w:rPr>
          <w:rFonts w:ascii="黑体" w:eastAsia="黑体" w:hint="eastAsia"/>
          <w:sz w:val="32"/>
          <w:szCs w:val="32"/>
        </w:rPr>
        <w:t>支</w:t>
      </w:r>
      <w:r>
        <w:rPr>
          <w:rStyle w:val="29"/>
          <w:rFonts w:ascii="黑体" w:eastAsia="黑体" w:hint="eastAsia"/>
          <w:b w:val="0"/>
        </w:rPr>
        <w:t>出决算情况说明</w:t>
      </w:r>
      <w:bookmarkEnd w:id="22"/>
      <w:bookmarkEnd w:id="23"/>
    </w:p>
    <w:p>
      <w:pPr>
        <w:spacing w:line="600" w:lineRule="exact"/>
        <w:ind w:firstLineChars="200" w:firstLine="640"/>
        <w:outlineLvl w:val="1"/>
        <w:rPr>
          <w:rFonts w:ascii="仿宋" w:eastAsia="仿宋"/>
          <w:sz w:val="32"/>
          <w:szCs w:val="32"/>
          <w:shd w:val="pct10" w:color="auto" w:fill="FFFFFF"/>
        </w:rPr>
      </w:pPr>
      <w:r>
        <w:rPr>
          <w:rFonts w:ascii="仿宋" w:eastAsia="仿宋"/>
          <w:sz w:val="32"/>
          <w:szCs w:val="32"/>
        </w:rPr>
        <w:t>20</w:t>
      </w:r>
      <w:r>
        <w:rPr>
          <w:rFonts w:ascii="仿宋" w:eastAsia="仿宋" w:hint="eastAsia"/>
          <w:sz w:val="32"/>
          <w:szCs w:val="32"/>
        </w:rPr>
        <w:t>21年本年支出合计183.28万元，其中：基本支出162.33万元，占88.57</w:t>
      </w:r>
      <w:r>
        <w:rPr>
          <w:rFonts w:ascii="仿宋" w:eastAsia="仿宋"/>
          <w:sz w:val="32"/>
          <w:szCs w:val="32"/>
        </w:rPr>
        <w:t>%</w:t>
      </w:r>
      <w:r>
        <w:rPr>
          <w:rFonts w:ascii="仿宋" w:eastAsia="仿宋" w:hint="eastAsia"/>
          <w:sz w:val="32"/>
          <w:szCs w:val="32"/>
        </w:rPr>
        <w:t>；项目支出20.95万元，占11.43</w:t>
      </w:r>
      <w:r>
        <w:rPr>
          <w:rFonts w:ascii="仿宋" w:eastAsia="仿宋"/>
          <w:sz w:val="32"/>
          <w:szCs w:val="32"/>
        </w:rPr>
        <w:t>%</w:t>
      </w:r>
      <w:r>
        <w:rPr>
          <w:rFonts w:ascii="仿宋" w:eastAsia="仿宋" w:hint="eastAsia"/>
          <w:sz w:val="32"/>
          <w:szCs w:val="32"/>
        </w:rPr>
        <w:t>；上缴上级支出0.00万元，占0.00</w:t>
      </w:r>
      <w:r>
        <w:rPr>
          <w:rFonts w:ascii="仿宋" w:eastAsia="仿宋"/>
          <w:sz w:val="32"/>
          <w:szCs w:val="32"/>
        </w:rPr>
        <w:t>%</w:t>
      </w:r>
      <w:r>
        <w:rPr>
          <w:rFonts w:ascii="仿宋" w:eastAsia="仿宋" w:hint="eastAsia"/>
          <w:sz w:val="32"/>
          <w:szCs w:val="32"/>
        </w:rPr>
        <w:t>；经营支出0.00万元，占0.00</w:t>
      </w:r>
      <w:r>
        <w:rPr>
          <w:rFonts w:ascii="仿宋" w:eastAsia="仿宋"/>
          <w:sz w:val="32"/>
          <w:szCs w:val="32"/>
        </w:rPr>
        <w:t>%</w:t>
      </w:r>
      <w:r>
        <w:rPr>
          <w:rFonts w:ascii="仿宋" w:eastAsia="仿宋" w:hint="eastAsia"/>
          <w:sz w:val="32"/>
          <w:szCs w:val="32"/>
        </w:rPr>
        <w:t>；对附属单位补助支出0.00万元，占0.00</w:t>
      </w:r>
      <w:r>
        <w:rPr>
          <w:rFonts w:ascii="仿宋" w:eastAsia="仿宋"/>
          <w:sz w:val="32"/>
          <w:szCs w:val="32"/>
        </w:rPr>
        <w:t>%</w:t>
      </w:r>
      <w:r>
        <w:rPr>
          <w:rFonts w:ascii="仿宋" w:eastAsia="仿宋" w:hint="eastAsia"/>
          <w:sz w:val="32"/>
          <w:szCs w:val="32"/>
        </w:rPr>
        <w:t>。</w:t>
      </w:r>
    </w:p>
    <w:p>
      <w:pPr>
        <w:spacing w:line="600" w:lineRule="exact"/>
        <w:rPr>
          <w:rFonts w:ascii="黑体" w:eastAsia="黑体"/>
          <w:sz w:val="32"/>
          <w:szCs w:val="32"/>
        </w:rPr>
      </w:pPr>
      <w:r>
        <w:rPr>
          <w:rFonts w:ascii="仿宋" w:eastAsia="仿宋" w:hint="eastAsia"/>
          <w:sz w:val="32"/>
          <w:szCs w:val="32"/>
        </w:rPr>
        <w:t>（图3：支出决算结构图）（饼状图）</w:t>
      </w:r>
      <w:bookmarkStart w:id="24" w:name="_Toc15396606"/>
      <w:bookmarkStart w:id="25" w:name="_Toc15377208"/>
    </w:p>
    <w:p>
      <w:pPr>
        <w:pStyle w:val="15"/>
        <w:spacing w:beforeLines="0" w:before="0"/>
        <w:rPr>
          <w:rFonts w:ascii="黑体" w:eastAsia="黑体"/>
          <w:sz w:val="32"/>
          <w:szCs w:val="32"/>
        </w:rPr>
      </w:pPr>
      <w:r>
        <w:drawing>
          <wp:inline distT="0" distB="0" distL="0" distR="0">
            <wp:extent cx="5273040" cy="3832859"/>
            <wp:effectExtent l="0" t="0" r="0" b="0"/>
            <wp:docPr id="7" name="图片 7"/>
            <wp:cNvGraphicFramePr>
              <a:graphicFrameLocks noChangeAspect="0"/>
            </wp:cNvGraphicFramePr>
            <a:graphic>
              <a:graphicData uri="http://schemas.openxmlformats.org/drawingml/2006/picture">
                <pic:pic>
                  <pic:nvPicPr>
                    <pic:cNvPr id="9" name="图片 9"/>
                    <pic:cNvPicPr/>
                  </pic:nvPicPr>
                  <pic:blipFill>
                    <a:blip r:embed="rId6"/>
                    <a:stretch>
                      <a:fillRect/>
                    </a:stretch>
                  </pic:blipFill>
                  <pic:spPr>
                    <a:xfrm rot="0">
                      <a:off x="0" y="0"/>
                      <a:ext cx="5273040" cy="3832859"/>
                    </a:xfrm>
                    <a:prstGeom prst="rect"/>
                    <a:noFill/>
                    <a:ln w="9525" cmpd="sng" cap="flat">
                      <a:solidFill>
                        <a:srgbClr val="000000"/>
                      </a:solidFill>
                      <a:prstDash val="solid"/>
                      <a:miter/>
                    </a:ln>
                  </pic:spPr>
                </pic:pic>
              </a:graphicData>
            </a:graphic>
          </wp:inline>
        </w:drawing>
      </w:r>
    </w:p>
    <w:p>
      <w:pPr>
        <w:pStyle w:val="15"/>
        <w:spacing w:beforeLines="0" w:before="0"/>
        <w:rPr>
          <w:rFonts w:ascii="黑体" w:eastAsia="黑体"/>
          <w:sz w:val="32"/>
          <w:szCs w:val="32"/>
        </w:rPr>
      </w:pPr>
    </w:p>
    <w:p>
      <w:pPr>
        <w:spacing w:line="600" w:lineRule="exact"/>
        <w:outlineLvl w:val="1"/>
        <w:rPr>
          <w:rStyle w:val="29"/>
          <w:rFonts w:ascii="黑体" w:eastAsia="黑体"/>
          <w:b w:val="0"/>
        </w:rPr>
      </w:pPr>
      <w:r>
        <w:rPr>
          <w:rFonts w:ascii="黑体" w:eastAsia="黑体" w:hint="eastAsia"/>
          <w:sz w:val="32"/>
          <w:szCs w:val="32"/>
        </w:rPr>
        <w:t>四、财</w:t>
      </w:r>
      <w:r>
        <w:rPr>
          <w:rStyle w:val="29"/>
          <w:rFonts w:ascii="黑体" w:eastAsia="黑体" w:hint="eastAsia"/>
          <w:b w:val="0"/>
        </w:rPr>
        <w:t>政拨款收入支出决算总体情况说明</w:t>
      </w:r>
      <w:bookmarkEnd w:id="24"/>
      <w:bookmarkEnd w:id="25"/>
    </w:p>
    <w:p>
      <w:pPr>
        <w:spacing w:line="600" w:lineRule="exact"/>
        <w:ind w:firstLine="640"/>
        <w:rPr>
          <w:rFonts w:ascii="仿宋" w:eastAsia="仿宋"/>
          <w:b/>
          <w:sz w:val="32"/>
          <w:szCs w:val="32"/>
        </w:rPr>
      </w:pPr>
      <w:r>
        <w:rPr>
          <w:rFonts w:ascii="仿宋" w:eastAsia="仿宋"/>
          <w:sz w:val="32"/>
          <w:szCs w:val="32"/>
        </w:rPr>
        <w:t>20</w:t>
      </w:r>
      <w:r>
        <w:rPr>
          <w:rFonts w:ascii="仿宋" w:eastAsia="仿宋" w:hint="eastAsia"/>
          <w:sz w:val="32"/>
          <w:szCs w:val="32"/>
        </w:rPr>
        <w:t>21年财政拨款收、支总计183.28万元。与</w:t>
      </w:r>
      <w:r>
        <w:rPr>
          <w:rFonts w:ascii="仿宋" w:eastAsia="仿宋"/>
          <w:sz w:val="32"/>
          <w:szCs w:val="32"/>
        </w:rPr>
        <w:t>20</w:t>
      </w:r>
      <w:r>
        <w:rPr>
          <w:rFonts w:ascii="仿宋" w:eastAsia="仿宋" w:hint="eastAsia"/>
          <w:sz w:val="32"/>
          <w:szCs w:val="32"/>
        </w:rPr>
        <w:t>20年相比，财政拨款收、支总计各减少53.31万元，下降22.53</w:t>
      </w:r>
      <w:r>
        <w:rPr>
          <w:rFonts w:ascii="仿宋" w:eastAsia="仿宋"/>
          <w:sz w:val="32"/>
          <w:szCs w:val="32"/>
        </w:rPr>
        <w:t>%</w:t>
      </w:r>
      <w:r>
        <w:rPr>
          <w:rFonts w:ascii="仿宋" w:eastAsia="仿宋" w:hint="eastAsia"/>
          <w:sz w:val="32"/>
          <w:szCs w:val="32"/>
        </w:rPr>
        <w:t>。主要变动原因是</w:t>
      </w:r>
      <w:r>
        <w:rPr>
          <w:rFonts w:ascii="仿宋" w:eastAsia="仿宋" w:hint="eastAsia"/>
          <w:color w:val="000000"/>
          <w:sz w:val="32"/>
          <w:szCs w:val="32"/>
        </w:rPr>
        <w:t>2021年因疫情影响，赛事项目减少，导致赛事拨款经费减少。</w:t>
      </w:r>
    </w:p>
    <w:p>
      <w:pPr>
        <w:spacing w:line="600" w:lineRule="exact"/>
        <w:rPr>
          <w:rFonts w:ascii="仿宋" w:eastAsia="仿宋"/>
          <w:sz w:val="32"/>
          <w:szCs w:val="32"/>
        </w:rPr>
      </w:pPr>
      <w:r>
        <w:rPr>
          <w:rFonts w:ascii="仿宋" w:eastAsia="仿宋" w:hint="eastAsia"/>
          <w:sz w:val="32"/>
          <w:szCs w:val="32"/>
        </w:rPr>
        <w:t>（图4：财政拨款收、支决算总计变动情况）（柱状图）</w:t>
      </w:r>
    </w:p>
    <w:p>
      <w:pPr>
        <w:spacing w:line="600" w:lineRule="exact"/>
        <w:ind w:firstLine="640"/>
        <w:rPr>
          <w:rFonts w:ascii="仿宋" w:eastAsia="仿宋"/>
          <w:b/>
          <w:sz w:val="32"/>
          <w:szCs w:val="32"/>
        </w:rPr>
      </w:pPr>
    </w:p>
    <w:p>
      <w:pPr>
        <w:pStyle w:val="15"/>
        <w:spacing w:beforeLines="0" w:before="0"/>
        <w:rPr>
          <w:rFonts w:ascii="仿宋" w:eastAsia="仿宋"/>
          <w:b/>
          <w:sz w:val="32"/>
          <w:szCs w:val="32"/>
        </w:rPr>
      </w:pPr>
      <w:r>
        <w:drawing>
          <wp:inline distT="0" distB="0" distL="0" distR="0">
            <wp:extent cx="5181600" cy="5212080"/>
            <wp:effectExtent l="0" t="0" r="0" b="0"/>
            <wp:docPr id="10" name="图片 10"/>
            <wp:cNvGraphicFramePr>
              <a:graphicFrameLocks noChangeAspect="0"/>
            </wp:cNvGraphicFramePr>
            <a:graphic>
              <a:graphicData uri="http://schemas.openxmlformats.org/drawingml/2006/picture">
                <pic:pic>
                  <pic:nvPicPr>
                    <pic:cNvPr id="12" name="图片 12"/>
                    <pic:cNvPicPr/>
                  </pic:nvPicPr>
                  <pic:blipFill>
                    <a:blip r:embed="rId7"/>
                    <a:stretch>
                      <a:fillRect/>
                    </a:stretch>
                  </pic:blipFill>
                  <pic:spPr>
                    <a:xfrm rot="0">
                      <a:off x="0" y="0"/>
                      <a:ext cx="5181600" cy="5212080"/>
                    </a:xfrm>
                    <a:prstGeom prst="rect"/>
                    <a:noFill/>
                    <a:ln w="9525" cmpd="sng" cap="flat">
                      <a:solidFill>
                        <a:srgbClr val="000000"/>
                      </a:solidFill>
                      <a:prstDash val="solid"/>
                      <a:miter/>
                    </a:ln>
                  </pic:spPr>
                </pic:pic>
              </a:graphicData>
            </a:graphic>
          </wp:inline>
        </w:drawing>
      </w:r>
    </w:p>
    <w:p>
      <w:pPr>
        <w:spacing w:line="600" w:lineRule="exact"/>
        <w:outlineLvl w:val="1"/>
        <w:rPr>
          <w:rStyle w:val="29"/>
          <w:rFonts w:ascii="黑体" w:eastAsia="黑体"/>
          <w:b w:val="0"/>
        </w:rPr>
      </w:pPr>
      <w:bookmarkStart w:id="26" w:name="_Toc15377209"/>
      <w:bookmarkStart w:id="27" w:name="_Toc15396607"/>
      <w:r>
        <w:rPr>
          <w:rFonts w:ascii="黑体" w:eastAsia="黑体" w:hint="eastAsia"/>
          <w:sz w:val="32"/>
          <w:szCs w:val="32"/>
        </w:rPr>
        <w:t>五、</w:t>
      </w:r>
      <w:r>
        <w:rPr>
          <w:rFonts w:ascii="黑体" w:eastAsia="黑体" w:hint="eastAsia"/>
          <w:b/>
          <w:sz w:val="32"/>
          <w:szCs w:val="32"/>
        </w:rPr>
        <w:t>一</w:t>
      </w:r>
      <w:r>
        <w:rPr>
          <w:rStyle w:val="29"/>
          <w:rFonts w:ascii="黑体" w:eastAsia="黑体" w:hint="eastAsia"/>
          <w:b w:val="0"/>
        </w:rPr>
        <w:t>般公共预算财政拨款支出决算情况说明</w:t>
      </w:r>
      <w:bookmarkEnd w:id="26"/>
      <w:bookmarkEnd w:id="27"/>
    </w:p>
    <w:p>
      <w:pPr>
        <w:spacing w:line="600" w:lineRule="exact"/>
        <w:ind w:firstLineChars="200" w:firstLine="640"/>
        <w:outlineLvl w:val="2"/>
        <w:rPr>
          <w:rFonts w:ascii="仿宋" w:eastAsia="仿宋"/>
          <w:b/>
          <w:sz w:val="32"/>
          <w:szCs w:val="32"/>
        </w:rPr>
      </w:pPr>
      <w:bookmarkStart w:id="28" w:name="_Toc15377210"/>
      <w:r>
        <w:rPr>
          <w:rFonts w:ascii="仿宋" w:eastAsia="仿宋" w:hint="eastAsia"/>
          <w:b/>
          <w:sz w:val="32"/>
          <w:szCs w:val="32"/>
        </w:rPr>
        <w:t>（一）一般公共预算财政拨款支出决算总体情况</w:t>
      </w:r>
      <w:bookmarkEnd w:id="28"/>
    </w:p>
    <w:p>
      <w:pPr>
        <w:spacing w:line="600" w:lineRule="exact"/>
        <w:ind w:firstLineChars="200" w:firstLine="640"/>
        <w:rPr>
          <w:rFonts w:ascii="仿宋" w:eastAsia="仿宋" w:cs="仿宋"/>
          <w:sz w:val="32"/>
          <w:szCs w:val="32"/>
        </w:rPr>
      </w:pPr>
      <w:r>
        <w:rPr>
          <w:rFonts w:ascii="仿宋" w:eastAsia="仿宋"/>
          <w:sz w:val="32"/>
          <w:szCs w:val="32"/>
        </w:rPr>
        <w:t>20</w:t>
      </w:r>
      <w:r>
        <w:rPr>
          <w:rFonts w:ascii="仿宋" w:eastAsia="仿宋" w:hint="eastAsia"/>
          <w:sz w:val="32"/>
          <w:szCs w:val="32"/>
        </w:rPr>
        <w:t>21年一般公共预算财政拨款支出162.63万元，占本年支出合计的88.73</w:t>
      </w:r>
      <w:r>
        <w:rPr>
          <w:rFonts w:ascii="仿宋" w:eastAsia="仿宋"/>
          <w:sz w:val="32"/>
          <w:szCs w:val="32"/>
        </w:rPr>
        <w:t>%</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20年相比，一般公共预算财政拨款支出增加20.07万元，增长14.08</w:t>
      </w:r>
      <w:r>
        <w:rPr>
          <w:rFonts w:ascii="仿宋" w:eastAsia="仿宋"/>
          <w:sz w:val="32"/>
          <w:szCs w:val="32"/>
        </w:rPr>
        <w:t>%</w:t>
      </w:r>
      <w:r>
        <w:rPr>
          <w:rFonts w:ascii="仿宋" w:eastAsia="仿宋" w:hint="eastAsia"/>
          <w:sz w:val="32"/>
          <w:szCs w:val="32"/>
        </w:rPr>
        <w:t>。主要变动原因是</w:t>
      </w:r>
      <w:r>
        <w:rPr>
          <w:rFonts w:ascii="仿宋" w:eastAsia="仿宋" w:cs="仿宋" w:hint="eastAsia"/>
          <w:sz w:val="32"/>
          <w:szCs w:val="32"/>
        </w:rPr>
        <w:t>调资以及职工单位部分基本养老保险、住房公积金增加所致。</w:t>
      </w:r>
    </w:p>
    <w:p>
      <w:pPr>
        <w:spacing w:line="600" w:lineRule="exact"/>
        <w:rPr>
          <w:rFonts w:ascii="仿宋" w:eastAsia="仿宋"/>
          <w:sz w:val="32"/>
          <w:szCs w:val="32"/>
        </w:rPr>
      </w:pPr>
      <w:r>
        <w:rPr>
          <w:rFonts w:ascii="仿宋" w:eastAsia="仿宋" w:hint="eastAsia"/>
          <w:sz w:val="32"/>
          <w:szCs w:val="32"/>
        </w:rPr>
        <w:t>（图5：一般公共预算财政拨款支出决算变动情况）（柱状图）</w:t>
      </w:r>
    </w:p>
    <w:p>
      <w:pPr>
        <w:pStyle w:val="15"/>
        <w:spacing w:beforeLines="0" w:before="0"/>
        <w:rPr>
          <w:rFonts w:ascii="仿宋" w:eastAsia="仿宋"/>
          <w:sz w:val="32"/>
          <w:szCs w:val="32"/>
        </w:rPr>
      </w:pPr>
    </w:p>
    <w:p>
      <w:pPr>
        <w:pStyle w:val="15"/>
        <w:spacing w:beforeLines="0" w:before="0"/>
        <w:rPr>
          <w:rFonts w:ascii="仿宋" w:eastAsia="仿宋"/>
          <w:sz w:val="32"/>
          <w:szCs w:val="32"/>
        </w:rPr>
      </w:pPr>
      <w:r>
        <w:drawing>
          <wp:inline distT="0" distB="0" distL="0" distR="0">
            <wp:extent cx="4975860" cy="4996815"/>
            <wp:effectExtent l="0" t="0" r="0" b="0"/>
            <wp:docPr id="13" name="图片 13"/>
            <wp:cNvGraphicFramePr>
              <a:graphicFrameLocks noChangeAspect="0"/>
            </wp:cNvGraphicFramePr>
            <a:graphic>
              <a:graphicData uri="http://schemas.openxmlformats.org/drawingml/2006/picture">
                <pic:pic>
                  <pic:nvPicPr>
                    <pic:cNvPr id="15" name="图片 15"/>
                    <pic:cNvPicPr/>
                  </pic:nvPicPr>
                  <pic:blipFill>
                    <a:blip r:embed="rId8"/>
                    <a:stretch>
                      <a:fillRect/>
                    </a:stretch>
                  </pic:blipFill>
                  <pic:spPr>
                    <a:xfrm rot="0">
                      <a:off x="0" y="0"/>
                      <a:ext cx="4975860" cy="4996815"/>
                    </a:xfrm>
                    <a:prstGeom prst="rect"/>
                    <a:noFill/>
                    <a:ln w="9525" cmpd="sng" cap="flat">
                      <a:solidFill>
                        <a:srgbClr val="000000"/>
                      </a:solidFill>
                      <a:prstDash val="solid"/>
                      <a:miter/>
                    </a:ln>
                  </pic:spPr>
                </pic:pic>
              </a:graphicData>
            </a:graphic>
          </wp:inline>
        </w:drawing>
      </w:r>
    </w:p>
    <w:p>
      <w:pPr>
        <w:spacing w:line="600" w:lineRule="exact"/>
        <w:outlineLvl w:val="2"/>
        <w:rPr>
          <w:rFonts w:ascii="仿宋" w:eastAsia="仿宋"/>
          <w:b/>
          <w:sz w:val="32"/>
          <w:szCs w:val="32"/>
        </w:rPr>
      </w:pPr>
      <w:bookmarkStart w:id="29" w:name="_Toc15377211"/>
      <w:r>
        <w:rPr>
          <w:rFonts w:ascii="仿宋" w:eastAsia="仿宋" w:hint="eastAsia"/>
          <w:b/>
          <w:sz w:val="32"/>
          <w:szCs w:val="32"/>
        </w:rPr>
        <w:t>（二）一般公共预算财政拨款支出决算结构情况</w:t>
      </w:r>
      <w:bookmarkEnd w:id="29"/>
    </w:p>
    <w:p>
      <w:pPr>
        <w:spacing w:line="600" w:lineRule="exact"/>
        <w:ind w:firstLine="640"/>
        <w:rPr>
          <w:rFonts w:ascii="仿宋" w:eastAsia="仿宋"/>
          <w:color w:val="000000"/>
          <w:sz w:val="32"/>
          <w:szCs w:val="32"/>
        </w:rPr>
      </w:pPr>
      <w:r>
        <w:rPr>
          <w:rFonts w:ascii="仿宋" w:eastAsia="仿宋"/>
          <w:sz w:val="32"/>
          <w:szCs w:val="32"/>
        </w:rPr>
        <w:t>20</w:t>
      </w:r>
      <w:r>
        <w:rPr>
          <w:rFonts w:ascii="仿宋" w:eastAsia="仿宋" w:hint="eastAsia"/>
          <w:sz w:val="32"/>
          <w:szCs w:val="32"/>
        </w:rPr>
        <w:t>21年一般公共预算财政拨款支出</w:t>
      </w:r>
      <w:r>
        <w:rPr>
          <w:rFonts w:ascii="仿宋" w:eastAsia="仿宋" w:hint="eastAsia"/>
          <w:b/>
          <w:bCs/>
          <w:sz w:val="32"/>
          <w:szCs w:val="32"/>
        </w:rPr>
        <w:t>162.63</w:t>
      </w:r>
      <w:r>
        <w:rPr>
          <w:rFonts w:ascii="仿宋" w:eastAsia="仿宋" w:hint="eastAsia"/>
          <w:sz w:val="32"/>
          <w:szCs w:val="32"/>
        </w:rPr>
        <w:t>万元，主要用于以下方面</w:t>
      </w:r>
      <w:r>
        <w:rPr>
          <w:rFonts w:ascii="仿宋" w:eastAsia="仿宋"/>
          <w:sz w:val="32"/>
          <w:szCs w:val="32"/>
        </w:rPr>
        <w:t>:</w:t>
      </w:r>
      <w:r>
        <w:rPr>
          <w:rFonts w:ascii="仿宋" w:eastAsia="仿宋" w:hint="eastAsia"/>
          <w:color w:val="000000"/>
          <w:sz w:val="32"/>
          <w:szCs w:val="32"/>
        </w:rPr>
        <w:t xml:space="preserve"> 教育支出（类）0.3万元，占0.18</w:t>
      </w:r>
      <w:r>
        <w:rPr>
          <w:rFonts w:ascii="仿宋" w:eastAsia="仿宋"/>
          <w:color w:val="000000"/>
          <w:sz w:val="32"/>
          <w:szCs w:val="32"/>
        </w:rPr>
        <w:t>%</w:t>
      </w:r>
      <w:r>
        <w:rPr>
          <w:rFonts w:ascii="仿宋" w:eastAsia="仿宋" w:hint="eastAsia"/>
          <w:color w:val="000000"/>
          <w:sz w:val="32"/>
          <w:szCs w:val="32"/>
        </w:rPr>
        <w:t>；文化旅游体育与传媒支出（类）139.6万元，占85.84</w:t>
      </w:r>
      <w:r>
        <w:rPr>
          <w:rFonts w:ascii="仿宋" w:eastAsia="仿宋"/>
          <w:color w:val="000000"/>
          <w:sz w:val="32"/>
          <w:szCs w:val="32"/>
        </w:rPr>
        <w:t>%</w:t>
      </w:r>
      <w:r>
        <w:rPr>
          <w:rFonts w:ascii="仿宋" w:eastAsia="仿宋" w:hint="eastAsia"/>
          <w:color w:val="000000"/>
          <w:sz w:val="32"/>
          <w:szCs w:val="32"/>
        </w:rPr>
        <w:t>；社会保障和就业支出（类）11.57万元，占7.12</w:t>
      </w:r>
      <w:r>
        <w:rPr>
          <w:rFonts w:ascii="仿宋" w:eastAsia="仿宋"/>
          <w:color w:val="000000"/>
          <w:sz w:val="32"/>
          <w:szCs w:val="32"/>
        </w:rPr>
        <w:t>%</w:t>
      </w:r>
      <w:r>
        <w:rPr>
          <w:rFonts w:ascii="仿宋" w:eastAsia="仿宋" w:hint="eastAsia"/>
          <w:color w:val="000000"/>
          <w:sz w:val="32"/>
          <w:szCs w:val="32"/>
        </w:rPr>
        <w:t>；住房保障支出（类）11.16万元，占6.86</w:t>
      </w:r>
      <w:r>
        <w:rPr>
          <w:rFonts w:ascii="仿宋" w:eastAsia="仿宋"/>
          <w:color w:val="000000"/>
          <w:sz w:val="32"/>
          <w:szCs w:val="32"/>
        </w:rPr>
        <w:t>%</w:t>
      </w:r>
      <w:r>
        <w:rPr>
          <w:rFonts w:ascii="仿宋" w:eastAsia="仿宋" w:hint="eastAsia"/>
          <w:color w:val="000000"/>
          <w:sz w:val="32"/>
          <w:szCs w:val="32"/>
        </w:rPr>
        <w:t>。</w:t>
      </w:r>
    </w:p>
    <w:p>
      <w:pPr>
        <w:spacing w:line="600" w:lineRule="exact"/>
        <w:ind w:firstLine="640"/>
        <w:rPr>
          <w:rFonts w:ascii="仿宋" w:eastAsia="仿宋"/>
          <w:b/>
          <w:sz w:val="32"/>
          <w:szCs w:val="32"/>
        </w:rPr>
      </w:pPr>
      <w:r>
        <w:rPr>
          <w:rFonts w:ascii="仿宋" w:eastAsia="仿宋" w:hint="eastAsia"/>
          <w:sz w:val="32"/>
          <w:szCs w:val="32"/>
        </w:rPr>
        <w:t>（图6：一般公共预算财政拨款支出决算结构）（饼状图）</w:t>
      </w:r>
      <w:bookmarkStart w:id="30" w:name="_Toc15377212"/>
    </w:p>
    <w:p>
      <w:pPr>
        <w:spacing w:line="600" w:lineRule="exact"/>
        <w:ind w:firstLineChars="200" w:firstLine="640"/>
        <w:outlineLvl w:val="2"/>
        <w:rPr>
          <w:rFonts w:ascii="仿宋" w:eastAsia="仿宋"/>
          <w:b/>
          <w:sz w:val="32"/>
          <w:szCs w:val="32"/>
        </w:rPr>
      </w:pPr>
    </w:p>
    <w:p>
      <w:pPr>
        <w:pStyle w:val="15"/>
        <w:spacing w:beforeLines="0" w:before="0"/>
        <w:rPr>
          <w:rFonts w:ascii="仿宋" w:eastAsia="仿宋"/>
          <w:b/>
          <w:sz w:val="32"/>
          <w:szCs w:val="32"/>
        </w:rPr>
      </w:pPr>
      <w:r>
        <w:drawing>
          <wp:inline distT="0" distB="0" distL="0" distR="0">
            <wp:extent cx="5243513" cy="4337067"/>
            <wp:effectExtent l="0" t="0" r="0" b="0"/>
            <wp:docPr id="16" name="图片 16"/>
            <wp:cNvGraphicFramePr>
              <a:graphicFrameLocks noChangeAspect="0"/>
            </wp:cNvGraphicFramePr>
            <a:graphic>
              <a:graphicData uri="http://schemas.openxmlformats.org/drawingml/2006/picture">
                <pic:pic>
                  <pic:nvPicPr>
                    <pic:cNvPr id="18" name="图片 18"/>
                    <pic:cNvPicPr/>
                  </pic:nvPicPr>
                  <pic:blipFill>
                    <a:blip r:embed="rId9"/>
                    <a:stretch>
                      <a:fillRect/>
                    </a:stretch>
                  </pic:blipFill>
                  <pic:spPr>
                    <a:xfrm rot="0">
                      <a:off x="0" y="0"/>
                      <a:ext cx="5243513" cy="4337067"/>
                    </a:xfrm>
                    <a:prstGeom prst="rect"/>
                    <a:noFill/>
                    <a:ln w="9525" cmpd="sng" cap="flat">
                      <a:solidFill>
                        <a:srgbClr val="000000"/>
                      </a:solidFill>
                      <a:prstDash val="solid"/>
                      <a:miter/>
                    </a:ln>
                  </pic:spPr>
                </pic:pic>
              </a:graphicData>
            </a:graphic>
          </wp:inline>
        </w:drawing>
      </w:r>
    </w:p>
    <w:p>
      <w:pPr>
        <w:spacing w:line="600" w:lineRule="exact"/>
        <w:outlineLvl w:val="2"/>
        <w:rPr>
          <w:rFonts w:ascii="仿宋" w:eastAsia="仿宋"/>
          <w:b/>
          <w:sz w:val="32"/>
          <w:szCs w:val="32"/>
        </w:rPr>
      </w:pPr>
      <w:r>
        <w:rPr>
          <w:rFonts w:ascii="仿宋" w:eastAsia="仿宋" w:hint="eastAsia"/>
          <w:b/>
          <w:sz w:val="32"/>
          <w:szCs w:val="32"/>
        </w:rPr>
        <w:t>（三）一般公共预算财政拨款支出决算具体情况</w:t>
      </w:r>
      <w:bookmarkEnd w:id="30"/>
    </w:p>
    <w:p>
      <w:pPr>
        <w:spacing w:line="600" w:lineRule="exact"/>
        <w:ind w:firstLineChars="200" w:firstLine="640"/>
        <w:outlineLvl w:val="2"/>
        <w:rPr>
          <w:rFonts w:ascii="仿宋" w:eastAsia="仿宋"/>
          <w:sz w:val="32"/>
          <w:szCs w:val="32"/>
        </w:rPr>
      </w:pPr>
      <w:bookmarkStart w:id="31" w:name="_Toc15377444"/>
      <w:bookmarkStart w:id="32" w:name="_Toc15377213"/>
      <w:bookmarkStart w:id="33" w:name="_Toc15378460"/>
      <w:r>
        <w:rPr>
          <w:rFonts w:ascii="仿宋" w:eastAsia="仿宋" w:hint="eastAsia"/>
          <w:b/>
          <w:sz w:val="32"/>
          <w:szCs w:val="32"/>
        </w:rPr>
        <w:t>2021年一般公共预算支出决算数为162.63万元</w:t>
      </w:r>
      <w:r>
        <w:rPr>
          <w:rFonts w:ascii="仿宋" w:eastAsia="仿宋" w:hint="eastAsia"/>
          <w:sz w:val="32"/>
          <w:szCs w:val="32"/>
        </w:rPr>
        <w:t>，</w:t>
      </w:r>
      <w:r>
        <w:rPr>
          <w:rStyle w:val="22"/>
          <w:rFonts w:ascii="仿宋" w:eastAsia="仿宋" w:hint="eastAsia"/>
          <w:bCs/>
          <w:sz w:val="32"/>
          <w:szCs w:val="32"/>
        </w:rPr>
        <w:t>完成预算100</w:t>
      </w:r>
      <w:r>
        <w:rPr>
          <w:rStyle w:val="22"/>
          <w:rFonts w:ascii="仿宋" w:eastAsia="仿宋"/>
          <w:bCs/>
          <w:sz w:val="32"/>
          <w:szCs w:val="32"/>
        </w:rPr>
        <w:t>%</w:t>
      </w:r>
      <w:r>
        <w:rPr>
          <w:rStyle w:val="22"/>
          <w:rFonts w:ascii="仿宋" w:eastAsia="仿宋" w:hint="eastAsia"/>
          <w:bCs/>
          <w:sz w:val="32"/>
          <w:szCs w:val="32"/>
        </w:rPr>
        <w:t>。其中：</w:t>
      </w:r>
      <w:bookmarkEnd w:id="31"/>
      <w:bookmarkEnd w:id="32"/>
      <w:bookmarkEnd w:id="33"/>
    </w:p>
    <w:p>
      <w:pPr>
        <w:spacing w:line="600" w:lineRule="exact"/>
        <w:ind w:firstLineChars="200" w:firstLine="640"/>
        <w:rPr>
          <w:rFonts w:ascii="仿宋" w:eastAsia="仿宋"/>
          <w:color w:val="000000"/>
          <w:sz w:val="32"/>
          <w:szCs w:val="32"/>
        </w:rPr>
      </w:pPr>
      <w:bookmarkStart w:id="34" w:name="_Toc15377214"/>
      <w:bookmarkStart w:id="35" w:name="_Toc15396608"/>
      <w:r>
        <w:rPr>
          <w:rFonts w:ascii="仿宋" w:eastAsia="仿宋" w:hint="eastAsia"/>
          <w:color w:val="000000"/>
          <w:sz w:val="32"/>
          <w:szCs w:val="32"/>
        </w:rPr>
        <w:t>1</w:t>
      </w:r>
      <w:r>
        <w:rPr>
          <w:rFonts w:ascii="仿宋" w:eastAsia="仿宋"/>
          <w:color w:val="000000"/>
          <w:sz w:val="32"/>
          <w:szCs w:val="32"/>
        </w:rPr>
        <w:t>.</w:t>
      </w:r>
      <w:r>
        <w:rPr>
          <w:rFonts w:ascii="仿宋" w:eastAsia="仿宋" w:hint="eastAsia"/>
          <w:color w:val="000000"/>
          <w:sz w:val="32"/>
          <w:szCs w:val="32"/>
        </w:rPr>
        <w:t>教育（类）教育费附加安排的支出（款）其他教育费附加安排的支出（项）</w:t>
      </w:r>
      <w:r>
        <w:rPr>
          <w:rFonts w:ascii="仿宋" w:eastAsia="仿宋"/>
          <w:color w:val="000000"/>
          <w:sz w:val="32"/>
          <w:szCs w:val="32"/>
        </w:rPr>
        <w:t xml:space="preserve">: </w:t>
      </w:r>
      <w:r>
        <w:rPr>
          <w:rFonts w:ascii="仿宋" w:eastAsia="仿宋" w:hint="eastAsia"/>
          <w:color w:val="000000"/>
          <w:sz w:val="32"/>
          <w:szCs w:val="32"/>
        </w:rPr>
        <w:t>支出决算为0.3万元，完成预算100</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2</w:t>
      </w:r>
      <w:r>
        <w:rPr>
          <w:rFonts w:ascii="仿宋" w:eastAsia="仿宋"/>
          <w:color w:val="000000"/>
          <w:sz w:val="32"/>
          <w:szCs w:val="32"/>
        </w:rPr>
        <w:t>.</w:t>
      </w:r>
      <w:r>
        <w:rPr>
          <w:rFonts w:ascii="仿宋" w:eastAsia="仿宋" w:hint="eastAsia"/>
          <w:color w:val="000000"/>
          <w:sz w:val="32"/>
          <w:szCs w:val="32"/>
        </w:rPr>
        <w:t>文化旅游体育与传媒支出（类）体育（款）其他体育支出（项）</w:t>
      </w:r>
      <w:r>
        <w:rPr>
          <w:rFonts w:ascii="仿宋" w:eastAsia="仿宋"/>
          <w:color w:val="000000"/>
          <w:sz w:val="32"/>
          <w:szCs w:val="32"/>
        </w:rPr>
        <w:t xml:space="preserve">: </w:t>
      </w:r>
      <w:r>
        <w:rPr>
          <w:rFonts w:ascii="仿宋" w:eastAsia="仿宋" w:hint="eastAsia"/>
          <w:color w:val="000000"/>
          <w:sz w:val="32"/>
          <w:szCs w:val="32"/>
        </w:rPr>
        <w:t>支出决算为139.6万元，完成预算100</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3</w:t>
      </w:r>
      <w:r>
        <w:rPr>
          <w:rFonts w:ascii="仿宋" w:eastAsia="仿宋"/>
          <w:color w:val="000000"/>
          <w:sz w:val="32"/>
          <w:szCs w:val="32"/>
        </w:rPr>
        <w:t>.</w:t>
      </w:r>
      <w:r>
        <w:rPr>
          <w:rFonts w:ascii="仿宋" w:eastAsia="仿宋" w:hint="eastAsia"/>
          <w:color w:val="000000"/>
          <w:sz w:val="32"/>
          <w:szCs w:val="32"/>
        </w:rPr>
        <w:t>社会保障和就业（类）行政事业单位养老支出（款）机关事业单位基本养老保险缴费支出（项）</w:t>
      </w:r>
      <w:r>
        <w:rPr>
          <w:rFonts w:ascii="仿宋" w:eastAsia="仿宋"/>
          <w:color w:val="000000"/>
          <w:sz w:val="32"/>
          <w:szCs w:val="32"/>
        </w:rPr>
        <w:t xml:space="preserve">: </w:t>
      </w:r>
      <w:r>
        <w:rPr>
          <w:rFonts w:ascii="仿宋" w:eastAsia="仿宋" w:hint="eastAsia"/>
          <w:color w:val="000000"/>
          <w:sz w:val="32"/>
          <w:szCs w:val="32"/>
        </w:rPr>
        <w:t>支出决算为11.57万元，完成预算100</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rPr>
          <w:rFonts w:ascii="仿宋" w:eastAsia="仿宋"/>
          <w:color w:val="000000"/>
          <w:sz w:val="32"/>
          <w:szCs w:val="32"/>
        </w:rPr>
      </w:pPr>
      <w:r>
        <w:rPr>
          <w:rFonts w:ascii="仿宋" w:eastAsia="仿宋" w:hint="eastAsia"/>
          <w:color w:val="000000"/>
          <w:sz w:val="32"/>
          <w:szCs w:val="32"/>
        </w:rPr>
        <w:t>4</w:t>
      </w:r>
      <w:r>
        <w:rPr>
          <w:rFonts w:ascii="仿宋" w:eastAsia="仿宋"/>
          <w:color w:val="000000"/>
          <w:sz w:val="32"/>
          <w:szCs w:val="32"/>
        </w:rPr>
        <w:t>.</w:t>
      </w:r>
      <w:r>
        <w:rPr>
          <w:rFonts w:ascii="仿宋" w:eastAsia="仿宋" w:hint="eastAsia"/>
          <w:color w:val="000000"/>
          <w:sz w:val="32"/>
          <w:szCs w:val="32"/>
        </w:rPr>
        <w:t>住房保障支出（类）住房改革支出（款）住房公积金（项）</w:t>
      </w:r>
      <w:r>
        <w:rPr>
          <w:rFonts w:ascii="仿宋" w:eastAsia="仿宋"/>
          <w:color w:val="000000"/>
          <w:sz w:val="32"/>
          <w:szCs w:val="32"/>
        </w:rPr>
        <w:t>:</w:t>
      </w:r>
      <w:r>
        <w:rPr>
          <w:rFonts w:ascii="仿宋" w:eastAsia="仿宋" w:hint="eastAsia"/>
          <w:color w:val="000000"/>
          <w:sz w:val="32"/>
          <w:szCs w:val="32"/>
        </w:rPr>
        <w:t>支出决算为11.16万元，完成预算100</w:t>
      </w:r>
      <w:r>
        <w:rPr>
          <w:rFonts w:ascii="仿宋" w:eastAsia="仿宋"/>
          <w:color w:val="000000"/>
          <w:sz w:val="32"/>
          <w:szCs w:val="32"/>
        </w:rPr>
        <w:t>%</w:t>
      </w:r>
      <w:r>
        <w:rPr>
          <w:rFonts w:ascii="仿宋" w:eastAsia="仿宋" w:hint="eastAsia"/>
          <w:color w:val="000000"/>
          <w:sz w:val="32"/>
          <w:szCs w:val="32"/>
        </w:rPr>
        <w:t>。</w:t>
      </w:r>
    </w:p>
    <w:p>
      <w:pPr>
        <w:tabs>
          <w:tab w:val="right" w:pos="8306"/>
        </w:tabs>
        <w:spacing w:line="600" w:lineRule="exact"/>
        <w:ind w:firstLine="640"/>
        <w:outlineLvl w:val="1"/>
        <w:rPr>
          <w:rStyle w:val="29"/>
        </w:rPr>
      </w:pPr>
      <w:r>
        <w:rPr>
          <w:rFonts w:ascii="黑体" w:eastAsia="黑体" w:hint="eastAsia"/>
          <w:sz w:val="32"/>
          <w:szCs w:val="32"/>
        </w:rPr>
        <w:t>六</w:t>
      </w:r>
      <w:r>
        <w:rPr>
          <w:rFonts w:ascii="黑体" w:eastAsia="黑体" w:hint="eastAsia"/>
          <w:b/>
          <w:sz w:val="32"/>
          <w:szCs w:val="32"/>
        </w:rPr>
        <w:t>、一</w:t>
      </w:r>
      <w:r>
        <w:rPr>
          <w:rStyle w:val="29"/>
          <w:rFonts w:ascii="黑体" w:eastAsia="黑体" w:hint="eastAsia"/>
          <w:b w:val="0"/>
        </w:rPr>
        <w:t>般公共预算财政拨款基本支出决算情况说明</w:t>
      </w:r>
      <w:bookmarkEnd w:id="34"/>
      <w:bookmarkEnd w:id="35"/>
      <w:r>
        <w:rPr>
          <w:rStyle w:val="29"/>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21年一般公共预算财政拨款基本支出162.33万元，其中：</w:t>
      </w:r>
    </w:p>
    <w:p>
      <w:pPr>
        <w:spacing w:line="600" w:lineRule="exact"/>
        <w:ind w:firstLine="645"/>
        <w:rPr>
          <w:rFonts w:ascii="仿宋" w:eastAsia="仿宋"/>
          <w:color w:val="000000"/>
          <w:sz w:val="32"/>
          <w:szCs w:val="32"/>
        </w:rPr>
      </w:pPr>
      <w:r>
        <w:rPr>
          <w:rFonts w:ascii="仿宋" w:eastAsia="仿宋" w:hint="eastAsia"/>
          <w:sz w:val="32"/>
          <w:szCs w:val="32"/>
        </w:rPr>
        <w:t>人员经费156.87万元，主要包括：</w:t>
      </w:r>
      <w:r>
        <w:rPr>
          <w:rFonts w:ascii="仿宋" w:eastAsia="仿宋" w:hint="eastAsia"/>
          <w:color w:val="000000"/>
          <w:sz w:val="32"/>
          <w:szCs w:val="32"/>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color w:val="000000"/>
          <w:sz w:val="32"/>
          <w:szCs w:val="32"/>
        </w:rPr>
        <w:br/>
      </w:r>
      <w:r>
        <w:rPr>
          <w:rFonts w:ascii="仿宋" w:eastAsia="仿宋" w:hint="eastAsia"/>
          <w:sz w:val="32"/>
          <w:szCs w:val="32"/>
        </w:rPr>
        <w:t>　　公用经费5.46万元，主要包括：</w:t>
      </w:r>
      <w:bookmarkStart w:id="36" w:name="_Toc15396609"/>
      <w:bookmarkStart w:id="37" w:name="_Toc15377215"/>
      <w:r>
        <w:rPr>
          <w:rFonts w:ascii="仿宋" w:eastAsia="仿宋" w:hint="eastAsia"/>
          <w:color w:val="000000"/>
          <w:sz w:val="32"/>
          <w:szCs w:val="32"/>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Chars="200" w:firstLine="640"/>
        <w:rPr>
          <w:rStyle w:val="29"/>
          <w:rFonts w:ascii="黑体" w:eastAsia="黑体"/>
          <w:b w:val="0"/>
        </w:rPr>
      </w:pPr>
      <w:r>
        <w:rPr>
          <w:rFonts w:ascii="黑体" w:eastAsia="黑体" w:hint="eastAsia"/>
          <w:sz w:val="32"/>
          <w:szCs w:val="32"/>
        </w:rPr>
        <w:t>七、</w:t>
      </w:r>
      <w:r>
        <w:rPr>
          <w:rStyle w:val="29"/>
          <w:rFonts w:ascii="黑体" w:eastAsia="黑体" w:hint="eastAsia"/>
        </w:rPr>
        <w:t>“</w:t>
      </w:r>
      <w:r>
        <w:rPr>
          <w:rStyle w:val="29"/>
          <w:rFonts w:ascii="黑体" w:eastAsia="黑体" w:hint="eastAsia"/>
          <w:b w:val="0"/>
        </w:rPr>
        <w:t>三公”经费财政拨款支出决算情况说明</w:t>
      </w:r>
      <w:bookmarkEnd w:id="36"/>
      <w:bookmarkEnd w:id="37"/>
    </w:p>
    <w:p>
      <w:pPr>
        <w:spacing w:line="600" w:lineRule="exact"/>
        <w:ind w:firstLine="640"/>
        <w:outlineLvl w:val="2"/>
        <w:rPr>
          <w:rFonts w:ascii="仿宋" w:eastAsia="仿宋"/>
          <w:b/>
          <w:sz w:val="32"/>
          <w:szCs w:val="32"/>
        </w:rPr>
      </w:pPr>
      <w:bookmarkStart w:id="38" w:name="_Toc15377216"/>
      <w:r>
        <w:rPr>
          <w:rFonts w:ascii="仿宋" w:eastAsia="仿宋" w:hint="eastAsia"/>
          <w:b/>
          <w:sz w:val="32"/>
          <w:szCs w:val="32"/>
        </w:rPr>
        <w:t>（一）“三公”经费财政拨款支出决算总体情况说明</w:t>
      </w:r>
      <w:bookmarkEnd w:id="38"/>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21年“三公”经费财政拨款支出决算为0.00万元，完成预算0</w:t>
      </w:r>
      <w:r>
        <w:rPr>
          <w:rFonts w:ascii="仿宋" w:eastAsia="仿宋"/>
          <w:sz w:val="32"/>
          <w:szCs w:val="32"/>
        </w:rPr>
        <w:t>%</w:t>
      </w:r>
      <w:r>
        <w:rPr>
          <w:rFonts w:ascii="仿宋" w:eastAsia="仿宋" w:hint="eastAsia"/>
          <w:sz w:val="32"/>
          <w:szCs w:val="32"/>
        </w:rPr>
        <w:t>。</w:t>
      </w:r>
    </w:p>
    <w:p>
      <w:pPr>
        <w:spacing w:line="600" w:lineRule="exact"/>
        <w:ind w:firstLine="640"/>
        <w:outlineLvl w:val="2"/>
        <w:rPr>
          <w:rFonts w:ascii="仿宋" w:eastAsia="仿宋"/>
          <w:b/>
          <w:sz w:val="32"/>
          <w:szCs w:val="32"/>
        </w:rPr>
      </w:pPr>
      <w:bookmarkStart w:id="39" w:name="_Toc15377217"/>
      <w:r>
        <w:rPr>
          <w:rFonts w:ascii="仿宋" w:eastAsia="仿宋" w:hint="eastAsia"/>
          <w:b/>
          <w:sz w:val="32"/>
          <w:szCs w:val="32"/>
        </w:rPr>
        <w:t>（二）“三公”经费财政拨款支出决算具体情况说明</w:t>
      </w:r>
      <w:bookmarkEnd w:id="39"/>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21年“三公”经费财政拨款支出决算中，因公出国（境）费支出决算0.00万元，占0</w:t>
      </w:r>
      <w:r>
        <w:rPr>
          <w:rFonts w:ascii="仿宋" w:eastAsia="仿宋"/>
          <w:sz w:val="32"/>
          <w:szCs w:val="32"/>
        </w:rPr>
        <w:t>%</w:t>
      </w:r>
      <w:r>
        <w:rPr>
          <w:rFonts w:ascii="仿宋" w:eastAsia="仿宋" w:hint="eastAsia"/>
          <w:sz w:val="32"/>
          <w:szCs w:val="32"/>
        </w:rPr>
        <w:t>；公务用车购置及运行维护费支出决算0.00万元，占0</w:t>
      </w:r>
      <w:r>
        <w:rPr>
          <w:rFonts w:ascii="仿宋" w:eastAsia="仿宋"/>
          <w:sz w:val="32"/>
          <w:szCs w:val="32"/>
        </w:rPr>
        <w:t>%</w:t>
      </w:r>
      <w:r>
        <w:rPr>
          <w:rFonts w:ascii="仿宋" w:eastAsia="仿宋" w:hint="eastAsia"/>
          <w:sz w:val="32"/>
          <w:szCs w:val="32"/>
        </w:rPr>
        <w:t>；公务接待费支出决算0万元，占0</w:t>
      </w:r>
      <w:r>
        <w:rPr>
          <w:rFonts w:ascii="仿宋" w:eastAsia="仿宋"/>
          <w:sz w:val="32"/>
          <w:szCs w:val="32"/>
        </w:rPr>
        <w:t>%</w:t>
      </w:r>
      <w:r>
        <w:rPr>
          <w:rFonts w:ascii="仿宋" w:eastAsia="仿宋" w:hint="eastAsia"/>
          <w:sz w:val="32"/>
          <w:szCs w:val="32"/>
        </w:rPr>
        <w:t>。</w:t>
      </w:r>
    </w:p>
    <w:p>
      <w:pPr>
        <w:spacing w:line="600" w:lineRule="exact"/>
        <w:ind w:firstLine="640"/>
        <w:rPr>
          <w:rFonts w:ascii="仿宋" w:eastAsia="仿宋"/>
          <w:sz w:val="32"/>
          <w:szCs w:val="32"/>
        </w:rPr>
      </w:pPr>
      <w:r>
        <w:rPr>
          <w:rFonts w:ascii="仿宋" w:eastAsia="仿宋" w:hint="eastAsia"/>
          <w:b/>
          <w:sz w:val="32"/>
          <w:szCs w:val="32"/>
        </w:rPr>
        <w:t>1.因公出国（境）经费支出</w:t>
      </w:r>
      <w:r>
        <w:rPr>
          <w:rFonts w:ascii="仿宋" w:eastAsia="仿宋" w:hint="eastAsia"/>
          <w:sz w:val="32"/>
          <w:szCs w:val="32"/>
        </w:rPr>
        <w:t>0.00万元，</w:t>
      </w:r>
      <w:r>
        <w:rPr>
          <w:rStyle w:val="22"/>
          <w:rFonts w:ascii="仿宋" w:eastAsia="仿宋" w:hint="eastAsia"/>
          <w:b w:val="0"/>
          <w:bCs/>
          <w:sz w:val="32"/>
          <w:szCs w:val="32"/>
        </w:rPr>
        <w:t>完成预算0</w:t>
      </w:r>
      <w:r>
        <w:rPr>
          <w:rStyle w:val="22"/>
          <w:rFonts w:ascii="仿宋" w:eastAsia="仿宋"/>
          <w:b w:val="0"/>
          <w:bCs/>
          <w:sz w:val="32"/>
          <w:szCs w:val="32"/>
        </w:rPr>
        <w:t>%</w:t>
      </w:r>
      <w:r>
        <w:rPr>
          <w:rStyle w:val="22"/>
          <w:rFonts w:ascii="仿宋" w:eastAsia="仿宋" w:hint="eastAsia"/>
          <w:b w:val="0"/>
          <w:bCs/>
          <w:sz w:val="32"/>
          <w:szCs w:val="32"/>
        </w:rPr>
        <w:t>。</w:t>
      </w:r>
      <w:r>
        <w:rPr>
          <w:rFonts w:ascii="仿宋" w:eastAsia="仿宋" w:hint="eastAsia"/>
          <w:sz w:val="32"/>
          <w:szCs w:val="32"/>
        </w:rPr>
        <w:t>全年安排因公出国（境）团组0次，出国（境）0人。</w:t>
      </w:r>
      <w:r>
        <w:rPr>
          <w:rFonts w:ascii="仿宋" w:eastAsia="仿宋" w:hint="eastAsia"/>
          <w:color w:val="000000"/>
          <w:sz w:val="32"/>
          <w:szCs w:val="32"/>
        </w:rPr>
        <w:t>因公出国（境）支出决算比2020年持平。</w:t>
      </w:r>
    </w:p>
    <w:p>
      <w:pPr>
        <w:spacing w:line="600" w:lineRule="exact"/>
        <w:ind w:firstLine="640"/>
        <w:rPr>
          <w:rFonts w:ascii="仿宋" w:eastAsia="仿宋"/>
          <w:b/>
          <w:sz w:val="32"/>
          <w:szCs w:val="32"/>
        </w:rPr>
      </w:pPr>
      <w:r>
        <w:rPr>
          <w:rFonts w:ascii="仿宋" w:eastAsia="仿宋"/>
          <w:b/>
          <w:sz w:val="32"/>
          <w:szCs w:val="32"/>
        </w:rPr>
        <w:t>2.</w:t>
      </w:r>
      <w:r>
        <w:rPr>
          <w:rFonts w:ascii="仿宋" w:eastAsia="仿宋" w:hint="eastAsia"/>
          <w:b/>
          <w:sz w:val="32"/>
          <w:szCs w:val="32"/>
        </w:rPr>
        <w:t>公务用车购置及运行维护费支出</w:t>
      </w:r>
      <w:r>
        <w:rPr>
          <w:rFonts w:ascii="仿宋" w:eastAsia="仿宋" w:hint="eastAsia"/>
          <w:sz w:val="32"/>
          <w:szCs w:val="32"/>
        </w:rPr>
        <w:t>0.00万元,</w:t>
      </w:r>
      <w:r>
        <w:rPr>
          <w:rStyle w:val="22"/>
          <w:rFonts w:ascii="仿宋" w:eastAsia="仿宋" w:hint="eastAsia"/>
          <w:b w:val="0"/>
          <w:bCs/>
          <w:sz w:val="32"/>
          <w:szCs w:val="32"/>
        </w:rPr>
        <w:t>完成预算0</w:t>
      </w:r>
      <w:r>
        <w:rPr>
          <w:rStyle w:val="22"/>
          <w:rFonts w:ascii="仿宋" w:eastAsia="仿宋"/>
          <w:b w:val="0"/>
          <w:bCs/>
          <w:sz w:val="32"/>
          <w:szCs w:val="32"/>
        </w:rPr>
        <w:t>%</w:t>
      </w:r>
      <w:r>
        <w:rPr>
          <w:rStyle w:val="22"/>
          <w:rFonts w:ascii="仿宋" w:eastAsia="仿宋" w:hint="eastAsia"/>
          <w:b w:val="0"/>
          <w:bCs/>
          <w:sz w:val="32"/>
          <w:szCs w:val="32"/>
        </w:rPr>
        <w:t>。</w:t>
      </w:r>
      <w:r>
        <w:rPr>
          <w:rFonts w:ascii="仿宋" w:eastAsia="仿宋" w:hint="eastAsia"/>
          <w:color w:val="000000"/>
          <w:sz w:val="32"/>
          <w:szCs w:val="32"/>
        </w:rPr>
        <w:t>公务用车购置及运行维护费支出决算与</w:t>
      </w:r>
      <w:r>
        <w:rPr>
          <w:rFonts w:ascii="仿宋" w:eastAsia="仿宋"/>
          <w:color w:val="000000"/>
          <w:sz w:val="32"/>
          <w:szCs w:val="32"/>
        </w:rPr>
        <w:t>20</w:t>
      </w:r>
      <w:r>
        <w:rPr>
          <w:rFonts w:ascii="仿宋" w:eastAsia="仿宋" w:hint="eastAsia"/>
          <w:color w:val="000000"/>
          <w:sz w:val="32"/>
          <w:szCs w:val="32"/>
        </w:rPr>
        <w:t>20年持平。</w:t>
      </w:r>
    </w:p>
    <w:p>
      <w:pPr>
        <w:spacing w:line="600" w:lineRule="exact"/>
        <w:ind w:firstLineChars="200" w:firstLine="640"/>
        <w:rPr>
          <w:rFonts w:ascii="仿宋" w:eastAsia="仿宋"/>
          <w:b/>
          <w:sz w:val="32"/>
          <w:szCs w:val="32"/>
        </w:rPr>
      </w:pPr>
      <w:r>
        <w:rPr>
          <w:rFonts w:ascii="仿宋" w:eastAsia="仿宋" w:hint="eastAsia"/>
          <w:sz w:val="32"/>
          <w:szCs w:val="32"/>
        </w:rPr>
        <w:t>其中：</w:t>
      </w:r>
      <w:r>
        <w:rPr>
          <w:rFonts w:ascii="仿宋" w:eastAsia="仿宋" w:hint="eastAsia"/>
          <w:b/>
          <w:sz w:val="32"/>
          <w:szCs w:val="32"/>
        </w:rPr>
        <w:t>公务用车购置支出</w:t>
      </w:r>
      <w:r>
        <w:rPr>
          <w:rFonts w:ascii="仿宋" w:eastAsia="仿宋" w:hint="eastAsia"/>
          <w:sz w:val="32"/>
          <w:szCs w:val="32"/>
        </w:rPr>
        <w:t>0万元。全年按规定更新购置公务用车0辆，其中：轿车0辆、金额0万元，越野车0辆、金额0万元，载客汽车0辆、金额0万元0。截至</w:t>
      </w:r>
      <w:r>
        <w:rPr>
          <w:rFonts w:ascii="仿宋" w:eastAsia="仿宋"/>
          <w:sz w:val="32"/>
          <w:szCs w:val="32"/>
        </w:rPr>
        <w:t>20</w:t>
      </w:r>
      <w:r>
        <w:rPr>
          <w:rFonts w:ascii="仿宋" w:eastAsia="仿宋" w:hint="eastAsia"/>
          <w:sz w:val="32"/>
          <w:szCs w:val="32"/>
        </w:rPr>
        <w:t>21年</w:t>
      </w:r>
      <w:r>
        <w:rPr>
          <w:rFonts w:ascii="仿宋" w:eastAsia="仿宋"/>
          <w:sz w:val="32"/>
          <w:szCs w:val="32"/>
        </w:rPr>
        <w:t>12</w:t>
      </w:r>
      <w:r>
        <w:rPr>
          <w:rFonts w:ascii="仿宋" w:eastAsia="仿宋" w:hint="eastAsia"/>
          <w:sz w:val="32"/>
          <w:szCs w:val="32"/>
        </w:rPr>
        <w:t>月底，单位共有公务用车0辆，其中：轿车0辆、越野车0辆、载客汽车0辆。</w:t>
      </w:r>
    </w:p>
    <w:p>
      <w:pPr>
        <w:spacing w:line="600" w:lineRule="exact"/>
        <w:ind w:firstLine="640"/>
        <w:rPr>
          <w:rFonts w:ascii="仿宋" w:eastAsia="仿宋"/>
          <w:sz w:val="32"/>
          <w:szCs w:val="32"/>
        </w:rPr>
      </w:pPr>
      <w:r>
        <w:rPr>
          <w:rFonts w:ascii="仿宋" w:eastAsia="仿宋" w:hint="eastAsia"/>
          <w:b/>
          <w:sz w:val="32"/>
          <w:szCs w:val="32"/>
        </w:rPr>
        <w:t>公务用车运行维护费支出</w:t>
      </w:r>
      <w:r>
        <w:rPr>
          <w:rFonts w:ascii="仿宋" w:eastAsia="仿宋" w:hint="eastAsia"/>
          <w:sz w:val="32"/>
          <w:szCs w:val="32"/>
        </w:rPr>
        <w:t>0.00万元。</w:t>
      </w:r>
    </w:p>
    <w:p>
      <w:pPr>
        <w:spacing w:line="600" w:lineRule="exact"/>
        <w:ind w:firstLine="640"/>
        <w:rPr>
          <w:rFonts w:ascii="仿宋" w:eastAsia="仿宋"/>
          <w:sz w:val="32"/>
          <w:szCs w:val="32"/>
        </w:rPr>
      </w:pPr>
      <w:r>
        <w:rPr>
          <w:rFonts w:ascii="仿宋" w:eastAsia="仿宋"/>
          <w:b/>
          <w:sz w:val="32"/>
          <w:szCs w:val="32"/>
        </w:rPr>
        <w:t>3.</w:t>
      </w:r>
      <w:r>
        <w:rPr>
          <w:rFonts w:ascii="仿宋" w:eastAsia="仿宋" w:hint="eastAsia"/>
          <w:b/>
          <w:sz w:val="32"/>
          <w:szCs w:val="32"/>
        </w:rPr>
        <w:t>公务接待费支出</w:t>
      </w:r>
      <w:r>
        <w:rPr>
          <w:rFonts w:ascii="仿宋" w:eastAsia="仿宋" w:hint="eastAsia"/>
          <w:sz w:val="32"/>
          <w:szCs w:val="32"/>
        </w:rPr>
        <w:t>0万元，</w:t>
      </w:r>
      <w:r>
        <w:rPr>
          <w:rStyle w:val="22"/>
          <w:rFonts w:ascii="仿宋" w:eastAsia="仿宋" w:hint="eastAsia"/>
          <w:b w:val="0"/>
          <w:bCs/>
          <w:sz w:val="32"/>
          <w:szCs w:val="32"/>
        </w:rPr>
        <w:t>完成预算0</w:t>
      </w:r>
      <w:r>
        <w:rPr>
          <w:rStyle w:val="22"/>
          <w:rFonts w:ascii="仿宋" w:eastAsia="仿宋"/>
          <w:b w:val="0"/>
          <w:bCs/>
          <w:sz w:val="32"/>
          <w:szCs w:val="32"/>
        </w:rPr>
        <w:t>%</w:t>
      </w:r>
      <w:r>
        <w:rPr>
          <w:rStyle w:val="22"/>
          <w:rFonts w:ascii="仿宋" w:eastAsia="仿宋" w:hint="eastAsia"/>
          <w:b w:val="0"/>
          <w:bCs/>
          <w:sz w:val="32"/>
          <w:szCs w:val="32"/>
        </w:rPr>
        <w:t>。</w:t>
      </w:r>
      <w:r>
        <w:rPr>
          <w:rFonts w:ascii="仿宋" w:eastAsia="仿宋" w:hint="eastAsia"/>
          <w:color w:val="000000"/>
          <w:sz w:val="32"/>
          <w:szCs w:val="32"/>
        </w:rPr>
        <w:t>公务接待费支出决算与</w:t>
      </w:r>
      <w:r>
        <w:rPr>
          <w:rFonts w:ascii="仿宋" w:eastAsia="仿宋"/>
          <w:color w:val="000000"/>
          <w:sz w:val="32"/>
          <w:szCs w:val="32"/>
        </w:rPr>
        <w:t>20</w:t>
      </w:r>
      <w:r>
        <w:rPr>
          <w:rFonts w:ascii="仿宋" w:eastAsia="仿宋" w:hint="eastAsia"/>
          <w:color w:val="000000"/>
          <w:sz w:val="32"/>
          <w:szCs w:val="32"/>
        </w:rPr>
        <w:t>20年持平。主要原因是单位坚决贯彻执行中央八项规定和省、市“十项规定”以及《党政机关厉行节约反对浪费条例》等相关规定</w:t>
      </w:r>
      <w:r>
        <w:rPr>
          <w:rFonts w:ascii="仿宋" w:eastAsia="仿宋" w:hint="eastAsia"/>
          <w:sz w:val="32"/>
          <w:szCs w:val="32"/>
        </w:rPr>
        <w:t>。其中：</w:t>
      </w:r>
    </w:p>
    <w:p>
      <w:pPr>
        <w:spacing w:line="600" w:lineRule="exact"/>
        <w:ind w:firstLine="640"/>
        <w:rPr>
          <w:rFonts w:ascii="仿宋" w:eastAsia="仿宋"/>
          <w:sz w:val="32"/>
          <w:szCs w:val="32"/>
        </w:rPr>
      </w:pPr>
      <w:r>
        <w:rPr>
          <w:rFonts w:ascii="仿宋" w:eastAsia="仿宋" w:hint="eastAsia"/>
          <w:b/>
          <w:sz w:val="32"/>
          <w:szCs w:val="32"/>
        </w:rPr>
        <w:t>国内公务接待支出</w:t>
      </w:r>
      <w:r>
        <w:rPr>
          <w:rFonts w:ascii="仿宋" w:eastAsia="仿宋" w:hint="eastAsia"/>
          <w:sz w:val="32"/>
          <w:szCs w:val="32"/>
        </w:rPr>
        <w:t>0.00万元。国内公务接待0批次，0人次（不包括陪同人员），共计支出0.00万元。</w:t>
      </w:r>
    </w:p>
    <w:p>
      <w:pPr>
        <w:spacing w:line="600" w:lineRule="exact"/>
        <w:ind w:firstLineChars="200" w:firstLine="640"/>
        <w:rPr>
          <w:rFonts w:ascii="仿宋" w:eastAsia="仿宋"/>
          <w:sz w:val="32"/>
          <w:szCs w:val="32"/>
        </w:rPr>
      </w:pPr>
      <w:r>
        <w:rPr>
          <w:rFonts w:ascii="仿宋" w:eastAsia="仿宋" w:hint="eastAsia"/>
          <w:b/>
          <w:sz w:val="32"/>
          <w:szCs w:val="32"/>
        </w:rPr>
        <w:t>外事接待支出</w:t>
      </w:r>
      <w:r>
        <w:rPr>
          <w:rFonts w:ascii="仿宋" w:eastAsia="仿宋" w:hint="eastAsia"/>
          <w:sz w:val="32"/>
          <w:szCs w:val="32"/>
        </w:rPr>
        <w:t>0.00万元，外事接待0批次，0人，共计支出0.00万元。</w:t>
      </w:r>
      <w:bookmarkStart w:id="40" w:name="_Toc15377218"/>
      <w:bookmarkStart w:id="41" w:name="_Toc15396610"/>
    </w:p>
    <w:p>
      <w:pPr>
        <w:spacing w:line="600" w:lineRule="exact"/>
        <w:ind w:firstLine="640"/>
        <w:outlineLvl w:val="1"/>
        <w:rPr>
          <w:rStyle w:val="29"/>
          <w:rFonts w:ascii="黑体" w:eastAsia="黑体"/>
        </w:rPr>
      </w:pPr>
      <w:r>
        <w:rPr>
          <w:rFonts w:ascii="黑体" w:eastAsia="黑体" w:hint="eastAsia"/>
          <w:sz w:val="32"/>
          <w:szCs w:val="32"/>
        </w:rPr>
        <w:t>八、</w:t>
      </w:r>
      <w:r>
        <w:rPr>
          <w:rStyle w:val="29"/>
          <w:rFonts w:ascii="黑体" w:eastAsia="黑体" w:hint="eastAsia"/>
          <w:b w:val="0"/>
        </w:rPr>
        <w:t>政府性基金预算支出决算情况说明</w:t>
      </w:r>
      <w:bookmarkEnd w:id="40"/>
      <w:bookmarkEnd w:id="41"/>
    </w:p>
    <w:p>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21年政府性基金预算财政拨款支出0.00万元。</w:t>
      </w:r>
    </w:p>
    <w:p>
      <w:pPr>
        <w:pStyle w:val="15"/>
        <w:spacing w:beforeLines="0" w:before="0"/>
      </w:pPr>
    </w:p>
    <w:p>
      <w:pPr>
        <w:numPr>
          <w:ilvl w:val="0"/>
          <w:numId w:val="3"/>
        </w:numPr>
        <w:spacing w:line="600" w:lineRule="exact"/>
        <w:ind w:left="0" w:firstLine="640"/>
        <w:outlineLvl w:val="1"/>
        <w:rPr>
          <w:rStyle w:val="29"/>
          <w:rFonts w:ascii="黑体" w:eastAsia="黑体"/>
          <w:b w:val="0"/>
        </w:rPr>
      </w:pPr>
      <w:bookmarkStart w:id="42" w:name="_Toc15377219"/>
      <w:bookmarkStart w:id="43" w:name="_Toc15396611"/>
      <w:r>
        <w:rPr>
          <w:rStyle w:val="29"/>
          <w:rFonts w:ascii="黑体" w:eastAsia="黑体" w:hint="eastAsia"/>
          <w:b w:val="0"/>
        </w:rPr>
        <w:t>国有资本经营预算支出决算情况说明</w:t>
      </w:r>
      <w:bookmarkEnd w:id="42"/>
      <w:bookmarkEnd w:id="43"/>
    </w:p>
    <w:p>
      <w:pPr>
        <w:spacing w:line="600" w:lineRule="exact"/>
        <w:ind w:firstLine="640"/>
        <w:rPr>
          <w:rFonts w:ascii="仿宋" w:eastAsia="仿宋" w:cs="方正小标宋简体"/>
          <w:sz w:val="44"/>
          <w:szCs w:val="44"/>
        </w:rPr>
      </w:pPr>
      <w:r>
        <w:rPr>
          <w:rFonts w:ascii="仿宋" w:eastAsia="仿宋"/>
          <w:sz w:val="32"/>
          <w:szCs w:val="32"/>
        </w:rPr>
        <w:t>20</w:t>
      </w:r>
      <w:r>
        <w:rPr>
          <w:rFonts w:ascii="仿宋" w:eastAsia="仿宋" w:hint="eastAsia"/>
          <w:sz w:val="32"/>
          <w:szCs w:val="32"/>
        </w:rPr>
        <w:t>21年国有资本经营预算财政拨款支出0.00万元。</w:t>
      </w:r>
    </w:p>
    <w:p>
      <w:pPr>
        <w:numPr>
          <w:ilvl w:val="0"/>
          <w:numId w:val="3"/>
        </w:numPr>
        <w:spacing w:line="600" w:lineRule="exact"/>
        <w:ind w:left="0" w:firstLine="640"/>
        <w:outlineLvl w:val="1"/>
        <w:rPr>
          <w:rStyle w:val="29"/>
          <w:rFonts w:ascii="黑体" w:eastAsia="黑体"/>
          <w:b w:val="0"/>
        </w:rPr>
      </w:pPr>
      <w:bookmarkStart w:id="44" w:name="_Toc15396612"/>
      <w:bookmarkStart w:id="45" w:name="_Toc15377221"/>
      <w:r>
        <w:rPr>
          <w:rStyle w:val="29"/>
          <w:rFonts w:ascii="黑体" w:eastAsia="黑体" w:hint="eastAsia"/>
          <w:b w:val="0"/>
        </w:rPr>
        <w:t>其他重要事项的情况说明</w:t>
      </w:r>
      <w:bookmarkEnd w:id="44"/>
      <w:bookmarkEnd w:id="45"/>
    </w:p>
    <w:p>
      <w:pPr>
        <w:spacing w:line="600" w:lineRule="exact"/>
        <w:ind w:firstLineChars="200" w:firstLine="640"/>
        <w:outlineLvl w:val="2"/>
        <w:rPr>
          <w:rFonts w:ascii="仿宋" w:eastAsia="仿宋"/>
          <w:sz w:val="32"/>
          <w:szCs w:val="32"/>
        </w:rPr>
      </w:pPr>
      <w:bookmarkStart w:id="46" w:name="_Toc15377222"/>
      <w:r>
        <w:rPr>
          <w:rFonts w:ascii="仿宋" w:eastAsia="仿宋" w:hint="eastAsia"/>
          <w:b/>
          <w:sz w:val="32"/>
          <w:szCs w:val="32"/>
        </w:rPr>
        <w:t>（一）机关运行经费支出情况</w:t>
      </w:r>
      <w:bookmarkEnd w:id="46"/>
    </w:p>
    <w:p>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Pr>
          <w:rFonts w:ascii="仿宋" w:eastAsia="仿宋" w:hint="eastAsia"/>
          <w:color w:val="000000"/>
          <w:sz w:val="32"/>
          <w:szCs w:val="32"/>
        </w:rPr>
        <w:t>攀枝花市社会体育指导中心机关运行经费支出0.00万元，与</w:t>
      </w:r>
      <w:r>
        <w:rPr>
          <w:rFonts w:ascii="仿宋" w:eastAsia="仿宋"/>
          <w:color w:val="000000"/>
          <w:sz w:val="32"/>
          <w:szCs w:val="32"/>
        </w:rPr>
        <w:t>20</w:t>
      </w:r>
      <w:r>
        <w:rPr>
          <w:rFonts w:ascii="仿宋" w:eastAsia="仿宋" w:hint="eastAsia"/>
          <w:color w:val="000000"/>
          <w:sz w:val="32"/>
          <w:szCs w:val="32"/>
        </w:rPr>
        <w:t>20年决算数持平。</w:t>
      </w:r>
    </w:p>
    <w:p>
      <w:pPr>
        <w:autoSpaceDE w:val="0"/>
        <w:autoSpaceDN w:val="0"/>
        <w:adjustRightInd w:val="0"/>
        <w:spacing w:line="600" w:lineRule="exact"/>
        <w:ind w:firstLineChars="200" w:firstLine="640"/>
        <w:jc w:val="left"/>
        <w:outlineLvl w:val="2"/>
        <w:rPr>
          <w:rFonts w:ascii="仿宋" w:eastAsia="仿宋"/>
          <w:b/>
          <w:sz w:val="32"/>
          <w:szCs w:val="32"/>
        </w:rPr>
      </w:pPr>
      <w:bookmarkStart w:id="47" w:name="_Toc15377223"/>
      <w:r>
        <w:rPr>
          <w:rFonts w:ascii="仿宋" w:eastAsia="仿宋" w:hint="eastAsia"/>
          <w:b/>
          <w:sz w:val="32"/>
          <w:szCs w:val="32"/>
        </w:rPr>
        <w:t>（二）政府采购支出情况</w:t>
      </w:r>
      <w:bookmarkEnd w:id="47"/>
    </w:p>
    <w:p>
      <w:pPr>
        <w:spacing w:line="600" w:lineRule="exact"/>
        <w:ind w:firstLineChars="200" w:firstLine="640"/>
        <w:rPr>
          <w:rFonts w:ascii="仿宋" w:eastAsia="仿宋"/>
          <w:b/>
          <w:sz w:val="32"/>
          <w:szCs w:val="32"/>
        </w:rPr>
      </w:pPr>
      <w:r>
        <w:rPr>
          <w:rFonts w:ascii="仿宋" w:eastAsia="仿宋"/>
          <w:sz w:val="32"/>
          <w:szCs w:val="32"/>
        </w:rPr>
        <w:t>20</w:t>
      </w:r>
      <w:r>
        <w:rPr>
          <w:rFonts w:ascii="仿宋" w:eastAsia="仿宋" w:hint="eastAsia"/>
          <w:sz w:val="32"/>
          <w:szCs w:val="32"/>
        </w:rPr>
        <w:t>21年，</w:t>
      </w:r>
      <w:r>
        <w:rPr>
          <w:rFonts w:ascii="仿宋" w:eastAsia="仿宋" w:hint="eastAsia"/>
          <w:color w:val="000000"/>
          <w:sz w:val="32"/>
          <w:szCs w:val="32"/>
        </w:rPr>
        <w:t>攀枝花市社会体育指导中心政府采购支出总额0.00万元</w:t>
      </w:r>
      <w:r>
        <w:rPr>
          <w:rFonts w:ascii="仿宋" w:eastAsia="仿宋" w:hint="eastAsia"/>
          <w:sz w:val="32"/>
          <w:szCs w:val="32"/>
        </w:rPr>
        <w:t>，其中：政府采购货物支出0.00万元、政府采购工程支出0.00万元、政府采购服务支出0.00万元。主要用于</w:t>
      </w:r>
      <w:r>
        <w:rPr>
          <w:rFonts w:ascii="仿宋" w:eastAsia="仿宋" w:hint="eastAsia"/>
          <w:color w:val="000000"/>
          <w:sz w:val="32"/>
          <w:szCs w:val="32"/>
        </w:rPr>
        <w:t>单位运动队训练用器材</w:t>
      </w:r>
      <w:r>
        <w:rPr>
          <w:rFonts w:ascii="仿宋" w:eastAsia="仿宋" w:hint="eastAsia"/>
          <w:sz w:val="32"/>
          <w:szCs w:val="32"/>
        </w:rPr>
        <w:t>。授予中小企业合同金额0.00万元，占政府采购支出总额的0</w:t>
      </w:r>
      <w:r>
        <w:rPr>
          <w:rFonts w:ascii="仿宋" w:eastAsia="仿宋"/>
          <w:sz w:val="32"/>
          <w:szCs w:val="32"/>
        </w:rPr>
        <w:t>%</w:t>
      </w:r>
      <w:r>
        <w:rPr>
          <w:rFonts w:ascii="仿宋" w:eastAsia="仿宋" w:hint="eastAsia"/>
          <w:sz w:val="32"/>
          <w:szCs w:val="32"/>
        </w:rPr>
        <w:t>，其中：授予小微企业合同金额0.00万元，占政府采购支出总额的0</w:t>
      </w:r>
      <w:r>
        <w:rPr>
          <w:rFonts w:ascii="仿宋" w:eastAsia="仿宋"/>
          <w:sz w:val="32"/>
          <w:szCs w:val="32"/>
        </w:rPr>
        <w:t>%</w:t>
      </w:r>
      <w:r>
        <w:rPr>
          <w:rFonts w:ascii="仿宋" w:eastAsia="仿宋" w:hint="eastAsia"/>
          <w:sz w:val="32"/>
          <w:szCs w:val="32"/>
        </w:rPr>
        <w:t>。</w:t>
      </w:r>
    </w:p>
    <w:p>
      <w:pPr>
        <w:autoSpaceDE w:val="0"/>
        <w:autoSpaceDN w:val="0"/>
        <w:adjustRightInd w:val="0"/>
        <w:spacing w:line="600" w:lineRule="exact"/>
        <w:ind w:firstLineChars="200" w:firstLine="640"/>
        <w:jc w:val="left"/>
        <w:outlineLvl w:val="2"/>
        <w:rPr>
          <w:rFonts w:ascii="仿宋" w:eastAsia="仿宋"/>
          <w:b/>
          <w:sz w:val="32"/>
          <w:szCs w:val="32"/>
        </w:rPr>
      </w:pPr>
      <w:bookmarkStart w:id="48" w:name="_Toc15377224"/>
      <w:r>
        <w:rPr>
          <w:rFonts w:ascii="仿宋" w:eastAsia="仿宋" w:hint="eastAsia"/>
          <w:b/>
          <w:sz w:val="32"/>
          <w:szCs w:val="32"/>
        </w:rPr>
        <w:t>（三）国有资产占有使用情况</w:t>
      </w:r>
      <w:bookmarkEnd w:id="48"/>
    </w:p>
    <w:p>
      <w:pPr>
        <w:autoSpaceDE w:val="0"/>
        <w:autoSpaceDN w:val="0"/>
        <w:adjustRightInd w:val="0"/>
        <w:spacing w:line="600" w:lineRule="exact"/>
        <w:ind w:firstLineChars="200" w:firstLine="640"/>
        <w:jc w:val="left"/>
        <w:rPr>
          <w:rFonts w:ascii="仿宋" w:eastAsia="仿宋"/>
          <w:sz w:val="32"/>
          <w:szCs w:val="32"/>
        </w:rPr>
      </w:pPr>
      <w:r>
        <w:rPr>
          <w:rFonts w:ascii="仿宋" w:eastAsia="仿宋" w:hint="eastAsia"/>
          <w:sz w:val="32"/>
          <w:szCs w:val="32"/>
        </w:rPr>
        <w:t>截至</w:t>
      </w:r>
      <w:r>
        <w:rPr>
          <w:rFonts w:ascii="仿宋" w:eastAsia="仿宋"/>
          <w:sz w:val="32"/>
          <w:szCs w:val="32"/>
        </w:rPr>
        <w:t>20</w:t>
      </w:r>
      <w:r>
        <w:rPr>
          <w:rFonts w:ascii="仿宋" w:eastAsia="仿宋" w:hint="eastAsia"/>
          <w:sz w:val="32"/>
          <w:szCs w:val="32"/>
        </w:rPr>
        <w:t>21年</w:t>
      </w:r>
      <w:r>
        <w:rPr>
          <w:rFonts w:ascii="仿宋" w:eastAsia="仿宋"/>
          <w:sz w:val="32"/>
          <w:szCs w:val="32"/>
        </w:rPr>
        <w:t>12</w:t>
      </w:r>
      <w:r>
        <w:rPr>
          <w:rFonts w:ascii="仿宋" w:eastAsia="仿宋" w:hint="eastAsia"/>
          <w:sz w:val="32"/>
          <w:szCs w:val="32"/>
        </w:rPr>
        <w:t>月</w:t>
      </w:r>
      <w:r>
        <w:rPr>
          <w:rFonts w:ascii="仿宋" w:eastAsia="仿宋"/>
          <w:sz w:val="32"/>
          <w:szCs w:val="32"/>
        </w:rPr>
        <w:t>31</w:t>
      </w:r>
      <w:r>
        <w:rPr>
          <w:rFonts w:ascii="仿宋" w:eastAsia="仿宋" w:hint="eastAsia"/>
          <w:sz w:val="32"/>
          <w:szCs w:val="32"/>
        </w:rPr>
        <w:t>日，</w:t>
      </w:r>
      <w:r>
        <w:rPr>
          <w:rFonts w:ascii="仿宋" w:eastAsia="仿宋" w:hint="eastAsia"/>
          <w:color w:val="000000"/>
          <w:sz w:val="32"/>
          <w:szCs w:val="32"/>
        </w:rPr>
        <w:t>攀枝花市社会体育指导中心</w:t>
      </w:r>
      <w:r>
        <w:rPr>
          <w:rFonts w:ascii="仿宋" w:eastAsia="仿宋" w:hint="eastAsia"/>
          <w:sz w:val="32"/>
          <w:szCs w:val="32"/>
        </w:rPr>
        <w:t>共有车辆0辆，其中：主要领导干部用车0辆、机要通信用车0辆、应急保障用车0辆、其他用车0辆，单价</w:t>
      </w:r>
      <w:r>
        <w:rPr>
          <w:rFonts w:ascii="仿宋" w:eastAsia="仿宋"/>
          <w:sz w:val="32"/>
          <w:szCs w:val="32"/>
        </w:rPr>
        <w:t>50</w:t>
      </w:r>
      <w:r>
        <w:rPr>
          <w:rFonts w:ascii="仿宋" w:eastAsia="仿宋" w:hint="eastAsia"/>
          <w:sz w:val="32"/>
          <w:szCs w:val="32"/>
        </w:rPr>
        <w:t>万元以上通用设备0台（套），单价</w:t>
      </w:r>
      <w:r>
        <w:rPr>
          <w:rFonts w:ascii="仿宋" w:eastAsia="仿宋"/>
          <w:sz w:val="32"/>
          <w:szCs w:val="32"/>
        </w:rPr>
        <w:t>100</w:t>
      </w:r>
      <w:r>
        <w:rPr>
          <w:rFonts w:ascii="仿宋" w:eastAsia="仿宋" w:hint="eastAsia"/>
          <w:sz w:val="32"/>
          <w:szCs w:val="32"/>
        </w:rPr>
        <w:t>万元以上专用设备0台（套）。</w:t>
      </w:r>
    </w:p>
    <w:p>
      <w:pPr>
        <w:autoSpaceDE w:val="0"/>
        <w:autoSpaceDN w:val="0"/>
        <w:adjustRightInd w:val="0"/>
        <w:spacing w:line="600" w:lineRule="exact"/>
        <w:ind w:firstLineChars="200" w:firstLine="640"/>
        <w:jc w:val="left"/>
        <w:outlineLvl w:val="2"/>
        <w:rPr>
          <w:rFonts w:ascii="仿宋" w:eastAsia="仿宋"/>
          <w:b/>
          <w:sz w:val="32"/>
          <w:szCs w:val="32"/>
        </w:rPr>
      </w:pPr>
      <w:r>
        <w:rPr>
          <w:rFonts w:ascii="仿宋" w:eastAsia="仿宋" w:hint="eastAsia"/>
          <w:b/>
          <w:sz w:val="32"/>
          <w:szCs w:val="32"/>
        </w:rPr>
        <w:t>（四）预算绩效管理情况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根据预算绩效管理要求，本单位在2021年度预算编制阶段，组织对</w:t>
      </w:r>
      <w:r>
        <w:rPr>
          <w:rFonts w:ascii="仿宋" w:eastAsia="仿宋" w:hint="eastAsia"/>
          <w:color w:val="000000"/>
          <w:sz w:val="32"/>
          <w:szCs w:val="32"/>
        </w:rPr>
        <w:t>“群众体育活动”、“监控维护”项目</w:t>
      </w:r>
      <w:r>
        <w:rPr>
          <w:rFonts w:ascii="仿宋" w:eastAsia="仿宋" w:cs="仿宋_GB2312" w:hint="eastAsia"/>
          <w:sz w:val="32"/>
          <w:szCs w:val="32"/>
        </w:rPr>
        <w:t>开展了预算事前绩效评估，对2个项目编制了绩效目标，预算执行过程中，选取2个项目开展绩效监控，年终执行完毕后，对2个项目开展了绩效自评，2021年特定目标类部门预算项目绩效目标自评表见附件（第四部分）。</w:t>
      </w:r>
    </w:p>
    <w:p>
      <w:pPr>
        <w:numPr>
          <w:ilvl w:val="0"/>
          <w:numId w:val="4"/>
        </w:numPr>
        <w:spacing w:line="600" w:lineRule="exact"/>
        <w:ind w:left="0" w:firstLineChars="150" w:firstLine="660"/>
        <w:jc w:val="center"/>
        <w:outlineLvl w:val="0"/>
        <w:rPr>
          <w:rStyle w:val="1Char"/>
          <w:rFonts w:ascii="黑体" w:eastAsia="黑体"/>
          <w:b w:val="0"/>
        </w:rPr>
      </w:pPr>
      <w:bookmarkStart w:id="49" w:name="_Toc15377225"/>
      <w:bookmarkStart w:id="50" w:name="_Toc15396613"/>
      <w:r>
        <w:rPr>
          <w:rFonts w:ascii="黑体" w:eastAsia="黑体" w:hint="eastAsia"/>
          <w:sz w:val="44"/>
          <w:szCs w:val="44"/>
        </w:rPr>
        <w:t>名</w:t>
      </w:r>
      <w:r>
        <w:rPr>
          <w:rStyle w:val="1Char"/>
          <w:rFonts w:ascii="黑体" w:eastAsia="黑体" w:hint="eastAsia"/>
          <w:b w:val="0"/>
        </w:rPr>
        <w:t>词解释</w:t>
      </w:r>
      <w:bookmarkEnd w:id="49"/>
      <w:bookmarkEnd w:id="50"/>
    </w:p>
    <w:p>
      <w:pPr>
        <w:spacing w:line="600" w:lineRule="exact"/>
        <w:jc w:val="left"/>
        <w:rPr>
          <w:rFonts w:ascii="宋体"/>
          <w:b/>
          <w:sz w:val="44"/>
          <w:szCs w:val="44"/>
        </w:rPr>
      </w:pPr>
    </w:p>
    <w:p>
      <w:pPr>
        <w:widowControl/>
        <w:spacing w:line="560" w:lineRule="exact"/>
        <w:ind w:firstLine="660"/>
        <w:rPr>
          <w:rFonts w:ascii="仿宋" w:eastAsia="仿宋"/>
          <w:sz w:val="32"/>
          <w:szCs w:val="32"/>
        </w:rPr>
      </w:pPr>
      <w:r>
        <w:rPr>
          <w:rFonts w:ascii="仿宋" w:eastAsia="仿宋" w:cs="仿宋_GB2312"/>
          <w:sz w:val="32"/>
          <w:szCs w:val="32"/>
        </w:rPr>
        <w:t>1.</w:t>
      </w:r>
      <w:r>
        <w:rPr>
          <w:rFonts w:ascii="仿宋" w:eastAsia="仿宋" w:cs="仿宋_GB2312" w:hint="eastAsia"/>
          <w:sz w:val="32"/>
          <w:szCs w:val="32"/>
        </w:rPr>
        <w:t>财政拨款收入：指单位从同级财政部门取得的财政预算资金。</w:t>
      </w:r>
    </w:p>
    <w:p>
      <w:pPr>
        <w:widowControl/>
        <w:spacing w:line="560" w:lineRule="exact"/>
        <w:ind w:firstLine="660"/>
        <w:rPr>
          <w:rFonts w:ascii="仿宋" w:eastAsia="仿宋" w:cs="仿宋_GB2312"/>
          <w:sz w:val="32"/>
          <w:szCs w:val="32"/>
        </w:rPr>
      </w:pPr>
      <w:r>
        <w:rPr>
          <w:rFonts w:ascii="仿宋" w:eastAsia="仿宋" w:cs="仿宋_GB2312"/>
          <w:sz w:val="32"/>
          <w:szCs w:val="32"/>
        </w:rPr>
        <w:t>2.</w:t>
      </w:r>
      <w:r>
        <w:rPr>
          <w:rFonts w:ascii="仿宋" w:eastAsia="仿宋" w:cs="仿宋_GB2312" w:hint="eastAsia"/>
          <w:sz w:val="32"/>
          <w:szCs w:val="32"/>
        </w:rPr>
        <w:t>其他收入：指单位取得的除上述收入以外的各项收入。主要是利息收入、除财政外其他相关单位拨款等。</w:t>
      </w:r>
    </w:p>
    <w:p>
      <w:pPr>
        <w:widowControl/>
        <w:spacing w:line="560" w:lineRule="exact"/>
        <w:ind w:firstLine="660"/>
        <w:rPr>
          <w:rFonts w:ascii="仿宋" w:eastAsia="仿宋"/>
          <w:sz w:val="32"/>
          <w:szCs w:val="32"/>
        </w:rPr>
      </w:pPr>
      <w:r>
        <w:rPr>
          <w:rFonts w:ascii="仿宋" w:eastAsia="仿宋" w:cs="仿宋_GB2312"/>
          <w:sz w:val="32"/>
          <w:szCs w:val="32"/>
        </w:rPr>
        <w:t>3.</w:t>
      </w:r>
      <w:r>
        <w:rPr>
          <w:rFonts w:ascii="仿宋" w:eastAsia="仿宋" w:cs="仿宋_GB2312" w:hint="eastAsia"/>
          <w:sz w:val="32"/>
          <w:szCs w:val="32"/>
        </w:rPr>
        <w:t>年初结转和结余：指以前年度尚未完成、结转到本年按有关规定继续使用的资金。</w:t>
      </w:r>
    </w:p>
    <w:p>
      <w:pPr>
        <w:widowControl/>
        <w:spacing w:line="560" w:lineRule="exact"/>
        <w:ind w:firstLine="660"/>
        <w:rPr>
          <w:rFonts w:ascii="仿宋" w:eastAsia="仿宋"/>
          <w:sz w:val="32"/>
          <w:szCs w:val="32"/>
        </w:rPr>
      </w:pPr>
      <w:r>
        <w:rPr>
          <w:rFonts w:ascii="仿宋" w:eastAsia="仿宋" w:cs="仿宋_GB2312"/>
          <w:sz w:val="32"/>
          <w:szCs w:val="32"/>
        </w:rPr>
        <w:t>4.</w:t>
      </w:r>
      <w:r>
        <w:rPr>
          <w:rFonts w:ascii="仿宋" w:eastAsia="仿宋" w:cs="仿宋_GB2312" w:hint="eastAsia"/>
          <w:sz w:val="32"/>
          <w:szCs w:val="32"/>
        </w:rPr>
        <w:t>年末结转和结余：指单位按有关规定结转到下年或以后年度继续使用的资金。</w:t>
      </w:r>
    </w:p>
    <w:p>
      <w:pPr>
        <w:widowControl/>
        <w:spacing w:line="560" w:lineRule="exact"/>
        <w:ind w:firstLine="660"/>
        <w:rPr>
          <w:rFonts w:ascii="仿宋" w:eastAsia="仿宋"/>
          <w:sz w:val="32"/>
          <w:szCs w:val="32"/>
        </w:rPr>
      </w:pPr>
      <w:r>
        <w:rPr>
          <w:rFonts w:ascii="仿宋" w:eastAsia="仿宋" w:cs="仿宋_GB2312"/>
          <w:sz w:val="32"/>
          <w:szCs w:val="32"/>
        </w:rPr>
        <w:t>5.</w:t>
      </w:r>
      <w:r>
        <w:rPr>
          <w:rFonts w:ascii="仿宋" w:eastAsia="仿宋" w:cs="仿宋_GB2312" w:hint="eastAsia"/>
          <w:sz w:val="32"/>
          <w:szCs w:val="32"/>
        </w:rPr>
        <w:t>一般公共服务（类）发展与改革事务（款）战略规划与实施（项）：指反应拟定并组织实施国民经济和社会发展战略、中长期规划和年度计划，实施宏观管理与调控等方面的支出。一般公共服务（类）组织事务（款）其他组织事务支出（项）：指其他用于中国共产党组织部门的事业支出。</w:t>
      </w:r>
    </w:p>
    <w:p>
      <w:pPr>
        <w:widowControl/>
        <w:spacing w:line="560" w:lineRule="exact"/>
        <w:ind w:firstLine="660"/>
        <w:rPr>
          <w:rFonts w:ascii="仿宋" w:eastAsia="仿宋"/>
          <w:sz w:val="32"/>
          <w:szCs w:val="32"/>
        </w:rPr>
      </w:pPr>
      <w:r>
        <w:rPr>
          <w:rFonts w:ascii="仿宋" w:eastAsia="仿宋" w:cs="仿宋_GB2312"/>
          <w:sz w:val="32"/>
          <w:szCs w:val="32"/>
        </w:rPr>
        <w:t>6.</w:t>
      </w:r>
      <w:r>
        <w:rPr>
          <w:rFonts w:ascii="仿宋" w:eastAsia="仿宋" w:cs="仿宋_GB2312" w:hint="eastAsia"/>
          <w:sz w:val="32"/>
          <w:szCs w:val="32"/>
        </w:rPr>
        <w:t>教育（类）教育管理事务（款）行政运行（项）：指反映行政单位（包括实行公务员管理的事业单位）教育方面的基本支出。教育（类）教育管理事务（款）一般行政管理事务（项）：指反映行政单位（包括实行公务员管理的事业单位）未单独设置项级科目的其他项目支出。教育（类）教育管理事务（款）其他教育管理事务支出（项）：指其他用于教育管理事务方面的支出。教育（类）普通教育（款）学前教育（项）：指各部门举办的学前教育支出。教育（类）普通教育（款）初中教育（项）指</w:t>
      </w:r>
      <w:r>
        <w:rPr>
          <w:rFonts w:ascii="仿宋" w:eastAsia="仿宋" w:cs="仿宋_GB2312"/>
          <w:sz w:val="32"/>
          <w:szCs w:val="32"/>
        </w:rPr>
        <w:t xml:space="preserve">: </w:t>
      </w:r>
      <w:r>
        <w:rPr>
          <w:rFonts w:ascii="仿宋" w:eastAsia="仿宋" w:cs="仿宋_GB2312" w:hint="eastAsia"/>
          <w:sz w:val="32"/>
          <w:szCs w:val="32"/>
        </w:rPr>
        <w:t>教育类普通教育款初中教育支出项。教育（类）普通教育（款）高中教育（项）：反映各部门举办的高级中学教育支出。政府各部门对社会中介组织等举办的高级中学的资助，如捐赠、补贴等，也在本科目中反映。教育（类）普通教育（款）其他普通教育支出（项）：其他用于普通教育方面的支出。教育支出（类）职业教育（款）中专教育（项）：反映各部门中等专业学校的支出。教育支出（类）职业教育（款）其他职业教育支出（项）：指其他用于职业教育方面的支出。教育支出（类）广播电视教育（款）广播电视学校（项）：反映各部门举办广播电视学校的支出。教育（类）特殊教育（款）特殊学校教育（项）：反映举办盲童学校、聋哑学校、智力落后儿童学校、其他生理缺陷儿童学校的支出。教育（类）特殊教育（款）其他特殊教育支出（项）：反映除举办盲童学校、聋哑学校、智力落后儿童学校、其他生理缺陷儿童学校及工读学校外其他用于特殊教育方面的支出。教育（类）教育附加安排的支出（款）其他教育附加安排的支出（项）</w:t>
      </w:r>
      <w:r>
        <w:rPr>
          <w:rFonts w:ascii="仿宋" w:eastAsia="仿宋" w:cs="仿宋_GB2312"/>
          <w:sz w:val="32"/>
          <w:szCs w:val="32"/>
        </w:rPr>
        <w:t>:</w:t>
      </w:r>
      <w:r>
        <w:rPr>
          <w:rFonts w:ascii="仿宋" w:eastAsia="仿宋" w:cs="仿宋_GB2312" w:hint="eastAsia"/>
          <w:sz w:val="32"/>
          <w:szCs w:val="32"/>
        </w:rPr>
        <w:t>反映除农村中小学校舍建设、农村中小学教学设施、城市中小学校舍建设、城市中小学教学设施、中等职业学校教学设施以外的教育费附加支出。教育（类）其他教育支出（款）其他教育支出（项）：其他用于教育方面的支出。</w:t>
      </w:r>
    </w:p>
    <w:p>
      <w:pPr>
        <w:widowControl/>
        <w:spacing w:line="560" w:lineRule="exact"/>
        <w:ind w:firstLine="660"/>
        <w:rPr>
          <w:rFonts w:ascii="仿宋" w:eastAsia="仿宋"/>
          <w:sz w:val="32"/>
          <w:szCs w:val="32"/>
        </w:rPr>
      </w:pPr>
      <w:r>
        <w:rPr>
          <w:rFonts w:ascii="仿宋" w:eastAsia="仿宋" w:cs="仿宋_GB2312"/>
          <w:sz w:val="32"/>
          <w:szCs w:val="32"/>
        </w:rPr>
        <w:t>7.</w:t>
      </w:r>
      <w:r>
        <w:rPr>
          <w:rFonts w:ascii="仿宋" w:eastAsia="仿宋" w:cs="仿宋_GB2312" w:hint="eastAsia"/>
          <w:sz w:val="32"/>
          <w:szCs w:val="32"/>
        </w:rPr>
        <w:t>文化体育与传媒（类）体育（款）行政运行（项）：指反映行政单位（包括实行公务员管理的事业单位）体育方面的基本支出。文化体育与传媒（类）体育（款）一般行政管理事务（项）：指反映行政单位（包括实行公务员管理的事业单位）未单独设置项级科目的其他项目支出。文化体育与传媒（类）体育（款）体育竞赛（项）：反映综合性运动会及单项体育比赛支出。文化体育与传媒（类）体育（款）体育训练（项）：反映各级体育运动队训练补助及器材购置等方面的支出。文化体育与传媒（类）体育（款）体育场馆（项）：指反映体育场馆建设及维护等方面的支出。文化体育与传媒（类）体育（款）群众体育（项）：反映业余体校和全民健身等群众体育活动方面的支出。文化体育与传媒（类）体育（款）其他体育支出（项）：指反映除上述项目以外的其他体育方面的支出。文化体育与传媒（类）其他文化体育与传媒支出（款）其他文化体育与传媒支出（项）：指反映除上述项目以外的其他文化体育与传媒方面的支出。</w:t>
      </w:r>
    </w:p>
    <w:p>
      <w:pPr>
        <w:widowControl/>
        <w:spacing w:line="560" w:lineRule="exact"/>
        <w:ind w:firstLine="660"/>
        <w:rPr>
          <w:rFonts w:ascii="仿宋" w:eastAsia="仿宋"/>
          <w:sz w:val="32"/>
          <w:szCs w:val="32"/>
        </w:rPr>
      </w:pPr>
      <w:r>
        <w:rPr>
          <w:rFonts w:ascii="仿宋" w:eastAsia="仿宋" w:cs="仿宋_GB2312"/>
          <w:sz w:val="32"/>
          <w:szCs w:val="32"/>
        </w:rPr>
        <w:t>8.</w:t>
      </w:r>
      <w:r>
        <w:rPr>
          <w:rFonts w:ascii="仿宋" w:eastAsia="仿宋" w:cs="仿宋_GB2312" w:hint="eastAsia"/>
          <w:sz w:val="32"/>
          <w:szCs w:val="32"/>
        </w:rPr>
        <w:t>社会保障和就业（类）人力资源和社会保障管理事务（款）其他人力资源和社会保障管理事务支出（项）</w:t>
      </w:r>
      <w:r>
        <w:rPr>
          <w:rFonts w:ascii="仿宋" w:eastAsia="仿宋" w:cs="仿宋_GB2312"/>
          <w:sz w:val="32"/>
          <w:szCs w:val="32"/>
        </w:rPr>
        <w:t>:</w:t>
      </w:r>
      <w:r>
        <w:rPr>
          <w:rFonts w:ascii="仿宋" w:eastAsia="仿宋" w:cs="仿宋_GB2312" w:hint="eastAsia"/>
          <w:sz w:val="32"/>
          <w:szCs w:val="32"/>
        </w:rPr>
        <w:t>其他用于人力资源和社会保障管理事务方面的支出。社会保障和就业（类）行政事业单位离退休（款）未归口管理的行政事业单位离退休（项）</w:t>
      </w:r>
      <w:r>
        <w:rPr>
          <w:rFonts w:ascii="仿宋" w:eastAsia="仿宋" w:cs="仿宋_GB2312"/>
          <w:sz w:val="32"/>
          <w:szCs w:val="32"/>
        </w:rPr>
        <w:t>:</w:t>
      </w:r>
      <w:r>
        <w:rPr>
          <w:rFonts w:ascii="仿宋" w:eastAsia="仿宋" w:cs="仿宋_GB2312" w:hint="eastAsia"/>
          <w:sz w:val="32"/>
          <w:szCs w:val="32"/>
        </w:rPr>
        <w:t>反映未实行归口管理的行政单位（包括实行公务员管理的事业单位）开支的离退休支出。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社会保障和就业（类）社会福利（款）儿童福利（项）：反映对儿童提供福利服务方面的支出。社会保障和就业（类）残疾人事业（款）残疾人就业和扶贫（项）：反映残疾人联合会用于残疾人就业和扶贫等方面的工作。</w:t>
      </w:r>
    </w:p>
    <w:p>
      <w:pPr>
        <w:widowControl/>
        <w:spacing w:line="560" w:lineRule="exact"/>
        <w:ind w:firstLine="660"/>
        <w:rPr>
          <w:rFonts w:ascii="仿宋" w:eastAsia="仿宋"/>
          <w:sz w:val="32"/>
          <w:szCs w:val="32"/>
        </w:rPr>
      </w:pPr>
      <w:r>
        <w:rPr>
          <w:rFonts w:ascii="仿宋" w:eastAsia="仿宋" w:cs="仿宋_GB2312"/>
          <w:sz w:val="32"/>
          <w:szCs w:val="32"/>
        </w:rPr>
        <w:t>9.</w:t>
      </w:r>
      <w:r>
        <w:rPr>
          <w:rFonts w:ascii="仿宋" w:eastAsia="仿宋" w:cs="仿宋_GB2312" w:hint="eastAsia"/>
          <w:sz w:val="32"/>
          <w:szCs w:val="32"/>
        </w:rPr>
        <w:t>医疗卫生与计划生育支出（类）公共卫生（款）重大公共卫生专项（项）：反映重大疾病预防控制等重大公共卫生服务项目支出。医疗卫生与计划生育支出（类）医疗保障（款）其他医疗保障支出（项）：其他用于医疗保障方面的支出。</w:t>
      </w:r>
    </w:p>
    <w:p>
      <w:pPr>
        <w:widowControl/>
        <w:spacing w:line="560" w:lineRule="exact"/>
        <w:ind w:firstLine="660"/>
        <w:rPr>
          <w:rFonts w:ascii="仿宋" w:eastAsia="仿宋"/>
          <w:sz w:val="32"/>
          <w:szCs w:val="32"/>
        </w:rPr>
      </w:pPr>
      <w:r>
        <w:rPr>
          <w:rFonts w:ascii="仿宋" w:eastAsia="仿宋" w:cs="仿宋_GB2312"/>
          <w:sz w:val="32"/>
          <w:szCs w:val="32"/>
        </w:rPr>
        <w:t>10.</w:t>
      </w:r>
      <w:r>
        <w:rPr>
          <w:rFonts w:ascii="仿宋" w:eastAsia="仿宋" w:cs="仿宋_GB2312" w:hint="eastAsia"/>
          <w:sz w:val="32"/>
          <w:szCs w:val="32"/>
        </w:rPr>
        <w:t>城乡社区支出（类）国有土地使用权出让收入及对应专项债务收入安排的支出（款）城市建设支出（项）：反映土地出让收入用于完善国有土地使用功能的配套设施建设和城市基础设施建设支出。</w:t>
      </w:r>
    </w:p>
    <w:p>
      <w:pPr>
        <w:widowControl/>
        <w:spacing w:line="560" w:lineRule="exact"/>
        <w:ind w:firstLine="660"/>
        <w:rPr>
          <w:rFonts w:ascii="仿宋" w:eastAsia="仿宋"/>
          <w:sz w:val="32"/>
          <w:szCs w:val="32"/>
        </w:rPr>
      </w:pPr>
      <w:r>
        <w:rPr>
          <w:rFonts w:ascii="仿宋" w:eastAsia="仿宋" w:cs="仿宋_GB2312"/>
          <w:sz w:val="32"/>
          <w:szCs w:val="32"/>
        </w:rPr>
        <w:t>11.</w:t>
      </w:r>
      <w:r>
        <w:rPr>
          <w:rFonts w:ascii="仿宋" w:eastAsia="仿宋" w:cs="仿宋_GB2312" w:hint="eastAsia"/>
          <w:sz w:val="32"/>
          <w:szCs w:val="32"/>
        </w:rPr>
        <w:t>住房保障（类）保障性安居工程支出（款）公共租赁住房（项）：反映用于新建、改建、购买、租赁公共租赁住房支出。住房保障（类）住房改革支出（款）住房公积金（项）：指反映行政事业单位按人力资源和社会保障部、财政部规定的基本工资和津贴补贴以及规定比例为职工缴纳的住房公积金</w:t>
      </w:r>
    </w:p>
    <w:p>
      <w:pPr>
        <w:widowControl/>
        <w:spacing w:line="560" w:lineRule="exact"/>
        <w:ind w:firstLine="660"/>
        <w:rPr>
          <w:rFonts w:ascii="仿宋" w:eastAsia="仿宋"/>
          <w:sz w:val="32"/>
          <w:szCs w:val="32"/>
        </w:rPr>
      </w:pPr>
      <w:r>
        <w:rPr>
          <w:rFonts w:ascii="仿宋" w:eastAsia="仿宋" w:cs="仿宋_GB2312"/>
          <w:sz w:val="32"/>
          <w:szCs w:val="32"/>
        </w:rPr>
        <w:t>12.</w:t>
      </w:r>
      <w:r>
        <w:rPr>
          <w:rFonts w:ascii="仿宋" w:eastAsia="仿宋" w:cs="仿宋_GB2312" w:hint="eastAsia"/>
          <w:sz w:val="32"/>
          <w:szCs w:val="32"/>
        </w:rPr>
        <w:t>其他支出（类）彩票公益金及对应专项债务收入安排的支出（款）用于体育事业的彩票公益金支出（项）：反映用于体育事业的彩票公益金支出。</w:t>
      </w:r>
    </w:p>
    <w:p>
      <w:pPr>
        <w:widowControl/>
        <w:spacing w:line="560" w:lineRule="exact"/>
        <w:ind w:firstLine="660"/>
        <w:rPr>
          <w:rFonts w:ascii="仿宋" w:eastAsia="仿宋"/>
          <w:sz w:val="32"/>
          <w:szCs w:val="32"/>
        </w:rPr>
      </w:pPr>
      <w:r>
        <w:rPr>
          <w:rFonts w:ascii="仿宋" w:eastAsia="仿宋" w:cs="仿宋_GB2312"/>
          <w:sz w:val="32"/>
          <w:szCs w:val="32"/>
        </w:rPr>
        <w:t>13.</w:t>
      </w:r>
      <w:r>
        <w:rPr>
          <w:rFonts w:ascii="仿宋" w:eastAsia="仿宋" w:cs="仿宋_GB2312" w:hint="eastAsia"/>
          <w:sz w:val="32"/>
          <w:szCs w:val="32"/>
        </w:rPr>
        <w:t>年末结转和结余指单位按有关规定结转到下年或以后年度继续使用的资金。</w:t>
      </w:r>
    </w:p>
    <w:p>
      <w:pPr>
        <w:widowControl/>
        <w:spacing w:line="560" w:lineRule="exact"/>
        <w:ind w:firstLine="660"/>
        <w:rPr>
          <w:rFonts w:ascii="仿宋" w:eastAsia="仿宋"/>
          <w:sz w:val="32"/>
          <w:szCs w:val="32"/>
        </w:rPr>
      </w:pPr>
      <w:r>
        <w:rPr>
          <w:rFonts w:ascii="仿宋" w:eastAsia="仿宋" w:cs="仿宋_GB2312"/>
          <w:sz w:val="32"/>
          <w:szCs w:val="32"/>
        </w:rPr>
        <w:t>14.</w:t>
      </w:r>
      <w:r>
        <w:rPr>
          <w:rFonts w:ascii="仿宋" w:eastAsia="仿宋" w:cs="仿宋_GB2312" w:hint="eastAsia"/>
          <w:sz w:val="32"/>
          <w:szCs w:val="32"/>
        </w:rPr>
        <w:t>基本支出：指为保障机构正常运转、完成日常工作任务而发生的人员支出和公用支出。</w:t>
      </w:r>
    </w:p>
    <w:p>
      <w:pPr>
        <w:widowControl/>
        <w:spacing w:line="560" w:lineRule="exact"/>
        <w:ind w:firstLine="660"/>
        <w:rPr>
          <w:rFonts w:ascii="仿宋" w:eastAsia="仿宋" w:cs="仿宋_GB2312"/>
          <w:sz w:val="32"/>
          <w:szCs w:val="32"/>
        </w:rPr>
      </w:pPr>
      <w:r>
        <w:rPr>
          <w:rFonts w:ascii="仿宋" w:eastAsia="仿宋" w:cs="仿宋_GB2312"/>
          <w:sz w:val="32"/>
          <w:szCs w:val="32"/>
        </w:rPr>
        <w:t>15.</w:t>
      </w:r>
      <w:r>
        <w:rPr>
          <w:rFonts w:ascii="仿宋" w:eastAsia="仿宋" w:cs="仿宋_GB2312" w:hint="eastAsia"/>
          <w:sz w:val="32"/>
          <w:szCs w:val="32"/>
        </w:rPr>
        <w:t>项目支出：指在基本支出之外为完成特定行政任务和事业发展目标所发生的支出。</w:t>
      </w:r>
    </w:p>
    <w:p>
      <w:pPr>
        <w:widowControl/>
        <w:spacing w:line="560" w:lineRule="exact"/>
        <w:ind w:firstLine="660"/>
        <w:rPr>
          <w:rFonts w:ascii="仿宋" w:eastAsia="仿宋"/>
          <w:sz w:val="32"/>
          <w:szCs w:val="32"/>
        </w:rPr>
      </w:pPr>
      <w:r>
        <w:rPr>
          <w:rFonts w:ascii="仿宋" w:eastAsia="仿宋" w:cs="仿宋_GB2312"/>
          <w:sz w:val="32"/>
          <w:szCs w:val="32"/>
        </w:rPr>
        <w:t>16.</w:t>
      </w:r>
      <w:r>
        <w:rPr>
          <w:rFonts w:ascii="仿宋" w:eastAsia="仿宋"/>
          <w:sz w:val="32"/>
          <w:szCs w:val="32"/>
        </w:rPr>
        <w:t>“</w:t>
      </w:r>
      <w:r>
        <w:rPr>
          <w:rFonts w:ascii="仿宋" w:eastAsia="仿宋" w:cs="仿宋_GB2312" w:hint="eastAsia"/>
          <w:sz w:val="32"/>
          <w:szCs w:val="32"/>
        </w:rPr>
        <w:t>三公</w:t>
      </w:r>
      <w:r>
        <w:rPr>
          <w:rFonts w:ascii="仿宋" w:eastAsia="仿宋"/>
          <w:sz w:val="32"/>
          <w:szCs w:val="32"/>
        </w:rPr>
        <w:t>”</w:t>
      </w:r>
      <w:r>
        <w:rPr>
          <w:rFonts w:ascii="仿宋" w:eastAsia="仿宋" w:cs="仿宋_GB2312" w:hint="eastAsia"/>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pacing w:line="560" w:lineRule="exact"/>
        <w:ind w:firstLine="660"/>
        <w:rPr>
          <w:rFonts w:ascii="仿宋" w:eastAsia="仿宋" w:cs="仿宋_GB2312"/>
          <w:sz w:val="32"/>
          <w:szCs w:val="32"/>
        </w:rPr>
      </w:pPr>
      <w:r>
        <w:rPr>
          <w:rFonts w:ascii="仿宋" w:eastAsia="仿宋" w:cs="仿宋_GB2312"/>
          <w:sz w:val="32"/>
          <w:szCs w:val="32"/>
        </w:rPr>
        <w:t>17.</w:t>
      </w:r>
      <w:r>
        <w:rPr>
          <w:rFonts w:ascii="仿宋" w:eastAsia="仿宋"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Chars="200" w:firstLine="640"/>
        <w:rPr>
          <w:color w:val="auto"/>
          <w:sz w:val="32"/>
          <w:szCs w:val="32"/>
        </w:rPr>
      </w:pPr>
      <w:r>
        <w:rPr>
          <w:rFonts w:hint="eastAsia"/>
          <w:color w:val="auto"/>
          <w:sz w:val="32"/>
          <w:szCs w:val="32"/>
        </w:rPr>
        <w:t>18</w:t>
      </w:r>
      <w:r>
        <w:rPr>
          <w:color w:val="auto"/>
          <w:sz w:val="32"/>
          <w:szCs w:val="32"/>
        </w:rPr>
        <w:t>.</w:t>
      </w:r>
      <w:r>
        <w:rPr>
          <w:rFonts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color w:val="auto"/>
          <w:sz w:val="32"/>
          <w:szCs w:val="32"/>
        </w:rPr>
      </w:pPr>
      <w:r>
        <w:rPr>
          <w:rFonts w:hint="eastAsia"/>
          <w:color w:val="auto"/>
          <w:sz w:val="32"/>
          <w:szCs w:val="32"/>
        </w:rPr>
        <w:t>19</w:t>
      </w:r>
      <w:r>
        <w:rPr>
          <w:color w:val="auto"/>
          <w:sz w:val="32"/>
          <w:szCs w:val="32"/>
        </w:rPr>
        <w:t>.</w:t>
      </w:r>
      <w:r>
        <w:rPr>
          <w:rFonts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Chars="200" w:firstLine="640"/>
        <w:rPr>
          <w:rFonts w:ascii="仿宋_GB2312" w:eastAsia="仿宋_GB2312"/>
          <w:color w:val="auto"/>
          <w:sz w:val="32"/>
          <w:szCs w:val="32"/>
        </w:rPr>
      </w:pPr>
    </w:p>
    <w:p>
      <w:pPr>
        <w:pStyle w:val="27"/>
        <w:spacing w:line="560" w:lineRule="exact"/>
        <w:ind w:firstLineChars="200" w:firstLine="640"/>
        <w:rPr>
          <w:rFonts w:ascii="仿宋_GB2312" w:eastAsia="仿宋_GB2312" w:cs="黑体"/>
          <w:color w:val="auto"/>
          <w:sz w:val="32"/>
          <w:szCs w:val="32"/>
        </w:rPr>
      </w:pPr>
    </w:p>
    <w:p>
      <w:pPr>
        <w:spacing w:line="600" w:lineRule="exact"/>
        <w:jc w:val="center"/>
        <w:outlineLvl w:val="0"/>
        <w:rPr>
          <w:rStyle w:val="1Char"/>
          <w:rFonts w:ascii="黑体" w:eastAsia="黑体"/>
          <w:b w:val="0"/>
        </w:rPr>
      </w:pPr>
      <w:bookmarkStart w:id="51" w:name="_Toc15377226"/>
      <w:r>
        <w:rPr>
          <w:rFonts w:ascii="宋体"/>
          <w:b/>
          <w:sz w:val="44"/>
          <w:szCs w:val="44"/>
        </w:rPr>
        <w:br w:type="page"/>
      </w:r>
      <w:bookmarkStart w:id="52" w:name="_Toc15396614"/>
      <w:r>
        <w:rPr>
          <w:rFonts w:ascii="黑体" w:eastAsia="黑体" w:hint="eastAsia"/>
          <w:sz w:val="44"/>
          <w:szCs w:val="44"/>
        </w:rPr>
        <w:t>第</w:t>
      </w:r>
      <w:r>
        <w:rPr>
          <w:rStyle w:val="1Char"/>
          <w:rFonts w:ascii="黑体" w:eastAsia="黑体" w:hint="eastAsia"/>
          <w:b w:val="0"/>
        </w:rPr>
        <w:t>四部分 附件</w:t>
      </w:r>
      <w:bookmarkEnd w:id="52"/>
    </w:p>
    <w:p>
      <w:pPr>
        <w:spacing w:line="572" w:lineRule="exact"/>
        <w:jc w:val="left"/>
        <w:outlineLvl w:val="0"/>
        <w:rPr>
          <w:rFonts w:ascii="仿宋_GB2312" w:eastAsia="仿宋_GB2312" w:cs="仿宋_GB2312"/>
          <w:sz w:val="32"/>
          <w:szCs w:val="32"/>
        </w:rPr>
      </w:pPr>
      <w:r>
        <w:rPr>
          <w:rFonts w:ascii="黑体" w:eastAsia="黑体" w:cs="黑体" w:hint="eastAsia"/>
          <w:sz w:val="32"/>
          <w:szCs w:val="32"/>
        </w:rPr>
        <w:t>附件</w:t>
      </w:r>
    </w:p>
    <w:tbl>
      <w:tblPr>
        <w:tblpPr w:leftFromText="180" w:rightFromText="180" w:vertAnchor="text" w:horzAnchor="page" w:tblpX="1281" w:tblpY="660"/>
        <w:tblOverlap w:val="never"/>
        <w:tblW w:w="981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trPr>
        <w:tc>
          <w:tcPr>
            <w:tcW w:w="9575" w:type="dxa"/>
            <w:gridSpan w:val="6"/>
            <w:tcBorders>
              <w:top w:val="nil"/>
              <w:left w:val="nil"/>
              <w:bottom w:val="nil"/>
              <w:right w:val="nil"/>
            </w:tcBorders>
            <w:shd w:val="clear" w:color="auto" w:fill="auto"/>
            <w:vAlign w:val="center"/>
          </w:tcPr>
          <w:p>
            <w:pPr>
              <w:widowControl/>
              <w:ind w:firstLineChars="300" w:firstLine="960"/>
              <w:textAlignment w:val="center"/>
              <w:rPr>
                <w:rFonts w:ascii="宋体" w:cs="宋体"/>
                <w:b/>
                <w:sz w:val="32"/>
                <w:szCs w:val="32"/>
              </w:rPr>
            </w:pPr>
            <w:bookmarkStart w:id="53" w:name="_Toc15396618"/>
            <w:r>
              <w:rPr>
                <w:rFonts w:ascii="宋体" w:cs="宋体" w:hint="eastAsia"/>
                <w:b/>
                <w:sz w:val="32"/>
                <w:szCs w:val="32"/>
              </w:rPr>
              <w:t>2021年（含）特定目标类部门预算项目绩效目标自评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cs="宋体"/>
                <w:b/>
                <w:kern w:val="0"/>
                <w:sz w:val="32"/>
                <w:szCs w:val="32"/>
              </w:rPr>
            </w:pPr>
          </w:p>
        </w:tc>
      </w:tr>
      <w:tr>
        <w:trPr>
          <w:trHeight w:val="874"/>
          <w:gridAfter w:val="1"/>
          <w:wAfter w:w="236" w:type="dxa"/>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攀枝花市教育和体育局（203001）</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sz w:val="24"/>
              </w:rPr>
              <w:t>攀枝花市社会体育指导中心</w:t>
            </w:r>
          </w:p>
        </w:tc>
      </w:tr>
      <w:tr>
        <w:trPr>
          <w:trHeight w:val="656"/>
          <w:gridAfter w:val="1"/>
          <w:wAfter w:w="236" w:type="dxa"/>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20.65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 xml:space="preserve"> 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20.65</w:t>
            </w:r>
          </w:p>
        </w:tc>
      </w:tr>
      <w:tr>
        <w:trPr>
          <w:trHeight w:val="449"/>
          <w:gridAfter w:val="1"/>
          <w:wAfter w:w="236" w:type="dxa"/>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20.65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center"/>
              <w:rPr>
                <w:rFonts w:ascii="宋体" w:cs="宋体"/>
                <w:sz w:val="24"/>
              </w:rPr>
            </w:pPr>
            <w:r>
              <w:rPr>
                <w:rFonts w:ascii="宋体" w:cs="宋体" w:hint="eastAsia"/>
                <w:sz w:val="24"/>
              </w:rPr>
              <w:t>20.65</w:t>
            </w:r>
          </w:p>
        </w:tc>
      </w:tr>
      <w:tr>
        <w:trPr>
          <w:trHeight w:val="806"/>
          <w:gridAfter w:val="1"/>
          <w:wAfter w:w="236" w:type="dxa"/>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p>
        </w:tc>
      </w:tr>
      <w:tr>
        <w:trPr>
          <w:trHeight w:val="576"/>
          <w:gridAfter w:val="1"/>
          <w:wAfter w:w="236" w:type="dxa"/>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w:t>
            </w:r>
          </w:p>
          <w:p>
            <w:pPr>
              <w:widowControl/>
              <w:spacing w:line="320" w:lineRule="exact"/>
              <w:jc w:val="center"/>
              <w:textAlignment w:val="center"/>
              <w:rPr>
                <w:rFonts w:ascii="宋体" w:cs="宋体"/>
                <w:sz w:val="24"/>
              </w:rPr>
            </w:pPr>
            <w:r>
              <w:rPr>
                <w:rFonts w:asci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239"/>
          <w:gridAfter w:val="1"/>
          <w:wAfter w:w="236" w:type="dxa"/>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left"/>
              <w:textAlignment w:val="top"/>
              <w:rPr>
                <w:rFonts w:ascii="宋体" w:cs="宋体"/>
                <w:sz w:val="24"/>
              </w:rPr>
            </w:pPr>
            <w:r>
              <w:rPr>
                <w:rFonts w:ascii="宋体" w:cs="宋体" w:hint="eastAsia"/>
                <w:sz w:val="24"/>
              </w:rPr>
              <w:t>一、全年计划开展社会体育赛事活动15个大项，预计参与人数10800人次，计划日期2021年1月1日开始，2021年11月结束。通过项目实施，培养群众体育健身意识，提高全民身体素质和健康水平，不断满足大众多层次多样化的健身休闲需求，提升幸福感和获得感，为经济发展新常态下扩大消费需求、拉动经济增长。二、全民健身体质测试30次，测试人数1000余人次。</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pPr>
              <w:widowControl/>
              <w:spacing w:line="320" w:lineRule="exact"/>
              <w:jc w:val="left"/>
              <w:textAlignment w:val="top"/>
              <w:rPr>
                <w:rFonts w:ascii="宋体" w:cs="宋体"/>
                <w:sz w:val="24"/>
              </w:rPr>
            </w:pPr>
            <w:r>
              <w:rPr>
                <w:rFonts w:ascii="宋体" w:cs="宋体" w:hint="eastAsia"/>
                <w:sz w:val="24"/>
              </w:rPr>
              <w:t>2021年，攀枝花市社会体育指导中心在市教育体育局的正确领导下，认真贯彻习近平新时代中国特色社会主义思想，认真学习党的十九大和十九届二中、三中、四中、五中全会精神，积极开展“不忘初心</w:t>
            </w:r>
            <w:r>
              <w:rPr>
                <w:rFonts w:ascii="宋体" w:cs="宋体" w:hint="eastAsia"/>
                <w:sz w:val="24"/>
                <w:lang w:eastAsia="zh-CN"/>
              </w:rPr>
              <w:t>、</w:t>
            </w:r>
            <w:r>
              <w:rPr>
                <w:rFonts w:ascii="宋体" w:cs="宋体" w:hint="eastAsia"/>
                <w:sz w:val="24"/>
              </w:rPr>
              <w:t>牢记使命”主题教育，推动“两学一做”常态化，认真贯彻落实《全民健身条例》，积极实施《“健康攀枝花2030”规划纲要》，以打造“康养旅游胜地”建设为目标，以推行“康养+运动”向广度和深度发展为助力，进一步推进全民健身活动深入开展,开展重大节日活动，积极组织开展日常性的全民健身运动和协助各行业单位举办群众体育活动,开展国民体质测试工作，强化市民健身的科学意识，积极宣传和推广国民体质测试和科学健身知识及理念。</w:t>
            </w:r>
            <w:bookmarkStart w:id="54" w:name="_GoBack"/>
            <w:bookmarkEnd w:id="54"/>
          </w:p>
        </w:tc>
      </w:tr>
      <w:tr>
        <w:trPr>
          <w:trHeight w:val="889"/>
          <w:gridAfter w:val="1"/>
          <w:wAfter w:w="236" w:type="dxa"/>
        </w:trPr>
        <w:tc>
          <w:tcPr>
            <w:tcW w:w="1976"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1168"/>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635" w:type="dxa"/>
            <w:vMerge w:val="restart"/>
            <w:tcBorders>
              <w:top w:val="single" w:sz="4" w:space="0" w:color="000000"/>
              <w:left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bottom"/>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全民健身赛事活动</w:t>
            </w:r>
          </w:p>
        </w:tc>
        <w:tc>
          <w:tcPr>
            <w:tcW w:w="1224" w:type="dxa"/>
            <w:tcBorders>
              <w:top w:val="single" w:sz="4" w:space="0" w:color="000000"/>
              <w:left w:val="single" w:sz="4" w:space="0" w:color="000000"/>
              <w:bottom w:val="single" w:sz="4" w:space="0" w:color="auto"/>
              <w:right w:val="single" w:sz="4" w:space="0" w:color="000000"/>
            </w:tcBorders>
            <w:shd w:val="clear" w:color="auto" w:fill="auto"/>
            <w:vAlign w:val="bottom"/>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组织赛事活动15项</w:t>
            </w:r>
          </w:p>
        </w:tc>
        <w:tc>
          <w:tcPr>
            <w:tcW w:w="2409" w:type="dxa"/>
            <w:tcBorders>
              <w:top w:val="single" w:sz="4" w:space="0" w:color="000000"/>
              <w:left w:val="single" w:sz="4" w:space="0" w:color="000000"/>
              <w:bottom w:val="single" w:sz="4" w:space="0" w:color="auto"/>
              <w:right w:val="single" w:sz="4" w:space="0" w:color="000000"/>
            </w:tcBorders>
            <w:shd w:val="clear" w:color="auto" w:fill="auto"/>
            <w:vAlign w:val="bottom"/>
          </w:tcPr>
          <w:p>
            <w:pPr>
              <w:widowControl/>
              <w:spacing w:line="320" w:lineRule="exact"/>
              <w:textAlignment w:val="bottom"/>
              <w:rPr>
                <w:rFonts w:ascii="仿宋_GB2312" w:eastAsia="仿宋_GB2312" w:cs="仿宋_GB2312"/>
                <w:sz w:val="28"/>
                <w:szCs w:val="28"/>
              </w:rPr>
            </w:pPr>
            <w:r>
              <w:rPr>
                <w:rFonts w:ascii="仿宋_GB2312" w:eastAsia="仿宋_GB2312" w:cs="仿宋_GB2312" w:hint="eastAsia"/>
                <w:sz w:val="28"/>
                <w:szCs w:val="28"/>
              </w:rPr>
              <w:t>组织赛事活动12项</w:t>
            </w:r>
          </w:p>
        </w:tc>
      </w:tr>
      <w:tr>
        <w:trPr>
          <w:trHeight w:val="884"/>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vMerge/>
            <w:tcBorders>
              <w:left w:val="single" w:sz="4" w:space="0" w:color="000000"/>
              <w:right w:val="single" w:sz="4" w:space="0" w:color="000000"/>
            </w:tcBorders>
            <w:shd w:val="clear" w:color="auto" w:fill="auto"/>
            <w:vAlign w:val="bottom"/>
          </w:tcPr>
          <w:p/>
        </w:tc>
        <w:tc>
          <w:tcPr>
            <w:tcW w:w="1189" w:type="dxa"/>
            <w:tcBorders>
              <w:top w:val="single" w:sz="4" w:space="0" w:color="auto"/>
              <w:left w:val="single" w:sz="4" w:space="0" w:color="000000"/>
              <w:bottom w:val="single" w:sz="4" w:space="0" w:color="auto"/>
              <w:right w:val="single" w:sz="4" w:space="0" w:color="000000"/>
            </w:tcBorders>
            <w:shd w:val="clear" w:color="auto" w:fill="auto"/>
            <w:vAlign w:val="bottom"/>
          </w:tcPr>
          <w:p>
            <w:pPr>
              <w:spacing w:line="320" w:lineRule="exact"/>
              <w:textAlignment w:val="bottom"/>
              <w:rPr>
                <w:rFonts w:ascii="仿宋_GB2312" w:eastAsia="仿宋_GB2312" w:cs="仿宋_GB2312"/>
                <w:sz w:val="28"/>
                <w:szCs w:val="28"/>
              </w:rPr>
            </w:pPr>
            <w:r>
              <w:rPr>
                <w:rFonts w:ascii="仿宋_GB2312" w:eastAsia="仿宋_GB2312" w:cs="仿宋_GB2312" w:hint="eastAsia"/>
                <w:sz w:val="28"/>
                <w:szCs w:val="28"/>
              </w:rPr>
              <w:t>国民体质监测</w:t>
            </w:r>
          </w:p>
        </w:tc>
        <w:tc>
          <w:tcPr>
            <w:tcW w:w="1224" w:type="dxa"/>
            <w:tcBorders>
              <w:top w:val="single" w:sz="4" w:space="0" w:color="auto"/>
              <w:left w:val="single" w:sz="4" w:space="0" w:color="000000"/>
              <w:bottom w:val="single" w:sz="4" w:space="0" w:color="auto"/>
              <w:right w:val="single" w:sz="4" w:space="0" w:color="000000"/>
            </w:tcBorders>
            <w:shd w:val="clear" w:color="auto" w:fill="auto"/>
            <w:vAlign w:val="bottom"/>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1000人次以上</w:t>
            </w:r>
          </w:p>
        </w:tc>
        <w:tc>
          <w:tcPr>
            <w:tcW w:w="2409" w:type="dxa"/>
            <w:tcBorders>
              <w:top w:val="single" w:sz="4" w:space="0" w:color="auto"/>
              <w:left w:val="single" w:sz="4" w:space="0" w:color="000000"/>
              <w:bottom w:val="single" w:sz="4" w:space="0" w:color="auto"/>
              <w:right w:val="single" w:sz="4" w:space="0" w:color="000000"/>
            </w:tcBorders>
            <w:shd w:val="clear" w:color="auto" w:fill="auto"/>
            <w:vAlign w:val="bottom"/>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1000人次</w:t>
            </w:r>
          </w:p>
        </w:tc>
      </w:tr>
      <w:tr>
        <w:trPr>
          <w:trHeight w:val="268"/>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635" w:type="dxa"/>
            <w:vMerge/>
            <w:tcBorders>
              <w:left w:val="single" w:sz="4" w:space="0" w:color="000000"/>
              <w:bottom w:val="single" w:sz="4" w:space="0" w:color="000000"/>
              <w:right w:val="single" w:sz="4" w:space="0" w:color="000000"/>
            </w:tcBorders>
            <w:shd w:val="clear" w:color="auto" w:fill="auto"/>
            <w:vAlign w:val="bottom"/>
          </w:tcPr>
          <w:p/>
        </w:tc>
        <w:tc>
          <w:tcPr>
            <w:tcW w:w="1189" w:type="dxa"/>
            <w:tcBorders>
              <w:top w:val="single" w:sz="4" w:space="0" w:color="auto"/>
              <w:left w:val="single" w:sz="4" w:space="0" w:color="000000"/>
              <w:bottom w:val="single" w:sz="4" w:space="0" w:color="000000"/>
              <w:right w:val="single" w:sz="4" w:space="0" w:color="000000"/>
            </w:tcBorders>
            <w:shd w:val="clear" w:color="auto" w:fill="auto"/>
            <w:vAlign w:val="bottom"/>
          </w:tcPr>
          <w:p>
            <w:pPr>
              <w:spacing w:line="320" w:lineRule="exact"/>
              <w:textAlignment w:val="bottom"/>
              <w:rPr>
                <w:rFonts w:ascii="仿宋_GB2312" w:eastAsia="仿宋_GB2312" w:cs="仿宋_GB2312"/>
                <w:sz w:val="28"/>
                <w:szCs w:val="28"/>
              </w:rPr>
            </w:pPr>
            <w:r>
              <w:rPr>
                <w:rFonts w:ascii="仿宋_GB2312" w:eastAsia="仿宋_GB2312" w:cs="仿宋_GB2312" w:hint="eastAsia"/>
                <w:sz w:val="28"/>
                <w:szCs w:val="28"/>
              </w:rPr>
              <w:t>群众参与人数</w:t>
            </w:r>
          </w:p>
        </w:tc>
        <w:tc>
          <w:tcPr>
            <w:tcW w:w="1224" w:type="dxa"/>
            <w:tcBorders>
              <w:top w:val="single" w:sz="4" w:space="0" w:color="auto"/>
              <w:left w:val="single" w:sz="4" w:space="0" w:color="000000"/>
              <w:bottom w:val="single" w:sz="4" w:space="0" w:color="000000"/>
              <w:right w:val="single" w:sz="4" w:space="0" w:color="000000"/>
            </w:tcBorders>
            <w:shd w:val="clear" w:color="auto" w:fill="auto"/>
            <w:vAlign w:val="bottom"/>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10800人次以上</w:t>
            </w:r>
          </w:p>
        </w:tc>
        <w:tc>
          <w:tcPr>
            <w:tcW w:w="2409" w:type="dxa"/>
            <w:tcBorders>
              <w:top w:val="single" w:sz="4" w:space="0" w:color="auto"/>
              <w:left w:val="single" w:sz="4" w:space="0" w:color="000000"/>
              <w:bottom w:val="single" w:sz="4" w:space="0" w:color="000000"/>
              <w:right w:val="single" w:sz="4" w:space="0" w:color="000000"/>
            </w:tcBorders>
            <w:shd w:val="clear" w:color="auto" w:fill="auto"/>
            <w:vAlign w:val="bottom"/>
          </w:tcPr>
          <w:p>
            <w:pPr>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约4800人次</w:t>
            </w:r>
          </w:p>
        </w:tc>
      </w:tr>
      <w:tr>
        <w:trPr>
          <w:trHeight w:val="415"/>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社体活动任务完成率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95%以上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sz w:val="28"/>
                <w:szCs w:val="28"/>
              </w:rPr>
              <w:t>100%</w:t>
            </w:r>
          </w:p>
        </w:tc>
      </w:tr>
      <w:tr>
        <w:trPr>
          <w:trHeight w:val="415"/>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工作任务完成及时率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95%以上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sz w:val="28"/>
                <w:szCs w:val="28"/>
              </w:rPr>
              <w:t>100%</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预算控制数</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 w:eastAsia="仿宋" w:cs="仿宋_GB2312"/>
                <w:sz w:val="28"/>
                <w:szCs w:val="28"/>
              </w:rPr>
            </w:pPr>
            <w:r>
              <w:rPr>
                <w:rFonts w:ascii="仿宋" w:eastAsia="仿宋" w:hint="eastAsia"/>
                <w:sz w:val="28"/>
                <w:szCs w:val="28"/>
              </w:rPr>
              <w:t>35万元以内</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20.65万元</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促进体育产业发展影响力</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80%以上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≥85%</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群众科学健身普及度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80%以上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≥85%</w:t>
            </w:r>
          </w:p>
        </w:tc>
      </w:tr>
      <w:tr>
        <w:trPr>
          <w:trHeight w:val="577"/>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ind w:leftChars="87" w:left="463" w:hangingChars="100" w:hanging="280"/>
              <w:jc w:val="left"/>
              <w:textAlignment w:val="bottom"/>
              <w:rPr>
                <w:rFonts w:ascii="仿宋_GB2312" w:eastAsia="仿宋_GB2312" w:cs="仿宋_GB2312"/>
                <w:sz w:val="28"/>
                <w:szCs w:val="28"/>
              </w:rPr>
            </w:pPr>
            <w:r>
              <w:rPr>
                <w:rFonts w:ascii="仿宋_GB2312" w:eastAsia="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改善群众体育活动环境</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较好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好</w:t>
            </w:r>
          </w:p>
        </w:tc>
      </w:tr>
      <w:tr>
        <w:trPr>
          <w:trHeight w:val="480"/>
          <w:gridAfter w:val="1"/>
          <w:wAfter w:w="236" w:type="dxa"/>
        </w:trPr>
        <w:tc>
          <w:tcPr>
            <w:tcW w:w="1976" w:type="dxa"/>
            <w:vMerge/>
            <w:tcBorders>
              <w:left w:val="single" w:sz="4" w:space="0" w:color="000000"/>
              <w:right w:val="single" w:sz="4" w:space="0" w:color="000000"/>
            </w:tcBorders>
            <w:shd w:val="clear" w:color="auto" w:fill="auto"/>
            <w:vAlign w:val="center"/>
          </w:tc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宋体" w:eastAsia="宋体" w:cs="仿宋_GB2312" w:hint="eastAsia"/>
                <w:sz w:val="24"/>
              </w:rPr>
              <w:t>促进社会体育活动建设</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较好</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好</w:t>
            </w:r>
          </w:p>
        </w:tc>
      </w:tr>
      <w:tr>
        <w:trPr>
          <w:trHeight w:val="530"/>
          <w:gridAfter w:val="1"/>
          <w:wAfter w:w="236" w:type="dxa"/>
        </w:trPr>
        <w:tc>
          <w:tcPr>
            <w:tcW w:w="1976" w:type="dxa"/>
            <w:vMerge/>
            <w:tcBorders>
              <w:left w:val="single" w:sz="4" w:space="0" w:color="000000"/>
              <w:bottom w:val="single" w:sz="4" w:space="0" w:color="000000"/>
              <w:right w:val="single" w:sz="4" w:space="0" w:color="000000"/>
            </w:tcBorders>
            <w:shd w:val="clear" w:color="auto" w:fill="auto"/>
            <w:vAlign w:val="center"/>
          </w:tc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群众满意度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90%以上</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sz w:val="28"/>
                <w:szCs w:val="28"/>
              </w:rPr>
              <w:t>≥95%</w:t>
            </w:r>
          </w:p>
        </w:tc>
      </w:tr>
    </w:tbl>
    <w:p>
      <w:pPr>
        <w:spacing w:line="600" w:lineRule="exact"/>
        <w:jc w:val="center"/>
        <w:outlineLvl w:val="0"/>
        <w:rPr>
          <w:rFonts w:ascii="黑体" w:eastAsia="黑体"/>
          <w:sz w:val="44"/>
          <w:szCs w:val="44"/>
        </w:rPr>
      </w:pPr>
    </w:p>
    <w:p>
      <w:pPr>
        <w:spacing w:line="600" w:lineRule="exact"/>
        <w:outlineLvl w:val="0"/>
        <w:rPr>
          <w:rFonts w:ascii="仿宋_GB2312" w:eastAsia="仿宋_GB2312" w:cs="宋体"/>
          <w:color w:val="000000"/>
          <w:kern w:val="0"/>
          <w:sz w:val="32"/>
          <w:szCs w:val="32"/>
          <w:shd w:val="clear" w:color="auto" w:fill="FFFFFF"/>
        </w:rPr>
      </w:pPr>
    </w:p>
    <w:p>
      <w:pPr>
        <w:spacing w:line="600" w:lineRule="exact"/>
        <w:ind w:firstLineChars="300" w:firstLine="1320"/>
        <w:outlineLvl w:val="0"/>
        <w:rPr>
          <w:rFonts w:ascii="仿宋" w:eastAsia="仿宋"/>
        </w:rPr>
      </w:pPr>
      <w:r>
        <w:rPr>
          <w:rFonts w:ascii="黑体" w:eastAsia="黑体" w:hint="eastAsia"/>
          <w:sz w:val="44"/>
          <w:szCs w:val="44"/>
        </w:rPr>
        <w:t>第</w:t>
      </w:r>
      <w:r>
        <w:rPr>
          <w:rStyle w:val="1Char"/>
          <w:rFonts w:ascii="黑体" w:eastAsia="黑体" w:hint="eastAsia"/>
          <w:b w:val="0"/>
        </w:rPr>
        <w:t>五部分 附表</w:t>
      </w:r>
      <w:bookmarkStart w:id="55" w:name="_Toc15396619"/>
      <w:bookmarkEnd w:id="51"/>
      <w:bookmarkEnd w:id="53"/>
    </w:p>
    <w:p>
      <w:pPr>
        <w:pStyle w:val="2"/>
        <w:rPr>
          <w:rFonts w:ascii="仿宋" w:eastAsia="仿宋"/>
        </w:rPr>
      </w:pPr>
      <w:r>
        <w:rPr>
          <w:rFonts w:ascii="仿宋" w:eastAsia="仿宋" w:hint="eastAsia"/>
          <w:b w:val="0"/>
        </w:rPr>
        <w:t>一、收</w:t>
      </w:r>
      <w:r>
        <w:rPr>
          <w:rStyle w:val="29"/>
          <w:rFonts w:ascii="仿宋" w:eastAsia="仿宋" w:hint="eastAsia"/>
          <w:b w:val="0"/>
          <w:bCs w:val="0"/>
        </w:rPr>
        <w:t>入支出决算总表</w:t>
      </w:r>
      <w:bookmarkEnd w:id="55"/>
    </w:p>
    <w:p>
      <w:pPr>
        <w:pStyle w:val="2"/>
        <w:rPr>
          <w:rFonts w:ascii="仿宋" w:eastAsia="仿宋"/>
        </w:rPr>
      </w:pPr>
      <w:bookmarkStart w:id="56" w:name="_Toc15396620"/>
      <w:r>
        <w:rPr>
          <w:rFonts w:ascii="仿宋" w:eastAsia="仿宋" w:hint="eastAsia"/>
          <w:b w:val="0"/>
        </w:rPr>
        <w:t>二、收</w:t>
      </w:r>
      <w:r>
        <w:rPr>
          <w:rStyle w:val="29"/>
          <w:rFonts w:ascii="仿宋" w:eastAsia="仿宋" w:hint="eastAsia"/>
          <w:b w:val="0"/>
          <w:bCs w:val="0"/>
        </w:rPr>
        <w:t>入决算表</w:t>
      </w:r>
      <w:bookmarkEnd w:id="56"/>
    </w:p>
    <w:p>
      <w:pPr>
        <w:pStyle w:val="2"/>
        <w:rPr>
          <w:rFonts w:ascii="仿宋" w:eastAsia="仿宋"/>
        </w:rPr>
      </w:pPr>
      <w:bookmarkStart w:id="57" w:name="_Toc15396621"/>
      <w:r>
        <w:rPr>
          <w:rStyle w:val="29"/>
          <w:rFonts w:ascii="仿宋" w:eastAsia="仿宋" w:hint="eastAsia"/>
          <w:b w:val="0"/>
          <w:bCs w:val="0"/>
        </w:rPr>
        <w:t>三、</w:t>
      </w:r>
      <w:r>
        <w:rPr>
          <w:rFonts w:ascii="仿宋" w:eastAsia="仿宋" w:hint="eastAsia"/>
          <w:b w:val="0"/>
        </w:rPr>
        <w:t>支</w:t>
      </w:r>
      <w:r>
        <w:rPr>
          <w:rStyle w:val="29"/>
          <w:rFonts w:ascii="仿宋" w:eastAsia="仿宋" w:hint="eastAsia"/>
          <w:b w:val="0"/>
          <w:bCs w:val="0"/>
        </w:rPr>
        <w:t>出决算表</w:t>
      </w:r>
      <w:bookmarkEnd w:id="57"/>
    </w:p>
    <w:p>
      <w:pPr>
        <w:pStyle w:val="2"/>
        <w:rPr>
          <w:rFonts w:ascii="仿宋" w:eastAsia="仿宋"/>
          <w:b w:val="0"/>
        </w:rPr>
      </w:pPr>
      <w:bookmarkStart w:id="58" w:name="_Toc15396622"/>
      <w:r>
        <w:rPr>
          <w:rStyle w:val="29"/>
          <w:rFonts w:ascii="仿宋" w:eastAsia="仿宋" w:hint="eastAsia"/>
          <w:b w:val="0"/>
          <w:bCs w:val="0"/>
        </w:rPr>
        <w:t>四、</w:t>
      </w:r>
      <w:r>
        <w:rPr>
          <w:rFonts w:ascii="仿宋" w:eastAsia="仿宋" w:hint="eastAsia"/>
          <w:b w:val="0"/>
        </w:rPr>
        <w:t>财</w:t>
      </w:r>
      <w:r>
        <w:rPr>
          <w:rStyle w:val="29"/>
          <w:rFonts w:ascii="仿宋" w:eastAsia="仿宋" w:hint="eastAsia"/>
          <w:b w:val="0"/>
          <w:bCs w:val="0"/>
        </w:rPr>
        <w:t>政拨款收入支出决算总表</w:t>
      </w:r>
      <w:bookmarkEnd w:id="58"/>
    </w:p>
    <w:p>
      <w:pPr>
        <w:pStyle w:val="2"/>
        <w:rPr>
          <w:rStyle w:val="29"/>
          <w:rFonts w:ascii="仿宋" w:eastAsia="仿宋"/>
          <w:b w:val="0"/>
          <w:bCs w:val="0"/>
        </w:rPr>
      </w:pPr>
      <w:bookmarkStart w:id="59" w:name="_Toc15396623"/>
      <w:r>
        <w:rPr>
          <w:rStyle w:val="29"/>
          <w:rFonts w:ascii="仿宋" w:eastAsia="仿宋" w:hint="eastAsia"/>
          <w:b w:val="0"/>
          <w:bCs w:val="0"/>
        </w:rPr>
        <w:t>五、</w:t>
      </w:r>
      <w:r>
        <w:rPr>
          <w:rFonts w:ascii="仿宋" w:eastAsia="仿宋" w:hint="eastAsia"/>
          <w:b w:val="0"/>
        </w:rPr>
        <w:t>财</w:t>
      </w:r>
      <w:r>
        <w:rPr>
          <w:rStyle w:val="29"/>
          <w:rFonts w:ascii="仿宋" w:eastAsia="仿宋" w:hint="eastAsia"/>
          <w:b w:val="0"/>
          <w:bCs w:val="0"/>
        </w:rPr>
        <w:t>政拨款支出决算明细表</w:t>
      </w:r>
      <w:bookmarkStart w:id="60" w:name="_Toc15396624"/>
      <w:bookmarkEnd w:id="59"/>
    </w:p>
    <w:p>
      <w:pPr>
        <w:pStyle w:val="2"/>
        <w:rPr>
          <w:rFonts w:ascii="仿宋" w:eastAsia="仿宋"/>
        </w:rPr>
      </w:pPr>
      <w:r>
        <w:rPr>
          <w:rStyle w:val="29"/>
          <w:rFonts w:ascii="仿宋" w:eastAsia="仿宋" w:hint="eastAsia"/>
          <w:b w:val="0"/>
          <w:bCs w:val="0"/>
        </w:rPr>
        <w:t>六、</w:t>
      </w:r>
      <w:r>
        <w:rPr>
          <w:rFonts w:ascii="仿宋" w:eastAsia="仿宋" w:hint="eastAsia"/>
          <w:b w:val="0"/>
        </w:rPr>
        <w:t>一</w:t>
      </w:r>
      <w:r>
        <w:rPr>
          <w:rStyle w:val="29"/>
          <w:rFonts w:ascii="仿宋" w:eastAsia="仿宋" w:hint="eastAsia"/>
          <w:b w:val="0"/>
          <w:bCs w:val="0"/>
        </w:rPr>
        <w:t>般公共预算财政拨款支出决算表</w:t>
      </w:r>
      <w:bookmarkEnd w:id="60"/>
    </w:p>
    <w:p>
      <w:pPr>
        <w:pStyle w:val="2"/>
        <w:rPr>
          <w:rFonts w:ascii="仿宋" w:eastAsia="仿宋"/>
        </w:rPr>
      </w:pPr>
      <w:bookmarkStart w:id="61" w:name="_Toc15396625"/>
      <w:r>
        <w:rPr>
          <w:rStyle w:val="29"/>
          <w:rFonts w:ascii="仿宋" w:eastAsia="仿宋" w:hint="eastAsia"/>
          <w:b w:val="0"/>
          <w:bCs w:val="0"/>
        </w:rPr>
        <w:t>七、</w:t>
      </w:r>
      <w:r>
        <w:rPr>
          <w:rFonts w:ascii="仿宋" w:eastAsia="仿宋" w:hint="eastAsia"/>
          <w:b w:val="0"/>
        </w:rPr>
        <w:t>一</w:t>
      </w:r>
      <w:r>
        <w:rPr>
          <w:rStyle w:val="29"/>
          <w:rFonts w:ascii="仿宋" w:eastAsia="仿宋" w:hint="eastAsia"/>
          <w:b w:val="0"/>
          <w:bCs w:val="0"/>
        </w:rPr>
        <w:t>般公共预算财政拨款支出决算明细表</w:t>
      </w:r>
      <w:bookmarkEnd w:id="61"/>
    </w:p>
    <w:p>
      <w:pPr>
        <w:pStyle w:val="2"/>
        <w:rPr>
          <w:rFonts w:ascii="仿宋" w:eastAsia="仿宋"/>
        </w:rPr>
      </w:pPr>
      <w:bookmarkStart w:id="62" w:name="_Toc15396626"/>
      <w:r>
        <w:rPr>
          <w:rStyle w:val="29"/>
          <w:rFonts w:ascii="仿宋" w:eastAsia="仿宋" w:hint="eastAsia"/>
          <w:b w:val="0"/>
          <w:bCs w:val="0"/>
        </w:rPr>
        <w:t>八、</w:t>
      </w:r>
      <w:r>
        <w:rPr>
          <w:rFonts w:ascii="仿宋" w:eastAsia="仿宋" w:hint="eastAsia"/>
          <w:b w:val="0"/>
        </w:rPr>
        <w:t>一</w:t>
      </w:r>
      <w:r>
        <w:rPr>
          <w:rStyle w:val="29"/>
          <w:rFonts w:ascii="仿宋" w:eastAsia="仿宋" w:hint="eastAsia"/>
          <w:b w:val="0"/>
          <w:bCs w:val="0"/>
        </w:rPr>
        <w:t>般公共预算财政拨款基本支出决算表</w:t>
      </w:r>
      <w:bookmarkEnd w:id="62"/>
    </w:p>
    <w:p>
      <w:pPr>
        <w:pStyle w:val="2"/>
        <w:rPr>
          <w:rFonts w:ascii="仿宋" w:eastAsia="仿宋"/>
        </w:rPr>
      </w:pPr>
      <w:bookmarkStart w:id="63" w:name="_Toc15396627"/>
      <w:r>
        <w:rPr>
          <w:rStyle w:val="29"/>
          <w:rFonts w:ascii="仿宋" w:eastAsia="仿宋" w:hint="eastAsia"/>
          <w:b w:val="0"/>
          <w:bCs w:val="0"/>
        </w:rPr>
        <w:t>九、</w:t>
      </w:r>
      <w:r>
        <w:rPr>
          <w:rFonts w:ascii="仿宋" w:eastAsia="仿宋" w:hint="eastAsia"/>
          <w:b w:val="0"/>
        </w:rPr>
        <w:t>一</w:t>
      </w:r>
      <w:r>
        <w:rPr>
          <w:rStyle w:val="29"/>
          <w:rFonts w:ascii="仿宋" w:eastAsia="仿宋" w:hint="eastAsia"/>
          <w:b w:val="0"/>
          <w:bCs w:val="0"/>
        </w:rPr>
        <w:t>般公共预算财政拨款项目支出决算表</w:t>
      </w:r>
      <w:bookmarkEnd w:id="63"/>
    </w:p>
    <w:p>
      <w:pPr>
        <w:pStyle w:val="2"/>
        <w:rPr>
          <w:rFonts w:ascii="仿宋" w:eastAsia="仿宋"/>
        </w:rPr>
      </w:pPr>
      <w:bookmarkStart w:id="64" w:name="_Toc15396628"/>
      <w:r>
        <w:rPr>
          <w:rStyle w:val="29"/>
          <w:rFonts w:ascii="仿宋" w:eastAsia="仿宋" w:hint="eastAsia"/>
          <w:b w:val="0"/>
          <w:bCs w:val="0"/>
        </w:rPr>
        <w:t>十、</w:t>
      </w:r>
      <w:r>
        <w:rPr>
          <w:rFonts w:ascii="仿宋" w:eastAsia="仿宋" w:hint="eastAsia"/>
          <w:b w:val="0"/>
        </w:rPr>
        <w:t>一</w:t>
      </w:r>
      <w:r>
        <w:rPr>
          <w:rStyle w:val="29"/>
          <w:rFonts w:ascii="仿宋" w:eastAsia="仿宋" w:hint="eastAsia"/>
          <w:b w:val="0"/>
          <w:bCs w:val="0"/>
        </w:rPr>
        <w:t>般公共预算财政拨款“三公”经费支出决算表</w:t>
      </w:r>
      <w:bookmarkEnd w:id="64"/>
    </w:p>
    <w:p>
      <w:pPr>
        <w:pStyle w:val="2"/>
        <w:rPr>
          <w:rFonts w:ascii="仿宋" w:eastAsia="仿宋"/>
        </w:rPr>
      </w:pPr>
      <w:bookmarkStart w:id="65" w:name="_Toc15396629"/>
      <w:r>
        <w:rPr>
          <w:rStyle w:val="29"/>
          <w:rFonts w:ascii="仿宋" w:eastAsia="仿宋" w:hint="eastAsia"/>
          <w:b w:val="0"/>
          <w:bCs w:val="0"/>
        </w:rPr>
        <w:t>十一、</w:t>
      </w:r>
      <w:r>
        <w:rPr>
          <w:rFonts w:ascii="仿宋" w:eastAsia="仿宋" w:hint="eastAsia"/>
          <w:b w:val="0"/>
        </w:rPr>
        <w:t>政</w:t>
      </w:r>
      <w:r>
        <w:rPr>
          <w:rStyle w:val="29"/>
          <w:rFonts w:ascii="仿宋" w:eastAsia="仿宋" w:hint="eastAsia"/>
          <w:b w:val="0"/>
          <w:bCs w:val="0"/>
        </w:rPr>
        <w:t>府性基金预算财政拨款收入支出决算表</w:t>
      </w:r>
      <w:bookmarkEnd w:id="65"/>
      <w:r>
        <w:rPr>
          <w:rStyle w:val="2Char"/>
          <w:rFonts w:ascii="仿宋" w:eastAsia="仿宋" w:hint="eastAsia"/>
          <w:b w:val="0"/>
          <w:bCs w:val="0"/>
        </w:rPr>
        <w:t>（此表无数据）</w:t>
      </w:r>
    </w:p>
    <w:p>
      <w:pPr>
        <w:pStyle w:val="2"/>
        <w:rPr>
          <w:rFonts w:ascii="仿宋" w:eastAsia="仿宋"/>
        </w:rPr>
      </w:pPr>
      <w:bookmarkStart w:id="66" w:name="_Toc15396630"/>
      <w:r>
        <w:rPr>
          <w:rStyle w:val="29"/>
          <w:rFonts w:ascii="仿宋" w:eastAsia="仿宋" w:hint="eastAsia"/>
          <w:b w:val="0"/>
          <w:bCs w:val="0"/>
        </w:rPr>
        <w:t>十二、</w:t>
      </w:r>
      <w:r>
        <w:rPr>
          <w:rFonts w:ascii="仿宋" w:eastAsia="仿宋" w:hint="eastAsia"/>
          <w:b w:val="0"/>
        </w:rPr>
        <w:t>政</w:t>
      </w:r>
      <w:r>
        <w:rPr>
          <w:rStyle w:val="29"/>
          <w:rFonts w:ascii="仿宋" w:eastAsia="仿宋" w:hint="eastAsia"/>
          <w:b w:val="0"/>
          <w:bCs w:val="0"/>
        </w:rPr>
        <w:t>府性基金预算财政拨款“三公”经费支出决算表</w:t>
      </w:r>
      <w:bookmarkEnd w:id="66"/>
      <w:r>
        <w:rPr>
          <w:rStyle w:val="2Char"/>
          <w:rFonts w:ascii="仿宋" w:eastAsia="仿宋" w:hint="eastAsia"/>
          <w:b w:val="0"/>
          <w:bCs w:val="0"/>
        </w:rPr>
        <w:t>（此表无数据）</w:t>
      </w:r>
    </w:p>
    <w:p>
      <w:pPr>
        <w:pStyle w:val="2"/>
        <w:rPr>
          <w:rStyle w:val="29"/>
          <w:rFonts w:ascii="仿宋" w:eastAsia="仿宋"/>
          <w:b w:val="0"/>
          <w:bCs w:val="0"/>
        </w:rPr>
      </w:pPr>
      <w:bookmarkStart w:id="67" w:name="_Toc15396631"/>
      <w:r>
        <w:rPr>
          <w:rStyle w:val="29"/>
          <w:rFonts w:ascii="仿宋" w:eastAsia="仿宋" w:hint="eastAsia"/>
          <w:b w:val="0"/>
          <w:bCs w:val="0"/>
        </w:rPr>
        <w:t>十三、</w:t>
      </w:r>
      <w:r>
        <w:rPr>
          <w:rFonts w:ascii="仿宋" w:eastAsia="仿宋" w:hint="eastAsia"/>
          <w:b w:val="0"/>
        </w:rPr>
        <w:t>国</w:t>
      </w:r>
      <w:r>
        <w:rPr>
          <w:rStyle w:val="29"/>
          <w:rFonts w:ascii="仿宋" w:eastAsia="仿宋" w:hint="eastAsia"/>
          <w:b w:val="0"/>
          <w:bCs w:val="0"/>
        </w:rPr>
        <w:t>有资本经营预算财政拨款收入支出决算表</w:t>
      </w:r>
      <w:bookmarkEnd w:id="67"/>
      <w:r>
        <w:rPr>
          <w:rStyle w:val="2Char"/>
          <w:rFonts w:ascii="仿宋" w:eastAsia="仿宋" w:hint="eastAsia"/>
          <w:b w:val="0"/>
          <w:bCs w:val="0"/>
        </w:rPr>
        <w:t>（此表无数据）</w:t>
      </w:r>
    </w:p>
    <w:p>
      <w:pPr>
        <w:pStyle w:val="2"/>
        <w:rPr>
          <w:rFonts w:eastAsia="仿宋"/>
        </w:rPr>
      </w:pPr>
      <w:r>
        <w:rPr>
          <w:rStyle w:val="29"/>
          <w:rFonts w:ascii="仿宋" w:eastAsia="仿宋" w:hint="eastAsia"/>
          <w:b w:val="0"/>
          <w:bCs w:val="0"/>
        </w:rPr>
        <w:t>十四、国有资本经营预算财政拨款支出决算表</w:t>
      </w:r>
      <w:r>
        <w:rPr>
          <w:rStyle w:val="2Char"/>
          <w:rFonts w:ascii="仿宋" w:eastAsia="仿宋" w:hint="eastAsia"/>
          <w:b w:val="0"/>
          <w:bCs w:val="0"/>
        </w:rPr>
        <w:t>（此表无数据）</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Microsoft YaHei UI"/>
    <w:panose1 w:val="00000000000000000000"/>
    <w:charset w:val="86"/>
    <w:family w:val="auto"/>
    <w:pitch w:val="variable"/>
    <w:sig w:usb0="00000000" w:usb1="00000000" w:usb2="00000012" w:usb3="00000000" w:csb0="00040001"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EFF" w:usb1="C000785B" w:usb2="00000009" w:usb3="00000000" w:csb0="400001FF" w:csb1="FFFF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0" w:usb1="00000000" w:usb2="00000010" w:usb3="00000000" w:csb0="00040000" w:csb1="00000000"/>
  </w:font>
  <w:font w:name="Cambria">
    <w:panose1 w:val="02040503050406030204"/>
    <w:charset w:val="00"/>
    <w:family w:val="roman"/>
    <w:pitch w:val="variable"/>
    <w:sig w:usb0="E00006FF" w:usb1="420024FF" w:usb2="02000000" w:usb3="00000000" w:csb0="2000019F" w:csb1="00000000"/>
  </w:font>
  <w:font w:name="Calibri">
    <w:panose1 w:val="020F05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8"/>
      <w:tabs>
        <w:tab w:val="center" w:pos="4153"/>
        <w:tab w:val="right" w:pos="8306"/>
      </w:tabs>
      <w:jc w:val="center"/>
    </w:pPr>
    <w:r>
      <w:fldChar w:fldCharType="begin"/>
    </w:r>
    <w:r>
      <w:instrText>PAGE   \* MERGEFORMAT</w:instrText>
    </w:r>
    <w:r>
      <w:fldChar w:fldCharType="separate"/>
    </w:r>
    <w:r>
      <w:rPr>
        <w:lang w:val="zh-CN"/>
      </w:rPr>
      <w:t>2</w:t>
    </w:r>
    <w:r>
      <w:fldChar w:fldCharType="end"/>
    </w:r>
  </w:p>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FFD6E6E5"/>
    <w:multiLevelType w:val="singleLevel"/>
    <w:tmpl w:val="FFD6E6E5"/>
    <w:lvl w:ilvl="0">
      <w:start w:val="1"/>
      <w:numFmt w:val="chineseCounting"/>
      <w:lvlRestart w:val="0"/>
      <w:suff w:val="nothing"/>
      <w:lvlText w:val="%1、"/>
      <w:lvlJc w:val="left"/>
      <w:pPr>
        <w:tabs>
          <w:tab w:val="num" w:pos="0"/>
        </w:tabs>
        <w:ind w:left="0" w:hanging="0"/>
      </w:pPr>
      <w:rPr>
        <w:rFonts w:hint="eastAsia"/>
      </w:rPr>
    </w:lvl>
  </w:abstractNum>
  <w:abstractNum w:abstractNumId="1">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2">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tabs>
          <w:tab w:val="num" w:pos="0"/>
        </w:tabs>
        <w:ind w:left="0" w:hanging="0"/>
      </w:pPr>
      <w:rPr>
        <w:rFonts w:ascii="黑体" w:hAnsi="黑体" w:eastAsia="黑体" w:cs="黑体" w:hint="eastAsia"/>
        <w:sz w:val="44"/>
        <w:szCs w:val="4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28">
    <w:name w:val="List Paragraph"/>
    <w:basedOn w:val="0"/>
    <w:pPr>
      <w:ind w:firstLineChars="200" w:firstLine="200"/>
    </w:pPr>
  </w:style>
  <w:style w:type="character" w:customStyle="1" w:styleId="29">
    <w:name w:val="标题 2 Char"/>
    <w:basedOn w:val="10"/>
    <w:rPr>
      <w:rFonts w:ascii="Cambria" w:eastAsia="宋体" w:cs="Times New Roman" w:hAnsi="Cambria"/>
      <w:b/>
      <w:bCs/>
      <w:kern w:val="2"/>
      <w:sz w:val="32"/>
      <w:szCs w:val="32"/>
    </w:rPr>
  </w:style>
  <w:style w:type="paragraph" w:customStyle="1" w:styleId="30">
    <w:name w:val="TOC 标题1"/>
    <w:basedOn w:val="1"/>
    <w:next w:val="0"/>
    <w:pPr>
      <w:keepNext/>
      <w:keepLines/>
      <w:widowControl/>
      <w:spacing w:before="480" w:after="0" w:line="276" w:lineRule="auto"/>
      <w:jc w:val="left"/>
      <w:outlineLvl w:val="9"/>
    </w:pPr>
    <w:rPr>
      <w:rFonts w:ascii="Cambria" w:eastAsia="宋体" w:cs="Times New Roman" w:hAnsi="Cambria"/>
      <w:color w:val="376092"/>
      <w:kern w:val="0"/>
      <w:sz w:val="28"/>
      <w:szCs w:val="28"/>
    </w:rPr>
  </w:style>
  <w:style w:type="paragraph" w:customStyle="1" w:styleId="31">
    <w:name w:val="TOC 标题2"/>
    <w:basedOn w:val="1"/>
    <w:next w:val="0"/>
    <w:pPr>
      <w:keepNext/>
      <w:keepLines/>
      <w:widowControl/>
      <w:spacing w:before="480" w:after="0" w:line="276" w:lineRule="auto"/>
      <w:jc w:val="left"/>
      <w:outlineLvl w:val="9"/>
    </w:pPr>
    <w:rPr>
      <w:rFonts w:ascii="Cambria" w:eastAsia="宋体" w:cs="Times New Roman" w:hAnsi="Cambria"/>
      <w:color w:val="376092"/>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png"/><Relationship Id="rId5" Type="http://schemas.openxmlformats.org/officeDocument/2006/relationships/image" Target="media/5.png"/><Relationship Id="rId6" Type="http://schemas.openxmlformats.org/officeDocument/2006/relationships/image" Target="media/8.png"/><Relationship Id="rId7" Type="http://schemas.openxmlformats.org/officeDocument/2006/relationships/image" Target="media/11.png"/><Relationship Id="rId8" Type="http://schemas.openxmlformats.org/officeDocument/2006/relationships/image" Target="media/14.png"/><Relationship Id="rId9" Type="http://schemas.openxmlformats.org/officeDocument/2006/relationships/image" Target="media/17.png"/><Relationship Id="rId10" Type="http://schemas.openxmlformats.org/officeDocument/2006/relationships/styles" Target="styles.xml"/><Relationship Id="rId11" Type="http://schemas.openxmlformats.org/officeDocument/2006/relationships/numbering" Target="numbering.xml"/><Relationship Id="rId12"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Application>
  <Pages>24</Pages>
  <Words>8324</Words>
  <Characters>11181</Characters>
  <Lines>554</Lines>
  <Paragraphs>222</Paragraphs>
  <CharactersWithSpaces>11219</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dell</cp:lastModifiedBy>
  <cp:revision>61</cp:revision>
  <cp:lastPrinted>2022-08-07T02:23:00Z</cp:lastPrinted>
  <dcterms:created xsi:type="dcterms:W3CDTF">2020-08-06T01:49:00Z</dcterms:created>
  <dcterms:modified xsi:type="dcterms:W3CDTF">2023-09-26T14:08:48Z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3899AA6409F946048FA5CAFDB375012D</vt:lpwstr>
  </property>
</Properties>
</file>