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1" w:name="_Toc15396597"/>
      <w:bookmarkStart w:id="2" w:name="_Toc10632"/>
      <w:bookmarkStart w:id="3" w:name="_Toc15377193"/>
      <w:bookmarkStart w:id="4" w:name="_Toc16841"/>
      <w:bookmarkStart w:id="5" w:name="_Toc15377425"/>
      <w:bookmarkStart w:id="6" w:name="_Toc15378441"/>
      <w:bookmarkStart w:id="7" w:name="_Toc15396475"/>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56"/>
          <w:szCs w:val="56"/>
          <w:lang w:val="en-US" w:eastAsia="zh-CN"/>
        </w:rPr>
      </w:pPr>
      <w:bookmarkStart w:id="8" w:name="_Toc15306268"/>
      <w:bookmarkStart w:id="9" w:name="_Toc15378442"/>
      <w:bookmarkStart w:id="10" w:name="_Toc15396598"/>
      <w:bookmarkStart w:id="11" w:name="_Toc1169"/>
      <w:bookmarkStart w:id="12" w:name="_Toc15396476"/>
      <w:bookmarkStart w:id="13" w:name="_Toc15377194"/>
      <w:bookmarkStart w:id="14" w:name="_Toc32531"/>
      <w:bookmarkStart w:id="15" w:name="_Toc15377426"/>
      <w:r>
        <w:rPr>
          <w:rFonts w:hint="eastAsia" w:ascii="方正小标宋简体" w:hAnsi="方正小标宋简体" w:eastAsia="方正小标宋简体" w:cs="方正小标宋简体"/>
          <w:sz w:val="56"/>
          <w:szCs w:val="56"/>
          <w:lang w:val="en-US" w:eastAsia="zh-CN"/>
        </w:rPr>
        <w:t>攀枝花市特殊教育学校</w:t>
      </w:r>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单位决算</w:t>
      </w:r>
      <w:bookmarkEnd w:id="8"/>
      <w:bookmarkEnd w:id="9"/>
      <w:bookmarkEnd w:id="10"/>
      <w:bookmarkEnd w:id="11"/>
      <w:bookmarkEnd w:id="12"/>
      <w:bookmarkEnd w:id="13"/>
      <w:bookmarkEnd w:id="14"/>
      <w:bookmarkEnd w:id="15"/>
    </w:p>
    <w:p>
      <w:pPr>
        <w:rPr>
          <w:rFonts w:hint="eastAsia" w:ascii="黑体" w:hAnsi="黑体" w:eastAsia="黑体"/>
          <w:sz w:val="48"/>
          <w:szCs w:val="48"/>
        </w:rPr>
      </w:pPr>
      <w:r>
        <w:rPr>
          <w:rFonts w:ascii="方正小标宋简体" w:hAnsi="宋体" w:eastAsia="方正小标宋简体"/>
          <w:sz w:val="36"/>
          <w:szCs w:val="36"/>
        </w:rPr>
        <w:br w:type="page"/>
      </w:r>
      <w:bookmarkStart w:id="105" w:name="_GoBack"/>
      <w:bookmarkEnd w:id="105"/>
    </w:p>
    <w:sdt>
      <w:sdtPr>
        <w:rPr>
          <w:rFonts w:hint="eastAsia" w:ascii="黑体" w:hAnsi="黑体" w:eastAsia="黑体" w:cs="黑体"/>
          <w:kern w:val="2"/>
          <w:sz w:val="32"/>
          <w:szCs w:val="32"/>
          <w:lang w:val="en-US" w:eastAsia="zh-CN" w:bidi="ar-SA"/>
        </w:rPr>
        <w:id w:val="147470701"/>
        <w15:color w:val="DBDBDB"/>
        <w:docPartObj>
          <w:docPartGallery w:val="Table of Contents"/>
          <w:docPartUnique/>
        </w:docPartObj>
      </w:sdtPr>
      <w:sdtEndPr>
        <w:rPr>
          <w:rFonts w:hint="eastAsia" w:ascii="黑体" w:hAnsi="黑体" w:eastAsia="黑体" w:cs="黑体"/>
          <w:b/>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黑体" w:eastAsia="黑体" w:cs="黑体"/>
              <w:kern w:val="2"/>
              <w:sz w:val="32"/>
              <w:szCs w:val="32"/>
              <w:lang w:val="en-US" w:eastAsia="zh-CN" w:bidi="ar-SA"/>
            </w:rPr>
          </w:pPr>
        </w:p>
        <w:p>
          <w:pPr>
            <w:widowControl/>
            <w:jc w:val="center"/>
            <w:rPr>
              <w:rFonts w:hint="eastAsia" w:ascii="黑体" w:hAnsi="黑体" w:eastAsia="黑体" w:cs="Times New Roman"/>
              <w:sz w:val="48"/>
              <w:szCs w:val="48"/>
            </w:rPr>
          </w:pPr>
          <w:r>
            <w:rPr>
              <w:rFonts w:hint="eastAsia" w:ascii="黑体" w:hAnsi="黑体" w:eastAsia="黑体" w:cs="Times New Roman"/>
              <w:sz w:val="48"/>
              <w:szCs w:val="48"/>
            </w:rPr>
            <w:t>目</w:t>
          </w:r>
          <w:r>
            <w:rPr>
              <w:rFonts w:hint="eastAsia" w:ascii="黑体" w:hAnsi="黑体" w:eastAsia="黑体" w:cs="Times New Roman"/>
              <w:sz w:val="48"/>
              <w:szCs w:val="48"/>
              <w:lang w:val="en-US" w:eastAsia="zh-CN"/>
            </w:rPr>
            <w:t xml:space="preserve">  </w:t>
          </w:r>
          <w:r>
            <w:rPr>
              <w:rFonts w:hint="eastAsia" w:ascii="黑体" w:hAnsi="黑体" w:eastAsia="黑体" w:cs="Times New Roman"/>
              <w:sz w:val="48"/>
              <w:szCs w:val="48"/>
            </w:rPr>
            <w:t>录</w:t>
          </w:r>
        </w:p>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cs="仿宋"/>
              <w:b w:val="0"/>
              <w:bCs w:val="0"/>
              <w:sz w:val="28"/>
              <w:szCs w:val="28"/>
            </w:rPr>
          </w:pPr>
          <w:r>
            <w:rPr>
              <w:rFonts w:hint="eastAsia"/>
              <w:b/>
              <w:bCs/>
              <w:sz w:val="28"/>
              <w:szCs w:val="28"/>
            </w:rPr>
            <w:t>公开时间：</w:t>
          </w:r>
          <w:r>
            <w:rPr>
              <w:rFonts w:hint="eastAsia"/>
              <w:sz w:val="28"/>
              <w:szCs w:val="28"/>
            </w:rPr>
            <w:t>2023年9月</w:t>
          </w:r>
          <w:r>
            <w:rPr>
              <w:sz w:val="28"/>
              <w:szCs w:val="28"/>
            </w:rPr>
            <w:t>1</w:t>
          </w:r>
          <w:r>
            <w:rPr>
              <w:rFonts w:hint="eastAsia"/>
              <w:sz w:val="28"/>
              <w:szCs w:val="28"/>
              <w:lang w:val="en-US" w:eastAsia="zh-CN"/>
            </w:rPr>
            <w:t>5</w:t>
          </w:r>
          <w:r>
            <w:rPr>
              <w:rFonts w:hint="eastAsia"/>
              <w:sz w:val="28"/>
              <w:szCs w:val="28"/>
            </w:rPr>
            <w:t>日</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TOC \o "1-2" \h \u </w:instrText>
          </w:r>
          <w:r>
            <w:rPr>
              <w:rFonts w:hint="eastAsia" w:ascii="仿宋" w:hAnsi="仿宋" w:eastAsia="仿宋" w:cs="仿宋"/>
              <w:b w:val="0"/>
              <w:bCs w:val="0"/>
              <w:sz w:val="28"/>
              <w:szCs w:val="28"/>
            </w:rPr>
            <w:fldChar w:fldCharType="separate"/>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_Toc571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第一部分 单位概况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_Toc571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主要职责</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_Toc66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_Toc10756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二、机构设置</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_Toc10476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第二部分 2022年度单位决算情况说明</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_Toc16540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_Toc24966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 收入决算情况说明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_Toc31522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 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_Toc16337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_Toc19511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五、一般公共预算财政拨款支出决算情况说明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_Toc4472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六、一般公共预算财政拨款基本支出决算情况说明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_Toc20241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七、财政拨款“三公”经费支出决算情况说明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_Toc5832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八、政府性基金预算支出决算情况说明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_Toc27338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 国有资本经营预算支出决算情况说明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_Toc10052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 其他重要事项的情况说明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_Toc23177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第三部分 名词解释</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3</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_Toc4110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第四部分 附件</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5</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_Toc25053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第五部分 附表</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6</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_Toc5353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6</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_Toc9052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二、收入决算表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_Toc9052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_Toc24878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_Toc24878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_Toc3177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_Toc3177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_Toc15380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_Toc15380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_Toc15023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_Toc15023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_Toc28927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七、一般公共预算财政拨款支出决算明细表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_Toc28927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_Toc26327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八、一般公共预算财政拨款基本支出决算表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_Toc26327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_Toc28001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九、一般公共预算财政拨款项目支出决算表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_Toc28001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_Toc19004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十、政府性基金预算财政拨款收入支出决算表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_Toc19004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_Toc10289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十一、国有资本经营预算财政拨款收入支出决算表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_Toc10289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_Toc7921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十二、国有资本经营预算财政拨款支出决算表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_Toc7921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_Toc32326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十三、财政拨款“三公”经费支出决算表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_Toc32326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0"/>
            <w:jc w:val="both"/>
          </w:pPr>
          <w:r>
            <w:rPr>
              <w:rFonts w:hint="eastAsia" w:ascii="仿宋" w:hAnsi="仿宋" w:eastAsia="仿宋" w:cs="仿宋"/>
              <w:b w:val="0"/>
              <w:bCs w:val="0"/>
              <w:sz w:val="28"/>
              <w:szCs w:val="28"/>
            </w:rPr>
            <w:fldChar w:fldCharType="end"/>
          </w:r>
        </w:p>
      </w:sdtContent>
    </w:sdt>
    <w:p>
      <w:pPr>
        <w:pStyle w:val="3"/>
        <w:jc w:val="center"/>
        <w:rPr>
          <w:rStyle w:val="24"/>
          <w:rFonts w:ascii="黑体" w:hAnsi="黑体" w:eastAsia="黑体"/>
          <w:b/>
          <w:bCs w:val="0"/>
        </w:rPr>
      </w:pPr>
      <w:bookmarkStart w:id="16" w:name="_Toc571"/>
      <w:bookmarkStart w:id="17" w:name="_Toc15396599"/>
      <w:bookmarkStart w:id="18" w:name="_Toc15377196"/>
      <w:r>
        <w:rPr>
          <w:rFonts w:hint="eastAsia" w:ascii="黑体" w:hAnsi="黑体" w:eastAsia="黑体"/>
          <w:b w:val="0"/>
        </w:rPr>
        <w:t>第一部分 单位</w:t>
      </w:r>
      <w:r>
        <w:rPr>
          <w:rStyle w:val="24"/>
          <w:rFonts w:hint="eastAsia" w:ascii="黑体" w:hAnsi="黑体" w:eastAsia="黑体"/>
          <w:b w:val="0"/>
          <w:bCs w:val="0"/>
        </w:rPr>
        <w:t>概况</w:t>
      </w:r>
      <w:bookmarkEnd w:id="16"/>
      <w:bookmarkEnd w:id="17"/>
      <w:bookmarkEnd w:id="18"/>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9" w:name="_Toc66"/>
      <w:bookmarkStart w:id="20" w:name="_Toc15396600"/>
      <w:bookmarkStart w:id="21" w:name="_Toc15377197"/>
      <w:r>
        <w:rPr>
          <w:rStyle w:val="25"/>
          <w:rFonts w:hint="eastAsia" w:ascii="黑体" w:hAnsi="黑体" w:eastAsia="黑体"/>
          <w:b w:val="0"/>
          <w:bCs w:val="0"/>
        </w:rPr>
        <w:t>主要职责</w:t>
      </w:r>
      <w:bookmarkEnd w:id="19"/>
    </w:p>
    <w:p>
      <w:pPr>
        <w:widowControl/>
        <w:spacing w:line="600" w:lineRule="exact"/>
        <w:ind w:firstLine="640" w:firstLineChars="200"/>
        <w:rPr>
          <w:rFonts w:hint="eastAsia"/>
        </w:rPr>
      </w:pPr>
      <w:r>
        <w:rPr>
          <w:rFonts w:hint="eastAsia" w:ascii="仿宋_GB2312" w:hAnsi="仿宋" w:eastAsia="仿宋_GB2312"/>
          <w:sz w:val="32"/>
          <w:szCs w:val="32"/>
        </w:rPr>
        <w:t>攀枝花市特殊教育学校校本部位于西区河石坝春风巷2号，学校创办于1982年，是一所为聋哑盲、智障等残疾学生提供教育教学的九年义务教育学校；分校区位于仁和区市康复中心大楼内，于2021年2月起办学，职责是为智力障碍学生提供教学及康复训练。</w:t>
      </w:r>
    </w:p>
    <w:p>
      <w:pPr>
        <w:pStyle w:val="4"/>
        <w:rPr>
          <w:rFonts w:ascii="黑体" w:hAnsi="黑体" w:eastAsia="黑体"/>
          <w:b w:val="0"/>
        </w:rPr>
      </w:pPr>
      <w:bookmarkStart w:id="22" w:name="_Toc10756"/>
      <w:r>
        <w:rPr>
          <w:rFonts w:hint="eastAsia" w:ascii="黑体" w:hAnsi="黑体" w:eastAsia="黑体"/>
          <w:b w:val="0"/>
        </w:rPr>
        <w:t>二、机构设置</w:t>
      </w:r>
      <w:bookmarkEnd w:id="22"/>
    </w:p>
    <w:bookmarkEnd w:id="20"/>
    <w:bookmarkEnd w:id="21"/>
    <w:p>
      <w:pPr>
        <w:widowControl/>
        <w:jc w:val="left"/>
        <w:rPr>
          <w:rFonts w:hint="eastAsia" w:ascii="仿宋" w:hAnsi="仿宋" w:eastAsia="仿宋"/>
          <w:color w:val="auto"/>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color w:val="auto"/>
          <w:sz w:val="32"/>
          <w:szCs w:val="32"/>
          <w:lang w:val="en-US" w:eastAsia="zh-CN"/>
        </w:rPr>
        <w:t xml:space="preserve"> 市特校是财务独立财政全额拨款事业单位，机构数9个。</w:t>
      </w:r>
    </w:p>
    <w:p>
      <w:pPr>
        <w:widowControl/>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2022年我校有43名教职工，当年新增2人，相比2021年41人增加了2人。</w:t>
      </w:r>
    </w:p>
    <w:p>
      <w:pPr>
        <w:widowControl/>
        <w:ind w:firstLine="640" w:firstLineChars="200"/>
        <w:jc w:val="left"/>
        <w:rPr>
          <w:rFonts w:ascii="仿宋" w:hAnsi="仿宋" w:eastAsia="仿宋"/>
          <w:kern w:val="0"/>
          <w:sz w:val="32"/>
          <w:szCs w:val="32"/>
        </w:rPr>
      </w:pPr>
      <w:r>
        <w:rPr>
          <w:rFonts w:hint="eastAsia" w:ascii="仿宋" w:hAnsi="仿宋" w:eastAsia="仿宋"/>
          <w:color w:val="auto"/>
          <w:sz w:val="32"/>
          <w:szCs w:val="32"/>
          <w:lang w:val="en-US" w:eastAsia="zh-CN"/>
        </w:rPr>
        <w:t>攀枝花市特殊教育学校下属非独立核算单位0个，其中行政单位0个，参照公务员法管理的事业单位0个，其他事业单位0个。</w:t>
      </w:r>
      <w:r>
        <w:rPr>
          <w:rFonts w:ascii="仿宋" w:hAnsi="仿宋" w:eastAsia="仿宋"/>
          <w:sz w:val="32"/>
          <w:szCs w:val="32"/>
        </w:rPr>
        <w:br w:type="page"/>
      </w:r>
    </w:p>
    <w:p>
      <w:pPr>
        <w:pStyle w:val="3"/>
        <w:ind w:right="440"/>
        <w:jc w:val="center"/>
        <w:rPr>
          <w:rStyle w:val="24"/>
          <w:rFonts w:ascii="黑体" w:hAnsi="黑体" w:eastAsia="黑体"/>
          <w:b w:val="0"/>
          <w:bCs/>
        </w:rPr>
      </w:pPr>
      <w:bookmarkStart w:id="23" w:name="_Toc15396602"/>
      <w:bookmarkStart w:id="24" w:name="_Toc10476"/>
      <w:bookmarkStart w:id="25"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
      <w:pPr>
        <w:pStyle w:val="23"/>
        <w:numPr>
          <w:ilvl w:val="0"/>
          <w:numId w:val="2"/>
        </w:numPr>
        <w:spacing w:line="600" w:lineRule="exact"/>
        <w:ind w:firstLineChars="0"/>
        <w:outlineLvl w:val="1"/>
        <w:rPr>
          <w:rStyle w:val="25"/>
          <w:rFonts w:ascii="黑体" w:hAnsi="黑体" w:eastAsia="黑体"/>
          <w:b w:val="0"/>
        </w:rPr>
      </w:pPr>
      <w:bookmarkStart w:id="26" w:name="_Toc15396603"/>
      <w:bookmarkStart w:id="27" w:name="_Toc16540"/>
      <w:bookmarkStart w:id="28"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1125.03</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85.55</w:t>
      </w:r>
      <w:r>
        <w:rPr>
          <w:rFonts w:hint="eastAsia" w:ascii="仿宋" w:hAnsi="仿宋" w:eastAsia="仿宋"/>
          <w:sz w:val="32"/>
          <w:szCs w:val="32"/>
        </w:rPr>
        <w:t>万元，增长</w:t>
      </w:r>
      <w:r>
        <w:rPr>
          <w:rFonts w:hint="eastAsia" w:ascii="仿宋" w:hAnsi="仿宋" w:eastAsia="仿宋"/>
          <w:sz w:val="32"/>
          <w:szCs w:val="32"/>
          <w:lang w:val="en-US" w:eastAsia="zh-CN"/>
        </w:rPr>
        <w:t>8.23</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pPr>
      <w:r>
        <w:rPr>
          <w:rFonts w:hint="eastAsia"/>
          <w:u w:val="none"/>
          <w:lang w:val="en-US" w:eastAsia="zh-CN"/>
        </w:rPr>
        <w:t xml:space="preserve">  </w:t>
      </w:r>
      <w:r>
        <w:rPr>
          <w:u w:val="none"/>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9" w:name="_Toc15377206"/>
      <w:bookmarkStart w:id="30" w:name="_Toc24966"/>
      <w:bookmarkStart w:id="31" w:name="_Toc15396604"/>
      <w:r>
        <w:rPr>
          <w:rFonts w:hint="eastAsia" w:ascii="黑体" w:hAnsi="黑体" w:eastAsia="黑体"/>
          <w:sz w:val="32"/>
          <w:szCs w:val="32"/>
        </w:rPr>
        <w:t>收</w:t>
      </w:r>
      <w:r>
        <w:rPr>
          <w:rStyle w:val="25"/>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5962"/>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1120.76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1118.76</w:t>
      </w:r>
      <w:r>
        <w:rPr>
          <w:rFonts w:hint="eastAsia" w:ascii="仿宋" w:hAnsi="仿宋" w:eastAsia="仿宋"/>
          <w:sz w:val="32"/>
          <w:szCs w:val="32"/>
        </w:rPr>
        <w:t>万元，占</w:t>
      </w:r>
      <w:r>
        <w:rPr>
          <w:rFonts w:hint="eastAsia" w:ascii="仿宋" w:hAnsi="仿宋" w:eastAsia="仿宋"/>
          <w:sz w:val="32"/>
          <w:szCs w:val="32"/>
          <w:lang w:val="en-US" w:eastAsia="zh-CN"/>
        </w:rPr>
        <w:t>99.82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w:t>
      </w:r>
      <w:r>
        <w:rPr>
          <w:rFonts w:hint="eastAsia" w:ascii="仿宋" w:hAnsi="仿宋" w:eastAsia="仿宋"/>
          <w:sz w:val="32"/>
          <w:szCs w:val="32"/>
        </w:rPr>
        <w:t>万元，占</w:t>
      </w:r>
      <w:r>
        <w:rPr>
          <w:rFonts w:hint="eastAsia" w:ascii="仿宋" w:hAnsi="仿宋" w:eastAsia="仿宋"/>
          <w:sz w:val="32"/>
          <w:szCs w:val="32"/>
          <w:lang w:val="en-US" w:eastAsia="zh-CN"/>
        </w:rPr>
        <w:t>0.18</w:t>
      </w:r>
      <w:r>
        <w:rPr>
          <w:rFonts w:ascii="仿宋" w:hAnsi="仿宋" w:eastAsia="仿宋"/>
          <w:sz w:val="32"/>
          <w:szCs w:val="32"/>
        </w:rPr>
        <w:t>%</w:t>
      </w:r>
      <w:r>
        <w:rPr>
          <w:rFonts w:hint="eastAsia" w:ascii="仿宋" w:hAnsi="仿宋" w:eastAsia="仿宋"/>
          <w:sz w:val="32"/>
          <w:szCs w:val="32"/>
        </w:rPr>
        <w:t>。</w:t>
      </w:r>
      <w:bookmarkEnd w:id="32"/>
    </w:p>
    <w:p>
      <w:pPr>
        <w:spacing w:line="600" w:lineRule="exact"/>
        <w:ind w:firstLine="640" w:firstLineChars="200"/>
        <w:jc w:val="center"/>
        <w:rPr>
          <w:rFonts w:ascii="仿宋_GB2312" w:eastAsia="仿宋_GB2312"/>
          <w:color w:val="auto"/>
          <w:sz w:val="32"/>
          <w:szCs w:val="32"/>
        </w:rPr>
      </w:pPr>
      <w:r>
        <w:rPr>
          <w:rFonts w:hint="eastAsia" w:ascii="仿宋" w:hAnsi="仿宋" w:eastAsia="仿宋"/>
          <w:color w:val="auto"/>
          <w:sz w:val="32"/>
          <w:szCs w:val="32"/>
        </w:rPr>
        <w:t>（图2：收入决算结构图）</w:t>
      </w:r>
    </w:p>
    <w:p>
      <w:pPr>
        <w:pStyle w:val="2"/>
        <w:rPr>
          <w:rFonts w:ascii="仿宋_GB2312" w:eastAsia="仿宋_GB2312"/>
          <w:sz w:val="32"/>
          <w:szCs w:val="32"/>
        </w:rPr>
      </w:pPr>
      <w:r>
        <w:rPr>
          <w:rFonts w:hint="eastAsia"/>
          <w:lang w:val="en-US" w:eastAsia="zh-CN"/>
        </w:rPr>
        <w:t xml:space="preserve">    </w:t>
      </w: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33" w:name="_Toc31522"/>
      <w:bookmarkStart w:id="34" w:name="_Toc15377207"/>
      <w:bookmarkStart w:id="35" w:name="_Toc15396605"/>
      <w:r>
        <w:rPr>
          <w:rFonts w:hint="eastAsia" w:ascii="黑体" w:hAnsi="黑体" w:eastAsia="黑体"/>
          <w:sz w:val="32"/>
          <w:szCs w:val="32"/>
        </w:rPr>
        <w:t>支</w:t>
      </w:r>
      <w:r>
        <w:rPr>
          <w:rStyle w:val="25"/>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shd w:val="pct10" w:color="auto" w:fill="FFFFFF"/>
        </w:rPr>
      </w:pPr>
      <w:bookmarkStart w:id="36" w:name="_Toc5150"/>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1125.03</w:t>
      </w:r>
      <w:r>
        <w:rPr>
          <w:rFonts w:hint="eastAsia" w:ascii="仿宋" w:hAnsi="仿宋" w:eastAsia="仿宋"/>
          <w:sz w:val="32"/>
          <w:szCs w:val="32"/>
        </w:rPr>
        <w:t>万元，其中：基本支出</w:t>
      </w:r>
      <w:r>
        <w:rPr>
          <w:rFonts w:hint="eastAsia" w:ascii="仿宋" w:hAnsi="仿宋" w:eastAsia="仿宋"/>
          <w:sz w:val="32"/>
          <w:szCs w:val="32"/>
          <w:lang w:val="en-US" w:eastAsia="zh-CN"/>
        </w:rPr>
        <w:t>913.01</w:t>
      </w:r>
      <w:r>
        <w:rPr>
          <w:rFonts w:hint="eastAsia" w:ascii="仿宋" w:hAnsi="仿宋" w:eastAsia="仿宋"/>
          <w:sz w:val="32"/>
          <w:szCs w:val="32"/>
        </w:rPr>
        <w:t>万元，占</w:t>
      </w:r>
      <w:r>
        <w:rPr>
          <w:rFonts w:hint="eastAsia" w:ascii="仿宋" w:hAnsi="仿宋" w:eastAsia="仿宋"/>
          <w:sz w:val="32"/>
          <w:szCs w:val="32"/>
          <w:lang w:val="en-US" w:eastAsia="zh-CN"/>
        </w:rPr>
        <w:t>81.15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212.02</w:t>
      </w:r>
      <w:r>
        <w:rPr>
          <w:rFonts w:hint="eastAsia" w:ascii="仿宋" w:hAnsi="仿宋" w:eastAsia="仿宋"/>
          <w:sz w:val="32"/>
          <w:szCs w:val="32"/>
        </w:rPr>
        <w:t>万元，占</w:t>
      </w:r>
      <w:r>
        <w:rPr>
          <w:rFonts w:hint="eastAsia" w:ascii="仿宋" w:hAnsi="仿宋" w:eastAsia="仿宋"/>
          <w:sz w:val="32"/>
          <w:szCs w:val="32"/>
          <w:lang w:val="en-US" w:eastAsia="zh-CN"/>
        </w:rPr>
        <w:t>18.85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6"/>
    </w:p>
    <w:p>
      <w:pPr>
        <w:spacing w:line="600" w:lineRule="exact"/>
        <w:ind w:firstLine="640" w:firstLineChars="200"/>
        <w:jc w:val="center"/>
        <w:rPr>
          <w:rFonts w:hint="eastAsia" w:ascii="仿宋" w:hAnsi="仿宋" w:eastAsia="仿宋"/>
          <w:color w:val="auto"/>
          <w:sz w:val="32"/>
          <w:szCs w:val="32"/>
        </w:rPr>
      </w:pPr>
    </w:p>
    <w:p>
      <w:pPr>
        <w:spacing w:line="600" w:lineRule="exact"/>
        <w:ind w:firstLine="640" w:firstLineChars="200"/>
        <w:jc w:val="center"/>
        <w:rPr>
          <w:rFonts w:ascii="仿宋" w:hAnsi="仿宋" w:eastAsia="仿宋"/>
          <w:color w:val="auto"/>
          <w:sz w:val="32"/>
          <w:szCs w:val="32"/>
        </w:rPr>
      </w:pPr>
      <w:r>
        <w:rPr>
          <w:rFonts w:hint="eastAsia" w:ascii="仿宋" w:hAnsi="仿宋" w:eastAsia="仿宋"/>
          <w:color w:val="auto"/>
          <w:sz w:val="32"/>
          <w:szCs w:val="32"/>
        </w:rPr>
        <w:t>（图3：支出决算结构图）</w:t>
      </w:r>
      <w:r>
        <w:rPr>
          <w:rFonts w:hint="eastAsia" w:ascii="仿宋" w:hAnsi="仿宋" w:eastAsia="仿宋"/>
          <w:color w:val="auto"/>
          <w:sz w:val="32"/>
          <w:szCs w:val="32"/>
          <w:lang w:val="en-US" w:eastAsia="zh-CN"/>
        </w:rPr>
        <w:t>单位：万元</w:t>
      </w:r>
    </w:p>
    <w:p>
      <w:pPr>
        <w:pStyle w:val="2"/>
        <w:rPr>
          <w:rFonts w:hint="eastAsia" w:ascii="黑体" w:hAnsi="黑体" w:eastAsia="黑体"/>
          <w:sz w:val="32"/>
          <w:szCs w:val="32"/>
        </w:rPr>
      </w:pPr>
      <w:r>
        <w:rPr>
          <w:rFonts w:hint="eastAsia"/>
          <w:lang w:val="en-US" w:eastAsia="zh-CN"/>
        </w:rPr>
        <w:t xml:space="preserve">    </w:t>
      </w:r>
      <w:r>
        <w:drawing>
          <wp:inline distT="0" distB="0" distL="114300" distR="114300">
            <wp:extent cx="4572000" cy="2743200"/>
            <wp:effectExtent l="4445" t="4445" r="14605" b="14605"/>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7" w:name="_Toc15377208"/>
      <w:bookmarkStart w:id="38" w:name="_Toc16337"/>
      <w:bookmarkStart w:id="39" w:name="_Toc15396606"/>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7"/>
      <w:bookmarkEnd w:id="38"/>
      <w:bookmarkEnd w:id="39"/>
    </w:p>
    <w:p>
      <w:pPr>
        <w:spacing w:line="600" w:lineRule="exact"/>
        <w:ind w:firstLine="640"/>
        <w:rPr>
          <w:rFonts w:hint="default"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rPr>
        <w:t>22年财政拨款收、支总计</w:t>
      </w:r>
      <w:r>
        <w:rPr>
          <w:rFonts w:hint="eastAsia" w:ascii="仿宋" w:hAnsi="仿宋" w:eastAsia="仿宋"/>
          <w:color w:val="auto"/>
          <w:sz w:val="32"/>
          <w:szCs w:val="32"/>
          <w:lang w:val="en-US" w:eastAsia="zh-CN"/>
        </w:rPr>
        <w:t>1120.09</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21年相比，财政拨款收、支总计各</w:t>
      </w:r>
      <w:r>
        <w:rPr>
          <w:rFonts w:hint="eastAsia" w:ascii="仿宋" w:hAnsi="仿宋" w:eastAsia="仿宋"/>
          <w:color w:val="auto"/>
          <w:sz w:val="32"/>
          <w:szCs w:val="32"/>
          <w:lang w:val="en-US" w:eastAsia="zh-CN"/>
        </w:rPr>
        <w:t>增加99.52</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9.75</w:t>
      </w:r>
      <w:r>
        <w:rPr>
          <w:rFonts w:ascii="仿宋" w:hAnsi="仿宋" w:eastAsia="仿宋"/>
          <w:color w:val="auto"/>
          <w:sz w:val="32"/>
          <w:szCs w:val="32"/>
        </w:rPr>
        <w:t>%</w:t>
      </w:r>
      <w:r>
        <w:rPr>
          <w:rFonts w:hint="eastAsia" w:ascii="仿宋" w:hAnsi="仿宋" w:eastAsia="仿宋"/>
          <w:color w:val="auto"/>
          <w:sz w:val="32"/>
          <w:szCs w:val="32"/>
        </w:rPr>
        <w:t>。主要</w:t>
      </w:r>
      <w:r>
        <w:rPr>
          <w:rFonts w:hint="eastAsia" w:ascii="仿宋" w:hAnsi="仿宋" w:eastAsia="仿宋"/>
          <w:sz w:val="32"/>
          <w:szCs w:val="32"/>
        </w:rPr>
        <w:t>是</w:t>
      </w:r>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spacing w:line="600" w:lineRule="exact"/>
        <w:jc w:val="both"/>
        <w:rPr>
          <w:rFonts w:ascii="仿宋" w:hAnsi="仿宋" w:eastAsia="仿宋"/>
          <w:b/>
          <w:sz w:val="32"/>
          <w:szCs w:val="32"/>
        </w:rPr>
      </w:pPr>
      <w:r>
        <w:rPr>
          <w:rFonts w:hint="eastAsia" w:ascii="仿宋" w:hAnsi="仿宋" w:eastAsia="仿宋"/>
          <w:color w:val="auto"/>
          <w:sz w:val="32"/>
          <w:szCs w:val="32"/>
        </w:rPr>
        <w:t>（图4：财政拨款收、支决算总计变动情况）</w:t>
      </w:r>
      <w:r>
        <w:rPr>
          <w:rFonts w:hint="eastAsia" w:ascii="仿宋" w:hAnsi="仿宋" w:eastAsia="仿宋"/>
          <w:color w:val="auto"/>
          <w:sz w:val="32"/>
          <w:szCs w:val="32"/>
          <w:lang w:val="en-US" w:eastAsia="zh-CN"/>
        </w:rPr>
        <w:t>单位：万元</w:t>
      </w:r>
    </w:p>
    <w:p>
      <w:pPr>
        <w:pStyle w:val="2"/>
        <w:rPr>
          <w:rFonts w:ascii="仿宋" w:hAnsi="仿宋" w:eastAsia="仿宋"/>
          <w:b/>
          <w:sz w:val="32"/>
          <w:szCs w:val="32"/>
        </w:rPr>
      </w:pPr>
      <w:r>
        <w:rPr>
          <w:rFonts w:hint="eastAsia"/>
          <w:lang w:val="en-US" w:eastAsia="zh-CN"/>
        </w:rPr>
        <w:t xml:space="preserve">    </w:t>
      </w: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5"/>
          <w:rFonts w:ascii="黑体" w:hAnsi="黑体" w:eastAsia="黑体"/>
          <w:b w:val="0"/>
        </w:rPr>
      </w:pPr>
      <w:bookmarkStart w:id="40" w:name="_Toc15396607"/>
      <w:bookmarkStart w:id="41" w:name="_Toc15377209"/>
      <w:bookmarkStart w:id="42" w:name="_Toc19511"/>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1120.09</w:t>
      </w:r>
      <w:r>
        <w:rPr>
          <w:rFonts w:hint="eastAsia" w:ascii="仿宋" w:hAnsi="仿宋" w:eastAsia="仿宋"/>
          <w:sz w:val="32"/>
          <w:szCs w:val="32"/>
        </w:rPr>
        <w:t>万元，占本年支出合计的</w:t>
      </w:r>
      <w:r>
        <w:rPr>
          <w:rFonts w:hint="eastAsia" w:ascii="仿宋" w:hAnsi="仿宋" w:eastAsia="仿宋"/>
          <w:sz w:val="32"/>
          <w:szCs w:val="32"/>
          <w:lang w:val="en-US" w:eastAsia="zh-CN"/>
        </w:rPr>
        <w:t>99.56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99.52</w:t>
      </w:r>
      <w:r>
        <w:rPr>
          <w:rFonts w:hint="eastAsia" w:ascii="仿宋" w:hAnsi="仿宋" w:eastAsia="仿宋"/>
          <w:sz w:val="32"/>
          <w:szCs w:val="32"/>
        </w:rPr>
        <w:t>万元，增长</w:t>
      </w:r>
      <w:r>
        <w:rPr>
          <w:rFonts w:hint="eastAsia" w:ascii="仿宋" w:hAnsi="仿宋" w:eastAsia="仿宋"/>
          <w:sz w:val="32"/>
          <w:szCs w:val="32"/>
          <w:lang w:val="en-US" w:eastAsia="zh-CN"/>
        </w:rPr>
        <w:t>9.75</w:t>
      </w:r>
      <w:r>
        <w:rPr>
          <w:rFonts w:ascii="仿宋" w:hAnsi="仿宋" w:eastAsia="仿宋"/>
          <w:sz w:val="32"/>
          <w:szCs w:val="32"/>
        </w:rPr>
        <w:t>%</w:t>
      </w:r>
      <w:r>
        <w:rPr>
          <w:rFonts w:hint="eastAsia" w:ascii="仿宋" w:hAnsi="仿宋" w:eastAsia="仿宋"/>
          <w:sz w:val="32"/>
          <w:szCs w:val="32"/>
        </w:rPr>
        <w:t>。主要变动原因是是</w:t>
      </w:r>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spacing w:line="600" w:lineRule="exact"/>
        <w:jc w:val="center"/>
        <w:rPr>
          <w:rFonts w:hint="eastAsia"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pStyle w:val="2"/>
        <w:rPr>
          <w:rFonts w:ascii="仿宋" w:hAnsi="仿宋" w:eastAsia="仿宋"/>
          <w:sz w:val="32"/>
          <w:szCs w:val="32"/>
        </w:rPr>
      </w:pPr>
      <w:r>
        <w:rPr>
          <w:rFonts w:hint="eastAsia"/>
          <w:lang w:val="en-US" w:eastAsia="zh-CN"/>
        </w:rPr>
        <w:t xml:space="preserve">    </w:t>
      </w:r>
      <w:r>
        <w:drawing>
          <wp:inline distT="0" distB="0" distL="114300" distR="114300">
            <wp:extent cx="4572000" cy="2743200"/>
            <wp:effectExtent l="4445" t="4445" r="14605" b="14605"/>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hint="eastAsia" w:ascii="仿宋" w:hAnsi="仿宋" w:eastAsia="仿宋"/>
          <w:b/>
          <w:sz w:val="32"/>
          <w:szCs w:val="32"/>
          <w:lang w:val="en-US" w:eastAsia="zh-CN"/>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rPr>
          <w:rFonts w:ascii="仿宋" w:hAnsi="仿宋" w:eastAsia="仿宋"/>
          <w:b/>
          <w:sz w:val="32"/>
          <w:szCs w:val="32"/>
        </w:rPr>
      </w:pPr>
      <w:r>
        <w:drawing>
          <wp:anchor distT="0" distB="0" distL="114300" distR="114300" simplePos="0" relativeHeight="251659264" behindDoc="0" locked="0" layoutInCell="1" allowOverlap="1">
            <wp:simplePos x="0" y="0"/>
            <wp:positionH relativeFrom="column">
              <wp:posOffset>394970</wp:posOffset>
            </wp:positionH>
            <wp:positionV relativeFrom="paragraph">
              <wp:posOffset>166370</wp:posOffset>
            </wp:positionV>
            <wp:extent cx="4572000" cy="2800350"/>
            <wp:effectExtent l="4445" t="4445" r="14605" b="1460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1120.09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951.03</w:t>
      </w:r>
      <w:r>
        <w:rPr>
          <w:rFonts w:hint="eastAsia" w:ascii="仿宋" w:hAnsi="仿宋" w:eastAsia="仿宋"/>
          <w:sz w:val="32"/>
          <w:szCs w:val="32"/>
        </w:rPr>
        <w:t>万元，占</w:t>
      </w:r>
      <w:r>
        <w:rPr>
          <w:rFonts w:hint="eastAsia" w:ascii="仿宋" w:hAnsi="仿宋" w:eastAsia="仿宋"/>
          <w:sz w:val="32"/>
          <w:szCs w:val="32"/>
          <w:lang w:val="en-US" w:eastAsia="zh-CN"/>
        </w:rPr>
        <w:t>84.91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val="0"/>
          <w:bCs w:val="0"/>
          <w:sz w:val="32"/>
          <w:szCs w:val="32"/>
          <w:lang w:val="en-US" w:eastAsia="zh-CN"/>
        </w:rPr>
        <w:t>95.99</w:t>
      </w:r>
      <w:r>
        <w:rPr>
          <w:rFonts w:hint="eastAsia" w:ascii="仿宋" w:hAnsi="仿宋" w:eastAsia="仿宋"/>
          <w:sz w:val="32"/>
          <w:szCs w:val="32"/>
        </w:rPr>
        <w:t>万元，占</w:t>
      </w:r>
      <w:r>
        <w:rPr>
          <w:rFonts w:hint="eastAsia" w:ascii="仿宋" w:hAnsi="仿宋" w:eastAsia="仿宋"/>
          <w:sz w:val="32"/>
          <w:szCs w:val="32"/>
          <w:lang w:val="en-US" w:eastAsia="zh-CN"/>
        </w:rPr>
        <w:t>8.57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73.07</w:t>
      </w:r>
      <w:r>
        <w:rPr>
          <w:rFonts w:hint="eastAsia" w:ascii="仿宋" w:hAnsi="仿宋" w:eastAsia="仿宋"/>
          <w:sz w:val="32"/>
          <w:szCs w:val="32"/>
        </w:rPr>
        <w:t>万元，占</w:t>
      </w:r>
      <w:r>
        <w:rPr>
          <w:rFonts w:hint="eastAsia" w:ascii="仿宋" w:hAnsi="仿宋" w:eastAsia="仿宋"/>
          <w:sz w:val="32"/>
          <w:szCs w:val="32"/>
          <w:lang w:val="en-US" w:eastAsia="zh-CN"/>
        </w:rPr>
        <w:t>6.52</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sz w:val="32"/>
          <w:szCs w:val="32"/>
        </w:rPr>
      </w:pPr>
      <w:r>
        <w:rPr>
          <w:rFonts w:hint="eastAsia"/>
          <w:lang w:val="en-US" w:eastAsia="zh-CN"/>
        </w:rPr>
        <w:t xml:space="preserve">   </w:t>
      </w:r>
      <w:r>
        <w:drawing>
          <wp:inline distT="0" distB="0" distL="114300" distR="114300">
            <wp:extent cx="4572000" cy="2743200"/>
            <wp:effectExtent l="4445" t="4445" r="14605" b="14605"/>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3" w:firstLineChars="200"/>
        <w:outlineLvl w:val="1"/>
        <w:rPr>
          <w:rFonts w:ascii="仿宋" w:hAnsi="仿宋" w:eastAsia="仿宋"/>
          <w:sz w:val="32"/>
          <w:szCs w:val="32"/>
        </w:rPr>
      </w:pPr>
      <w:bookmarkStart w:id="46" w:name="_Toc15378460"/>
      <w:bookmarkStart w:id="47" w:name="_Toc15377444"/>
      <w:bookmarkStart w:id="48" w:name="_Toc15377213"/>
      <w:bookmarkStart w:id="49" w:name="_Toc2412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1120.09万元</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46"/>
      <w:bookmarkEnd w:id="47"/>
      <w:bookmarkEnd w:id="48"/>
      <w:bookmarkEnd w:id="49"/>
    </w:p>
    <w:p>
      <w:pPr>
        <w:numPr>
          <w:ilvl w:val="0"/>
          <w:numId w:val="0"/>
        </w:numPr>
        <w:spacing w:line="600" w:lineRule="exact"/>
        <w:ind w:firstLine="643" w:firstLineChars="200"/>
        <w:rPr>
          <w:rStyle w:val="14"/>
          <w:rFonts w:hint="eastAsia" w:ascii="仿宋" w:hAnsi="仿宋" w:eastAsia="仿宋" w:cstheme="minorBidi"/>
          <w:b w:val="0"/>
          <w:bCs w:val="0"/>
          <w:sz w:val="32"/>
          <w:szCs w:val="32"/>
        </w:rPr>
      </w:pPr>
      <w:r>
        <w:rPr>
          <w:rStyle w:val="14"/>
          <w:rFonts w:hint="eastAsia" w:ascii="仿宋" w:hAnsi="仿宋" w:eastAsia="仿宋" w:cstheme="minorBidi"/>
          <w:bCs/>
          <w:sz w:val="32"/>
          <w:szCs w:val="32"/>
          <w:lang w:val="en-US" w:eastAsia="zh-CN"/>
        </w:rPr>
        <w:t>1.</w:t>
      </w:r>
      <w:r>
        <w:rPr>
          <w:rStyle w:val="14"/>
          <w:rFonts w:hint="eastAsia" w:ascii="仿宋" w:hAnsi="仿宋" w:eastAsia="仿宋" w:cstheme="minorBidi"/>
          <w:bCs/>
          <w:sz w:val="32"/>
          <w:szCs w:val="32"/>
        </w:rPr>
        <w:t>教育（类）</w:t>
      </w:r>
      <w:r>
        <w:rPr>
          <w:rStyle w:val="14"/>
          <w:rFonts w:hint="eastAsia" w:ascii="仿宋" w:hAnsi="仿宋" w:eastAsia="仿宋" w:cstheme="minorBidi"/>
          <w:bCs/>
          <w:sz w:val="32"/>
          <w:szCs w:val="32"/>
          <w:lang w:val="en-US" w:eastAsia="zh-CN"/>
        </w:rPr>
        <w:t>特殊教育</w:t>
      </w:r>
      <w:r>
        <w:rPr>
          <w:rStyle w:val="14"/>
          <w:rFonts w:hint="eastAsia" w:ascii="仿宋" w:hAnsi="仿宋" w:eastAsia="仿宋" w:cstheme="minorBidi"/>
          <w:bCs/>
          <w:sz w:val="32"/>
          <w:szCs w:val="32"/>
        </w:rPr>
        <w:t>（款）</w:t>
      </w:r>
      <w:r>
        <w:rPr>
          <w:rStyle w:val="14"/>
          <w:rFonts w:hint="eastAsia" w:ascii="仿宋" w:hAnsi="仿宋" w:eastAsia="仿宋" w:cstheme="minorBidi"/>
          <w:bCs/>
          <w:sz w:val="32"/>
          <w:szCs w:val="32"/>
          <w:lang w:val="en-US" w:eastAsia="zh-CN"/>
        </w:rPr>
        <w:t>特殊学校教育</w:t>
      </w:r>
      <w:r>
        <w:rPr>
          <w:rStyle w:val="14"/>
          <w:rFonts w:hint="eastAsia" w:ascii="仿宋" w:hAnsi="仿宋" w:eastAsia="仿宋" w:cstheme="minorBidi"/>
          <w:bCs/>
          <w:sz w:val="32"/>
          <w:szCs w:val="32"/>
        </w:rPr>
        <w:t>（项）</w:t>
      </w:r>
      <w:r>
        <w:rPr>
          <w:rStyle w:val="14"/>
          <w:rFonts w:ascii="仿宋" w:hAnsi="仿宋" w:eastAsia="仿宋" w:cstheme="minorBidi"/>
          <w:bCs/>
          <w:sz w:val="32"/>
          <w:szCs w:val="32"/>
        </w:rPr>
        <w:t xml:space="preserve">: </w:t>
      </w:r>
      <w:r>
        <w:rPr>
          <w:rStyle w:val="14"/>
          <w:rFonts w:hint="eastAsia" w:ascii="仿宋" w:hAnsi="仿宋" w:eastAsia="仿宋" w:cstheme="minorBidi"/>
          <w:b w:val="0"/>
          <w:bCs w:val="0"/>
          <w:sz w:val="32"/>
          <w:szCs w:val="32"/>
        </w:rPr>
        <w:t>支出决算为</w:t>
      </w:r>
      <w:r>
        <w:rPr>
          <w:rStyle w:val="14"/>
          <w:rFonts w:hint="eastAsia" w:ascii="仿宋" w:hAnsi="仿宋" w:eastAsia="仿宋" w:cstheme="minorBidi"/>
          <w:b w:val="0"/>
          <w:bCs w:val="0"/>
          <w:sz w:val="32"/>
          <w:szCs w:val="32"/>
          <w:lang w:val="en-US" w:eastAsia="zh-CN"/>
        </w:rPr>
        <w:t>951.03</w:t>
      </w:r>
      <w:r>
        <w:rPr>
          <w:rStyle w:val="14"/>
          <w:rFonts w:hint="eastAsia" w:ascii="仿宋" w:hAnsi="仿宋" w:eastAsia="仿宋" w:cstheme="minorBidi"/>
          <w:b w:val="0"/>
          <w:bCs w:val="0"/>
          <w:sz w:val="32"/>
          <w:szCs w:val="32"/>
        </w:rPr>
        <w:t>万元，完成预算</w:t>
      </w:r>
      <w:r>
        <w:rPr>
          <w:rStyle w:val="14"/>
          <w:rFonts w:hint="eastAsia" w:ascii="仿宋" w:hAnsi="仿宋" w:eastAsia="仿宋" w:cstheme="minorBidi"/>
          <w:b w:val="0"/>
          <w:bCs w:val="0"/>
          <w:sz w:val="32"/>
          <w:szCs w:val="32"/>
          <w:lang w:val="en-US" w:eastAsia="zh-CN"/>
        </w:rPr>
        <w:t>100</w:t>
      </w:r>
      <w:r>
        <w:rPr>
          <w:rStyle w:val="14"/>
          <w:rFonts w:ascii="仿宋" w:hAnsi="仿宋" w:eastAsia="仿宋" w:cstheme="minorBidi"/>
          <w:b w:val="0"/>
          <w:bCs w:val="0"/>
          <w:sz w:val="32"/>
          <w:szCs w:val="32"/>
        </w:rPr>
        <w:t>%</w:t>
      </w:r>
      <w:r>
        <w:rPr>
          <w:rStyle w:val="14"/>
          <w:rFonts w:hint="eastAsia" w:ascii="仿宋" w:hAnsi="仿宋" w:eastAsia="仿宋" w:cstheme="minorBidi"/>
          <w:b w:val="0"/>
          <w:bCs w:val="0"/>
          <w:sz w:val="32"/>
          <w:szCs w:val="32"/>
        </w:rPr>
        <w:t>。</w:t>
      </w:r>
    </w:p>
    <w:p>
      <w:pPr>
        <w:numPr>
          <w:ilvl w:val="0"/>
          <w:numId w:val="0"/>
        </w:numPr>
        <w:spacing w:line="600" w:lineRule="exact"/>
        <w:ind w:firstLine="643" w:firstLineChars="200"/>
        <w:rPr>
          <w:rStyle w:val="14"/>
          <w:rFonts w:hint="eastAsia" w:ascii="仿宋" w:hAnsi="仿宋" w:eastAsia="仿宋" w:cstheme="minorBidi"/>
          <w:b w:val="0"/>
          <w:bCs w:val="0"/>
          <w:sz w:val="32"/>
          <w:szCs w:val="32"/>
          <w:lang w:val="en-US" w:eastAsia="zh-CN"/>
        </w:rPr>
      </w:pPr>
      <w:r>
        <w:rPr>
          <w:rStyle w:val="14"/>
          <w:rFonts w:hint="eastAsia" w:ascii="仿宋" w:hAnsi="仿宋" w:eastAsia="仿宋" w:cstheme="minorBidi"/>
          <w:bCs/>
          <w:sz w:val="32"/>
          <w:szCs w:val="32"/>
          <w:lang w:val="en-US" w:eastAsia="zh-CN"/>
        </w:rPr>
        <w:t xml:space="preserve">2.社会保障和就业支出（类）行政事业单位养老支出（款）机关事业单位基本养老保险缴费支出（项）: </w:t>
      </w:r>
      <w:r>
        <w:rPr>
          <w:rStyle w:val="14"/>
          <w:rFonts w:hint="eastAsia" w:ascii="仿宋" w:hAnsi="仿宋" w:eastAsia="仿宋" w:cstheme="minorBidi"/>
          <w:b w:val="0"/>
          <w:bCs w:val="0"/>
          <w:sz w:val="32"/>
          <w:szCs w:val="32"/>
          <w:lang w:val="en-US" w:eastAsia="zh-CN"/>
        </w:rPr>
        <w:t>支出决算为66.99万元，完成预算100%。</w:t>
      </w:r>
    </w:p>
    <w:p>
      <w:pPr>
        <w:numPr>
          <w:ilvl w:val="0"/>
          <w:numId w:val="0"/>
        </w:numPr>
        <w:spacing w:line="600" w:lineRule="exact"/>
        <w:ind w:firstLine="643" w:firstLineChars="200"/>
        <w:rPr>
          <w:rStyle w:val="14"/>
          <w:rFonts w:hint="eastAsia" w:ascii="仿宋" w:hAnsi="仿宋" w:eastAsia="仿宋" w:cstheme="minorBidi"/>
          <w:bCs/>
          <w:sz w:val="32"/>
          <w:szCs w:val="32"/>
          <w:lang w:val="en-US" w:eastAsia="zh-CN"/>
        </w:rPr>
      </w:pPr>
      <w:r>
        <w:rPr>
          <w:rStyle w:val="14"/>
          <w:rFonts w:hint="eastAsia" w:ascii="仿宋" w:hAnsi="仿宋" w:eastAsia="仿宋" w:cstheme="minorBidi"/>
          <w:bCs/>
          <w:sz w:val="32"/>
          <w:szCs w:val="32"/>
          <w:lang w:val="en-US" w:eastAsia="zh-CN"/>
        </w:rPr>
        <w:t xml:space="preserve">社会保障和就业支出（类）行政事业单位养老支出（款）事业单位离退休（项）: </w:t>
      </w:r>
      <w:r>
        <w:rPr>
          <w:rStyle w:val="14"/>
          <w:rFonts w:hint="eastAsia" w:ascii="仿宋" w:hAnsi="仿宋" w:eastAsia="仿宋" w:cstheme="minorBidi"/>
          <w:b w:val="0"/>
          <w:bCs w:val="0"/>
          <w:sz w:val="32"/>
          <w:szCs w:val="32"/>
          <w:lang w:val="en-US" w:eastAsia="zh-CN"/>
        </w:rPr>
        <w:t>支出决算为29万元，完成预算100%。</w:t>
      </w:r>
    </w:p>
    <w:p>
      <w:pPr>
        <w:numPr>
          <w:ilvl w:val="0"/>
          <w:numId w:val="0"/>
        </w:numPr>
        <w:spacing w:line="600" w:lineRule="exact"/>
        <w:ind w:firstLine="643" w:firstLineChars="200"/>
        <w:rPr>
          <w:rFonts w:ascii="仿宋" w:hAnsi="仿宋" w:eastAsia="仿宋"/>
          <w:b/>
          <w:sz w:val="32"/>
          <w:szCs w:val="32"/>
        </w:rPr>
      </w:pPr>
      <w:r>
        <w:rPr>
          <w:rStyle w:val="14"/>
          <w:rFonts w:hint="eastAsia" w:ascii="仿宋" w:hAnsi="仿宋" w:eastAsia="仿宋" w:cstheme="minorBidi"/>
          <w:bCs/>
          <w:sz w:val="32"/>
          <w:szCs w:val="32"/>
          <w:lang w:val="en-US" w:eastAsia="zh-CN"/>
        </w:rPr>
        <w:t>3</w:t>
      </w:r>
      <w:r>
        <w:rPr>
          <w:rStyle w:val="14"/>
          <w:rFonts w:ascii="仿宋" w:hAnsi="仿宋" w:eastAsia="仿宋" w:cstheme="minorBidi"/>
          <w:bCs/>
          <w:sz w:val="32"/>
          <w:szCs w:val="32"/>
        </w:rPr>
        <w:t>.</w:t>
      </w:r>
      <w:r>
        <w:rPr>
          <w:rStyle w:val="14"/>
          <w:rFonts w:hint="eastAsia" w:ascii="仿宋" w:hAnsi="仿宋" w:eastAsia="仿宋" w:cstheme="minorBidi"/>
          <w:bCs/>
          <w:sz w:val="32"/>
          <w:szCs w:val="32"/>
          <w:lang w:val="en-US" w:eastAsia="zh-CN"/>
        </w:rPr>
        <w:t>住房保障支出</w:t>
      </w:r>
      <w:r>
        <w:rPr>
          <w:rStyle w:val="14"/>
          <w:rFonts w:hint="eastAsia" w:ascii="仿宋" w:hAnsi="仿宋" w:eastAsia="仿宋" w:cstheme="minorBidi"/>
          <w:bCs/>
          <w:sz w:val="32"/>
          <w:szCs w:val="32"/>
        </w:rPr>
        <w:t>（类）</w:t>
      </w:r>
      <w:r>
        <w:rPr>
          <w:rStyle w:val="14"/>
          <w:rFonts w:hint="eastAsia" w:ascii="仿宋" w:hAnsi="仿宋" w:eastAsia="仿宋" w:cstheme="minorBidi"/>
          <w:bCs/>
          <w:sz w:val="32"/>
          <w:szCs w:val="32"/>
          <w:lang w:val="en-US" w:eastAsia="zh-CN"/>
        </w:rPr>
        <w:t>住房改革支出</w:t>
      </w:r>
      <w:r>
        <w:rPr>
          <w:rStyle w:val="14"/>
          <w:rFonts w:hint="eastAsia" w:ascii="仿宋" w:hAnsi="仿宋" w:eastAsia="仿宋" w:cstheme="minorBidi"/>
          <w:bCs/>
          <w:sz w:val="32"/>
          <w:szCs w:val="32"/>
        </w:rPr>
        <w:t>（款）</w:t>
      </w:r>
      <w:r>
        <w:rPr>
          <w:rStyle w:val="14"/>
          <w:rFonts w:hint="eastAsia" w:ascii="仿宋" w:hAnsi="仿宋" w:eastAsia="仿宋" w:cstheme="minorBidi"/>
          <w:bCs/>
          <w:sz w:val="32"/>
          <w:szCs w:val="32"/>
          <w:lang w:val="en-US" w:eastAsia="zh-CN"/>
        </w:rPr>
        <w:t>住房公积金</w:t>
      </w:r>
      <w:r>
        <w:rPr>
          <w:rStyle w:val="14"/>
          <w:rFonts w:hint="eastAsia" w:ascii="仿宋" w:hAnsi="仿宋" w:eastAsia="仿宋" w:cstheme="minorBidi"/>
          <w:bCs/>
          <w:sz w:val="32"/>
          <w:szCs w:val="32"/>
        </w:rPr>
        <w:t>（项）</w:t>
      </w:r>
      <w:r>
        <w:rPr>
          <w:rStyle w:val="14"/>
          <w:rFonts w:ascii="仿宋" w:hAnsi="仿宋" w:eastAsia="仿宋" w:cstheme="minorBidi"/>
          <w:bCs/>
          <w:sz w:val="32"/>
          <w:szCs w:val="32"/>
        </w:rPr>
        <w:t xml:space="preserve">: </w:t>
      </w:r>
      <w:r>
        <w:rPr>
          <w:rStyle w:val="14"/>
          <w:rFonts w:hint="eastAsia" w:ascii="仿宋" w:hAnsi="仿宋" w:eastAsia="仿宋" w:cstheme="minorBidi"/>
          <w:b w:val="0"/>
          <w:bCs w:val="0"/>
          <w:sz w:val="32"/>
          <w:szCs w:val="32"/>
        </w:rPr>
        <w:t>支出决算为</w:t>
      </w:r>
      <w:r>
        <w:rPr>
          <w:rStyle w:val="14"/>
          <w:rFonts w:hint="eastAsia" w:ascii="仿宋" w:hAnsi="仿宋" w:eastAsia="仿宋" w:cstheme="minorBidi"/>
          <w:b w:val="0"/>
          <w:bCs w:val="0"/>
          <w:sz w:val="32"/>
          <w:szCs w:val="32"/>
          <w:lang w:val="en-US" w:eastAsia="zh-CN"/>
        </w:rPr>
        <w:t>73.07</w:t>
      </w:r>
      <w:r>
        <w:rPr>
          <w:rStyle w:val="14"/>
          <w:rFonts w:hint="eastAsia" w:ascii="仿宋" w:hAnsi="仿宋" w:eastAsia="仿宋" w:cstheme="minorBidi"/>
          <w:b w:val="0"/>
          <w:bCs w:val="0"/>
          <w:sz w:val="32"/>
          <w:szCs w:val="32"/>
        </w:rPr>
        <w:t>万元，完成预算</w:t>
      </w:r>
      <w:r>
        <w:rPr>
          <w:rStyle w:val="14"/>
          <w:rFonts w:hint="eastAsia" w:ascii="仿宋" w:hAnsi="仿宋" w:eastAsia="仿宋" w:cstheme="minorBidi"/>
          <w:b w:val="0"/>
          <w:bCs w:val="0"/>
          <w:sz w:val="32"/>
          <w:szCs w:val="32"/>
          <w:lang w:val="en-US" w:eastAsia="zh-CN"/>
        </w:rPr>
        <w:t>100%</w:t>
      </w:r>
      <w:r>
        <w:rPr>
          <w:rStyle w:val="14"/>
          <w:rFonts w:hint="eastAsia" w:ascii="仿宋" w:hAnsi="仿宋" w:eastAsia="仿宋" w:cstheme="minorBidi"/>
          <w:b w:val="0"/>
          <w:bCs w:val="0"/>
          <w:sz w:val="32"/>
          <w:szCs w:val="32"/>
        </w:rPr>
        <w:t>。</w:t>
      </w:r>
    </w:p>
    <w:p>
      <w:pPr>
        <w:tabs>
          <w:tab w:val="right" w:pos="8306"/>
        </w:tabs>
        <w:spacing w:line="600" w:lineRule="exact"/>
        <w:ind w:firstLine="640"/>
        <w:outlineLvl w:val="1"/>
        <w:rPr>
          <w:rStyle w:val="25"/>
        </w:rPr>
      </w:pPr>
      <w:bookmarkStart w:id="50" w:name="_Toc15396608"/>
      <w:bookmarkStart w:id="51" w:name="_Toc4472"/>
      <w:bookmarkStart w:id="52"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908.07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882.14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25.93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53" w:name="_Toc15396609"/>
      <w:bookmarkStart w:id="54" w:name="_Toc20241"/>
      <w:bookmarkStart w:id="55"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spacing w:line="600" w:lineRule="exact"/>
        <w:ind w:firstLine="640"/>
        <w:rPr>
          <w:rFonts w:ascii="仿宋" w:hAnsi="仿宋" w:eastAsia="仿宋"/>
          <w:color w:val="auto"/>
          <w:sz w:val="32"/>
          <w:szCs w:val="32"/>
          <w:highlight w:val="none"/>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0.13</w:t>
      </w:r>
      <w:r>
        <w:rPr>
          <w:rFonts w:hint="eastAsia" w:ascii="仿宋" w:hAnsi="仿宋" w:eastAsia="仿宋"/>
          <w:sz w:val="32"/>
          <w:szCs w:val="32"/>
        </w:rPr>
        <w:t>万元，完成预算</w:t>
      </w:r>
      <w:r>
        <w:rPr>
          <w:rFonts w:hint="eastAsia" w:ascii="仿宋" w:hAnsi="仿宋" w:eastAsia="仿宋"/>
          <w:sz w:val="32"/>
          <w:szCs w:val="32"/>
          <w:lang w:val="en-US" w:eastAsia="zh-CN"/>
        </w:rPr>
        <w:t>6.13</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0.51</w:t>
      </w:r>
      <w:r>
        <w:rPr>
          <w:rFonts w:hint="eastAsia" w:ascii="仿宋" w:hAnsi="仿宋" w:eastAsia="仿宋"/>
          <w:sz w:val="32"/>
          <w:szCs w:val="32"/>
        </w:rPr>
        <w:t>万元，下降</w:t>
      </w:r>
      <w:r>
        <w:rPr>
          <w:rFonts w:hint="eastAsia" w:ascii="仿宋" w:hAnsi="仿宋" w:eastAsia="仿宋"/>
          <w:sz w:val="32"/>
          <w:szCs w:val="32"/>
          <w:lang w:val="en-US" w:eastAsia="zh-CN"/>
        </w:rPr>
        <w:t>80.29</w:t>
      </w:r>
      <w:r>
        <w:rPr>
          <w:rFonts w:hint="eastAsia" w:ascii="仿宋" w:hAnsi="仿宋" w:eastAsia="仿宋"/>
          <w:sz w:val="32"/>
          <w:szCs w:val="32"/>
        </w:rPr>
        <w:t>%。决算数小于预算数的主要原因是</w:t>
      </w:r>
      <w:r>
        <w:rPr>
          <w:rFonts w:hint="eastAsia" w:ascii="仿宋_GB2312" w:hAnsi="仿宋" w:eastAsia="仿宋_GB2312" w:cs="仿宋"/>
          <w:color w:val="000000"/>
          <w:sz w:val="32"/>
          <w:szCs w:val="32"/>
        </w:rPr>
        <w:t>学校严格执行相关部门关于厉行节约反对浪费的规定</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坚持绿色出行且</w:t>
      </w:r>
      <w:r>
        <w:rPr>
          <w:rFonts w:hint="eastAsia" w:ascii="仿宋" w:hAnsi="仿宋" w:eastAsia="仿宋"/>
          <w:color w:val="auto"/>
          <w:sz w:val="32"/>
          <w:szCs w:val="32"/>
          <w:highlight w:val="none"/>
          <w:lang w:val="en-US" w:eastAsia="zh-CN"/>
        </w:rPr>
        <w:t>国内接待量较少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0.13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hint="eastAsia" w:ascii="仿宋" w:hAnsi="仿宋" w:eastAsia="仿宋"/>
          <w:color w:val="FF0000"/>
          <w:sz w:val="32"/>
          <w:szCs w:val="32"/>
        </w:rPr>
      </w:pPr>
      <w:r>
        <w:rPr>
          <w:rFonts w:hint="eastAsia" w:ascii="仿宋" w:hAnsi="仿宋" w:eastAsia="仿宋"/>
          <w:color w:val="auto"/>
          <w:sz w:val="32"/>
          <w:szCs w:val="32"/>
        </w:rPr>
        <w:t>（图7：“三公”经费财政拨款支出结构）</w:t>
      </w:r>
    </w:p>
    <w:p>
      <w:pPr>
        <w:pStyle w:val="2"/>
      </w:pPr>
      <w:r>
        <w:rPr>
          <w:rFonts w:hint="eastAsia"/>
          <w:lang w:val="en-US" w:eastAsia="zh-CN"/>
        </w:rPr>
        <w:t xml:space="preserve">    </w:t>
      </w:r>
      <w:r>
        <w:drawing>
          <wp:inline distT="0" distB="0" distL="114300" distR="114300">
            <wp:extent cx="4572000" cy="2743200"/>
            <wp:effectExtent l="4445" t="4445" r="14605" b="14605"/>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hint="default" w:ascii="仿宋_GB2312" w:eastAsia="仿宋_GB2312"/>
          <w:b/>
          <w:color w:val="auto"/>
          <w:sz w:val="32"/>
          <w:szCs w:val="32"/>
          <w:highlight w:val="none"/>
          <w:lang w:val="en-US"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val="en-US" w:eastAsia="zh-CN"/>
        </w:rPr>
        <w:t>与2021年持平。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0.13</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8.02</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0.51</w:t>
      </w:r>
      <w:r>
        <w:rPr>
          <w:rFonts w:hint="eastAsia" w:ascii="仿宋_GB2312" w:eastAsia="仿宋_GB2312"/>
          <w:sz w:val="32"/>
          <w:szCs w:val="32"/>
        </w:rPr>
        <w:t>万元，下降</w:t>
      </w:r>
      <w:r>
        <w:rPr>
          <w:rFonts w:hint="eastAsia" w:ascii="仿宋_GB2312" w:eastAsia="仿宋_GB2312"/>
          <w:sz w:val="32"/>
          <w:szCs w:val="32"/>
          <w:lang w:val="en-US" w:eastAsia="zh-CN"/>
        </w:rPr>
        <w:t>80.29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我单位坚持绿色出行，以节约为主</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0.13</w:t>
      </w:r>
      <w:r>
        <w:rPr>
          <w:rFonts w:hint="eastAsia" w:ascii="仿宋_GB2312" w:eastAsia="仿宋_GB2312"/>
          <w:sz w:val="32"/>
          <w:szCs w:val="32"/>
        </w:rPr>
        <w:t>万元。主要用于</w:t>
      </w:r>
      <w:r>
        <w:rPr>
          <w:rFonts w:hint="eastAsia" w:ascii="仿宋_GB2312" w:eastAsia="仿宋_GB2312"/>
          <w:color w:val="auto"/>
          <w:sz w:val="32"/>
          <w:szCs w:val="32"/>
          <w:highlight w:val="none"/>
          <w:lang w:val="en-US" w:eastAsia="zh-CN"/>
        </w:rPr>
        <w:t>教学管理、接送学生就医、教学办公紧急会议</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w:t>
      </w:r>
      <w:r>
        <w:rPr>
          <w:rFonts w:hint="eastAsia" w:ascii="仿宋_GB2312" w:eastAsia="仿宋_GB2312"/>
          <w:sz w:val="32"/>
          <w:szCs w:val="32"/>
          <w:lang w:val="en-US" w:eastAsia="zh-CN"/>
        </w:rPr>
        <w:t>出</w:t>
      </w:r>
      <w:r>
        <w:rPr>
          <w:rFonts w:hint="eastAsia" w:ascii="仿宋_GB2312" w:eastAsia="仿宋_GB2312"/>
          <w:color w:val="auto"/>
          <w:sz w:val="32"/>
          <w:szCs w:val="32"/>
          <w:highlight w:val="none"/>
        </w:rPr>
        <w:t>决算</w:t>
      </w:r>
      <w:r>
        <w:rPr>
          <w:rFonts w:hint="eastAsia" w:ascii="仿宋_GB2312" w:eastAsia="仿宋_GB2312"/>
          <w:color w:val="auto"/>
          <w:sz w:val="32"/>
          <w:szCs w:val="32"/>
          <w:highlight w:val="none"/>
          <w:lang w:val="en-US" w:eastAsia="zh-CN"/>
        </w:rPr>
        <w:t>与2021年持平。</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8" w:name="_Toc15377218"/>
      <w:bookmarkStart w:id="59" w:name="_Toc15396610"/>
    </w:p>
    <w:p>
      <w:pPr>
        <w:spacing w:line="600" w:lineRule="exact"/>
        <w:ind w:firstLine="640"/>
        <w:outlineLvl w:val="1"/>
        <w:rPr>
          <w:rStyle w:val="25"/>
          <w:rFonts w:ascii="黑体" w:hAnsi="黑体" w:eastAsia="黑体"/>
        </w:rPr>
      </w:pPr>
      <w:bookmarkStart w:id="60" w:name="_Toc5832"/>
      <w:r>
        <w:rPr>
          <w:rFonts w:hint="eastAsia" w:ascii="黑体" w:eastAsia="黑体"/>
          <w:sz w:val="32"/>
          <w:szCs w:val="32"/>
        </w:rPr>
        <w:t>八、</w:t>
      </w:r>
      <w:r>
        <w:rPr>
          <w:rStyle w:val="25"/>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61" w:name="_Toc27338"/>
      <w:bookmarkStart w:id="62" w:name="_Toc15396611"/>
      <w:bookmarkStart w:id="63" w:name="_Toc15377219"/>
      <w:r>
        <w:rPr>
          <w:rStyle w:val="25"/>
          <w:rFonts w:hint="eastAsia" w:ascii="黑体" w:hAnsi="黑体" w:eastAsia="黑体"/>
          <w:b w:val="0"/>
        </w:rPr>
        <w:t>国有资本经营预算支出决算情况说明</w:t>
      </w:r>
      <w:bookmarkEnd w:id="61"/>
      <w:bookmarkEnd w:id="62"/>
      <w:bookmarkEnd w:id="6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64" w:name="_Toc10052"/>
      <w:bookmarkStart w:id="65" w:name="_Toc15396612"/>
      <w:bookmarkStart w:id="66" w:name="_Toc15377221"/>
      <w:r>
        <w:rPr>
          <w:rStyle w:val="25"/>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辆，应急保障用车主要是用于</w:t>
      </w:r>
      <w:r>
        <w:rPr>
          <w:rFonts w:hint="eastAsia" w:ascii="仿宋_GB2312" w:eastAsia="仿宋_GB2312"/>
          <w:color w:val="auto"/>
          <w:sz w:val="32"/>
          <w:szCs w:val="32"/>
          <w:highlight w:val="none"/>
        </w:rPr>
        <w:t>用于</w:t>
      </w:r>
      <w:r>
        <w:rPr>
          <w:rFonts w:hint="eastAsia" w:ascii="仿宋_GB2312" w:eastAsia="仿宋_GB2312"/>
          <w:color w:val="auto"/>
          <w:sz w:val="32"/>
          <w:szCs w:val="32"/>
          <w:highlight w:val="none"/>
          <w:lang w:val="en-US" w:eastAsia="zh-CN"/>
        </w:rPr>
        <w:t>教学管理、接送学生就医、参加紧急会议等</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color w:val="auto"/>
          <w:highlight w:val="yellow"/>
        </w:rPr>
      </w:pPr>
      <w:r>
        <w:rPr>
          <w:rFonts w:hint="eastAsia" w:hAnsi="仿宋_GB2312" w:cs="仿宋_GB2312"/>
          <w:color w:val="auto"/>
          <w:sz w:val="32"/>
          <w:szCs w:val="32"/>
        </w:rPr>
        <w:t>根据预算绩效管理要求，本单位在2022年度预算编制阶段，组织对</w:t>
      </w:r>
      <w:r>
        <w:rPr>
          <w:rFonts w:hint="eastAsia" w:hAnsi="仿宋_GB2312" w:cs="仿宋_GB2312"/>
          <w:color w:val="auto"/>
          <w:sz w:val="32"/>
          <w:szCs w:val="32"/>
          <w:lang w:val="en-US" w:eastAsia="zh-CN"/>
        </w:rPr>
        <w:t>城乡义务教育补助经费</w:t>
      </w:r>
      <w:r>
        <w:rPr>
          <w:rFonts w:hint="eastAsia" w:hAnsi="仿宋_GB2312" w:cs="仿宋_GB2312"/>
          <w:color w:val="auto"/>
          <w:sz w:val="32"/>
          <w:szCs w:val="32"/>
        </w:rPr>
        <w:t>资金项目等</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个项目开展了预算事前绩效评估，对</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个项目编制了绩效目标，预算执行过程中，选取</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个项目开展绩效监控，组织对</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0" w:name="_Toc23177"/>
      <w:bookmarkStart w:id="71" w:name="_Toc15396613"/>
      <w:bookmarkStart w:id="72" w:name="_Toc15377225"/>
      <w:r>
        <w:rPr>
          <w:rFonts w:hint="eastAsia" w:ascii="黑体" w:hAnsi="黑体" w:eastAsia="黑体"/>
          <w:sz w:val="44"/>
          <w:szCs w:val="44"/>
        </w:rPr>
        <w:t>名</w:t>
      </w:r>
      <w:r>
        <w:rPr>
          <w:rStyle w:val="24"/>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lang w:val="en-US" w:eastAsia="zh-CN"/>
        </w:rPr>
        <w:t>中职学生住宿费</w:t>
      </w:r>
      <w:r>
        <w:rPr>
          <w:rFonts w:hint="eastAsia" w:ascii="仿宋_GB2312" w:eastAsia="仿宋_GB2312"/>
          <w:color w:val="auto"/>
          <w:sz w:val="32"/>
          <w:szCs w:val="32"/>
        </w:rPr>
        <w:t>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val="en-US" w:eastAsia="zh-CN"/>
        </w:rPr>
        <w:t>区县教体局拨来少数民族学生免杂费补助资金</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hAnsi="Calibri" w:eastAsia="仿宋_GB2312" w:cs="仿宋"/>
          <w:color w:val="auto"/>
          <w:kern w:val="0"/>
          <w:sz w:val="32"/>
          <w:szCs w:val="32"/>
          <w:highlight w:val="none"/>
          <w:lang w:val="en-US" w:eastAsia="zh-CN" w:bidi="ar-SA"/>
        </w:rPr>
        <w:t>教育支出（类）职业教育（款）中等职业教育（项）反映各部门（不含人力资源和社会保障部门）举办的中等职业教育支出。政府各部门对社会组织举办的中等职业学校的资助，如捐赠、补贴等，也在本科目反映</w:t>
      </w:r>
      <w:r>
        <w:rPr>
          <w:rFonts w:hint="eastAsia" w:ascii="仿宋_GB2312" w:eastAsia="仿宋_GB2312"/>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highlight w:val="none"/>
        </w:rPr>
        <w:t>教育支出（类）教育费附加安排的支出（款）其他教育支出（项）：</w:t>
      </w:r>
      <w:r>
        <w:rPr>
          <w:rFonts w:ascii="仿宋_GB2312" w:hAnsi="仿宋_GB2312" w:eastAsia="仿宋_GB2312" w:cs="仿宋_GB2312"/>
          <w:i w:val="0"/>
          <w:iCs w:val="0"/>
          <w:caps w:val="0"/>
          <w:color w:val="auto"/>
          <w:spacing w:val="0"/>
          <w:sz w:val="31"/>
          <w:szCs w:val="31"/>
          <w:shd w:val="clear" w:fill="FFFFFF"/>
        </w:rPr>
        <w:t>用于其他普通教育的支出</w:t>
      </w:r>
      <w:r>
        <w:rPr>
          <w:rFonts w:hint="eastAsia" w:ascii="仿宋_GB2312" w:eastAsia="仿宋_GB2312"/>
          <w:color w:val="auto"/>
          <w:sz w:val="32"/>
          <w:szCs w:val="32"/>
          <w:highlight w:val="none"/>
        </w:rPr>
        <w:t>。</w:t>
      </w:r>
    </w:p>
    <w:p>
      <w:pPr>
        <w:ind w:firstLine="640" w:firstLineChars="200"/>
        <w:rPr>
          <w:rFonts w:hint="eastAsia" w:ascii="仿宋_GB2312" w:hAnsi="Calibri" w:eastAsia="仿宋_GB2312" w:cs="仿宋"/>
          <w:color w:val="auto"/>
          <w:kern w:val="0"/>
          <w:sz w:val="32"/>
          <w:szCs w:val="32"/>
          <w:highlight w:val="none"/>
          <w:lang w:val="en-US" w:eastAsia="zh-CN" w:bidi="ar-SA"/>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hAnsi="Calibri" w:eastAsia="仿宋_GB2312" w:cs="仿宋"/>
          <w:color w:val="auto"/>
          <w:kern w:val="0"/>
          <w:sz w:val="32"/>
          <w:szCs w:val="32"/>
          <w:highlight w:val="none"/>
          <w:lang w:val="en-US" w:eastAsia="zh-CN" w:bidi="ar-SA"/>
        </w:rPr>
        <w:t>社会保障和就业支出（类）行政事业单位养老支出（款）机关事业单位基本养老保险缴费支出(项)：指机关事业单位用于实施养老保险制度由单位缴纳基本养老保险缴费支出。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社会保障和就业支出（类）抚恤（款</w:t>
      </w:r>
      <w:r>
        <w:rPr>
          <w:rFonts w:ascii="仿宋_GB2312" w:eastAsia="仿宋_GB2312"/>
          <w:sz w:val="32"/>
          <w:szCs w:val="32"/>
        </w:rPr>
        <w:t>）</w:t>
      </w:r>
      <w:r>
        <w:rPr>
          <w:rFonts w:hint="eastAsia" w:ascii="仿宋_GB2312" w:eastAsia="仿宋_GB2312"/>
          <w:sz w:val="32"/>
          <w:szCs w:val="32"/>
        </w:rPr>
        <w:t>死亡抚恤(项)：反映按规定用于烈士和牺牲、病故人员家属一次性和定期抚恤金以及丧葬补助费</w:t>
      </w:r>
      <w:r>
        <w:rPr>
          <w:rFonts w:hint="eastAsia" w:ascii="仿宋_GB2312" w:eastAsia="仿宋_GB2312"/>
          <w:sz w:val="32"/>
          <w:szCs w:val="32"/>
          <w:lang w:val="en-US" w:eastAsia="zh-CN"/>
        </w:rPr>
        <w:t>以及烈士褒扬金</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hAnsi="Calibri" w:eastAsia="仿宋_GB2312" w:cs="仿宋"/>
          <w:color w:val="auto"/>
          <w:kern w:val="0"/>
          <w:sz w:val="32"/>
          <w:szCs w:val="32"/>
          <w:highlight w:val="none"/>
          <w:lang w:val="en-US" w:eastAsia="zh-CN" w:bidi="ar-SA"/>
        </w:rPr>
        <w:t>12.住房保障支出（类）住房改革支出（款）住房公积金 (项)：反映行政事业单位按人力资源和社会保障部、财政部规定的基本工资和津贴补贴以及规定比例为职工缴纳的住房公积金。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73" w:name="_Toc15377226"/>
      <w:r>
        <w:rPr>
          <w:rFonts w:ascii="宋体"/>
          <w:b/>
          <w:sz w:val="44"/>
          <w:szCs w:val="44"/>
        </w:rPr>
        <w:br w:type="page"/>
      </w:r>
      <w:bookmarkStart w:id="74" w:name="_Toc15396614"/>
      <w:bookmarkStart w:id="75" w:name="_Toc4110"/>
      <w:r>
        <w:rPr>
          <w:rFonts w:hint="eastAsia" w:ascii="黑体" w:hAnsi="黑体" w:eastAsia="黑体"/>
          <w:sz w:val="44"/>
          <w:szCs w:val="44"/>
        </w:rPr>
        <w:t>第</w:t>
      </w:r>
      <w:r>
        <w:rPr>
          <w:rStyle w:val="24"/>
          <w:rFonts w:hint="eastAsia" w:ascii="黑体" w:hAnsi="黑体" w:eastAsia="黑体"/>
          <w:b w:val="0"/>
        </w:rPr>
        <w:t>四部分 附件</w:t>
      </w:r>
      <w:bookmarkEnd w:id="74"/>
      <w:bookmarkEnd w:id="75"/>
    </w:p>
    <w:p>
      <w:pPr>
        <w:spacing w:line="572" w:lineRule="exact"/>
        <w:jc w:val="left"/>
        <w:outlineLvl w:val="9"/>
        <w:rPr>
          <w:rFonts w:ascii="仿宋_GB2312" w:hAnsi="仿宋_GB2312" w:eastAsia="仿宋_GB2312" w:cs="仿宋_GB2312"/>
          <w:sz w:val="32"/>
          <w:szCs w:val="32"/>
        </w:rPr>
      </w:pPr>
    </w:p>
    <w:p>
      <w:pPr>
        <w:spacing w:line="600" w:lineRule="exact"/>
        <w:jc w:val="center"/>
        <w:outlineLvl w:val="1"/>
        <w:rPr>
          <w:rFonts w:ascii="宋体" w:hAnsi="宋体" w:cs="宋体"/>
          <w:kern w:val="0"/>
          <w:sz w:val="32"/>
          <w:szCs w:val="32"/>
        </w:rPr>
      </w:pPr>
      <w:bookmarkStart w:id="76" w:name="_Toc9521"/>
      <w:bookmarkStart w:id="77" w:name="_Toc15396618"/>
      <w:r>
        <w:rPr>
          <w:rFonts w:hint="eastAsia" w:ascii="宋体" w:hAnsi="宋体" w:cs="宋体"/>
          <w:kern w:val="0"/>
          <w:sz w:val="32"/>
          <w:szCs w:val="32"/>
        </w:rPr>
        <w:t>部门预算项目支出绩效自评表（2022年度）</w:t>
      </w:r>
      <w:bookmarkEnd w:id="76"/>
    </w:p>
    <w:p>
      <w:pPr>
        <w:spacing w:line="600" w:lineRule="exact"/>
        <w:jc w:val="left"/>
        <w:outlineLvl w:val="9"/>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bookmarkStart w:id="78" w:name="_Toc25053"/>
      <w:r>
        <w:rPr>
          <w:rFonts w:hint="eastAsia" w:ascii="黑体" w:hAnsi="黑体" w:eastAsia="黑体"/>
          <w:sz w:val="44"/>
          <w:szCs w:val="44"/>
        </w:rPr>
        <w:t>第</w:t>
      </w:r>
      <w:r>
        <w:rPr>
          <w:rStyle w:val="24"/>
          <w:rFonts w:hint="eastAsia" w:ascii="黑体" w:hAnsi="黑体" w:eastAsia="黑体"/>
          <w:b w:val="0"/>
        </w:rPr>
        <w:t>五部分 附表</w:t>
      </w:r>
      <w:bookmarkEnd w:id="73"/>
      <w:bookmarkEnd w:id="77"/>
      <w:bookmarkEnd w:id="78"/>
      <w:bookmarkStart w:id="79" w:name="_Toc15396619"/>
    </w:p>
    <w:p>
      <w:pPr>
        <w:pStyle w:val="4"/>
        <w:rPr>
          <w:rFonts w:ascii="仿宋" w:hAnsi="仿宋" w:eastAsia="仿宋"/>
        </w:rPr>
      </w:pPr>
      <w:bookmarkStart w:id="80" w:name="_Toc5353"/>
      <w:r>
        <w:rPr>
          <w:rFonts w:hint="eastAsia" w:ascii="仿宋" w:hAnsi="仿宋" w:eastAsia="仿宋"/>
          <w:b w:val="0"/>
        </w:rPr>
        <w:t>一、收</w:t>
      </w:r>
      <w:r>
        <w:rPr>
          <w:rStyle w:val="25"/>
          <w:rFonts w:hint="eastAsia" w:ascii="仿宋" w:hAnsi="仿宋" w:eastAsia="仿宋"/>
          <w:b w:val="0"/>
          <w:bCs w:val="0"/>
        </w:rPr>
        <w:t>入支出决算总表</w:t>
      </w:r>
      <w:bookmarkEnd w:id="79"/>
      <w:bookmarkEnd w:id="80"/>
    </w:p>
    <w:p>
      <w:pPr>
        <w:pStyle w:val="4"/>
        <w:rPr>
          <w:rFonts w:ascii="仿宋" w:hAnsi="仿宋" w:eastAsia="仿宋"/>
        </w:rPr>
      </w:pPr>
      <w:bookmarkStart w:id="81" w:name="_Toc9052"/>
      <w:bookmarkStart w:id="82" w:name="_Toc15396620"/>
      <w:r>
        <w:rPr>
          <w:rFonts w:hint="eastAsia" w:ascii="仿宋" w:hAnsi="仿宋" w:eastAsia="仿宋"/>
          <w:b w:val="0"/>
        </w:rPr>
        <w:t>二、收</w:t>
      </w:r>
      <w:r>
        <w:rPr>
          <w:rStyle w:val="25"/>
          <w:rFonts w:hint="eastAsia" w:ascii="仿宋" w:hAnsi="仿宋" w:eastAsia="仿宋"/>
          <w:b w:val="0"/>
          <w:bCs w:val="0"/>
        </w:rPr>
        <w:t>入决算表</w:t>
      </w:r>
      <w:bookmarkEnd w:id="81"/>
      <w:bookmarkEnd w:id="82"/>
    </w:p>
    <w:p>
      <w:pPr>
        <w:pStyle w:val="4"/>
        <w:rPr>
          <w:rFonts w:ascii="仿宋" w:hAnsi="仿宋" w:eastAsia="仿宋"/>
        </w:rPr>
      </w:pPr>
      <w:bookmarkStart w:id="83" w:name="_Toc24878"/>
      <w:bookmarkStart w:id="84"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3"/>
      <w:bookmarkEnd w:id="84"/>
    </w:p>
    <w:p>
      <w:pPr>
        <w:pStyle w:val="4"/>
        <w:rPr>
          <w:rFonts w:ascii="仿宋" w:hAnsi="仿宋" w:eastAsia="仿宋"/>
          <w:b w:val="0"/>
        </w:rPr>
      </w:pPr>
      <w:bookmarkStart w:id="85" w:name="_Toc15396622"/>
      <w:bookmarkStart w:id="86" w:name="_Toc3177"/>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5"/>
      <w:bookmarkEnd w:id="86"/>
    </w:p>
    <w:p>
      <w:pPr>
        <w:pStyle w:val="4"/>
        <w:rPr>
          <w:rStyle w:val="25"/>
          <w:rFonts w:ascii="仿宋" w:hAnsi="仿宋" w:eastAsia="仿宋"/>
          <w:b w:val="0"/>
          <w:bCs w:val="0"/>
        </w:rPr>
      </w:pPr>
      <w:bookmarkStart w:id="87" w:name="_Toc15380"/>
      <w:bookmarkStart w:id="8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7"/>
      <w:bookmarkEnd w:id="88"/>
      <w:bookmarkStart w:id="89" w:name="_Toc15396624"/>
    </w:p>
    <w:p>
      <w:pPr>
        <w:pStyle w:val="4"/>
        <w:rPr>
          <w:rFonts w:ascii="仿宋" w:hAnsi="仿宋" w:eastAsia="仿宋"/>
        </w:rPr>
      </w:pPr>
      <w:bookmarkStart w:id="90" w:name="_Toc15023"/>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9"/>
      <w:bookmarkEnd w:id="90"/>
    </w:p>
    <w:p>
      <w:pPr>
        <w:pStyle w:val="4"/>
        <w:rPr>
          <w:rFonts w:ascii="仿宋" w:hAnsi="仿宋" w:eastAsia="仿宋"/>
        </w:rPr>
      </w:pPr>
      <w:bookmarkStart w:id="91" w:name="_Toc28927"/>
      <w:bookmarkStart w:id="92"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1"/>
      <w:bookmarkEnd w:id="92"/>
    </w:p>
    <w:p>
      <w:pPr>
        <w:pStyle w:val="4"/>
        <w:rPr>
          <w:rFonts w:ascii="仿宋" w:hAnsi="仿宋" w:eastAsia="仿宋"/>
        </w:rPr>
      </w:pPr>
      <w:bookmarkStart w:id="93" w:name="_Toc26327"/>
      <w:bookmarkStart w:id="94"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3"/>
      <w:bookmarkEnd w:id="94"/>
    </w:p>
    <w:p>
      <w:pPr>
        <w:pStyle w:val="4"/>
        <w:rPr>
          <w:rFonts w:ascii="仿宋" w:hAnsi="仿宋" w:eastAsia="仿宋"/>
        </w:rPr>
      </w:pPr>
      <w:bookmarkStart w:id="95" w:name="_Toc28001"/>
      <w:bookmarkStart w:id="96"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5"/>
      <w:bookmarkEnd w:id="96"/>
    </w:p>
    <w:p>
      <w:pPr>
        <w:pStyle w:val="4"/>
        <w:rPr>
          <w:rFonts w:ascii="仿宋" w:hAnsi="仿宋" w:eastAsia="仿宋"/>
          <w:b w:val="0"/>
          <w:bCs w:val="0"/>
        </w:rPr>
      </w:pPr>
      <w:bookmarkStart w:id="97" w:name="_Toc15396628"/>
      <w:bookmarkStart w:id="98" w:name="_Toc19004"/>
      <w:r>
        <w:rPr>
          <w:rStyle w:val="25"/>
          <w:rFonts w:hint="eastAsia" w:ascii="仿宋" w:hAnsi="仿宋" w:eastAsia="仿宋"/>
          <w:b w:val="0"/>
          <w:bCs w:val="0"/>
        </w:rPr>
        <w:t>十、</w:t>
      </w:r>
      <w:bookmarkEnd w:id="97"/>
      <w:r>
        <w:rPr>
          <w:rFonts w:hint="eastAsia" w:ascii="仿宋" w:hAnsi="仿宋" w:eastAsia="仿宋"/>
          <w:b w:val="0"/>
        </w:rPr>
        <w:t>政</w:t>
      </w:r>
      <w:r>
        <w:rPr>
          <w:rStyle w:val="25"/>
          <w:rFonts w:hint="eastAsia" w:ascii="仿宋" w:hAnsi="仿宋" w:eastAsia="仿宋"/>
          <w:b w:val="0"/>
          <w:bCs w:val="0"/>
        </w:rPr>
        <w:t>府性基金预算财政拨款收入支出决算表</w:t>
      </w:r>
      <w:r>
        <w:rPr>
          <w:rFonts w:hint="eastAsia" w:ascii="仿宋_GB2312" w:eastAsia="仿宋_GB2312"/>
          <w:b w:val="0"/>
          <w:bCs w:val="0"/>
          <w:color w:val="auto"/>
          <w:sz w:val="32"/>
          <w:szCs w:val="32"/>
          <w:highlight w:val="none"/>
          <w:lang w:val="en-US" w:eastAsia="zh-CN"/>
        </w:rPr>
        <w:t>（此表无数据）</w:t>
      </w:r>
      <w:bookmarkEnd w:id="98"/>
    </w:p>
    <w:p>
      <w:pPr>
        <w:pStyle w:val="4"/>
        <w:rPr>
          <w:rFonts w:ascii="仿宋" w:hAnsi="仿宋" w:eastAsia="仿宋"/>
        </w:rPr>
      </w:pPr>
      <w:bookmarkStart w:id="99" w:name="_Toc15396629"/>
      <w:bookmarkStart w:id="100" w:name="_Toc10289"/>
      <w:r>
        <w:rPr>
          <w:rStyle w:val="25"/>
          <w:rFonts w:hint="eastAsia" w:ascii="仿宋" w:hAnsi="仿宋" w:eastAsia="仿宋"/>
          <w:b w:val="0"/>
          <w:bCs w:val="0"/>
        </w:rPr>
        <w:t>十一、</w:t>
      </w:r>
      <w:bookmarkEnd w:id="99"/>
      <w:r>
        <w:rPr>
          <w:rFonts w:hint="eastAsia" w:ascii="仿宋" w:hAnsi="仿宋" w:eastAsia="仿宋"/>
          <w:b w:val="0"/>
          <w:bCs w:val="0"/>
        </w:rPr>
        <w:t>国</w:t>
      </w:r>
      <w:r>
        <w:rPr>
          <w:rStyle w:val="25"/>
          <w:rFonts w:hint="eastAsia" w:ascii="仿宋" w:hAnsi="仿宋" w:eastAsia="仿宋"/>
          <w:b w:val="0"/>
          <w:bCs w:val="0"/>
        </w:rPr>
        <w:t>有资本经营预算财政拨款收入支出决算表</w:t>
      </w:r>
      <w:r>
        <w:rPr>
          <w:rFonts w:hint="eastAsia" w:ascii="仿宋_GB2312" w:eastAsia="仿宋_GB2312"/>
          <w:b w:val="0"/>
          <w:bCs w:val="0"/>
          <w:color w:val="auto"/>
          <w:sz w:val="32"/>
          <w:szCs w:val="32"/>
          <w:highlight w:val="none"/>
          <w:lang w:val="en-US" w:eastAsia="zh-CN"/>
        </w:rPr>
        <w:t>（此表无数据）</w:t>
      </w:r>
      <w:bookmarkEnd w:id="100"/>
    </w:p>
    <w:p>
      <w:pPr>
        <w:pStyle w:val="4"/>
        <w:rPr>
          <w:rFonts w:ascii="仿宋" w:hAnsi="仿宋" w:eastAsia="仿宋"/>
          <w:b w:val="0"/>
          <w:bCs w:val="0"/>
        </w:rPr>
      </w:pPr>
      <w:bookmarkStart w:id="101" w:name="_Toc15396630"/>
      <w:bookmarkStart w:id="102" w:name="_Toc7921"/>
      <w:r>
        <w:rPr>
          <w:rStyle w:val="25"/>
          <w:rFonts w:hint="eastAsia" w:ascii="仿宋" w:hAnsi="仿宋" w:eastAsia="仿宋"/>
          <w:b w:val="0"/>
          <w:bCs w:val="0"/>
        </w:rPr>
        <w:t>十二、</w:t>
      </w:r>
      <w:bookmarkEnd w:id="101"/>
      <w:r>
        <w:rPr>
          <w:rStyle w:val="25"/>
          <w:rFonts w:hint="eastAsia" w:ascii="仿宋" w:hAnsi="仿宋" w:eastAsia="仿宋"/>
          <w:b w:val="0"/>
          <w:bCs w:val="0"/>
        </w:rPr>
        <w:t>国有资本经营预算财政拨款支出决算表</w:t>
      </w:r>
      <w:r>
        <w:rPr>
          <w:rFonts w:hint="eastAsia" w:ascii="仿宋_GB2312" w:eastAsia="仿宋_GB2312"/>
          <w:b w:val="0"/>
          <w:bCs w:val="0"/>
          <w:color w:val="auto"/>
          <w:sz w:val="32"/>
          <w:szCs w:val="32"/>
          <w:highlight w:val="none"/>
          <w:lang w:val="en-US" w:eastAsia="zh-CN"/>
        </w:rPr>
        <w:t>（此表无数据）</w:t>
      </w:r>
      <w:bookmarkEnd w:id="102"/>
    </w:p>
    <w:p>
      <w:pPr>
        <w:pStyle w:val="4"/>
        <w:rPr>
          <w:rFonts w:eastAsia="仿宋"/>
        </w:rPr>
      </w:pPr>
      <w:bookmarkStart w:id="103" w:name="_Toc15396631"/>
      <w:bookmarkStart w:id="104" w:name="_Toc32326"/>
      <w:r>
        <w:rPr>
          <w:rStyle w:val="25"/>
          <w:rFonts w:hint="eastAsia" w:ascii="仿宋" w:hAnsi="仿宋" w:eastAsia="仿宋"/>
          <w:b w:val="0"/>
          <w:bCs w:val="0"/>
        </w:rPr>
        <w:t>十三、</w:t>
      </w:r>
      <w:bookmarkEnd w:id="103"/>
      <w:r>
        <w:rPr>
          <w:rStyle w:val="25"/>
          <w:rFonts w:hint="eastAsia" w:ascii="仿宋" w:hAnsi="仿宋" w:eastAsia="仿宋"/>
          <w:b w:val="0"/>
          <w:bCs w:val="0"/>
        </w:rPr>
        <w:t>财政拨款“三公”经费支出决算表</w:t>
      </w:r>
      <w:bookmarkEnd w:id="104"/>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YTI5NTUzOTA1ZDcyNTM5NGE4YTVkNTkyZDU1N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D52C7"/>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B1F5E"/>
    <w:rsid w:val="026D4C66"/>
    <w:rsid w:val="053A62B5"/>
    <w:rsid w:val="07F47A40"/>
    <w:rsid w:val="08C0282F"/>
    <w:rsid w:val="0A2032A3"/>
    <w:rsid w:val="0B8A37D8"/>
    <w:rsid w:val="0C8816BF"/>
    <w:rsid w:val="10C055FF"/>
    <w:rsid w:val="118107EC"/>
    <w:rsid w:val="11DD6519"/>
    <w:rsid w:val="129732CF"/>
    <w:rsid w:val="15B4775A"/>
    <w:rsid w:val="16216CE6"/>
    <w:rsid w:val="16BB723D"/>
    <w:rsid w:val="16F05D79"/>
    <w:rsid w:val="18015F3F"/>
    <w:rsid w:val="1ADF238C"/>
    <w:rsid w:val="1BE8440E"/>
    <w:rsid w:val="1D155CEE"/>
    <w:rsid w:val="1D860DFA"/>
    <w:rsid w:val="1D9A259A"/>
    <w:rsid w:val="1EA02CCB"/>
    <w:rsid w:val="1FC80C4F"/>
    <w:rsid w:val="20771BF2"/>
    <w:rsid w:val="20F57F95"/>
    <w:rsid w:val="213D605E"/>
    <w:rsid w:val="240371BF"/>
    <w:rsid w:val="25711CC6"/>
    <w:rsid w:val="25C741E6"/>
    <w:rsid w:val="26A61FB0"/>
    <w:rsid w:val="27842671"/>
    <w:rsid w:val="286D547B"/>
    <w:rsid w:val="29FD04D3"/>
    <w:rsid w:val="2A7337FE"/>
    <w:rsid w:val="2ABE7A3E"/>
    <w:rsid w:val="2C7E38C5"/>
    <w:rsid w:val="2CA234A8"/>
    <w:rsid w:val="2DEC299E"/>
    <w:rsid w:val="2EFA178C"/>
    <w:rsid w:val="30953E20"/>
    <w:rsid w:val="30B46D73"/>
    <w:rsid w:val="30BC6FA0"/>
    <w:rsid w:val="319F7F4E"/>
    <w:rsid w:val="369C6048"/>
    <w:rsid w:val="372D46F9"/>
    <w:rsid w:val="383D272C"/>
    <w:rsid w:val="39AE70AB"/>
    <w:rsid w:val="3C0C0783"/>
    <w:rsid w:val="3C6B7ACC"/>
    <w:rsid w:val="3D9F7A2D"/>
    <w:rsid w:val="3F9F3A96"/>
    <w:rsid w:val="403757A8"/>
    <w:rsid w:val="41911D83"/>
    <w:rsid w:val="4230191A"/>
    <w:rsid w:val="42A0008C"/>
    <w:rsid w:val="46BA23DA"/>
    <w:rsid w:val="48BF60AB"/>
    <w:rsid w:val="493C27E9"/>
    <w:rsid w:val="496F39ED"/>
    <w:rsid w:val="497A30FC"/>
    <w:rsid w:val="49EA0103"/>
    <w:rsid w:val="49FF41D3"/>
    <w:rsid w:val="4B3F1869"/>
    <w:rsid w:val="4BE068DB"/>
    <w:rsid w:val="4BF6002B"/>
    <w:rsid w:val="4D6D137B"/>
    <w:rsid w:val="4ECE2238"/>
    <w:rsid w:val="51CE66DB"/>
    <w:rsid w:val="51DB4B86"/>
    <w:rsid w:val="538A5E02"/>
    <w:rsid w:val="54A454D1"/>
    <w:rsid w:val="55333C3E"/>
    <w:rsid w:val="56FD5263"/>
    <w:rsid w:val="574865E8"/>
    <w:rsid w:val="59C339F0"/>
    <w:rsid w:val="59D20424"/>
    <w:rsid w:val="5AE1122D"/>
    <w:rsid w:val="5B9F0D8F"/>
    <w:rsid w:val="5D0336DD"/>
    <w:rsid w:val="5E491ED0"/>
    <w:rsid w:val="62ED0DF3"/>
    <w:rsid w:val="63462575"/>
    <w:rsid w:val="64CA39A1"/>
    <w:rsid w:val="65165F77"/>
    <w:rsid w:val="659A63C7"/>
    <w:rsid w:val="66617381"/>
    <w:rsid w:val="67051E0D"/>
    <w:rsid w:val="6838727B"/>
    <w:rsid w:val="69630ADE"/>
    <w:rsid w:val="6A255E6D"/>
    <w:rsid w:val="6A8D413B"/>
    <w:rsid w:val="6C4A05C8"/>
    <w:rsid w:val="6D3B1A89"/>
    <w:rsid w:val="703B0F88"/>
    <w:rsid w:val="71BF4EC2"/>
    <w:rsid w:val="72734D90"/>
    <w:rsid w:val="732A1F7C"/>
    <w:rsid w:val="7412278C"/>
    <w:rsid w:val="7614205F"/>
    <w:rsid w:val="76A96C4B"/>
    <w:rsid w:val="789E0A6F"/>
    <w:rsid w:val="794013BD"/>
    <w:rsid w:val="79E7B28D"/>
    <w:rsid w:val="7A3D62A8"/>
    <w:rsid w:val="7BE13DCA"/>
    <w:rsid w:val="7D4C4F1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256805555555556"/>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工作表.xls]Sheet1'!$D$15:$E$15</c:f>
              <c:strCache>
                <c:ptCount val="2"/>
                <c:pt idx="0">
                  <c:v>2021年</c:v>
                </c:pt>
                <c:pt idx="1">
                  <c:v>2022年</c:v>
                </c:pt>
              </c:strCache>
            </c:strRef>
          </c:cat>
          <c:val>
            <c:numRef>
              <c:f>'[新建 XLS 工作表.xls]Sheet1'!$D$16:$E$16</c:f>
              <c:numCache>
                <c:formatCode>General</c:formatCode>
                <c:ptCount val="2"/>
                <c:pt idx="0">
                  <c:v>1039.48</c:v>
                </c:pt>
                <c:pt idx="1">
                  <c:v>1125.03</c:v>
                </c:pt>
              </c:numCache>
            </c:numRef>
          </c:val>
        </c:ser>
        <c:dLbls>
          <c:showLegendKey val="0"/>
          <c:showVal val="0"/>
          <c:showCatName val="0"/>
          <c:showSerName val="0"/>
          <c:showPercent val="0"/>
          <c:showBubbleSize val="0"/>
        </c:dLbls>
        <c:gapWidth val="219"/>
        <c:overlap val="-27"/>
        <c:axId val="909915608"/>
        <c:axId val="155083797"/>
      </c:barChart>
      <c:catAx>
        <c:axId val="909915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083797"/>
        <c:crosses val="autoZero"/>
        <c:auto val="1"/>
        <c:lblAlgn val="ctr"/>
        <c:lblOffset val="100"/>
        <c:noMultiLvlLbl val="0"/>
      </c:catAx>
      <c:valAx>
        <c:axId val="155083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9915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a:t>
            </a:r>
            <a:r>
              <a:rPr lang="en-US" altLang="zh-CN"/>
              <a:t> “</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olidFill>
              <a:schemeClr val="accent1"/>
            </a:solidFill>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rgbClr val="FF0000"/>
              </a:solidFill>
              <a:ln w="25400">
                <a:solidFill>
                  <a:srgbClr val="FF0000"/>
                </a:solidFill>
              </a:ln>
              <a:effectLst/>
              <a:scene3d>
                <a:camera prst="orthographicFront"/>
                <a:lightRig rig="threePt" dir="t"/>
              </a:scene3d>
              <a:sp3d contourW="25400"/>
            </c:spPr>
          </c:dPt>
          <c:dLbls>
            <c:delete val="1"/>
          </c:dLbls>
          <c:cat>
            <c:strRef>
              <c:f>'[新建 XLS 工作表.xls]Sheet1'!$E$38:$F$38</c:f>
              <c:strCache>
                <c:ptCount val="2"/>
                <c:pt idx="0">
                  <c:v>一般公共预算财政拨款收入</c:v>
                </c:pt>
                <c:pt idx="1">
                  <c:v>其他收入</c:v>
                </c:pt>
              </c:strCache>
            </c:strRef>
          </c:cat>
          <c:val>
            <c:numRef>
              <c:f>'[新建 XLS 工作表.xls]Sheet1'!$E$39:$F$39</c:f>
              <c:numCache>
                <c:formatCode>General</c:formatCode>
                <c:ptCount val="2"/>
                <c:pt idx="0">
                  <c:v>1118.76</c:v>
                </c:pt>
                <c:pt idx="1">
                  <c:v>2</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elete val="1"/>
          </c:dLbls>
          <c:cat>
            <c:strRef>
              <c:f>'[新建 XLS 工作表.xls]Sheet1'!$E$51:$F$51</c:f>
              <c:strCache>
                <c:ptCount val="2"/>
                <c:pt idx="0">
                  <c:v>基本支出</c:v>
                </c:pt>
                <c:pt idx="1">
                  <c:v>项目支出</c:v>
                </c:pt>
              </c:strCache>
            </c:strRef>
          </c:cat>
          <c:val>
            <c:numRef>
              <c:f>'[新建 XLS 工作表.xls]Sheet1'!$E$52:$F$52</c:f>
              <c:numCache>
                <c:formatCode>General</c:formatCode>
                <c:ptCount val="2"/>
                <c:pt idx="0">
                  <c:v>913.01</c:v>
                </c:pt>
                <c:pt idx="1">
                  <c:v>212.02</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manualLayout>
          <c:xMode val="edge"/>
          <c:yMode val="edge"/>
          <c:x val="0.198472222222222"/>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工作表.xls]Sheet1'!$E$77:$F$77</c:f>
              <c:strCache>
                <c:ptCount val="2"/>
                <c:pt idx="0">
                  <c:v>2022年</c:v>
                </c:pt>
                <c:pt idx="1">
                  <c:v>2021年</c:v>
                </c:pt>
              </c:strCache>
            </c:strRef>
          </c:cat>
          <c:val>
            <c:numRef>
              <c:f>'[新建 XLS 工作表.xls]Sheet1'!$E$78:$F$78</c:f>
              <c:numCache>
                <c:formatCode>General</c:formatCode>
                <c:ptCount val="2"/>
                <c:pt idx="0">
                  <c:v>1120.09</c:v>
                </c:pt>
                <c:pt idx="1">
                  <c:v>1020.57</c:v>
                </c:pt>
              </c:numCache>
            </c:numRef>
          </c:val>
        </c:ser>
        <c:dLbls>
          <c:showLegendKey val="0"/>
          <c:showVal val="0"/>
          <c:showCatName val="0"/>
          <c:showSerName val="0"/>
          <c:showPercent val="0"/>
          <c:showBubbleSize val="0"/>
        </c:dLbls>
        <c:gapWidth val="219"/>
        <c:overlap val="-27"/>
        <c:axId val="937618411"/>
        <c:axId val="657007961"/>
      </c:barChart>
      <c:catAx>
        <c:axId val="937618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007961"/>
        <c:crosses val="autoZero"/>
        <c:auto val="1"/>
        <c:lblAlgn val="ctr"/>
        <c:lblOffset val="100"/>
        <c:noMultiLvlLbl val="0"/>
      </c:catAx>
      <c:valAx>
        <c:axId val="6570079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6184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manualLayout>
          <c:xMode val="edge"/>
          <c:yMode val="edge"/>
          <c:x val="0.144305555555556"/>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工作表.xls]Sheet1'!$E$77:$F$77</c:f>
              <c:strCache>
                <c:ptCount val="2"/>
                <c:pt idx="0">
                  <c:v>2022年</c:v>
                </c:pt>
                <c:pt idx="1">
                  <c:v>2021年</c:v>
                </c:pt>
              </c:strCache>
            </c:strRef>
          </c:cat>
          <c:val>
            <c:numRef>
              <c:f>'[新建 XLS 工作表.xls]Sheet1'!$E$78:$F$78</c:f>
              <c:numCache>
                <c:formatCode>General</c:formatCode>
                <c:ptCount val="2"/>
                <c:pt idx="0">
                  <c:v>1120.09</c:v>
                </c:pt>
                <c:pt idx="1">
                  <c:v>1020.57</c:v>
                </c:pt>
              </c:numCache>
            </c:numRef>
          </c:val>
        </c:ser>
        <c:dLbls>
          <c:showLegendKey val="0"/>
          <c:showVal val="0"/>
          <c:showCatName val="0"/>
          <c:showSerName val="0"/>
          <c:showPercent val="0"/>
          <c:showBubbleSize val="0"/>
        </c:dLbls>
        <c:gapWidth val="219"/>
        <c:overlap val="-27"/>
        <c:axId val="937618411"/>
        <c:axId val="657007961"/>
      </c:barChart>
      <c:catAx>
        <c:axId val="937618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007961"/>
        <c:crosses val="autoZero"/>
        <c:auto val="1"/>
        <c:lblAlgn val="ctr"/>
        <c:lblOffset val="100"/>
        <c:noMultiLvlLbl val="0"/>
      </c:catAx>
      <c:valAx>
        <c:axId val="6570079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6184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一般公共预算财政拨款变动情况图</a:t>
            </a:r>
            <a:r>
              <a:rPr lang="en-US" altLang="zh-CN" b="1">
                <a:solidFill>
                  <a:sysClr val="windowText" lastClr="000000"/>
                </a:solidFill>
              </a:rPr>
              <a:t> </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a:t>
            </a:r>
            <a:r>
              <a:rPr lang="en-US" altLang="zh-CN">
                <a:solidFill>
                  <a:sysClr val="windowText" lastClr="000000"/>
                </a:solidFill>
              </a:rPr>
              <a:t>“</a:t>
            </a:r>
            <a:r>
              <a:rPr altLang="en-US">
                <a:solidFill>
                  <a:sysClr val="windowText" lastClr="000000"/>
                </a:solidFill>
              </a:rPr>
              <a:t>万元</a:t>
            </a:r>
            <a:r>
              <a:rPr lang="en-US" altLang="zh-CN">
                <a:solidFill>
                  <a:sysClr val="windowText" lastClr="000000"/>
                </a:solidFill>
              </a:rPr>
              <a:t>”</a:t>
            </a:r>
            <a:endParaRPr lang="en-US" altLang="zh-CN">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[图形编制草稿.xlsx]Sheet1!$A$31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[图形编制草稿.xlsx]Sheet1!$B$30:$C$30</c:f>
              <c:strCache>
                <c:ptCount val="2"/>
                <c:pt idx="0">
                  <c:v>2022年度</c:v>
                </c:pt>
                <c:pt idx="1">
                  <c:v>2021年度</c:v>
                </c:pt>
              </c:strCache>
            </c:strRef>
          </c:cat>
          <c:val>
            <c:numRef>
              <c:f>[图形编制草稿.xlsx]Sheet1!$B$31:$C$31</c:f>
              <c:numCache>
                <c:formatCode>General</c:formatCode>
                <c:ptCount val="2"/>
                <c:pt idx="0">
                  <c:v>7791.9</c:v>
                </c:pt>
                <c:pt idx="1">
                  <c:v>6687.01</c:v>
                </c:pt>
              </c:numCache>
            </c:numRef>
          </c:val>
        </c:ser>
        <c:dLbls>
          <c:showLegendKey val="0"/>
          <c:showVal val="1"/>
          <c:showCatName val="0"/>
          <c:showSerName val="0"/>
          <c:showPercent val="0"/>
          <c:showBubbleSize val="0"/>
        </c:dLbls>
        <c:gapWidth val="219"/>
        <c:overlap val="-27"/>
        <c:axId val="182778112"/>
        <c:axId val="183943168"/>
      </c:barChart>
      <c:catAx>
        <c:axId val="1827781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943168"/>
        <c:crosses val="autoZero"/>
        <c:auto val="1"/>
        <c:lblAlgn val="ctr"/>
        <c:lblOffset val="100"/>
        <c:noMultiLvlLbl val="0"/>
      </c:catAx>
      <c:valAx>
        <c:axId val="183943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77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elete val="1"/>
          </c:dLbls>
          <c:cat>
            <c:strRef>
              <c:f>'[新建 XLS 工作表.xls]Sheet1'!$E$89:$G$89</c:f>
              <c:strCache>
                <c:ptCount val="3"/>
                <c:pt idx="0">
                  <c:v>教育支出</c:v>
                </c:pt>
                <c:pt idx="1">
                  <c:v>社会保障和就业支出</c:v>
                </c:pt>
                <c:pt idx="2">
                  <c:v>住房保障支出</c:v>
                </c:pt>
              </c:strCache>
            </c:strRef>
          </c:cat>
          <c:val>
            <c:numRef>
              <c:f>'[新建 XLS 工作表.xls]Sheet1'!$E$90:$G$90</c:f>
              <c:numCache>
                <c:formatCode>General</c:formatCode>
                <c:ptCount val="3"/>
                <c:pt idx="0">
                  <c:v>951.03</c:v>
                </c:pt>
                <c:pt idx="1">
                  <c:v>95.99</c:v>
                </c:pt>
                <c:pt idx="2">
                  <c:v>73.07</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elete val="1"/>
          </c:dLbls>
          <c:cat>
            <c:strRef>
              <c:f>'[新建 XLS 工作表.xls]Sheet1'!$E$98:$G$98</c:f>
              <c:strCache>
                <c:ptCount val="3"/>
                <c:pt idx="0">
                  <c:v>因公出国（境）费支出</c:v>
                </c:pt>
                <c:pt idx="1">
                  <c:v>公务用车购置及运行维护费支出</c:v>
                </c:pt>
                <c:pt idx="2">
                  <c:v>公务接待费支出</c:v>
                </c:pt>
              </c:strCache>
            </c:strRef>
          </c:cat>
          <c:val>
            <c:numRef>
              <c:f>'[新建 XLS 工作表.xls]Sheet1'!$E$99:$G$99</c:f>
              <c:numCache>
                <c:formatCode>General</c:formatCode>
                <c:ptCount val="3"/>
                <c:pt idx="0">
                  <c:v>0</c:v>
                </c:pt>
                <c:pt idx="1">
                  <c:v>0.13</c:v>
                </c:pt>
                <c:pt idx="2">
                  <c:v>0</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4973</Words>
  <Characters>5501</Characters>
  <Lines>41</Lines>
  <Paragraphs>11</Paragraphs>
  <TotalTime>7</TotalTime>
  <ScaleCrop>false</ScaleCrop>
  <LinksUpToDate>false</LinksUpToDate>
  <CharactersWithSpaces>5625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☆水晶ruby☆</cp:lastModifiedBy>
  <cp:lastPrinted>2023-07-31T02:35:00Z</cp:lastPrinted>
  <dcterms:modified xsi:type="dcterms:W3CDTF">2023-09-13T08:31:54Z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EEF99D8969DF4CA88560EE19621F4031_13</vt:lpwstr>
  </property>
</Properties>
</file>