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0" w:firstLine="0" w:firstLineChars="0"/>
        <w:rPr>
          <w:color w:val="000000" w:themeColor="text1"/>
        </w:rPr>
      </w:pPr>
      <w:bookmarkStart w:id="0" w:name="_Toc15306267"/>
    </w:p>
    <w:p>
      <w:pPr>
        <w:ind w:firstLine="1440"/>
        <w:jc w:val="center"/>
        <w:outlineLvl w:val="0"/>
        <w:rPr>
          <w:rFonts w:ascii="方正小标宋简体" w:hAnsi="宋体" w:eastAsia="方正小标宋简体"/>
          <w:color w:val="000000" w:themeColor="text1"/>
          <w:sz w:val="72"/>
          <w:szCs w:val="72"/>
        </w:rPr>
      </w:pPr>
    </w:p>
    <w:p>
      <w:pPr>
        <w:ind w:firstLine="1440"/>
        <w:jc w:val="center"/>
        <w:outlineLvl w:val="0"/>
        <w:rPr>
          <w:rFonts w:ascii="方正小标宋简体" w:hAnsi="宋体" w:eastAsia="方正小标宋简体"/>
          <w:color w:val="000000" w:themeColor="text1"/>
          <w:sz w:val="72"/>
          <w:szCs w:val="72"/>
        </w:rPr>
      </w:pPr>
    </w:p>
    <w:p>
      <w:pPr>
        <w:adjustRightInd w:val="0"/>
        <w:snapToGrid w:val="0"/>
        <w:spacing w:line="360" w:lineRule="auto"/>
        <w:ind w:firstLine="2700" w:firstLineChars="375"/>
        <w:outlineLvl w:val="9"/>
        <w:rPr>
          <w:rFonts w:ascii="方正小标宋简体" w:hAnsi="方正小标宋简体" w:eastAsia="方正小标宋简体" w:cs="方正小标宋简体"/>
          <w:color w:val="000000" w:themeColor="text1"/>
          <w:sz w:val="72"/>
          <w:szCs w:val="72"/>
        </w:rPr>
      </w:pPr>
      <w:bookmarkStart w:id="1" w:name="_Toc144056335"/>
      <w:bookmarkStart w:id="2" w:name="_Toc15396597"/>
      <w:bookmarkStart w:id="3" w:name="_Toc144052218"/>
      <w:bookmarkStart w:id="4" w:name="_Toc144051043"/>
      <w:bookmarkStart w:id="5" w:name="_Toc15396475"/>
      <w:bookmarkStart w:id="6" w:name="_Toc15377193"/>
      <w:bookmarkStart w:id="7" w:name="_Toc144056443"/>
      <w:bookmarkStart w:id="8" w:name="_Toc144050635"/>
      <w:bookmarkStart w:id="9" w:name="_Toc15377425"/>
      <w:bookmarkStart w:id="10" w:name="_Toc15378441"/>
      <w:r>
        <w:rPr>
          <w:rFonts w:hint="eastAsia" w:ascii="方正小标宋简体" w:hAnsi="方正小标宋简体" w:eastAsia="方正小标宋简体" w:cs="方正小标宋简体"/>
          <w:color w:val="000000" w:themeColor="text1"/>
          <w:sz w:val="72"/>
          <w:szCs w:val="72"/>
        </w:rPr>
        <w:t>2022年度</w:t>
      </w:r>
      <w:bookmarkEnd w:id="1"/>
      <w:bookmarkEnd w:id="2"/>
      <w:bookmarkEnd w:id="3"/>
      <w:bookmarkEnd w:id="4"/>
      <w:bookmarkEnd w:id="5"/>
      <w:bookmarkEnd w:id="6"/>
      <w:bookmarkEnd w:id="7"/>
      <w:bookmarkEnd w:id="8"/>
      <w:bookmarkEnd w:id="9"/>
      <w:bookmarkEnd w:id="10"/>
    </w:p>
    <w:p>
      <w:pPr>
        <w:adjustRightInd w:val="0"/>
        <w:snapToGrid w:val="0"/>
        <w:spacing w:line="360" w:lineRule="auto"/>
        <w:ind w:firstLine="0" w:firstLineChars="0"/>
        <w:jc w:val="center"/>
        <w:outlineLvl w:val="9"/>
        <w:rPr>
          <w:rFonts w:ascii="方正小标宋简体" w:hAnsi="方正小标宋简体" w:eastAsia="方正小标宋简体" w:cs="方正小标宋简体"/>
          <w:color w:val="000000" w:themeColor="text1"/>
          <w:sz w:val="72"/>
          <w:szCs w:val="72"/>
        </w:rPr>
      </w:pPr>
      <w:bookmarkStart w:id="11" w:name="_Toc144056444"/>
      <w:bookmarkStart w:id="12" w:name="_Toc15377194"/>
      <w:bookmarkStart w:id="13" w:name="_Toc15378442"/>
      <w:bookmarkStart w:id="14" w:name="_Toc144050636"/>
      <w:bookmarkStart w:id="15" w:name="_Toc15377426"/>
      <w:bookmarkStart w:id="16" w:name="_Toc15396598"/>
      <w:bookmarkStart w:id="17" w:name="_Toc144052219"/>
      <w:bookmarkStart w:id="18" w:name="_Toc144056336"/>
      <w:bookmarkStart w:id="19" w:name="_Toc15396476"/>
      <w:bookmarkStart w:id="20" w:name="_Toc144051044"/>
      <w:r>
        <w:rPr>
          <w:rFonts w:hint="eastAsia" w:ascii="方正小标宋简体" w:hAnsi="方正小标宋简体" w:eastAsia="方正小标宋简体" w:cs="方正小标宋简体"/>
          <w:color w:val="000000" w:themeColor="text1"/>
          <w:sz w:val="72"/>
          <w:szCs w:val="72"/>
        </w:rPr>
        <w:t>攀枝花市</w:t>
      </w:r>
      <w:bookmarkEnd w:id="0"/>
      <w:bookmarkStart w:id="21" w:name="_Toc15306268"/>
      <w:r>
        <w:rPr>
          <w:rFonts w:hint="eastAsia" w:ascii="方正小标宋简体" w:hAnsi="方正小标宋简体" w:eastAsia="方正小标宋简体" w:cs="方正小标宋简体"/>
          <w:color w:val="000000" w:themeColor="text1"/>
          <w:sz w:val="72"/>
          <w:szCs w:val="72"/>
        </w:rPr>
        <w:t>教育科学研究所单位决算</w:t>
      </w:r>
      <w:bookmarkEnd w:id="11"/>
      <w:bookmarkEnd w:id="12"/>
      <w:bookmarkEnd w:id="13"/>
      <w:bookmarkEnd w:id="14"/>
      <w:bookmarkEnd w:id="15"/>
      <w:bookmarkEnd w:id="16"/>
      <w:bookmarkEnd w:id="17"/>
      <w:bookmarkEnd w:id="18"/>
      <w:bookmarkEnd w:id="19"/>
      <w:bookmarkEnd w:id="20"/>
      <w:bookmarkEnd w:id="21"/>
    </w:p>
    <w:p>
      <w:pPr>
        <w:adjustRightInd w:val="0"/>
        <w:snapToGrid w:val="0"/>
        <w:spacing w:line="360" w:lineRule="auto"/>
        <w:ind w:firstLine="1040"/>
        <w:jc w:val="center"/>
        <w:outlineLvl w:val="0"/>
        <w:rPr>
          <w:rFonts w:ascii="方正小标宋简体" w:hAnsi="宋体" w:eastAsia="方正小标宋简体"/>
          <w:color w:val="000000" w:themeColor="text1"/>
          <w:sz w:val="52"/>
          <w:szCs w:val="52"/>
        </w:rPr>
      </w:pPr>
    </w:p>
    <w:p>
      <w:pPr>
        <w:widowControl/>
        <w:ind w:firstLine="0" w:firstLineChars="0"/>
        <w:rPr>
          <w:rFonts w:ascii="黑体" w:hAnsi="黑体" w:eastAsia="黑体"/>
          <w:color w:val="000000" w:themeColor="text1"/>
          <w:sz w:val="48"/>
          <w:szCs w:val="48"/>
        </w:rPr>
      </w:pPr>
      <w:r>
        <w:rPr>
          <w:rFonts w:ascii="黑体" w:hAnsi="黑体" w:eastAsia="黑体"/>
          <w:color w:val="000000" w:themeColor="text1"/>
          <w:sz w:val="48"/>
          <w:szCs w:val="48"/>
        </w:rPr>
        <w:t xml:space="preserve"> </w:t>
      </w:r>
    </w:p>
    <w:p>
      <w:pPr>
        <w:widowControl/>
        <w:spacing w:line="240" w:lineRule="auto"/>
        <w:ind w:firstLine="0" w:firstLineChars="0"/>
        <w:jc w:val="left"/>
        <w:rPr>
          <w:rFonts w:ascii="黑体" w:hAnsi="黑体" w:eastAsia="黑体" w:cstheme="minorBidi"/>
          <w:color w:val="000000" w:themeColor="text1"/>
          <w:sz w:val="28"/>
          <w:szCs w:val="28"/>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10"/>
        <w:spacing w:before="130"/>
        <w:ind w:firstLine="880"/>
        <w:rPr>
          <w:rFonts w:hint="eastAsia" w:ascii="黑体" w:eastAsia="黑体"/>
          <w:color w:val="000000" w:themeColor="text1"/>
          <w:sz w:val="44"/>
          <w:szCs w:val="44"/>
        </w:rPr>
      </w:pPr>
      <w:r>
        <w:rPr>
          <w:rFonts w:hint="eastAsia" w:ascii="黑体" w:eastAsia="黑体"/>
          <w:color w:val="000000" w:themeColor="text1"/>
          <w:sz w:val="48"/>
          <w:szCs w:val="48"/>
        </w:rPr>
        <w:t>目录</w:t>
      </w:r>
      <w:r>
        <w:rPr>
          <w:rFonts w:hint="eastAsia" w:ascii="黑体" w:eastAsia="黑体"/>
          <w:color w:val="000000" w:themeColor="text1"/>
          <w:sz w:val="44"/>
          <w:szCs w:val="44"/>
        </w:rPr>
        <w:t xml:space="preserve"> </w:t>
      </w:r>
    </w:p>
    <w:p/>
    <w:p>
      <w:pPr>
        <w:pStyle w:val="10"/>
        <w:ind w:firstLine="560"/>
        <w:rPr>
          <w:rFonts w:hint="eastAsia"/>
          <w:color w:val="000000" w:themeColor="text1"/>
        </w:rPr>
      </w:pPr>
      <w:r>
        <w:rPr>
          <w:rFonts w:hint="eastAsia"/>
          <w:color w:val="000000" w:themeColor="text1"/>
        </w:rPr>
        <w:t>公开时间：2023年9月</w:t>
      </w:r>
      <w:r>
        <w:rPr>
          <w:color w:val="000000" w:themeColor="text1"/>
        </w:rPr>
        <w:t>1</w:t>
      </w:r>
      <w:r>
        <w:rPr>
          <w:rFonts w:hint="eastAsia"/>
          <w:color w:val="000000" w:themeColor="text1"/>
          <w:lang w:val="en-US" w:eastAsia="zh-CN"/>
        </w:rPr>
        <w:t>5</w:t>
      </w:r>
      <w:r>
        <w:rPr>
          <w:rFonts w:hint="eastAsia"/>
          <w:color w:val="000000" w:themeColor="text1"/>
        </w:rPr>
        <w:t>日</w:t>
      </w:r>
    </w:p>
    <w:p/>
    <w:p>
      <w:pPr>
        <w:pStyle w:val="10"/>
        <w:adjustRightInd w:val="0"/>
        <w:snapToGrid w:val="0"/>
        <w:spacing w:before="0" w:line="440" w:lineRule="exact"/>
        <w:jc w:val="left"/>
        <w:rPr>
          <w:rFonts w:cs="Arial"/>
          <w:sz w:val="24"/>
          <w:szCs w:val="24"/>
        </w:rPr>
      </w:pPr>
      <w:bookmarkStart w:id="22" w:name="_Toc144051045"/>
      <w:bookmarkStart w:id="23" w:name="_Toc15377196"/>
      <w:bookmarkStart w:id="24" w:name="_Toc15396599"/>
      <w:r>
        <w:rPr>
          <w:rFonts w:hint="eastAsia"/>
          <w:sz w:val="24"/>
        </w:rPr>
        <w:t>第一部分单位概况</w:t>
      </w:r>
      <w:r>
        <w:rPr>
          <w:rFonts w:cs="Arial"/>
          <w:sz w:val="24"/>
        </w:rPr>
        <w:tab/>
      </w:r>
      <w:r>
        <w:rPr>
          <w:rFonts w:hint="eastAsia" w:cs="Arial"/>
          <w:sz w:val="24"/>
          <w:szCs w:val="24"/>
        </w:rPr>
        <w:t>4</w:t>
      </w:r>
    </w:p>
    <w:p>
      <w:pPr>
        <w:pStyle w:val="11"/>
        <w:adjustRightInd w:val="0"/>
        <w:snapToGrid w:val="0"/>
        <w:spacing w:line="440" w:lineRule="exact"/>
        <w:ind w:left="420"/>
        <w:jc w:val="left"/>
        <w:rPr>
          <w:rFonts w:hint="eastAsia" w:ascii="宋体" w:hAnsi="宋体" w:eastAsia="宋体" w:cs="宋体"/>
          <w:sz w:val="24"/>
          <w:szCs w:val="24"/>
        </w:rPr>
      </w:pPr>
      <w:r>
        <w:rPr>
          <w:rFonts w:hint="eastAsia" w:ascii="宋体" w:hAnsi="宋体" w:eastAsia="宋体" w:cs="宋体"/>
          <w:sz w:val="24"/>
          <w:szCs w:val="24"/>
        </w:rPr>
        <w:t>一、主要职责</w:t>
      </w:r>
      <w:r>
        <w:rPr>
          <w:rFonts w:hint="eastAsia" w:ascii="宋体" w:hAnsi="宋体" w:eastAsia="宋体" w:cs="宋体"/>
          <w:sz w:val="24"/>
          <w:szCs w:val="24"/>
        </w:rPr>
        <w:tab/>
      </w:r>
      <w:r>
        <w:rPr>
          <w:rFonts w:hint="eastAsia" w:ascii="宋体" w:hAnsi="宋体" w:eastAsia="宋体" w:cs="宋体"/>
          <w:sz w:val="24"/>
          <w:szCs w:val="24"/>
        </w:rPr>
        <w:t>4</w:t>
      </w:r>
    </w:p>
    <w:p>
      <w:pPr>
        <w:pStyle w:val="11"/>
        <w:adjustRightInd w:val="0"/>
        <w:snapToGrid w:val="0"/>
        <w:spacing w:line="440" w:lineRule="exact"/>
        <w:ind w:left="420"/>
        <w:jc w:val="left"/>
        <w:rPr>
          <w:rFonts w:hint="eastAsia" w:ascii="宋体" w:hAnsi="宋体" w:eastAsia="宋体" w:cs="宋体"/>
          <w:sz w:val="24"/>
          <w:szCs w:val="24"/>
        </w:rPr>
      </w:pPr>
      <w:r>
        <w:rPr>
          <w:rFonts w:hint="eastAsia" w:ascii="宋体" w:hAnsi="宋体" w:eastAsia="宋体" w:cs="宋体"/>
          <w:sz w:val="24"/>
          <w:szCs w:val="24"/>
        </w:rPr>
        <w:t>二、机构设置</w:t>
      </w:r>
      <w:r>
        <w:rPr>
          <w:rFonts w:hint="eastAsia" w:ascii="宋体" w:hAnsi="宋体" w:eastAsia="宋体" w:cs="宋体"/>
          <w:sz w:val="24"/>
          <w:szCs w:val="24"/>
        </w:rPr>
        <w:tab/>
      </w:r>
      <w:r>
        <w:rPr>
          <w:rFonts w:hint="eastAsia" w:ascii="宋体" w:hAnsi="宋体" w:eastAsia="宋体" w:cs="宋体"/>
          <w:sz w:val="24"/>
          <w:szCs w:val="24"/>
        </w:rPr>
        <w:t>4</w:t>
      </w:r>
    </w:p>
    <w:p>
      <w:pPr>
        <w:pStyle w:val="10"/>
        <w:adjustRightInd w:val="0"/>
        <w:snapToGrid w:val="0"/>
        <w:spacing w:before="0" w:line="440" w:lineRule="exact"/>
        <w:jc w:val="left"/>
        <w:rPr>
          <w:sz w:val="24"/>
          <w:szCs w:val="24"/>
        </w:rPr>
      </w:pPr>
      <w:r>
        <w:rPr>
          <w:rFonts w:hint="eastAsia"/>
          <w:sz w:val="24"/>
        </w:rPr>
        <w:t>第二部分 2022年度单位决算情况说明</w:t>
      </w:r>
      <w:r>
        <w:rPr>
          <w:rFonts w:cs="Arial"/>
          <w:sz w:val="24"/>
          <w:szCs w:val="24"/>
        </w:rPr>
        <w:tab/>
      </w:r>
      <w:r>
        <w:rPr>
          <w:rFonts w:hint="eastAsia" w:cs="Arial"/>
          <w:sz w:val="24"/>
          <w:szCs w:val="24"/>
        </w:rPr>
        <w:t>5</w:t>
      </w:r>
    </w:p>
    <w:p>
      <w:pPr>
        <w:pStyle w:val="11"/>
        <w:adjustRightInd w:val="0"/>
        <w:snapToGrid w:val="0"/>
        <w:spacing w:line="440" w:lineRule="exact"/>
        <w:ind w:left="420"/>
        <w:jc w:val="left"/>
        <w:rPr>
          <w:rFonts w:hint="eastAsia" w:ascii="宋体" w:hAnsi="宋体" w:eastAsia="宋体" w:cs="宋体"/>
          <w:sz w:val="24"/>
          <w:szCs w:val="24"/>
        </w:rPr>
      </w:pPr>
      <w:r>
        <w:rPr>
          <w:rFonts w:hint="eastAsia" w:ascii="宋体" w:hAnsi="宋体" w:eastAsia="宋体" w:cs="宋体"/>
          <w:sz w:val="24"/>
          <w:szCs w:val="24"/>
        </w:rPr>
        <w:t>一、收入支出决算总体情况说明</w:t>
      </w:r>
      <w:r>
        <w:rPr>
          <w:rFonts w:hint="eastAsia" w:ascii="宋体" w:hAnsi="宋体" w:eastAsia="宋体" w:cs="宋体"/>
          <w:sz w:val="24"/>
          <w:szCs w:val="24"/>
        </w:rPr>
        <w:tab/>
      </w:r>
      <w:r>
        <w:rPr>
          <w:rFonts w:hint="eastAsia" w:ascii="宋体" w:hAnsi="宋体" w:eastAsia="宋体" w:cs="宋体"/>
          <w:sz w:val="24"/>
          <w:szCs w:val="24"/>
        </w:rPr>
        <w:t>5</w:t>
      </w:r>
    </w:p>
    <w:p>
      <w:pPr>
        <w:pStyle w:val="11"/>
        <w:adjustRightInd w:val="0"/>
        <w:snapToGrid w:val="0"/>
        <w:spacing w:line="440" w:lineRule="exact"/>
        <w:ind w:left="420"/>
        <w:jc w:val="left"/>
        <w:rPr>
          <w:rFonts w:hint="eastAsia" w:ascii="宋体" w:hAnsi="宋体" w:eastAsia="宋体" w:cs="宋体"/>
          <w:sz w:val="24"/>
          <w:szCs w:val="24"/>
          <w:lang w:eastAsia="zh-CN"/>
        </w:rPr>
      </w:pPr>
      <w:r>
        <w:rPr>
          <w:rFonts w:hint="eastAsia" w:ascii="宋体" w:hAnsi="宋体" w:eastAsia="宋体" w:cs="宋体"/>
          <w:sz w:val="24"/>
          <w:szCs w:val="24"/>
        </w:rPr>
        <w:t>二、收入决算情况说明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5</w:t>
      </w:r>
    </w:p>
    <w:p>
      <w:pPr>
        <w:pStyle w:val="11"/>
        <w:adjustRightInd w:val="0"/>
        <w:snapToGrid w:val="0"/>
        <w:spacing w:line="440" w:lineRule="exact"/>
        <w:ind w:left="420"/>
        <w:jc w:val="left"/>
        <w:rPr>
          <w:rFonts w:hint="eastAsia" w:ascii="宋体" w:hAnsi="宋体" w:eastAsia="宋体" w:cs="宋体"/>
          <w:sz w:val="24"/>
          <w:szCs w:val="24"/>
        </w:rPr>
      </w:pPr>
      <w:r>
        <w:rPr>
          <w:rFonts w:hint="eastAsia" w:ascii="宋体" w:hAnsi="宋体" w:eastAsia="宋体" w:cs="宋体"/>
          <w:sz w:val="24"/>
          <w:szCs w:val="24"/>
        </w:rPr>
        <w:t>三、支出决算情况说明</w:t>
      </w:r>
      <w:r>
        <w:rPr>
          <w:rFonts w:hint="eastAsia" w:ascii="宋体" w:hAnsi="宋体" w:eastAsia="宋体" w:cs="宋体"/>
          <w:sz w:val="24"/>
          <w:szCs w:val="24"/>
        </w:rPr>
        <w:tab/>
      </w:r>
      <w:r>
        <w:rPr>
          <w:rFonts w:hint="eastAsia" w:ascii="宋体" w:hAnsi="宋体" w:eastAsia="宋体" w:cs="宋体"/>
          <w:sz w:val="24"/>
          <w:szCs w:val="24"/>
        </w:rPr>
        <w:t>6</w:t>
      </w:r>
    </w:p>
    <w:p>
      <w:pPr>
        <w:pStyle w:val="11"/>
        <w:adjustRightInd w:val="0"/>
        <w:snapToGrid w:val="0"/>
        <w:spacing w:line="440" w:lineRule="exact"/>
        <w:ind w:left="420"/>
        <w:jc w:val="left"/>
        <w:rPr>
          <w:rFonts w:hint="eastAsia" w:ascii="宋体" w:hAnsi="宋体" w:eastAsia="宋体" w:cs="宋体"/>
          <w:sz w:val="24"/>
          <w:szCs w:val="24"/>
        </w:rPr>
      </w:pPr>
      <w:r>
        <w:rPr>
          <w:rFonts w:hint="eastAsia" w:ascii="宋体" w:hAnsi="宋体" w:eastAsia="宋体" w:cs="宋体"/>
          <w:sz w:val="24"/>
          <w:szCs w:val="24"/>
        </w:rPr>
        <w:t>四、财政拨款收入支出决算总体情况说明</w:t>
      </w:r>
      <w:r>
        <w:rPr>
          <w:rFonts w:hint="eastAsia" w:ascii="宋体" w:hAnsi="宋体" w:eastAsia="宋体" w:cs="宋体"/>
          <w:sz w:val="24"/>
          <w:szCs w:val="24"/>
        </w:rPr>
        <w:tab/>
      </w:r>
      <w:r>
        <w:rPr>
          <w:rFonts w:hint="eastAsia" w:ascii="宋体" w:hAnsi="宋体" w:eastAsia="宋体" w:cs="宋体"/>
          <w:sz w:val="24"/>
          <w:szCs w:val="24"/>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五、一般公共预算财政拨款支出决算情况说明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eastAsia="zh-CN"/>
        </w:rPr>
      </w:pPr>
      <w:r>
        <w:rPr>
          <w:rFonts w:hint="eastAsia" w:ascii="宋体" w:hAnsi="宋体" w:eastAsia="宋体" w:cs="宋体"/>
          <w:sz w:val="24"/>
          <w:szCs w:val="24"/>
        </w:rPr>
        <w:t>六、一般公共预算财政拨款基本支出决算情况说明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9</w:t>
      </w:r>
    </w:p>
    <w:p>
      <w:pPr>
        <w:pStyle w:val="11"/>
        <w:adjustRightInd w:val="0"/>
        <w:snapToGrid w:val="0"/>
        <w:spacing w:line="440" w:lineRule="exact"/>
        <w:ind w:left="420"/>
        <w:jc w:val="left"/>
        <w:rPr>
          <w:rFonts w:hint="default" w:ascii="宋体" w:hAnsi="宋体" w:eastAsia="宋体" w:cs="宋体"/>
          <w:sz w:val="24"/>
          <w:szCs w:val="24"/>
          <w:lang w:val="en-US" w:eastAsia="zh-CN"/>
        </w:rPr>
      </w:pPr>
      <w:r>
        <w:rPr>
          <w:rFonts w:hint="eastAsia" w:ascii="宋体" w:hAnsi="宋体" w:eastAsia="宋体" w:cs="宋体"/>
          <w:sz w:val="24"/>
          <w:szCs w:val="24"/>
        </w:rPr>
        <w:t>七、财政拨款“三公”经费支出决算情况说明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10</w:t>
      </w:r>
    </w:p>
    <w:p>
      <w:pPr>
        <w:pStyle w:val="11"/>
        <w:adjustRightInd w:val="0"/>
        <w:snapToGrid w:val="0"/>
        <w:spacing w:line="440" w:lineRule="exact"/>
        <w:ind w:left="420"/>
        <w:jc w:val="left"/>
        <w:rPr>
          <w:rFonts w:hint="default" w:ascii="宋体" w:hAnsi="宋体" w:eastAsia="宋体" w:cs="宋体"/>
          <w:sz w:val="24"/>
          <w:szCs w:val="24"/>
          <w:lang w:val="en-US" w:eastAsia="zh-CN"/>
        </w:rPr>
      </w:pPr>
      <w:r>
        <w:rPr>
          <w:rFonts w:hint="eastAsia" w:ascii="宋体" w:hAnsi="宋体" w:eastAsia="宋体" w:cs="宋体"/>
          <w:sz w:val="24"/>
          <w:szCs w:val="24"/>
        </w:rPr>
        <w:t>八、政府性基金预算支出决算情况说明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12</w:t>
      </w:r>
    </w:p>
    <w:p>
      <w:pPr>
        <w:pStyle w:val="11"/>
        <w:adjustRightInd w:val="0"/>
        <w:snapToGrid w:val="0"/>
        <w:spacing w:line="440" w:lineRule="exact"/>
        <w:ind w:left="420"/>
        <w:jc w:val="left"/>
        <w:rPr>
          <w:rFonts w:hint="default" w:ascii="宋体" w:hAnsi="宋体" w:eastAsia="宋体" w:cs="宋体"/>
          <w:sz w:val="24"/>
          <w:szCs w:val="24"/>
          <w:lang w:val="en-US" w:eastAsia="zh-CN"/>
        </w:rPr>
      </w:pPr>
      <w:r>
        <w:rPr>
          <w:rFonts w:hint="eastAsia" w:ascii="宋体" w:hAnsi="宋体" w:eastAsia="宋体" w:cs="宋体"/>
          <w:sz w:val="24"/>
          <w:szCs w:val="24"/>
        </w:rPr>
        <w:t>九、国有资本经营预算支出决算情况说明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12</w:t>
      </w:r>
    </w:p>
    <w:p>
      <w:pPr>
        <w:pStyle w:val="11"/>
        <w:adjustRightInd w:val="0"/>
        <w:snapToGrid w:val="0"/>
        <w:spacing w:line="440" w:lineRule="exact"/>
        <w:ind w:left="420"/>
        <w:jc w:val="left"/>
        <w:rPr>
          <w:rFonts w:hint="default" w:ascii="宋体" w:hAnsi="宋体" w:eastAsia="宋体" w:cs="宋体"/>
          <w:sz w:val="24"/>
          <w:szCs w:val="24"/>
          <w:lang w:val="en-US" w:eastAsia="zh-CN"/>
        </w:rPr>
      </w:pPr>
      <w:r>
        <w:rPr>
          <w:rFonts w:hint="eastAsia" w:ascii="宋体" w:hAnsi="宋体" w:eastAsia="宋体" w:cs="宋体"/>
          <w:sz w:val="24"/>
          <w:szCs w:val="24"/>
        </w:rPr>
        <w:t>十、其他重要事项的情况说明</w:t>
      </w:r>
      <w:r>
        <w:rPr>
          <w:rFonts w:hint="eastAsia" w:ascii="宋体" w:hAnsi="宋体" w:eastAsia="宋体" w:cs="宋体"/>
          <w:sz w:val="24"/>
          <w:szCs w:val="24"/>
        </w:rPr>
        <w:tab/>
      </w:r>
      <w:r>
        <w:rPr>
          <w:rFonts w:hint="eastAsia" w:ascii="宋体" w:hAnsi="宋体" w:eastAsia="宋体" w:cs="宋体"/>
          <w:sz w:val="24"/>
          <w:szCs w:val="24"/>
          <w:lang w:val="en-US" w:eastAsia="zh-CN"/>
        </w:rPr>
        <w:t>12</w:t>
      </w:r>
    </w:p>
    <w:p>
      <w:pPr>
        <w:pStyle w:val="10"/>
        <w:adjustRightInd w:val="0"/>
        <w:snapToGrid w:val="0"/>
        <w:spacing w:before="0" w:line="440" w:lineRule="exact"/>
        <w:jc w:val="left"/>
        <w:rPr>
          <w:rFonts w:hint="eastAsia" w:eastAsia="仿宋" w:cs="Arial"/>
          <w:sz w:val="24"/>
          <w:szCs w:val="24"/>
          <w:lang w:val="en-US" w:eastAsia="zh-CN"/>
        </w:rPr>
      </w:pPr>
      <w:r>
        <w:rPr>
          <w:rFonts w:hint="eastAsia"/>
          <w:sz w:val="24"/>
        </w:rPr>
        <w:t>第三部分名词解释</w:t>
      </w:r>
      <w:r>
        <w:rPr>
          <w:rFonts w:cs="Arial"/>
          <w:sz w:val="24"/>
          <w:szCs w:val="24"/>
        </w:rPr>
        <w:tab/>
      </w:r>
      <w:r>
        <w:rPr>
          <w:rFonts w:hint="eastAsia" w:cs="Arial"/>
          <w:sz w:val="24"/>
          <w:szCs w:val="24"/>
        </w:rPr>
        <w:t>1</w:t>
      </w:r>
      <w:r>
        <w:rPr>
          <w:rFonts w:hint="eastAsia" w:cs="Arial"/>
          <w:sz w:val="24"/>
          <w:szCs w:val="24"/>
          <w:lang w:val="en-US" w:eastAsia="zh-CN"/>
        </w:rPr>
        <w:t>4</w:t>
      </w:r>
    </w:p>
    <w:p>
      <w:pPr>
        <w:pStyle w:val="10"/>
        <w:adjustRightInd w:val="0"/>
        <w:snapToGrid w:val="0"/>
        <w:spacing w:before="0" w:line="440" w:lineRule="exact"/>
        <w:jc w:val="left"/>
        <w:rPr>
          <w:rFonts w:hint="eastAsia" w:eastAsia="仿宋" w:cs="Arial"/>
          <w:sz w:val="24"/>
          <w:szCs w:val="24"/>
          <w:lang w:val="en-US" w:eastAsia="zh-CN"/>
        </w:rPr>
      </w:pPr>
      <w:r>
        <w:rPr>
          <w:rFonts w:hint="eastAsia"/>
          <w:sz w:val="24"/>
        </w:rPr>
        <w:t>第四部分附件</w:t>
      </w:r>
      <w:r>
        <w:rPr>
          <w:rFonts w:cs="Arial"/>
          <w:sz w:val="24"/>
          <w:szCs w:val="24"/>
        </w:rPr>
        <w:tab/>
      </w:r>
      <w:r>
        <w:rPr>
          <w:rFonts w:hint="eastAsia" w:cs="Arial"/>
          <w:sz w:val="24"/>
          <w:szCs w:val="24"/>
        </w:rPr>
        <w:t>1</w:t>
      </w:r>
      <w:r>
        <w:rPr>
          <w:rFonts w:hint="eastAsia" w:cs="Arial"/>
          <w:sz w:val="24"/>
          <w:szCs w:val="24"/>
          <w:lang w:val="en-US" w:eastAsia="zh-CN"/>
        </w:rPr>
        <w:t>6</w:t>
      </w:r>
    </w:p>
    <w:p>
      <w:pPr>
        <w:pStyle w:val="10"/>
        <w:adjustRightInd w:val="0"/>
        <w:snapToGrid w:val="0"/>
        <w:spacing w:before="0" w:line="440" w:lineRule="exact"/>
        <w:jc w:val="left"/>
        <w:rPr>
          <w:rFonts w:hint="eastAsia" w:eastAsia="仿宋" w:cs="Arial"/>
          <w:sz w:val="24"/>
          <w:szCs w:val="24"/>
          <w:lang w:val="en-US" w:eastAsia="zh-CN"/>
        </w:rPr>
      </w:pPr>
      <w:r>
        <w:rPr>
          <w:rFonts w:hint="eastAsia"/>
          <w:sz w:val="24"/>
        </w:rPr>
        <w:t>第五部分附表</w:t>
      </w:r>
      <w:r>
        <w:rPr>
          <w:rFonts w:cs="Arial"/>
          <w:sz w:val="24"/>
          <w:szCs w:val="24"/>
        </w:rPr>
        <w:tab/>
      </w:r>
      <w:r>
        <w:rPr>
          <w:rFonts w:hint="eastAsia" w:cs="Arial"/>
          <w:sz w:val="24"/>
          <w:szCs w:val="24"/>
        </w:rPr>
        <w:t>1</w:t>
      </w:r>
      <w:r>
        <w:rPr>
          <w:rFonts w:hint="eastAsia" w:cs="Arial"/>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一、收入支出决算总表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二、收入决算表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三、支出决算表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四、财政拨款收入支出决算总表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五、财政拨款支出决算明细表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eastAsia="zh-CN"/>
        </w:rPr>
      </w:pPr>
      <w:r>
        <w:rPr>
          <w:rFonts w:hint="eastAsia" w:ascii="宋体" w:hAnsi="宋体" w:eastAsia="宋体" w:cs="宋体"/>
          <w:sz w:val="24"/>
          <w:szCs w:val="24"/>
        </w:rPr>
        <w:t>六、一般公共预算财政拨款支出决算表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eastAsia="zh-CN"/>
        </w:rPr>
      </w:pPr>
      <w:r>
        <w:rPr>
          <w:rFonts w:hint="eastAsia" w:ascii="宋体" w:hAnsi="宋体" w:eastAsia="宋体" w:cs="宋体"/>
          <w:sz w:val="24"/>
          <w:szCs w:val="24"/>
        </w:rPr>
        <w:t>七、一般公共预算财政拨款支出决算明细表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eastAsia="zh-CN"/>
        </w:rPr>
      </w:pPr>
      <w:r>
        <w:rPr>
          <w:rFonts w:hint="eastAsia" w:ascii="宋体" w:hAnsi="宋体" w:eastAsia="宋体" w:cs="宋体"/>
          <w:sz w:val="24"/>
          <w:szCs w:val="24"/>
        </w:rPr>
        <w:t>八、一般公共预算财政拨款基本支出决算明细表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rPr>
      </w:pPr>
      <w:r>
        <w:rPr>
          <w:rFonts w:hint="eastAsia" w:ascii="宋体" w:hAnsi="宋体" w:eastAsia="宋体" w:cs="宋体"/>
          <w:sz w:val="24"/>
          <w:szCs w:val="24"/>
        </w:rPr>
        <w:t>九、一般公共预算财政拨款项目支出决算表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rPr>
      </w:pPr>
      <w:r>
        <w:rPr>
          <w:rFonts w:hint="eastAsia" w:ascii="宋体" w:hAnsi="宋体" w:eastAsia="宋体" w:cs="宋体"/>
          <w:sz w:val="24"/>
          <w:szCs w:val="24"/>
        </w:rPr>
        <w:t>十、政府性基金预算财政拨款收入支出决算表</w:t>
      </w:r>
      <w:r>
        <w:rPr>
          <w:rFonts w:hint="eastAsia" w:ascii="宋体" w:hAnsi="宋体" w:eastAsia="宋体" w:cs="宋体"/>
          <w:sz w:val="24"/>
          <w:szCs w:val="24"/>
          <w:lang w:eastAsia="zh-CN"/>
        </w:rPr>
        <w:t>（此表无数据）</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1120" w:leftChars="350" w:firstLine="0" w:firstLineChars="0"/>
        <w:jc w:val="left"/>
        <w:rPr>
          <w:rFonts w:hint="eastAsia" w:ascii="宋体" w:hAnsi="宋体" w:eastAsia="宋体" w:cs="宋体"/>
          <w:sz w:val="24"/>
          <w:szCs w:val="24"/>
        </w:rPr>
      </w:pPr>
      <w:r>
        <w:rPr>
          <w:rFonts w:hint="eastAsia" w:ascii="宋体" w:hAnsi="宋体" w:eastAsia="宋体" w:cs="宋体"/>
          <w:sz w:val="24"/>
          <w:szCs w:val="24"/>
        </w:rPr>
        <w:t>十一、国有资本经营预算财政拨款收入支出决算表</w:t>
      </w:r>
      <w:r>
        <w:rPr>
          <w:rFonts w:hint="eastAsia" w:ascii="宋体" w:hAnsi="宋体" w:eastAsia="宋体" w:cs="宋体"/>
          <w:sz w:val="24"/>
          <w:szCs w:val="24"/>
          <w:lang w:eastAsia="zh-CN"/>
        </w:rPr>
        <w:t>（此表无数据）</w:t>
      </w:r>
      <w:bookmarkStart w:id="118" w:name="_GoBack"/>
      <w:bookmarkEnd w:id="118"/>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十二、国有资本经营预算财政拨款支出决算表</w:t>
      </w:r>
      <w:r>
        <w:rPr>
          <w:rFonts w:hint="eastAsia" w:ascii="宋体" w:hAnsi="宋体" w:eastAsia="宋体" w:cs="宋体"/>
          <w:sz w:val="24"/>
          <w:szCs w:val="24"/>
          <w:lang w:eastAsia="zh-CN"/>
        </w:rPr>
        <w:t>（此表无数据）</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pStyle w:val="11"/>
        <w:adjustRightInd w:val="0"/>
        <w:snapToGrid w:val="0"/>
        <w:spacing w:line="440" w:lineRule="exact"/>
        <w:ind w:left="420"/>
        <w:jc w:val="left"/>
        <w:rPr>
          <w:rFonts w:hint="eastAsia" w:ascii="宋体" w:hAnsi="宋体" w:eastAsia="宋体" w:cs="宋体"/>
          <w:sz w:val="24"/>
          <w:szCs w:val="24"/>
          <w:lang w:val="en-US" w:eastAsia="zh-CN"/>
        </w:rPr>
      </w:pPr>
      <w:r>
        <w:rPr>
          <w:rFonts w:hint="eastAsia" w:ascii="宋体" w:hAnsi="宋体" w:eastAsia="宋体" w:cs="宋体"/>
          <w:sz w:val="24"/>
          <w:szCs w:val="24"/>
        </w:rPr>
        <w:t>十三、财政拨款“三公”经费支出决算表</w:t>
      </w:r>
      <w:r>
        <w:rPr>
          <w:rFonts w:hint="eastAsia" w:ascii="宋体" w:hAnsi="宋体" w:eastAsia="宋体" w:cs="宋体"/>
          <w:sz w:val="24"/>
          <w:szCs w:val="24"/>
        </w:rPr>
        <w:tab/>
      </w:r>
      <w:r>
        <w:rPr>
          <w:rFonts w:hint="eastAsia" w:ascii="宋体" w:hAnsi="宋体" w:eastAsia="宋体" w:cs="宋体"/>
          <w:sz w:val="24"/>
          <w:szCs w:val="24"/>
        </w:rPr>
        <w:t>1</w:t>
      </w:r>
      <w:r>
        <w:rPr>
          <w:rFonts w:hint="eastAsia" w:ascii="宋体" w:hAnsi="宋体" w:eastAsia="宋体" w:cs="宋体"/>
          <w:sz w:val="24"/>
          <w:szCs w:val="24"/>
          <w:lang w:val="en-US" w:eastAsia="zh-CN"/>
        </w:rPr>
        <w:t>7</w:t>
      </w:r>
    </w:p>
    <w:p>
      <w:pPr>
        <w:rPr>
          <w:rFonts w:ascii="黑体" w:hAnsi="黑体" w:eastAsia="黑体"/>
          <w:bCs/>
          <w:color w:val="000000" w:themeColor="text1"/>
          <w:kern w:val="44"/>
          <w:sz w:val="44"/>
          <w:szCs w:val="44"/>
        </w:rPr>
      </w:pPr>
      <w:r>
        <w:rPr>
          <w:rFonts w:ascii="黑体" w:hAnsi="黑体" w:eastAsia="黑体"/>
          <w:bCs/>
          <w:color w:val="000000" w:themeColor="text1"/>
          <w:kern w:val="44"/>
          <w:sz w:val="44"/>
          <w:szCs w:val="44"/>
        </w:rPr>
        <w:br w:type="page"/>
      </w:r>
    </w:p>
    <w:p>
      <w:pPr>
        <w:pStyle w:val="2"/>
      </w:pPr>
    </w:p>
    <w:p>
      <w:pPr>
        <w:pStyle w:val="3"/>
        <w:ind w:firstLine="880"/>
        <w:rPr>
          <w:color w:val="000000" w:themeColor="text1"/>
        </w:rPr>
      </w:pPr>
      <w:r>
        <w:rPr>
          <w:rFonts w:hint="eastAsia"/>
          <w:color w:val="000000" w:themeColor="text1"/>
        </w:rPr>
        <w:t>第一部分 单位概况</w:t>
      </w:r>
      <w:bookmarkEnd w:id="22"/>
      <w:bookmarkEnd w:id="23"/>
      <w:bookmarkEnd w:id="24"/>
    </w:p>
    <w:p>
      <w:pPr>
        <w:widowControl/>
        <w:ind w:firstLine="640"/>
        <w:jc w:val="left"/>
        <w:rPr>
          <w:rFonts w:ascii="黑体" w:eastAsia="黑体"/>
          <w:color w:val="000000" w:themeColor="text1"/>
          <w:szCs w:val="32"/>
        </w:rPr>
      </w:pPr>
    </w:p>
    <w:p>
      <w:pPr>
        <w:pStyle w:val="4"/>
        <w:rPr>
          <w:color w:val="000000" w:themeColor="text1"/>
        </w:rPr>
      </w:pPr>
      <w:bookmarkStart w:id="25" w:name="_Toc144051046"/>
      <w:bookmarkStart w:id="26" w:name="_Toc15396600"/>
      <w:bookmarkStart w:id="27" w:name="_Toc15377197"/>
      <w:r>
        <w:rPr>
          <w:rFonts w:hint="eastAsia"/>
          <w:color w:val="000000" w:themeColor="text1"/>
        </w:rPr>
        <w:t>主要职责</w:t>
      </w:r>
      <w:bookmarkEnd w:id="25"/>
    </w:p>
    <w:p>
      <w:pPr>
        <w:ind w:firstLine="640"/>
        <w:rPr>
          <w:color w:val="000000" w:themeColor="text1"/>
        </w:rPr>
      </w:pPr>
      <w:r>
        <w:rPr>
          <w:rFonts w:hint="eastAsia"/>
          <w:color w:val="000000" w:themeColor="text1"/>
        </w:rPr>
        <w:t>攀枝花市教育科学研究所的主要职责是：坚持为全市教育科研和中小学教学工作服务的宗旨，承担教育科学研究与管理、教育培训、教育教学研究与指导、中小学教育教学质量的监测与评估、为教育行政部门提供教育决策与咨询等。</w:t>
      </w:r>
    </w:p>
    <w:p>
      <w:pPr>
        <w:pStyle w:val="4"/>
        <w:numPr>
          <w:ilvl w:val="0"/>
          <w:numId w:val="0"/>
        </w:numPr>
        <w:rPr>
          <w:color w:val="000000" w:themeColor="text1"/>
        </w:rPr>
      </w:pPr>
      <w:bookmarkStart w:id="28" w:name="_Toc144051047"/>
      <w:r>
        <w:rPr>
          <w:rFonts w:hint="eastAsia"/>
          <w:color w:val="000000" w:themeColor="text1"/>
        </w:rPr>
        <w:t>二、机构设置</w:t>
      </w:r>
      <w:bookmarkEnd w:id="28"/>
    </w:p>
    <w:p>
      <w:pPr>
        <w:ind w:firstLine="640"/>
        <w:rPr>
          <w:color w:val="000000" w:themeColor="text1"/>
        </w:rPr>
      </w:pPr>
      <w:r>
        <w:rPr>
          <w:rFonts w:hint="eastAsia"/>
          <w:color w:val="000000" w:themeColor="text1"/>
        </w:rPr>
        <w:t>内设党政办公室、教学研究与指导服务中心、教育研究与决策服务中心、教师发展与培训服务中心、监测评估与资源服务中心等5个部门。</w:t>
      </w:r>
    </w:p>
    <w:bookmarkEnd w:id="26"/>
    <w:bookmarkEnd w:id="27"/>
    <w:p>
      <w:pPr>
        <w:widowControl/>
        <w:ind w:firstLine="640"/>
        <w:jc w:val="left"/>
        <w:rPr>
          <w:rFonts w:ascii="仿宋_GB2312" w:hAnsi="仿宋" w:eastAsia="仿宋_GB2312"/>
          <w:color w:val="000000" w:themeColor="text1"/>
          <w:kern w:val="0"/>
          <w:szCs w:val="32"/>
        </w:rPr>
      </w:pPr>
      <w:r>
        <w:rPr>
          <w:rFonts w:hint="eastAsia" w:ascii="仿宋_GB2312" w:hAnsi="仿宋" w:eastAsia="仿宋_GB2312"/>
          <w:color w:val="000000" w:themeColor="text1"/>
          <w:szCs w:val="32"/>
        </w:rPr>
        <w:br w:type="page"/>
      </w:r>
    </w:p>
    <w:p>
      <w:pPr>
        <w:pStyle w:val="3"/>
        <w:ind w:left="360" w:firstLine="0" w:firstLineChars="0"/>
        <w:rPr>
          <w:color w:val="000000" w:themeColor="text1"/>
        </w:rPr>
      </w:pPr>
      <w:bookmarkStart w:id="29" w:name="_Toc15396602"/>
      <w:bookmarkStart w:id="30" w:name="_Toc15377204"/>
      <w:bookmarkStart w:id="31" w:name="_Toc144051048"/>
      <w:r>
        <w:rPr>
          <w:rFonts w:hint="eastAsia"/>
          <w:color w:val="000000" w:themeColor="text1"/>
        </w:rPr>
        <w:t>第二部分 2022年度单位决算情况说明</w:t>
      </w:r>
      <w:bookmarkEnd w:id="29"/>
      <w:bookmarkEnd w:id="30"/>
      <w:bookmarkEnd w:id="31"/>
    </w:p>
    <w:p>
      <w:pPr>
        <w:pStyle w:val="4"/>
        <w:numPr>
          <w:ilvl w:val="0"/>
          <w:numId w:val="0"/>
        </w:numPr>
        <w:rPr>
          <w:color w:val="000000" w:themeColor="text1"/>
        </w:rPr>
      </w:pPr>
      <w:bookmarkStart w:id="32" w:name="_Toc15396603"/>
      <w:bookmarkStart w:id="33" w:name="_Toc15377205"/>
      <w:bookmarkStart w:id="34" w:name="_Toc144051049"/>
      <w:r>
        <w:rPr>
          <w:rFonts w:hint="eastAsia"/>
          <w:color w:val="000000" w:themeColor="text1"/>
        </w:rPr>
        <w:t>一</w:t>
      </w:r>
      <w:r>
        <w:rPr>
          <w:rFonts w:hint="eastAsia"/>
          <w:b w:val="0"/>
          <w:color w:val="000000" w:themeColor="text1"/>
        </w:rPr>
        <w:t>、</w:t>
      </w:r>
      <w:r>
        <w:rPr>
          <w:rFonts w:hint="eastAsia"/>
          <w:color w:val="000000" w:themeColor="text1"/>
        </w:rPr>
        <w:t>收入支出决算总体情况说明</w:t>
      </w:r>
      <w:bookmarkEnd w:id="32"/>
      <w:bookmarkEnd w:id="33"/>
      <w:bookmarkEnd w:id="34"/>
    </w:p>
    <w:p>
      <w:pPr>
        <w:ind w:firstLine="640"/>
        <w:rPr>
          <w:color w:val="000000" w:themeColor="text1"/>
        </w:rPr>
      </w:pPr>
      <w:r>
        <w:rPr>
          <w:rFonts w:hint="eastAsia"/>
          <w:color w:val="000000" w:themeColor="text1"/>
        </w:rPr>
        <w:t>2022年度收、支总计879.17万元。与2021年相比，收、支总计各减少219.52万元，下降19.98</w:t>
      </w:r>
      <w:r>
        <w:rPr>
          <w:color w:val="000000" w:themeColor="text1"/>
        </w:rPr>
        <w:t>%</w:t>
      </w:r>
      <w:r>
        <w:rPr>
          <w:rFonts w:hint="eastAsia"/>
          <w:color w:val="000000" w:themeColor="text1"/>
        </w:rPr>
        <w:t>。主要变动原因是收入方面：一般公共预算财政拨款收入减少219.52万元；支出方面基本支出增加20.85万元，项目支出减少240.37万元。</w:t>
      </w:r>
    </w:p>
    <w:p>
      <w:pPr>
        <w:ind w:firstLine="640"/>
        <w:jc w:val="center"/>
        <w:rPr>
          <w:rFonts w:ascii="仿宋" w:hAnsi="仿宋"/>
          <w:color w:val="000000" w:themeColor="text1"/>
          <w:szCs w:val="32"/>
        </w:rPr>
      </w:pPr>
      <w:r>
        <w:rPr>
          <w:rFonts w:hint="eastAsia" w:ascii="仿宋" w:hAnsi="仿宋"/>
          <w:color w:val="000000" w:themeColor="text1"/>
          <w:szCs w:val="32"/>
        </w:rPr>
        <w:t>（图</w:t>
      </w:r>
      <w:r>
        <w:rPr>
          <w:rFonts w:ascii="仿宋" w:hAnsi="仿宋"/>
          <w:color w:val="000000" w:themeColor="text1"/>
          <w:szCs w:val="32"/>
        </w:rPr>
        <w:t>1</w:t>
      </w:r>
      <w:r>
        <w:rPr>
          <w:rFonts w:hint="eastAsia" w:ascii="仿宋" w:hAnsi="仿宋"/>
          <w:color w:val="000000" w:themeColor="text1"/>
          <w:szCs w:val="32"/>
        </w:rPr>
        <w:t>：收、支决算总计变动情况图）（柱状图）</w:t>
      </w:r>
    </w:p>
    <w:p>
      <w:pPr>
        <w:pStyle w:val="2"/>
        <w:spacing w:before="130"/>
        <w:ind w:firstLine="600"/>
        <w:rPr>
          <w:color w:val="000000" w:themeColor="text1"/>
        </w:rPr>
      </w:pPr>
      <w:r>
        <w:rPr>
          <w:rFonts w:hint="eastAsia"/>
          <w:color w:val="000000" w:themeColor="text1"/>
        </w:rPr>
        <w:drawing>
          <wp:anchor distT="0" distB="0" distL="114300" distR="114300" simplePos="0" relativeHeight="251659264" behindDoc="0" locked="0" layoutInCell="1" allowOverlap="1">
            <wp:simplePos x="0" y="0"/>
            <wp:positionH relativeFrom="column">
              <wp:posOffset>374650</wp:posOffset>
            </wp:positionH>
            <wp:positionV relativeFrom="paragraph">
              <wp:posOffset>126365</wp:posOffset>
            </wp:positionV>
            <wp:extent cx="4594860" cy="2764155"/>
            <wp:effectExtent l="1905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a:srcRect/>
                    <a:stretch>
                      <a:fillRect/>
                    </a:stretch>
                  </pic:blipFill>
                  <pic:spPr>
                    <a:xfrm>
                      <a:off x="0" y="0"/>
                      <a:ext cx="4594860" cy="2764155"/>
                    </a:xfrm>
                    <a:prstGeom prst="rect">
                      <a:avLst/>
                    </a:prstGeom>
                    <a:noFill/>
                  </pic:spPr>
                </pic:pic>
              </a:graphicData>
            </a:graphic>
          </wp:anchor>
        </w:drawing>
      </w: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ind w:firstLine="640"/>
        <w:jc w:val="left"/>
        <w:rPr>
          <w:rFonts w:ascii="仿宋_GB2312" w:eastAsia="仿宋_GB2312"/>
          <w:color w:val="000000" w:themeColor="text1"/>
          <w:szCs w:val="32"/>
        </w:rPr>
      </w:pPr>
    </w:p>
    <w:p>
      <w:pPr>
        <w:pStyle w:val="4"/>
        <w:rPr>
          <w:color w:val="000000" w:themeColor="text1"/>
        </w:rPr>
      </w:pPr>
      <w:bookmarkStart w:id="35" w:name="_Toc15396604"/>
      <w:bookmarkStart w:id="36" w:name="_Toc144051050"/>
      <w:bookmarkStart w:id="37" w:name="_Toc15377206"/>
      <w:r>
        <w:rPr>
          <w:rFonts w:hint="eastAsia"/>
          <w:color w:val="000000" w:themeColor="text1"/>
        </w:rPr>
        <w:t>收入决算情况说明</w:t>
      </w:r>
      <w:bookmarkEnd w:id="35"/>
      <w:bookmarkEnd w:id="36"/>
      <w:bookmarkEnd w:id="37"/>
    </w:p>
    <w:p>
      <w:pPr>
        <w:ind w:firstLine="640"/>
        <w:rPr>
          <w:color w:val="000000" w:themeColor="text1"/>
        </w:rPr>
      </w:pPr>
      <w:r>
        <w:rPr>
          <w:color w:val="000000" w:themeColor="text1"/>
        </w:rPr>
        <w:t>20</w:t>
      </w:r>
      <w:r>
        <w:rPr>
          <w:rFonts w:hint="eastAsia"/>
          <w:color w:val="000000" w:themeColor="text1"/>
        </w:rPr>
        <w:t>22年本年收入合计879.17万元，其中：一般公共预算财政拨款收入879.17万元，占100</w:t>
      </w:r>
      <w:r>
        <w:rPr>
          <w:color w:val="000000" w:themeColor="text1"/>
        </w:rPr>
        <w:t>%</w:t>
      </w:r>
      <w:r>
        <w:rPr>
          <w:rFonts w:hint="eastAsia"/>
          <w:color w:val="000000" w:themeColor="text1"/>
        </w:rPr>
        <w:t>。</w:t>
      </w:r>
    </w:p>
    <w:p>
      <w:pPr>
        <w:ind w:firstLine="640"/>
        <w:jc w:val="center"/>
        <w:rPr>
          <w:rFonts w:ascii="仿宋" w:hAnsi="仿宋"/>
          <w:color w:val="000000" w:themeColor="text1"/>
          <w:szCs w:val="32"/>
        </w:rPr>
      </w:pPr>
      <w:r>
        <w:rPr>
          <w:rFonts w:hint="eastAsia" w:ascii="仿宋" w:hAnsi="仿宋"/>
          <w:color w:val="000000" w:themeColor="text1"/>
          <w:szCs w:val="32"/>
        </w:rPr>
        <w:drawing>
          <wp:anchor distT="0" distB="0" distL="114300" distR="114300" simplePos="0" relativeHeight="251660288" behindDoc="0" locked="0" layoutInCell="1" allowOverlap="1">
            <wp:simplePos x="0" y="0"/>
            <wp:positionH relativeFrom="column">
              <wp:posOffset>428625</wp:posOffset>
            </wp:positionH>
            <wp:positionV relativeFrom="paragraph">
              <wp:posOffset>577215</wp:posOffset>
            </wp:positionV>
            <wp:extent cx="4594860" cy="2764155"/>
            <wp:effectExtent l="19050" t="0" r="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noChangeArrowheads="1"/>
                    </pic:cNvPicPr>
                  </pic:nvPicPr>
                  <pic:blipFill>
                    <a:blip r:embed="rId9"/>
                    <a:srcRect/>
                    <a:stretch>
                      <a:fillRect/>
                    </a:stretch>
                  </pic:blipFill>
                  <pic:spPr>
                    <a:xfrm>
                      <a:off x="0" y="0"/>
                      <a:ext cx="4594860" cy="2764155"/>
                    </a:xfrm>
                    <a:prstGeom prst="rect">
                      <a:avLst/>
                    </a:prstGeom>
                    <a:noFill/>
                  </pic:spPr>
                </pic:pic>
              </a:graphicData>
            </a:graphic>
          </wp:anchor>
        </w:drawing>
      </w:r>
      <w:r>
        <w:rPr>
          <w:rFonts w:hint="eastAsia" w:ascii="仿宋" w:hAnsi="仿宋"/>
          <w:color w:val="000000" w:themeColor="text1"/>
          <w:szCs w:val="32"/>
        </w:rPr>
        <w:t>（图2：收入决算结构图）（饼状图）</w:t>
      </w: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ind w:firstLine="640"/>
        <w:rPr>
          <w:rFonts w:ascii="仿宋_GB2312" w:eastAsia="仿宋_GB2312"/>
          <w:color w:val="000000" w:themeColor="text1"/>
          <w:szCs w:val="32"/>
        </w:rPr>
      </w:pPr>
    </w:p>
    <w:p>
      <w:pPr>
        <w:pStyle w:val="4"/>
        <w:numPr>
          <w:ilvl w:val="0"/>
          <w:numId w:val="2"/>
        </w:numPr>
        <w:rPr>
          <w:b w:val="0"/>
          <w:color w:val="000000" w:themeColor="text1"/>
        </w:rPr>
      </w:pPr>
      <w:bookmarkStart w:id="38" w:name="_Toc144051051"/>
      <w:bookmarkStart w:id="39" w:name="_Toc15396605"/>
      <w:bookmarkStart w:id="40" w:name="_Toc15377207"/>
      <w:r>
        <w:rPr>
          <w:rFonts w:hint="eastAsia"/>
          <w:color w:val="000000" w:themeColor="text1"/>
        </w:rPr>
        <w:t>支出决算情况说明</w:t>
      </w:r>
      <w:bookmarkEnd w:id="38"/>
      <w:bookmarkEnd w:id="39"/>
      <w:bookmarkEnd w:id="40"/>
    </w:p>
    <w:p>
      <w:pPr>
        <w:ind w:firstLine="640"/>
        <w:rPr>
          <w:color w:val="000000" w:themeColor="text1"/>
        </w:rPr>
      </w:pPr>
      <w:r>
        <w:rPr>
          <w:color w:val="000000" w:themeColor="text1"/>
        </w:rPr>
        <w:t>20</w:t>
      </w:r>
      <w:r>
        <w:rPr>
          <w:rFonts w:hint="eastAsia"/>
          <w:color w:val="000000" w:themeColor="text1"/>
        </w:rPr>
        <w:t>22年本年支出合计879.17万元，其中：基本支出864.24万元，占98.30</w:t>
      </w:r>
      <w:r>
        <w:rPr>
          <w:color w:val="000000" w:themeColor="text1"/>
        </w:rPr>
        <w:t>%</w:t>
      </w:r>
      <w:r>
        <w:rPr>
          <w:rFonts w:hint="eastAsia"/>
          <w:color w:val="000000" w:themeColor="text1"/>
        </w:rPr>
        <w:t>；项目支出14.93万元，占1.70</w:t>
      </w:r>
      <w:r>
        <w:rPr>
          <w:color w:val="000000" w:themeColor="text1"/>
        </w:rPr>
        <w:t>%</w:t>
      </w:r>
      <w:r>
        <w:rPr>
          <w:rFonts w:hint="eastAsia"/>
          <w:color w:val="000000" w:themeColor="text1"/>
        </w:rPr>
        <w:t>。</w:t>
      </w:r>
    </w:p>
    <w:p>
      <w:pPr>
        <w:ind w:firstLine="640"/>
        <w:jc w:val="center"/>
        <w:rPr>
          <w:rFonts w:ascii="仿宋" w:hAnsi="仿宋"/>
          <w:color w:val="000000" w:themeColor="text1"/>
          <w:szCs w:val="32"/>
        </w:rPr>
      </w:pPr>
      <w:r>
        <w:rPr>
          <w:rFonts w:hint="eastAsia" w:ascii="仿宋" w:hAnsi="仿宋"/>
          <w:color w:val="000000" w:themeColor="text1"/>
          <w:szCs w:val="32"/>
        </w:rPr>
        <w:t>（图3：支出决算结构图）（饼状图）</w:t>
      </w:r>
    </w:p>
    <w:p>
      <w:pPr>
        <w:ind w:firstLine="640"/>
        <w:rPr>
          <w:rFonts w:ascii="仿宋_GB2312" w:eastAsia="仿宋_GB2312"/>
          <w:color w:val="000000" w:themeColor="text1"/>
          <w:szCs w:val="32"/>
        </w:rPr>
      </w:pPr>
      <w:r>
        <w:rPr>
          <w:rFonts w:ascii="仿宋_GB2312" w:eastAsia="仿宋_GB2312"/>
          <w:color w:val="000000" w:themeColor="text1"/>
          <w:szCs w:val="32"/>
        </w:rPr>
        <w:drawing>
          <wp:anchor distT="0" distB="0" distL="114300" distR="114300" simplePos="0" relativeHeight="251661312" behindDoc="0" locked="0" layoutInCell="1" allowOverlap="1">
            <wp:simplePos x="0" y="0"/>
            <wp:positionH relativeFrom="column">
              <wp:posOffset>289560</wp:posOffset>
            </wp:positionH>
            <wp:positionV relativeFrom="paragraph">
              <wp:posOffset>125095</wp:posOffset>
            </wp:positionV>
            <wp:extent cx="4594860" cy="2764155"/>
            <wp:effectExtent l="19050" t="0" r="0" b="0"/>
            <wp:wrapSquare wrapText="bothSides"/>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noChangeArrowheads="1"/>
                    </pic:cNvPicPr>
                  </pic:nvPicPr>
                  <pic:blipFill>
                    <a:blip r:embed="rId10"/>
                    <a:srcRect/>
                    <a:stretch>
                      <a:fillRect/>
                    </a:stretch>
                  </pic:blipFill>
                  <pic:spPr>
                    <a:xfrm>
                      <a:off x="0" y="0"/>
                      <a:ext cx="4594860" cy="2764155"/>
                    </a:xfrm>
                    <a:prstGeom prst="rect">
                      <a:avLst/>
                    </a:prstGeom>
                    <a:noFill/>
                  </pic:spPr>
                </pic:pic>
              </a:graphicData>
            </a:graphic>
          </wp:anchor>
        </w:drawing>
      </w: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0" w:firstLineChars="0"/>
        <w:rPr>
          <w:color w:val="000000" w:themeColor="text1"/>
        </w:rPr>
      </w:pPr>
    </w:p>
    <w:p>
      <w:pPr>
        <w:pStyle w:val="4"/>
        <w:numPr>
          <w:ilvl w:val="0"/>
          <w:numId w:val="2"/>
        </w:numPr>
        <w:rPr>
          <w:color w:val="000000" w:themeColor="text1"/>
        </w:rPr>
      </w:pPr>
      <w:bookmarkStart w:id="41" w:name="_Toc15377208"/>
      <w:bookmarkStart w:id="42" w:name="_Toc144051052"/>
      <w:bookmarkStart w:id="43" w:name="_Toc15396606"/>
      <w:r>
        <w:rPr>
          <w:rFonts w:hint="eastAsia"/>
          <w:color w:val="000000" w:themeColor="text1"/>
        </w:rPr>
        <w:t>财政拨款收入支出决算总体情况说明</w:t>
      </w:r>
      <w:bookmarkEnd w:id="41"/>
      <w:bookmarkEnd w:id="42"/>
      <w:bookmarkEnd w:id="43"/>
    </w:p>
    <w:p>
      <w:pPr>
        <w:ind w:firstLine="640"/>
        <w:rPr>
          <w:color w:val="000000" w:themeColor="text1"/>
        </w:rPr>
      </w:pPr>
      <w:r>
        <w:rPr>
          <w:color w:val="000000" w:themeColor="text1"/>
        </w:rPr>
        <w:t>20</w:t>
      </w:r>
      <w:r>
        <w:rPr>
          <w:rFonts w:hint="eastAsia"/>
          <w:color w:val="000000" w:themeColor="text1"/>
        </w:rPr>
        <w:t>22年财政拨款收、支总计879.17万元。与</w:t>
      </w:r>
      <w:r>
        <w:rPr>
          <w:color w:val="000000" w:themeColor="text1"/>
        </w:rPr>
        <w:t>20</w:t>
      </w:r>
      <w:r>
        <w:rPr>
          <w:rFonts w:hint="eastAsia"/>
          <w:color w:val="000000" w:themeColor="text1"/>
        </w:rPr>
        <w:t>21年相比，财政拨款收、支总计各减少219.52万元，下降19.98</w:t>
      </w:r>
      <w:r>
        <w:rPr>
          <w:color w:val="000000" w:themeColor="text1"/>
        </w:rPr>
        <w:t>%</w:t>
      </w:r>
      <w:r>
        <w:rPr>
          <w:rFonts w:hint="eastAsia"/>
          <w:color w:val="000000" w:themeColor="text1"/>
        </w:rPr>
        <w:t>。主要变动原因是一般公共预算财政拨款收入减少219.52万元；支出方面：教育支出减少238.89万元，社会保障和就业支出增加14.91万元，住房保障支出增加4.46万元。</w:t>
      </w:r>
    </w:p>
    <w:p>
      <w:pPr>
        <w:ind w:firstLine="640"/>
        <w:rPr>
          <w:rFonts w:ascii="仿宋" w:hAnsi="仿宋"/>
          <w:color w:val="000000" w:themeColor="text1"/>
          <w:szCs w:val="32"/>
        </w:rPr>
      </w:pPr>
      <w:r>
        <w:rPr>
          <w:rFonts w:hint="eastAsia" w:ascii="仿宋" w:hAnsi="仿宋"/>
          <w:color w:val="000000" w:themeColor="text1"/>
          <w:szCs w:val="32"/>
        </w:rPr>
        <w:t>（图4：财政拨款收、支决算总计变动情况）（柱状图）</w:t>
      </w:r>
    </w:p>
    <w:p>
      <w:pPr>
        <w:pStyle w:val="2"/>
        <w:spacing w:before="130"/>
        <w:ind w:firstLine="0" w:firstLineChars="0"/>
        <w:rPr>
          <w:color w:val="000000" w:themeColor="text1"/>
        </w:rPr>
      </w:pPr>
      <w:r>
        <w:rPr>
          <w:rFonts w:hint="eastAsia"/>
          <w:color w:val="000000" w:themeColor="text1"/>
        </w:rPr>
        <w:drawing>
          <wp:anchor distT="0" distB="0" distL="114300" distR="114300" simplePos="0" relativeHeight="251662336" behindDoc="0" locked="0" layoutInCell="1" allowOverlap="1">
            <wp:simplePos x="0" y="0"/>
            <wp:positionH relativeFrom="column">
              <wp:posOffset>353695</wp:posOffset>
            </wp:positionH>
            <wp:positionV relativeFrom="paragraph">
              <wp:posOffset>314960</wp:posOffset>
            </wp:positionV>
            <wp:extent cx="4594860" cy="2764155"/>
            <wp:effectExtent l="19050" t="0" r="0" b="0"/>
            <wp:wrapSquare wrapText="bothSides"/>
            <wp:docPr id="1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pic:cNvPicPr>
                      <a:picLocks noChangeAspect="1" noChangeArrowheads="1"/>
                    </pic:cNvPicPr>
                  </pic:nvPicPr>
                  <pic:blipFill>
                    <a:blip r:embed="rId11"/>
                    <a:srcRect/>
                    <a:stretch>
                      <a:fillRect/>
                    </a:stretch>
                  </pic:blipFill>
                  <pic:spPr>
                    <a:xfrm>
                      <a:off x="0" y="0"/>
                      <a:ext cx="4594860" cy="2764155"/>
                    </a:xfrm>
                    <a:prstGeom prst="rect">
                      <a:avLst/>
                    </a:prstGeom>
                    <a:noFill/>
                  </pic:spPr>
                </pic:pic>
              </a:graphicData>
            </a:graphic>
          </wp:anchor>
        </w:drawing>
      </w:r>
    </w:p>
    <w:p>
      <w:pPr>
        <w:pStyle w:val="4"/>
        <w:numPr>
          <w:ilvl w:val="0"/>
          <w:numId w:val="0"/>
        </w:numPr>
        <w:rPr>
          <w:color w:val="000000" w:themeColor="text1"/>
        </w:rPr>
      </w:pPr>
      <w:bookmarkStart w:id="44" w:name="_Toc15396607"/>
      <w:bookmarkStart w:id="45" w:name="_Toc144051053"/>
      <w:bookmarkStart w:id="46" w:name="_Toc15377209"/>
      <w:r>
        <w:rPr>
          <w:rFonts w:hint="eastAsia"/>
          <w:b w:val="0"/>
          <w:color w:val="000000" w:themeColor="text1"/>
        </w:rPr>
        <w:t>五、</w:t>
      </w:r>
      <w:r>
        <w:rPr>
          <w:rFonts w:hint="eastAsia"/>
          <w:color w:val="000000" w:themeColor="text1"/>
        </w:rPr>
        <w:t>一般公共预算财政拨款支出决算情况说明</w:t>
      </w:r>
      <w:bookmarkEnd w:id="44"/>
      <w:bookmarkEnd w:id="45"/>
      <w:bookmarkEnd w:id="46"/>
    </w:p>
    <w:p>
      <w:pPr>
        <w:ind w:firstLine="643"/>
        <w:rPr>
          <w:b/>
          <w:color w:val="000000" w:themeColor="text1"/>
        </w:rPr>
      </w:pPr>
      <w:bookmarkStart w:id="47" w:name="_Toc15377210"/>
      <w:bookmarkStart w:id="48" w:name="_Toc144051054"/>
      <w:r>
        <w:rPr>
          <w:rFonts w:hint="eastAsia"/>
          <w:b/>
          <w:color w:val="000000" w:themeColor="text1"/>
        </w:rPr>
        <w:t>（一）一般公共预算财政拨款支出决算总体情况</w:t>
      </w:r>
      <w:bookmarkEnd w:id="47"/>
      <w:bookmarkEnd w:id="48"/>
    </w:p>
    <w:p>
      <w:pPr>
        <w:ind w:firstLine="640"/>
        <w:rPr>
          <w:color w:val="000000" w:themeColor="text1"/>
        </w:rPr>
      </w:pPr>
      <w:r>
        <w:rPr>
          <w:color w:val="000000" w:themeColor="text1"/>
        </w:rPr>
        <w:t>20</w:t>
      </w:r>
      <w:r>
        <w:rPr>
          <w:rFonts w:hint="eastAsia"/>
          <w:color w:val="000000" w:themeColor="text1"/>
        </w:rPr>
        <w:t>22年一般公共预算财政拨款支出879.17万元，占本年支出合计的100</w:t>
      </w:r>
      <w:r>
        <w:rPr>
          <w:color w:val="000000" w:themeColor="text1"/>
        </w:rPr>
        <w:t>%</w:t>
      </w:r>
      <w:r>
        <w:rPr>
          <w:rFonts w:hint="eastAsia"/>
          <w:color w:val="000000" w:themeColor="text1"/>
        </w:rPr>
        <w:t>。与</w:t>
      </w:r>
      <w:r>
        <w:rPr>
          <w:color w:val="000000" w:themeColor="text1"/>
        </w:rPr>
        <w:t>20</w:t>
      </w:r>
      <w:r>
        <w:rPr>
          <w:rFonts w:hint="eastAsia"/>
          <w:color w:val="000000" w:themeColor="text1"/>
        </w:rPr>
        <w:t>21年相比，一般公共预算财政拨款支出减少219.52万元，下降19.98</w:t>
      </w:r>
      <w:r>
        <w:rPr>
          <w:color w:val="000000" w:themeColor="text1"/>
        </w:rPr>
        <w:t>%</w:t>
      </w:r>
      <w:r>
        <w:rPr>
          <w:rFonts w:hint="eastAsia"/>
          <w:color w:val="000000" w:themeColor="text1"/>
        </w:rPr>
        <w:t>。主要变动原因是基本支出增加20.85万元，项目支出减少240.37万元。</w:t>
      </w:r>
    </w:p>
    <w:p>
      <w:pPr>
        <w:ind w:firstLine="0" w:firstLineChars="0"/>
        <w:rPr>
          <w:rFonts w:ascii="仿宋" w:hAnsi="仿宋"/>
          <w:color w:val="000000" w:themeColor="text1"/>
          <w:szCs w:val="32"/>
        </w:rPr>
      </w:pPr>
      <w:r>
        <w:rPr>
          <w:rFonts w:hint="eastAsia" w:ascii="仿宋" w:hAnsi="仿宋"/>
          <w:color w:val="000000" w:themeColor="text1"/>
          <w:szCs w:val="32"/>
        </w:rPr>
        <w:t>（图5：一般公共预算财政拨款支出决算变动情况）（柱状图）</w:t>
      </w:r>
    </w:p>
    <w:p>
      <w:pPr>
        <w:pStyle w:val="2"/>
        <w:spacing w:before="130"/>
        <w:ind w:firstLine="600"/>
        <w:rPr>
          <w:color w:val="000000" w:themeColor="text1"/>
        </w:rPr>
      </w:pPr>
      <w:r>
        <w:rPr>
          <w:rFonts w:hint="eastAsia"/>
          <w:color w:val="000000" w:themeColor="text1"/>
        </w:rPr>
        <w:drawing>
          <wp:anchor distT="0" distB="0" distL="114300" distR="114300" simplePos="0" relativeHeight="251663360" behindDoc="0" locked="0" layoutInCell="1" allowOverlap="1">
            <wp:simplePos x="0" y="0"/>
            <wp:positionH relativeFrom="column">
              <wp:posOffset>492125</wp:posOffset>
            </wp:positionH>
            <wp:positionV relativeFrom="paragraph">
              <wp:posOffset>162560</wp:posOffset>
            </wp:positionV>
            <wp:extent cx="4594860" cy="2764155"/>
            <wp:effectExtent l="19050" t="0" r="0" b="0"/>
            <wp:wrapSquare wrapText="bothSides"/>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noChangeArrowheads="1"/>
                    </pic:cNvPicPr>
                  </pic:nvPicPr>
                  <pic:blipFill>
                    <a:blip r:embed="rId12"/>
                    <a:srcRect/>
                    <a:stretch>
                      <a:fillRect/>
                    </a:stretch>
                  </pic:blipFill>
                  <pic:spPr>
                    <a:xfrm>
                      <a:off x="0" y="0"/>
                      <a:ext cx="4594860" cy="2764155"/>
                    </a:xfrm>
                    <a:prstGeom prst="rect">
                      <a:avLst/>
                    </a:prstGeom>
                    <a:noFill/>
                  </pic:spPr>
                </pic:pic>
              </a:graphicData>
            </a:graphic>
          </wp:anchor>
        </w:drawing>
      </w: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ind w:firstLine="643"/>
        <w:rPr>
          <w:b/>
          <w:color w:val="000000" w:themeColor="text1"/>
        </w:rPr>
      </w:pPr>
      <w:bookmarkStart w:id="49" w:name="_Toc15377211"/>
      <w:bookmarkStart w:id="50" w:name="_Toc144051055"/>
      <w:r>
        <w:rPr>
          <w:rFonts w:hint="eastAsia"/>
          <w:b/>
          <w:color w:val="000000" w:themeColor="text1"/>
        </w:rPr>
        <w:t>（二）一般公共预算财政拨款支出决算结构情况</w:t>
      </w:r>
      <w:bookmarkEnd w:id="49"/>
      <w:bookmarkEnd w:id="50"/>
    </w:p>
    <w:p>
      <w:pPr>
        <w:ind w:firstLine="640"/>
        <w:rPr>
          <w:color w:val="000000" w:themeColor="text1"/>
        </w:rPr>
      </w:pPr>
      <w:r>
        <w:rPr>
          <w:color w:val="000000" w:themeColor="text1"/>
        </w:rPr>
        <w:t>20</w:t>
      </w:r>
      <w:r>
        <w:rPr>
          <w:rFonts w:hint="eastAsia"/>
          <w:color w:val="000000" w:themeColor="text1"/>
        </w:rPr>
        <w:t>22年一般公共预算财政拨款支出879.17万元，主要用于以下方面</w:t>
      </w:r>
      <w:r>
        <w:rPr>
          <w:color w:val="000000" w:themeColor="text1"/>
        </w:rPr>
        <w:t>:</w:t>
      </w:r>
      <w:r>
        <w:rPr>
          <w:rFonts w:hint="eastAsia"/>
          <w:color w:val="000000" w:themeColor="text1"/>
        </w:rPr>
        <w:t>教育支出705.94万元，占80.30</w:t>
      </w:r>
      <w:r>
        <w:rPr>
          <w:color w:val="000000" w:themeColor="text1"/>
        </w:rPr>
        <w:t>%</w:t>
      </w:r>
      <w:r>
        <w:rPr>
          <w:rFonts w:hint="eastAsia"/>
          <w:color w:val="000000" w:themeColor="text1"/>
        </w:rPr>
        <w:t>；社会保障和就业支出109.42万元，占12.45</w:t>
      </w:r>
      <w:r>
        <w:rPr>
          <w:color w:val="000000" w:themeColor="text1"/>
        </w:rPr>
        <w:t>%</w:t>
      </w:r>
      <w:r>
        <w:rPr>
          <w:rFonts w:hint="eastAsia"/>
          <w:color w:val="000000" w:themeColor="text1"/>
        </w:rPr>
        <w:t>；住房保障支出63.81万元，占7.25</w:t>
      </w:r>
      <w:r>
        <w:rPr>
          <w:color w:val="000000" w:themeColor="text1"/>
        </w:rPr>
        <w:t>%</w:t>
      </w:r>
      <w:r>
        <w:rPr>
          <w:rFonts w:hint="eastAsia"/>
          <w:color w:val="000000" w:themeColor="text1"/>
        </w:rPr>
        <w:t>。</w:t>
      </w:r>
    </w:p>
    <w:p>
      <w:pPr>
        <w:ind w:firstLine="640"/>
        <w:jc w:val="center"/>
        <w:rPr>
          <w:rFonts w:ascii="仿宋" w:hAnsi="仿宋"/>
          <w:color w:val="000000" w:themeColor="text1"/>
          <w:szCs w:val="32"/>
        </w:rPr>
      </w:pPr>
      <w:r>
        <w:rPr>
          <w:rFonts w:hint="eastAsia" w:ascii="仿宋" w:hAnsi="仿宋"/>
          <w:color w:val="000000" w:themeColor="text1"/>
          <w:szCs w:val="32"/>
        </w:rPr>
        <w:t>（图6：一般公共预算财政拨款支出决算结构）（饼状图）</w:t>
      </w:r>
    </w:p>
    <w:p>
      <w:pPr>
        <w:ind w:firstLine="640"/>
        <w:rPr>
          <w:rFonts w:ascii="仿宋" w:hAnsi="仿宋"/>
          <w:color w:val="000000" w:themeColor="text1"/>
          <w:szCs w:val="32"/>
        </w:rPr>
      </w:pPr>
      <w:r>
        <w:rPr>
          <w:rFonts w:hint="eastAsia" w:ascii="仿宋" w:hAnsi="仿宋"/>
          <w:color w:val="000000" w:themeColor="text1"/>
          <w:szCs w:val="32"/>
        </w:rPr>
        <w:drawing>
          <wp:anchor distT="0" distB="0" distL="114300" distR="114300" simplePos="0" relativeHeight="251664384" behindDoc="0" locked="0" layoutInCell="1" allowOverlap="1">
            <wp:simplePos x="0" y="0"/>
            <wp:positionH relativeFrom="column">
              <wp:posOffset>492125</wp:posOffset>
            </wp:positionH>
            <wp:positionV relativeFrom="paragraph">
              <wp:posOffset>150495</wp:posOffset>
            </wp:positionV>
            <wp:extent cx="4594860" cy="2764155"/>
            <wp:effectExtent l="19050" t="0" r="0" b="0"/>
            <wp:wrapSquare wrapText="bothSides"/>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noChangeArrowheads="1"/>
                    </pic:cNvPicPr>
                  </pic:nvPicPr>
                  <pic:blipFill>
                    <a:blip r:embed="rId13"/>
                    <a:srcRect/>
                    <a:stretch>
                      <a:fillRect/>
                    </a:stretch>
                  </pic:blipFill>
                  <pic:spPr>
                    <a:xfrm>
                      <a:off x="0" y="0"/>
                      <a:ext cx="4594860" cy="2764155"/>
                    </a:xfrm>
                    <a:prstGeom prst="rect">
                      <a:avLst/>
                    </a:prstGeom>
                    <a:noFill/>
                  </pic:spPr>
                </pic:pic>
              </a:graphicData>
            </a:graphic>
          </wp:anchor>
        </w:drawing>
      </w:r>
    </w:p>
    <w:p>
      <w:pPr>
        <w:pStyle w:val="2"/>
        <w:spacing w:before="130"/>
        <w:ind w:firstLine="600"/>
        <w:rPr>
          <w:color w:val="000000" w:themeColor="text1"/>
        </w:rPr>
      </w:pPr>
    </w:p>
    <w:p>
      <w:pPr>
        <w:pStyle w:val="2"/>
        <w:spacing w:before="130"/>
        <w:ind w:firstLine="0" w:firstLineChars="0"/>
        <w:rPr>
          <w:color w:val="000000" w:themeColor="text1"/>
        </w:rPr>
      </w:pPr>
    </w:p>
    <w:p>
      <w:pPr>
        <w:pStyle w:val="2"/>
        <w:spacing w:before="130"/>
        <w:ind w:firstLine="0" w:firstLineChars="0"/>
        <w:rPr>
          <w:color w:val="000000" w:themeColor="text1"/>
        </w:rPr>
      </w:pPr>
    </w:p>
    <w:p>
      <w:pPr>
        <w:ind w:firstLine="643"/>
        <w:rPr>
          <w:rFonts w:hint="eastAsia"/>
          <w:b/>
          <w:color w:val="000000" w:themeColor="text1"/>
        </w:rPr>
      </w:pPr>
      <w:bookmarkStart w:id="51" w:name="_Toc15377212"/>
      <w:bookmarkStart w:id="52" w:name="_Toc144051056"/>
    </w:p>
    <w:p>
      <w:pPr>
        <w:ind w:firstLine="643"/>
        <w:rPr>
          <w:rFonts w:hint="eastAsia"/>
          <w:b/>
          <w:color w:val="000000" w:themeColor="text1"/>
        </w:rPr>
      </w:pPr>
    </w:p>
    <w:p>
      <w:pPr>
        <w:ind w:firstLine="643"/>
        <w:rPr>
          <w:rFonts w:hint="eastAsia"/>
          <w:b/>
          <w:color w:val="000000" w:themeColor="text1"/>
        </w:rPr>
      </w:pPr>
    </w:p>
    <w:p>
      <w:pPr>
        <w:ind w:firstLine="643"/>
        <w:rPr>
          <w:b/>
          <w:color w:val="000000" w:themeColor="text1"/>
        </w:rPr>
      </w:pPr>
      <w:r>
        <w:rPr>
          <w:rFonts w:hint="eastAsia"/>
          <w:b/>
          <w:color w:val="000000" w:themeColor="text1"/>
        </w:rPr>
        <w:t>（三）一般公共预算财政拨款支出决算具体情况</w:t>
      </w:r>
      <w:bookmarkEnd w:id="51"/>
      <w:bookmarkEnd w:id="52"/>
    </w:p>
    <w:p>
      <w:pPr>
        <w:ind w:firstLine="640"/>
        <w:outlineLvl w:val="9"/>
        <w:rPr>
          <w:rStyle w:val="14"/>
          <w:bCs/>
          <w:color w:val="000000" w:themeColor="text1"/>
        </w:rPr>
      </w:pPr>
      <w:bookmarkStart w:id="53" w:name="_Toc15377213"/>
      <w:bookmarkStart w:id="54" w:name="_Toc144056454"/>
      <w:bookmarkStart w:id="55" w:name="_Toc144056346"/>
      <w:bookmarkStart w:id="56" w:name="_Toc15378460"/>
      <w:bookmarkStart w:id="57" w:name="_Toc15377444"/>
      <w:bookmarkStart w:id="58" w:name="_Toc144051057"/>
      <w:r>
        <w:rPr>
          <w:rStyle w:val="14"/>
          <w:rFonts w:hint="eastAsia"/>
          <w:b w:val="0"/>
          <w:bCs/>
          <w:color w:val="000000" w:themeColor="text1"/>
        </w:rPr>
        <w:t>2022年一般公共预算支出决算数为</w:t>
      </w:r>
      <w:r>
        <w:rPr>
          <w:rStyle w:val="14"/>
          <w:b w:val="0"/>
          <w:bCs/>
          <w:color w:val="000000" w:themeColor="text1"/>
        </w:rPr>
        <w:t>879.17</w:t>
      </w:r>
      <w:r>
        <w:rPr>
          <w:rStyle w:val="14"/>
          <w:rFonts w:hint="eastAsia"/>
          <w:b w:val="0"/>
          <w:bCs/>
          <w:color w:val="000000" w:themeColor="text1"/>
        </w:rPr>
        <w:t>万元，</w:t>
      </w:r>
      <w:r>
        <w:rPr>
          <w:rStyle w:val="14"/>
          <w:rFonts w:hint="eastAsia" w:ascii="仿宋" w:hAnsi="仿宋"/>
          <w:b w:val="0"/>
          <w:bCs/>
          <w:color w:val="000000" w:themeColor="text1"/>
          <w:szCs w:val="32"/>
        </w:rPr>
        <w:t>完成预算100</w:t>
      </w:r>
      <w:r>
        <w:rPr>
          <w:rStyle w:val="14"/>
          <w:rFonts w:ascii="仿宋" w:hAnsi="仿宋"/>
          <w:b w:val="0"/>
          <w:bCs/>
          <w:color w:val="000000" w:themeColor="text1"/>
          <w:szCs w:val="32"/>
        </w:rPr>
        <w:t>%</w:t>
      </w:r>
      <w:r>
        <w:rPr>
          <w:rStyle w:val="14"/>
          <w:rFonts w:hint="eastAsia" w:ascii="仿宋" w:hAnsi="仿宋"/>
          <w:b w:val="0"/>
          <w:bCs/>
          <w:color w:val="000000" w:themeColor="text1"/>
          <w:szCs w:val="32"/>
        </w:rPr>
        <w:t>。其中：</w:t>
      </w:r>
      <w:bookmarkEnd w:id="53"/>
      <w:bookmarkEnd w:id="54"/>
      <w:bookmarkEnd w:id="55"/>
      <w:bookmarkEnd w:id="56"/>
      <w:bookmarkEnd w:id="57"/>
      <w:bookmarkEnd w:id="58"/>
    </w:p>
    <w:p>
      <w:pPr>
        <w:ind w:firstLine="640"/>
        <w:rPr>
          <w:rStyle w:val="14"/>
          <w:bCs/>
          <w:color w:val="000000" w:themeColor="text1"/>
        </w:rPr>
      </w:pPr>
      <w:r>
        <w:rPr>
          <w:rStyle w:val="14"/>
          <w:rFonts w:hint="eastAsia" w:ascii="仿宋" w:hAnsi="仿宋"/>
          <w:b w:val="0"/>
          <w:bCs/>
          <w:color w:val="000000" w:themeColor="text1"/>
          <w:szCs w:val="32"/>
        </w:rPr>
        <w:t>1</w:t>
      </w:r>
      <w:r>
        <w:rPr>
          <w:rStyle w:val="14"/>
          <w:rFonts w:ascii="仿宋" w:hAnsi="仿宋"/>
          <w:b w:val="0"/>
          <w:bCs/>
          <w:color w:val="000000" w:themeColor="text1"/>
          <w:szCs w:val="32"/>
        </w:rPr>
        <w:t>.</w:t>
      </w:r>
      <w:r>
        <w:rPr>
          <w:rStyle w:val="14"/>
          <w:rFonts w:hint="eastAsia" w:ascii="仿宋" w:hAnsi="仿宋"/>
          <w:b w:val="0"/>
          <w:bCs/>
          <w:color w:val="000000" w:themeColor="text1"/>
          <w:szCs w:val="32"/>
        </w:rPr>
        <w:t>教育（类）其他教育支出（款）其他教育支出（项）</w:t>
      </w:r>
      <w:r>
        <w:rPr>
          <w:rStyle w:val="14"/>
          <w:rFonts w:ascii="仿宋" w:hAnsi="仿宋"/>
          <w:b w:val="0"/>
          <w:bCs/>
          <w:color w:val="000000" w:themeColor="text1"/>
          <w:szCs w:val="32"/>
        </w:rPr>
        <w:t>:</w:t>
      </w:r>
      <w:r>
        <w:rPr>
          <w:rStyle w:val="14"/>
          <w:rFonts w:hint="eastAsia" w:ascii="仿宋" w:hAnsi="仿宋"/>
          <w:b w:val="0"/>
          <w:bCs/>
          <w:color w:val="000000" w:themeColor="text1"/>
          <w:szCs w:val="32"/>
        </w:rPr>
        <w:t>支出决算为705.94万元，完成预算100</w:t>
      </w:r>
      <w:r>
        <w:rPr>
          <w:rStyle w:val="14"/>
          <w:rFonts w:ascii="仿宋" w:hAnsi="仿宋"/>
          <w:b w:val="0"/>
          <w:bCs/>
          <w:color w:val="000000" w:themeColor="text1"/>
          <w:szCs w:val="32"/>
        </w:rPr>
        <w:t>%</w:t>
      </w:r>
      <w:r>
        <w:rPr>
          <w:rStyle w:val="14"/>
          <w:rFonts w:hint="eastAsia" w:ascii="仿宋" w:hAnsi="仿宋"/>
          <w:b w:val="0"/>
          <w:bCs/>
          <w:color w:val="000000" w:themeColor="text1"/>
          <w:szCs w:val="32"/>
        </w:rPr>
        <w:t>。</w:t>
      </w:r>
    </w:p>
    <w:p>
      <w:pPr>
        <w:ind w:firstLine="640"/>
        <w:rPr>
          <w:rStyle w:val="14"/>
          <w:rFonts w:ascii="仿宋" w:hAnsi="仿宋"/>
          <w:b w:val="0"/>
          <w:bCs/>
          <w:color w:val="000000" w:themeColor="text1"/>
          <w:szCs w:val="32"/>
        </w:rPr>
      </w:pPr>
      <w:r>
        <w:rPr>
          <w:rStyle w:val="14"/>
          <w:rFonts w:hint="eastAsia" w:ascii="仿宋" w:hAnsi="仿宋"/>
          <w:b w:val="0"/>
          <w:bCs/>
          <w:color w:val="000000" w:themeColor="text1"/>
          <w:szCs w:val="32"/>
        </w:rPr>
        <w:t>2</w:t>
      </w:r>
      <w:r>
        <w:rPr>
          <w:rStyle w:val="14"/>
          <w:rFonts w:ascii="仿宋" w:hAnsi="仿宋"/>
          <w:b w:val="0"/>
          <w:bCs/>
          <w:color w:val="000000" w:themeColor="text1"/>
          <w:szCs w:val="32"/>
        </w:rPr>
        <w:t>.</w:t>
      </w:r>
      <w:r>
        <w:rPr>
          <w:rStyle w:val="14"/>
          <w:rFonts w:hint="eastAsia" w:ascii="仿宋" w:hAnsi="仿宋"/>
          <w:b w:val="0"/>
          <w:bCs/>
          <w:color w:val="000000" w:themeColor="text1"/>
          <w:szCs w:val="32"/>
        </w:rPr>
        <w:t>社会保障和就业（类）行政事业单位养老支出（款）、事业单位离退休（项）、机关事业单位基本养老保险缴费支出（项）</w:t>
      </w:r>
      <w:r>
        <w:rPr>
          <w:rFonts w:hint="eastAsia"/>
          <w:color w:val="000000" w:themeColor="text1"/>
        </w:rPr>
        <w:t>:支出决算</w:t>
      </w:r>
      <w:r>
        <w:rPr>
          <w:rStyle w:val="14"/>
          <w:rFonts w:hint="eastAsia" w:ascii="仿宋" w:hAnsi="仿宋"/>
          <w:b w:val="0"/>
          <w:bCs/>
          <w:color w:val="000000" w:themeColor="text1"/>
          <w:szCs w:val="32"/>
        </w:rPr>
        <w:t>为109.42万元，完成预算100%。</w:t>
      </w:r>
    </w:p>
    <w:p>
      <w:pPr>
        <w:ind w:firstLine="640"/>
        <w:rPr>
          <w:rFonts w:ascii="仿宋" w:hAnsi="仿宋"/>
          <w:bCs/>
          <w:color w:val="000000" w:themeColor="text1"/>
          <w:szCs w:val="32"/>
        </w:rPr>
      </w:pPr>
      <w:r>
        <w:rPr>
          <w:rStyle w:val="14"/>
          <w:rFonts w:hint="eastAsia" w:ascii="仿宋" w:hAnsi="仿宋"/>
          <w:b w:val="0"/>
          <w:bCs/>
          <w:color w:val="000000" w:themeColor="text1"/>
          <w:szCs w:val="32"/>
        </w:rPr>
        <w:t>3</w:t>
      </w:r>
      <w:r>
        <w:rPr>
          <w:rStyle w:val="14"/>
          <w:rFonts w:ascii="仿宋" w:hAnsi="仿宋"/>
          <w:b w:val="0"/>
          <w:bCs/>
          <w:color w:val="000000" w:themeColor="text1"/>
          <w:szCs w:val="32"/>
        </w:rPr>
        <w:t>.</w:t>
      </w:r>
      <w:r>
        <w:rPr>
          <w:rFonts w:hint="eastAsia"/>
          <w:color w:val="000000" w:themeColor="text1"/>
        </w:rPr>
        <w:t xml:space="preserve"> 住房保障支出（类）住房改革支出（款）住房公积金（项）</w:t>
      </w:r>
      <w:r>
        <w:rPr>
          <w:rStyle w:val="14"/>
          <w:rFonts w:ascii="仿宋" w:hAnsi="仿宋"/>
          <w:b w:val="0"/>
          <w:bCs/>
          <w:color w:val="000000" w:themeColor="text1"/>
          <w:szCs w:val="32"/>
        </w:rPr>
        <w:t>:</w:t>
      </w:r>
      <w:r>
        <w:rPr>
          <w:rStyle w:val="14"/>
          <w:rFonts w:hint="eastAsia" w:ascii="仿宋" w:hAnsi="仿宋"/>
          <w:b w:val="0"/>
          <w:bCs/>
          <w:color w:val="000000" w:themeColor="text1"/>
          <w:szCs w:val="32"/>
        </w:rPr>
        <w:t>支出决算为63.81万元，完成预算100</w:t>
      </w:r>
      <w:r>
        <w:rPr>
          <w:rStyle w:val="14"/>
          <w:rFonts w:ascii="仿宋" w:hAnsi="仿宋"/>
          <w:b w:val="0"/>
          <w:bCs/>
          <w:color w:val="000000" w:themeColor="text1"/>
          <w:szCs w:val="32"/>
        </w:rPr>
        <w:t>%</w:t>
      </w:r>
      <w:r>
        <w:rPr>
          <w:rStyle w:val="14"/>
          <w:rFonts w:hint="eastAsia" w:ascii="仿宋" w:hAnsi="仿宋"/>
          <w:b w:val="0"/>
          <w:bCs/>
          <w:color w:val="000000" w:themeColor="text1"/>
          <w:szCs w:val="32"/>
        </w:rPr>
        <w:t>。</w:t>
      </w:r>
    </w:p>
    <w:p>
      <w:pPr>
        <w:pStyle w:val="4"/>
        <w:numPr>
          <w:ilvl w:val="0"/>
          <w:numId w:val="3"/>
        </w:numPr>
        <w:rPr>
          <w:rStyle w:val="25"/>
          <w:b w:val="0"/>
          <w:bCs w:val="0"/>
          <w:color w:val="000000" w:themeColor="text1"/>
        </w:rPr>
      </w:pPr>
      <w:bookmarkStart w:id="59" w:name="_Toc144051058"/>
      <w:bookmarkStart w:id="60" w:name="_Toc15396608"/>
      <w:bookmarkStart w:id="61" w:name="_Toc15377214"/>
      <w:r>
        <w:rPr>
          <w:rFonts w:hint="eastAsia"/>
          <w:color w:val="000000" w:themeColor="text1"/>
        </w:rPr>
        <w:t>一般公共预算财政拨款基本支出决算情况说明</w:t>
      </w:r>
      <w:bookmarkEnd w:id="59"/>
      <w:bookmarkEnd w:id="60"/>
      <w:bookmarkEnd w:id="61"/>
      <w:r>
        <w:rPr>
          <w:rStyle w:val="25"/>
          <w:b w:val="0"/>
          <w:bCs w:val="0"/>
          <w:color w:val="000000" w:themeColor="text1"/>
        </w:rPr>
        <w:tab/>
      </w:r>
    </w:p>
    <w:p>
      <w:pPr>
        <w:ind w:firstLine="640"/>
        <w:rPr>
          <w:rFonts w:ascii="仿宋" w:hAnsi="仿宋"/>
          <w:color w:val="000000" w:themeColor="text1"/>
          <w:szCs w:val="32"/>
        </w:rPr>
      </w:pPr>
      <w:r>
        <w:rPr>
          <w:rFonts w:ascii="仿宋" w:hAnsi="仿宋"/>
          <w:color w:val="000000" w:themeColor="text1"/>
          <w:szCs w:val="32"/>
        </w:rPr>
        <w:t>20</w:t>
      </w:r>
      <w:r>
        <w:rPr>
          <w:rFonts w:hint="eastAsia" w:ascii="仿宋" w:hAnsi="仿宋"/>
          <w:color w:val="000000" w:themeColor="text1"/>
          <w:szCs w:val="32"/>
        </w:rPr>
        <w:t>22年一般公共预算财政拨款基本支出864.24万元，其中：</w:t>
      </w:r>
    </w:p>
    <w:p>
      <w:pPr>
        <w:ind w:firstLine="640"/>
        <w:rPr>
          <w:rFonts w:ascii="仿宋" w:hAnsi="仿宋"/>
          <w:color w:val="000000" w:themeColor="text1"/>
          <w:szCs w:val="32"/>
        </w:rPr>
      </w:pPr>
      <w:r>
        <w:rPr>
          <w:rFonts w:hint="eastAsia" w:ascii="仿宋" w:hAnsi="仿宋"/>
          <w:color w:val="000000" w:themeColor="text1"/>
          <w:szCs w:val="32"/>
        </w:rPr>
        <w:t>人员经费827.83万元，主要包括：基本工资、津贴补贴、奖金、绩效工资、机关事业单位基本养老保险缴费、职工基本医疗保险缴费、公务员医疗补助缴费、其他社会保障缴费、其他工资福利支出、生活补助、住房公积金。</w:t>
      </w:r>
      <w:r>
        <w:rPr>
          <w:rFonts w:ascii="仿宋" w:hAnsi="仿宋"/>
          <w:color w:val="000000" w:themeColor="text1"/>
          <w:szCs w:val="32"/>
        </w:rPr>
        <w:br w:type="textWrapping"/>
      </w:r>
      <w:r>
        <w:rPr>
          <w:rFonts w:hint="eastAsia" w:ascii="仿宋" w:hAnsi="仿宋"/>
          <w:color w:val="000000" w:themeColor="text1"/>
          <w:szCs w:val="32"/>
        </w:rPr>
        <w:t>　　公用经费36.41万元，主要包括：办公费、印刷费、水费、电费、邮电费、物业管理费、差旅费、维修（护）费、会议费、培训费、劳务费、委托业务费、工会经费、福利费、公务用车运行维护费、其他交通费、其他商品和服务支出等。</w:t>
      </w:r>
    </w:p>
    <w:p>
      <w:pPr>
        <w:pStyle w:val="4"/>
        <w:numPr>
          <w:ilvl w:val="0"/>
          <w:numId w:val="0"/>
        </w:numPr>
        <w:rPr>
          <w:color w:val="000000" w:themeColor="text1"/>
        </w:rPr>
      </w:pPr>
      <w:bookmarkStart w:id="62" w:name="_Toc15377215"/>
      <w:bookmarkStart w:id="63" w:name="_Toc144051059"/>
      <w:bookmarkStart w:id="64" w:name="_Toc15396609"/>
      <w:r>
        <w:rPr>
          <w:rFonts w:hint="eastAsia"/>
          <w:b w:val="0"/>
          <w:color w:val="000000" w:themeColor="text1"/>
        </w:rPr>
        <w:t>七、</w:t>
      </w:r>
      <w:r>
        <w:rPr>
          <w:rFonts w:hint="eastAsia"/>
          <w:color w:val="000000" w:themeColor="text1"/>
        </w:rPr>
        <w:t>财政拨款“三公”经费支出决算情况说明</w:t>
      </w:r>
      <w:bookmarkEnd w:id="62"/>
      <w:bookmarkEnd w:id="63"/>
      <w:bookmarkEnd w:id="64"/>
    </w:p>
    <w:p>
      <w:pPr>
        <w:ind w:firstLine="643"/>
        <w:rPr>
          <w:b/>
          <w:color w:val="000000" w:themeColor="text1"/>
        </w:rPr>
      </w:pPr>
      <w:bookmarkStart w:id="65" w:name="_Toc144051060"/>
      <w:bookmarkStart w:id="66" w:name="_Toc15377216"/>
      <w:r>
        <w:rPr>
          <w:rFonts w:hint="eastAsia"/>
          <w:b/>
          <w:color w:val="000000" w:themeColor="text1"/>
        </w:rPr>
        <w:t>（一）“三公”经费财政拨款支出决算总体情况说明</w:t>
      </w:r>
      <w:bookmarkEnd w:id="65"/>
      <w:bookmarkEnd w:id="66"/>
    </w:p>
    <w:p>
      <w:pPr>
        <w:ind w:firstLine="640"/>
        <w:rPr>
          <w:color w:val="000000" w:themeColor="text1"/>
        </w:rPr>
      </w:pPr>
      <w:r>
        <w:rPr>
          <w:color w:val="000000" w:themeColor="text1"/>
        </w:rPr>
        <w:t>20</w:t>
      </w:r>
      <w:r>
        <w:rPr>
          <w:rFonts w:hint="eastAsia"/>
          <w:color w:val="000000" w:themeColor="text1"/>
        </w:rPr>
        <w:t>22年“三公”经费财政拨款支出决算为1.62万元，完成预算67</w:t>
      </w:r>
      <w:r>
        <w:rPr>
          <w:color w:val="000000" w:themeColor="text1"/>
        </w:rPr>
        <w:t>%</w:t>
      </w:r>
      <w:r>
        <w:rPr>
          <w:rFonts w:hint="eastAsia"/>
          <w:color w:val="000000" w:themeColor="text1"/>
        </w:rPr>
        <w:t>，较上年增加0.59万元，增长57%。决算数小于预算数的主要原因是2022年公务接待费未产生，其预算未使用；2022年支出决算较2021年增加的主要原因是2021年公务用车购置及运行维护费年底剩余指标被财政收回，实际发生的公务经费未全部支付出去。</w:t>
      </w:r>
    </w:p>
    <w:p>
      <w:pPr>
        <w:ind w:firstLine="643"/>
        <w:rPr>
          <w:b/>
          <w:color w:val="000000" w:themeColor="text1"/>
        </w:rPr>
      </w:pPr>
      <w:bookmarkStart w:id="67" w:name="_Toc15377217"/>
      <w:bookmarkStart w:id="68" w:name="_Toc144051061"/>
      <w:r>
        <w:rPr>
          <w:rFonts w:hint="eastAsia"/>
          <w:b/>
          <w:color w:val="000000" w:themeColor="text1"/>
        </w:rPr>
        <w:t>（二）“三公”经费财政拨款支出决算具体情况说明</w:t>
      </w:r>
      <w:bookmarkEnd w:id="67"/>
      <w:bookmarkEnd w:id="68"/>
    </w:p>
    <w:p>
      <w:pPr>
        <w:ind w:firstLine="640"/>
        <w:rPr>
          <w:color w:val="000000" w:themeColor="text1"/>
        </w:rPr>
      </w:pPr>
      <w:r>
        <w:rPr>
          <w:color w:val="000000" w:themeColor="text1"/>
        </w:rPr>
        <w:t>20</w:t>
      </w:r>
      <w:r>
        <w:rPr>
          <w:rFonts w:hint="eastAsia"/>
          <w:color w:val="000000" w:themeColor="text1"/>
        </w:rPr>
        <w:t>22年“三公”经费财政拨款支出决算中，因公出国（境）费支出决算0万元，占0</w:t>
      </w:r>
      <w:r>
        <w:rPr>
          <w:color w:val="000000" w:themeColor="text1"/>
        </w:rPr>
        <w:t>%</w:t>
      </w:r>
      <w:r>
        <w:rPr>
          <w:rFonts w:hint="eastAsia"/>
          <w:color w:val="000000" w:themeColor="text1"/>
        </w:rPr>
        <w:t>；公务用车购置及运行维护费支出决算1.62万元，占100</w:t>
      </w:r>
      <w:r>
        <w:rPr>
          <w:color w:val="000000" w:themeColor="text1"/>
        </w:rPr>
        <w:t>%</w:t>
      </w:r>
      <w:r>
        <w:rPr>
          <w:rFonts w:hint="eastAsia"/>
          <w:color w:val="000000" w:themeColor="text1"/>
        </w:rPr>
        <w:t>；公务接待费支出决算0万元，占0</w:t>
      </w:r>
      <w:r>
        <w:rPr>
          <w:color w:val="000000" w:themeColor="text1"/>
        </w:rPr>
        <w:t>%</w:t>
      </w:r>
      <w:r>
        <w:rPr>
          <w:rFonts w:hint="eastAsia"/>
          <w:color w:val="000000" w:themeColor="text1"/>
        </w:rPr>
        <w:t>。具体情况如下：</w:t>
      </w:r>
    </w:p>
    <w:p>
      <w:pPr>
        <w:ind w:firstLine="640"/>
        <w:jc w:val="center"/>
        <w:rPr>
          <w:rFonts w:ascii="仿宋" w:hAnsi="仿宋"/>
          <w:color w:val="000000" w:themeColor="text1"/>
          <w:szCs w:val="32"/>
        </w:rPr>
      </w:pPr>
      <w:r>
        <w:rPr>
          <w:rFonts w:hint="eastAsia" w:ascii="仿宋" w:hAnsi="仿宋"/>
          <w:color w:val="000000" w:themeColor="text1"/>
          <w:szCs w:val="32"/>
        </w:rPr>
        <w:t>（图7：“三公”经费财政拨款支出结构）（饼状图）</w:t>
      </w:r>
    </w:p>
    <w:p>
      <w:pPr>
        <w:pStyle w:val="2"/>
        <w:spacing w:before="130"/>
        <w:ind w:firstLine="600"/>
        <w:rPr>
          <w:color w:val="000000" w:themeColor="text1"/>
        </w:rPr>
      </w:pPr>
      <w:r>
        <w:rPr>
          <w:rFonts w:hint="eastAsia"/>
          <w:color w:val="000000" w:themeColor="text1"/>
        </w:rPr>
        <w:drawing>
          <wp:anchor distT="0" distB="0" distL="114300" distR="114300" simplePos="0" relativeHeight="251665408" behindDoc="0" locked="0" layoutInCell="1" allowOverlap="1">
            <wp:simplePos x="0" y="0"/>
            <wp:positionH relativeFrom="column">
              <wp:posOffset>481330</wp:posOffset>
            </wp:positionH>
            <wp:positionV relativeFrom="paragraph">
              <wp:posOffset>106045</wp:posOffset>
            </wp:positionV>
            <wp:extent cx="4594860" cy="2764155"/>
            <wp:effectExtent l="19050" t="0" r="0" b="0"/>
            <wp:wrapSquare wrapText="bothSides"/>
            <wp:docPr id="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0"/>
                    <pic:cNvPicPr>
                      <a:picLocks noChangeAspect="1" noChangeArrowheads="1"/>
                    </pic:cNvPicPr>
                  </pic:nvPicPr>
                  <pic:blipFill>
                    <a:blip r:embed="rId14"/>
                    <a:srcRect/>
                    <a:stretch>
                      <a:fillRect/>
                    </a:stretch>
                  </pic:blipFill>
                  <pic:spPr>
                    <a:xfrm>
                      <a:off x="0" y="0"/>
                      <a:ext cx="4594860" cy="2764155"/>
                    </a:xfrm>
                    <a:prstGeom prst="rect">
                      <a:avLst/>
                    </a:prstGeom>
                    <a:noFill/>
                  </pic:spPr>
                </pic:pic>
              </a:graphicData>
            </a:graphic>
          </wp:anchor>
        </w:drawing>
      </w:r>
    </w:p>
    <w:p>
      <w:pPr>
        <w:pStyle w:val="2"/>
        <w:spacing w:before="130"/>
        <w:ind w:firstLine="600"/>
        <w:rPr>
          <w:color w:val="000000" w:themeColor="text1"/>
        </w:rPr>
      </w:pPr>
    </w:p>
    <w:p>
      <w:pPr>
        <w:ind w:firstLine="0" w:firstLineChars="0"/>
        <w:rPr>
          <w:b/>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left="0" w:leftChars="0" w:firstLine="0" w:firstLineChars="0"/>
        <w:rPr>
          <w:color w:val="000000" w:themeColor="text1"/>
        </w:rPr>
      </w:pPr>
    </w:p>
    <w:p>
      <w:pPr>
        <w:ind w:firstLine="643"/>
        <w:rPr>
          <w:b/>
          <w:color w:val="000000" w:themeColor="text1"/>
        </w:rPr>
      </w:pPr>
      <w:r>
        <w:rPr>
          <w:b/>
          <w:color w:val="000000" w:themeColor="text1"/>
        </w:rPr>
        <w:t>1.</w:t>
      </w:r>
      <w:r>
        <w:rPr>
          <w:rFonts w:hint="eastAsia"/>
          <w:b/>
          <w:color w:val="000000" w:themeColor="text1"/>
        </w:rPr>
        <w:t>因公出国（境）经费支出</w:t>
      </w:r>
      <w:r>
        <w:rPr>
          <w:rFonts w:hint="eastAsia"/>
          <w:color w:val="000000" w:themeColor="text1"/>
        </w:rPr>
        <w:t>0万元，</w:t>
      </w:r>
      <w:r>
        <w:rPr>
          <w:rStyle w:val="14"/>
          <w:rFonts w:hint="eastAsia" w:ascii="仿宋" w:hAnsi="仿宋"/>
          <w:b w:val="0"/>
          <w:bCs/>
          <w:color w:val="000000" w:themeColor="text1"/>
          <w:szCs w:val="32"/>
        </w:rPr>
        <w:t>完成预算0</w:t>
      </w:r>
      <w:r>
        <w:rPr>
          <w:rStyle w:val="14"/>
          <w:rFonts w:ascii="仿宋" w:hAnsi="仿宋"/>
          <w:b w:val="0"/>
          <w:bCs/>
          <w:color w:val="000000" w:themeColor="text1"/>
          <w:szCs w:val="32"/>
        </w:rPr>
        <w:t>%</w:t>
      </w:r>
      <w:r>
        <w:rPr>
          <w:rStyle w:val="14"/>
          <w:rFonts w:hint="eastAsia" w:ascii="仿宋" w:hAnsi="仿宋"/>
          <w:b w:val="0"/>
          <w:bCs/>
          <w:color w:val="000000" w:themeColor="text1"/>
          <w:szCs w:val="32"/>
        </w:rPr>
        <w:t>。</w:t>
      </w:r>
      <w:r>
        <w:rPr>
          <w:rFonts w:hint="eastAsia"/>
          <w:color w:val="000000" w:themeColor="text1"/>
        </w:rPr>
        <w:t>全年安排因公出国（境）团组0次，出国（境）0人。因公出国（境）支出决算比</w:t>
      </w:r>
      <w:r>
        <w:rPr>
          <w:color w:val="000000" w:themeColor="text1"/>
        </w:rPr>
        <w:t>20</w:t>
      </w:r>
      <w:r>
        <w:rPr>
          <w:rFonts w:hint="eastAsia"/>
          <w:color w:val="000000" w:themeColor="text1"/>
        </w:rPr>
        <w:t>21年决算数持平，未发生因公出国（境）经费支出。</w:t>
      </w:r>
    </w:p>
    <w:p>
      <w:pPr>
        <w:ind w:firstLine="643"/>
        <w:rPr>
          <w:b/>
          <w:color w:val="000000" w:themeColor="text1"/>
        </w:rPr>
      </w:pPr>
      <w:r>
        <w:rPr>
          <w:b/>
          <w:color w:val="000000" w:themeColor="text1"/>
        </w:rPr>
        <w:t>2.</w:t>
      </w:r>
      <w:r>
        <w:rPr>
          <w:rFonts w:hint="eastAsia"/>
          <w:b/>
          <w:color w:val="000000" w:themeColor="text1"/>
        </w:rPr>
        <w:t>公务用车购置及运行维护费支出</w:t>
      </w:r>
      <w:r>
        <w:rPr>
          <w:rFonts w:hint="eastAsia"/>
          <w:color w:val="000000" w:themeColor="text1"/>
        </w:rPr>
        <w:t>1.62万元,</w:t>
      </w:r>
      <w:r>
        <w:rPr>
          <w:rStyle w:val="14"/>
          <w:rFonts w:hint="eastAsia" w:ascii="仿宋" w:hAnsi="仿宋"/>
          <w:b w:val="0"/>
          <w:bCs/>
          <w:color w:val="000000" w:themeColor="text1"/>
          <w:szCs w:val="32"/>
        </w:rPr>
        <w:t>完成预算100</w:t>
      </w:r>
      <w:r>
        <w:rPr>
          <w:rStyle w:val="14"/>
          <w:rFonts w:ascii="仿宋" w:hAnsi="仿宋"/>
          <w:b w:val="0"/>
          <w:bCs/>
          <w:color w:val="000000" w:themeColor="text1"/>
          <w:szCs w:val="32"/>
        </w:rPr>
        <w:t>%</w:t>
      </w:r>
      <w:r>
        <w:rPr>
          <w:rStyle w:val="14"/>
          <w:rFonts w:hint="eastAsia" w:ascii="仿宋" w:hAnsi="仿宋"/>
          <w:b w:val="0"/>
          <w:bCs/>
          <w:color w:val="000000" w:themeColor="text1"/>
          <w:szCs w:val="32"/>
        </w:rPr>
        <w:t>。</w:t>
      </w:r>
      <w:r>
        <w:rPr>
          <w:rFonts w:hint="eastAsia"/>
          <w:color w:val="000000" w:themeColor="text1"/>
        </w:rPr>
        <w:t>公务用车购置及运行维护费支出决算比</w:t>
      </w:r>
      <w:r>
        <w:rPr>
          <w:color w:val="000000" w:themeColor="text1"/>
        </w:rPr>
        <w:t>20</w:t>
      </w:r>
      <w:r>
        <w:rPr>
          <w:rFonts w:hint="eastAsia"/>
          <w:color w:val="000000" w:themeColor="text1"/>
        </w:rPr>
        <w:t>21年增加0.59万元，增长57</w:t>
      </w:r>
      <w:r>
        <w:rPr>
          <w:color w:val="000000" w:themeColor="text1"/>
        </w:rPr>
        <w:t>%</w:t>
      </w:r>
      <w:r>
        <w:rPr>
          <w:rFonts w:hint="eastAsia"/>
          <w:color w:val="000000" w:themeColor="text1"/>
        </w:rPr>
        <w:t>。主要原因是2021年公务用车购置及运行维护费年底剩余指标被财政收回，实际发生的公务经费未全部支付出去。</w:t>
      </w:r>
    </w:p>
    <w:p>
      <w:pPr>
        <w:ind w:firstLine="640"/>
        <w:rPr>
          <w:b/>
          <w:color w:val="000000" w:themeColor="text1"/>
        </w:rPr>
      </w:pPr>
      <w:r>
        <w:rPr>
          <w:rFonts w:hint="eastAsia"/>
          <w:color w:val="000000" w:themeColor="text1"/>
        </w:rPr>
        <w:t>其中：</w:t>
      </w:r>
      <w:r>
        <w:rPr>
          <w:rFonts w:hint="eastAsia"/>
          <w:b/>
          <w:color w:val="000000" w:themeColor="text1"/>
        </w:rPr>
        <w:t>公务用车购置支出</w:t>
      </w:r>
      <w:r>
        <w:rPr>
          <w:rFonts w:hint="eastAsia"/>
          <w:color w:val="000000" w:themeColor="text1"/>
        </w:rPr>
        <w:t>0万元。全年按规定更新购置公务用车0辆，其中：轿车0辆、金额0万元，越野车0辆、金额0万元，载客汽车0辆、金额0万元。截至</w:t>
      </w:r>
      <w:r>
        <w:rPr>
          <w:color w:val="000000" w:themeColor="text1"/>
        </w:rPr>
        <w:t>20</w:t>
      </w:r>
      <w:r>
        <w:rPr>
          <w:rFonts w:hint="eastAsia"/>
          <w:color w:val="000000" w:themeColor="text1"/>
        </w:rPr>
        <w:t>22年</w:t>
      </w:r>
      <w:r>
        <w:rPr>
          <w:color w:val="000000" w:themeColor="text1"/>
        </w:rPr>
        <w:t>12</w:t>
      </w:r>
      <w:r>
        <w:rPr>
          <w:rFonts w:hint="eastAsia"/>
          <w:color w:val="000000" w:themeColor="text1"/>
        </w:rPr>
        <w:t>月底，单位共有公务用车1辆，其中：轿车0辆、越野车0辆、载客汽车1辆。</w:t>
      </w:r>
    </w:p>
    <w:p>
      <w:pPr>
        <w:ind w:firstLine="643"/>
        <w:rPr>
          <w:color w:val="000000" w:themeColor="text1"/>
        </w:rPr>
      </w:pPr>
      <w:r>
        <w:rPr>
          <w:rFonts w:hint="eastAsia"/>
          <w:b/>
          <w:color w:val="000000" w:themeColor="text1"/>
        </w:rPr>
        <w:t>公务用车运行维护费支出</w:t>
      </w:r>
      <w:r>
        <w:rPr>
          <w:rFonts w:hint="eastAsia"/>
          <w:color w:val="000000" w:themeColor="text1"/>
        </w:rPr>
        <w:t>1.62万元。主要用于教研员外出参与教研活动等所需的公务用车燃料费、维修费、过路过桥费、保险费等支出。</w:t>
      </w:r>
    </w:p>
    <w:p>
      <w:pPr>
        <w:ind w:firstLine="643"/>
        <w:rPr>
          <w:color w:val="000000" w:themeColor="text1"/>
        </w:rPr>
      </w:pPr>
      <w:r>
        <w:rPr>
          <w:b/>
          <w:color w:val="000000" w:themeColor="text1"/>
        </w:rPr>
        <w:t>3.</w:t>
      </w:r>
      <w:r>
        <w:rPr>
          <w:rFonts w:hint="eastAsia"/>
          <w:b/>
          <w:color w:val="000000" w:themeColor="text1"/>
        </w:rPr>
        <w:t>公务接待费支出</w:t>
      </w:r>
      <w:r>
        <w:rPr>
          <w:rFonts w:hint="eastAsia"/>
          <w:color w:val="000000" w:themeColor="text1"/>
        </w:rPr>
        <w:t>0万元，</w:t>
      </w:r>
      <w:r>
        <w:rPr>
          <w:rStyle w:val="14"/>
          <w:rFonts w:hint="eastAsia" w:ascii="仿宋" w:hAnsi="仿宋"/>
          <w:b w:val="0"/>
          <w:bCs/>
          <w:color w:val="000000" w:themeColor="text1"/>
          <w:szCs w:val="32"/>
        </w:rPr>
        <w:t>完成预算0</w:t>
      </w:r>
      <w:r>
        <w:rPr>
          <w:rStyle w:val="14"/>
          <w:rFonts w:ascii="仿宋" w:hAnsi="仿宋"/>
          <w:b w:val="0"/>
          <w:bCs/>
          <w:color w:val="000000" w:themeColor="text1"/>
          <w:szCs w:val="32"/>
        </w:rPr>
        <w:t>%</w:t>
      </w:r>
      <w:r>
        <w:rPr>
          <w:rStyle w:val="14"/>
          <w:rFonts w:hint="eastAsia" w:ascii="仿宋" w:hAnsi="仿宋"/>
          <w:b w:val="0"/>
          <w:bCs/>
          <w:color w:val="000000" w:themeColor="text1"/>
          <w:szCs w:val="32"/>
        </w:rPr>
        <w:t>。</w:t>
      </w:r>
      <w:r>
        <w:rPr>
          <w:rFonts w:hint="eastAsia"/>
          <w:color w:val="000000" w:themeColor="text1"/>
        </w:rPr>
        <w:t>公务接待费支出决算与</w:t>
      </w:r>
      <w:r>
        <w:rPr>
          <w:color w:val="000000" w:themeColor="text1"/>
        </w:rPr>
        <w:t>20</w:t>
      </w:r>
      <w:r>
        <w:rPr>
          <w:rFonts w:hint="eastAsia"/>
          <w:color w:val="000000" w:themeColor="text1"/>
        </w:rPr>
        <w:t>21年决算数持平。主要原因是2022年未发生公务接待。其中：</w:t>
      </w:r>
    </w:p>
    <w:p>
      <w:pPr>
        <w:ind w:firstLine="643"/>
        <w:rPr>
          <w:color w:val="000000" w:themeColor="text1"/>
        </w:rPr>
      </w:pPr>
      <w:r>
        <w:rPr>
          <w:rFonts w:hint="eastAsia" w:ascii="仿宋" w:hAnsi="仿宋"/>
          <w:b/>
          <w:color w:val="000000" w:themeColor="text1"/>
        </w:rPr>
        <w:t>国内公务接待支出</w:t>
      </w:r>
      <w:r>
        <w:rPr>
          <w:rFonts w:hint="eastAsia" w:ascii="仿宋" w:hAnsi="仿宋"/>
          <w:color w:val="000000" w:themeColor="text1"/>
        </w:rPr>
        <w:t>0</w:t>
      </w:r>
      <w:r>
        <w:rPr>
          <w:rFonts w:hint="eastAsia"/>
          <w:color w:val="000000" w:themeColor="text1"/>
        </w:rPr>
        <w:t>万元。国内公务接待0批次，0人次（不包括陪同人员），共计支出0万元。</w:t>
      </w:r>
    </w:p>
    <w:p>
      <w:pPr>
        <w:ind w:firstLine="643"/>
        <w:rPr>
          <w:color w:val="000000" w:themeColor="text1"/>
        </w:rPr>
      </w:pPr>
      <w:r>
        <w:rPr>
          <w:rFonts w:hint="eastAsia" w:ascii="仿宋" w:hAnsi="仿宋"/>
          <w:b/>
          <w:color w:val="000000" w:themeColor="text1"/>
        </w:rPr>
        <w:t>外事接待支出</w:t>
      </w:r>
      <w:r>
        <w:rPr>
          <w:rFonts w:hint="eastAsia" w:ascii="仿宋" w:hAnsi="仿宋"/>
          <w:color w:val="000000" w:themeColor="text1"/>
        </w:rPr>
        <w:t>0</w:t>
      </w:r>
      <w:r>
        <w:rPr>
          <w:rFonts w:hint="eastAsia"/>
          <w:color w:val="000000" w:themeColor="text1"/>
        </w:rPr>
        <w:t>万元。外事接待0批次，0人次（不包括陪同人员），共计支出0万元。</w:t>
      </w:r>
      <w:bookmarkStart w:id="69" w:name="_Toc15396610"/>
      <w:bookmarkStart w:id="70" w:name="_Toc15377218"/>
    </w:p>
    <w:p>
      <w:pPr>
        <w:pStyle w:val="4"/>
        <w:numPr>
          <w:ilvl w:val="0"/>
          <w:numId w:val="0"/>
        </w:numPr>
        <w:rPr>
          <w:color w:val="000000" w:themeColor="text1"/>
        </w:rPr>
      </w:pPr>
      <w:bookmarkStart w:id="71" w:name="_Toc144051062"/>
      <w:r>
        <w:rPr>
          <w:rFonts w:hint="eastAsia"/>
          <w:b w:val="0"/>
          <w:color w:val="000000" w:themeColor="text1"/>
        </w:rPr>
        <w:t>八、</w:t>
      </w:r>
      <w:r>
        <w:rPr>
          <w:rFonts w:hint="eastAsia"/>
          <w:color w:val="000000" w:themeColor="text1"/>
        </w:rPr>
        <w:t>政府性基金预算支出决算情况说明</w:t>
      </w:r>
      <w:bookmarkEnd w:id="69"/>
      <w:bookmarkEnd w:id="70"/>
      <w:bookmarkEnd w:id="71"/>
    </w:p>
    <w:p>
      <w:pPr>
        <w:ind w:firstLine="640"/>
        <w:rPr>
          <w:color w:val="000000" w:themeColor="text1"/>
        </w:rPr>
      </w:pPr>
      <w:r>
        <w:rPr>
          <w:color w:val="000000" w:themeColor="text1"/>
        </w:rPr>
        <w:t>20</w:t>
      </w:r>
      <w:r>
        <w:rPr>
          <w:rFonts w:hint="eastAsia"/>
          <w:color w:val="000000" w:themeColor="text1"/>
        </w:rPr>
        <w:t>22年政府性基金预算财政拨款支出0万元。</w:t>
      </w:r>
    </w:p>
    <w:p>
      <w:pPr>
        <w:pStyle w:val="4"/>
        <w:numPr>
          <w:ilvl w:val="0"/>
          <w:numId w:val="4"/>
        </w:numPr>
        <w:rPr>
          <w:color w:val="000000" w:themeColor="text1"/>
        </w:rPr>
      </w:pPr>
      <w:bookmarkStart w:id="72" w:name="_Toc15377219"/>
      <w:bookmarkStart w:id="73" w:name="_Toc15396611"/>
      <w:bookmarkStart w:id="74" w:name="_Toc144051063"/>
      <w:r>
        <w:rPr>
          <w:rFonts w:hint="eastAsia"/>
          <w:color w:val="000000" w:themeColor="text1"/>
        </w:rPr>
        <w:t>国有资本经营预算支出决算情况说明</w:t>
      </w:r>
      <w:bookmarkEnd w:id="72"/>
      <w:bookmarkEnd w:id="73"/>
      <w:bookmarkEnd w:id="74"/>
    </w:p>
    <w:p>
      <w:pPr>
        <w:ind w:firstLine="640"/>
        <w:rPr>
          <w:color w:val="000000" w:themeColor="text1"/>
        </w:rPr>
      </w:pPr>
      <w:r>
        <w:rPr>
          <w:color w:val="000000" w:themeColor="text1"/>
        </w:rPr>
        <w:t>20</w:t>
      </w:r>
      <w:r>
        <w:rPr>
          <w:rFonts w:hint="eastAsia"/>
          <w:color w:val="000000" w:themeColor="text1"/>
        </w:rPr>
        <w:t>22年国有资本经营预算财政拨款支出0万元。</w:t>
      </w:r>
    </w:p>
    <w:p>
      <w:pPr>
        <w:pStyle w:val="4"/>
        <w:numPr>
          <w:ilvl w:val="0"/>
          <w:numId w:val="4"/>
        </w:numPr>
        <w:rPr>
          <w:color w:val="000000" w:themeColor="text1"/>
        </w:rPr>
      </w:pPr>
      <w:bookmarkStart w:id="75" w:name="_Toc15377221"/>
      <w:bookmarkStart w:id="76" w:name="_Toc144051064"/>
      <w:bookmarkStart w:id="77" w:name="_Toc15396612"/>
      <w:r>
        <w:rPr>
          <w:rFonts w:hint="eastAsia"/>
          <w:color w:val="000000" w:themeColor="text1"/>
        </w:rPr>
        <w:t>其他重要事项的情况说明</w:t>
      </w:r>
      <w:bookmarkEnd w:id="75"/>
      <w:bookmarkEnd w:id="76"/>
      <w:bookmarkEnd w:id="77"/>
    </w:p>
    <w:p>
      <w:pPr>
        <w:ind w:firstLine="643"/>
        <w:rPr>
          <w:b/>
          <w:color w:val="000000" w:themeColor="text1"/>
        </w:rPr>
      </w:pPr>
      <w:bookmarkStart w:id="78" w:name="_Toc15377222"/>
      <w:bookmarkStart w:id="79" w:name="_Toc144051065"/>
      <w:r>
        <w:rPr>
          <w:rFonts w:hint="eastAsia"/>
          <w:b/>
          <w:color w:val="000000" w:themeColor="text1"/>
        </w:rPr>
        <w:t>（一）机关运行经费支出情况</w:t>
      </w:r>
      <w:bookmarkEnd w:id="78"/>
      <w:bookmarkEnd w:id="79"/>
    </w:p>
    <w:p>
      <w:pPr>
        <w:ind w:firstLine="640"/>
        <w:rPr>
          <w:color w:val="000000" w:themeColor="text1"/>
        </w:rPr>
      </w:pPr>
      <w:r>
        <w:rPr>
          <w:color w:val="000000" w:themeColor="text1"/>
        </w:rPr>
        <w:t>20</w:t>
      </w:r>
      <w:r>
        <w:rPr>
          <w:rFonts w:hint="eastAsia"/>
          <w:color w:val="000000" w:themeColor="text1"/>
        </w:rPr>
        <w:t>22年，攀枝花市教育科学研究所机关运行经费支出0万元，与</w:t>
      </w:r>
      <w:r>
        <w:rPr>
          <w:color w:val="000000" w:themeColor="text1"/>
        </w:rPr>
        <w:t>20</w:t>
      </w:r>
      <w:r>
        <w:rPr>
          <w:rFonts w:hint="eastAsia"/>
          <w:color w:val="000000" w:themeColor="text1"/>
        </w:rPr>
        <w:t>21年决算数持平。主要原因是攀枝花市教育科学研究所属于事业单位，无机关运行经费。</w:t>
      </w:r>
    </w:p>
    <w:p>
      <w:pPr>
        <w:ind w:firstLine="643"/>
        <w:rPr>
          <w:b/>
          <w:color w:val="000000" w:themeColor="text1"/>
        </w:rPr>
      </w:pPr>
      <w:bookmarkStart w:id="80" w:name="_Toc144051066"/>
      <w:bookmarkStart w:id="81" w:name="_Toc15377223"/>
      <w:r>
        <w:rPr>
          <w:rFonts w:hint="eastAsia"/>
          <w:b/>
          <w:color w:val="000000" w:themeColor="text1"/>
        </w:rPr>
        <w:t>（二）政府采购支出情况</w:t>
      </w:r>
      <w:bookmarkEnd w:id="80"/>
      <w:bookmarkEnd w:id="81"/>
    </w:p>
    <w:p>
      <w:pPr>
        <w:ind w:firstLine="640"/>
        <w:rPr>
          <w:color w:val="000000" w:themeColor="text1"/>
        </w:rPr>
      </w:pPr>
      <w:r>
        <w:rPr>
          <w:color w:val="000000" w:themeColor="text1"/>
        </w:rPr>
        <w:t>20</w:t>
      </w:r>
      <w:r>
        <w:rPr>
          <w:rFonts w:hint="eastAsia"/>
          <w:color w:val="000000" w:themeColor="text1"/>
        </w:rPr>
        <w:t>22年，攀枝花市教育科学研究所政府采购支出总额0万元，其中：政府采购货物支出0万元、政府采购工程支出0万元、政府采购服务支出0万元。授予中小企业合同金额0万元，占政府采购支出总额的0</w:t>
      </w:r>
      <w:r>
        <w:rPr>
          <w:color w:val="000000" w:themeColor="text1"/>
        </w:rPr>
        <w:t>%</w:t>
      </w:r>
      <w:r>
        <w:rPr>
          <w:rFonts w:hint="eastAsia"/>
          <w:color w:val="000000" w:themeColor="text1"/>
        </w:rPr>
        <w:t>，其中：授予小微企业合同金额0万元，占政府采购支出总额的0</w:t>
      </w:r>
      <w:r>
        <w:rPr>
          <w:color w:val="000000" w:themeColor="text1"/>
        </w:rPr>
        <w:t>%</w:t>
      </w:r>
      <w:r>
        <w:rPr>
          <w:rFonts w:hint="eastAsia"/>
          <w:color w:val="000000" w:themeColor="text1"/>
        </w:rPr>
        <w:t>。</w:t>
      </w:r>
    </w:p>
    <w:p>
      <w:pPr>
        <w:ind w:firstLine="643"/>
        <w:rPr>
          <w:b/>
          <w:color w:val="000000" w:themeColor="text1"/>
        </w:rPr>
      </w:pPr>
      <w:bookmarkStart w:id="82" w:name="_Toc15377224"/>
      <w:bookmarkStart w:id="83" w:name="_Toc144051067"/>
      <w:r>
        <w:rPr>
          <w:rFonts w:hint="eastAsia"/>
          <w:b/>
          <w:color w:val="000000" w:themeColor="text1"/>
        </w:rPr>
        <w:t>（三）国有资产占有使用情况</w:t>
      </w:r>
      <w:bookmarkEnd w:id="82"/>
      <w:bookmarkEnd w:id="83"/>
    </w:p>
    <w:p>
      <w:pPr>
        <w:ind w:firstLine="640"/>
        <w:rPr>
          <w:color w:val="000000" w:themeColor="text1"/>
        </w:rPr>
      </w:pPr>
      <w:r>
        <w:rPr>
          <w:rFonts w:hint="eastAsia"/>
          <w:color w:val="000000" w:themeColor="text1"/>
        </w:rPr>
        <w:t>截至</w:t>
      </w:r>
      <w:r>
        <w:rPr>
          <w:color w:val="000000" w:themeColor="text1"/>
        </w:rPr>
        <w:t>20</w:t>
      </w:r>
      <w:r>
        <w:rPr>
          <w:rFonts w:hint="eastAsia"/>
          <w:color w:val="000000" w:themeColor="text1"/>
        </w:rPr>
        <w:t>22年</w:t>
      </w:r>
      <w:r>
        <w:rPr>
          <w:color w:val="000000" w:themeColor="text1"/>
        </w:rPr>
        <w:t>12</w:t>
      </w:r>
      <w:r>
        <w:rPr>
          <w:rFonts w:hint="eastAsia"/>
          <w:color w:val="000000" w:themeColor="text1"/>
        </w:rPr>
        <w:t>月</w:t>
      </w:r>
      <w:r>
        <w:rPr>
          <w:color w:val="000000" w:themeColor="text1"/>
        </w:rPr>
        <w:t>31</w:t>
      </w:r>
      <w:r>
        <w:rPr>
          <w:rFonts w:hint="eastAsia"/>
          <w:color w:val="000000" w:themeColor="text1"/>
        </w:rPr>
        <w:t>日，攀枝花市教育科学研究所共有车辆2辆，其中：主要领导干部用车0辆、机要通信用车0辆、应急保障用车0辆、其他用车2辆，其他用车主要是用于</w:t>
      </w:r>
      <w:r>
        <w:rPr>
          <w:rFonts w:hint="eastAsia" w:ascii="仿宋_GB2312"/>
          <w:color w:val="000000" w:themeColor="text1"/>
        </w:rPr>
        <w:t>一辆日常教研活动等办公出行使用，另一辆处于待处置状态并停放在攀枝花市机关事务服务中心</w:t>
      </w:r>
      <w:r>
        <w:rPr>
          <w:rFonts w:hint="eastAsia"/>
          <w:color w:val="000000" w:themeColor="text1"/>
        </w:rPr>
        <w:t>。单价</w:t>
      </w:r>
      <w:r>
        <w:rPr>
          <w:color w:val="000000" w:themeColor="text1"/>
        </w:rPr>
        <w:t>100</w:t>
      </w:r>
      <w:r>
        <w:rPr>
          <w:rFonts w:hint="eastAsia"/>
          <w:color w:val="000000" w:themeColor="text1"/>
        </w:rPr>
        <w:t>万元以上专用设备0台（套）。</w:t>
      </w:r>
    </w:p>
    <w:p>
      <w:pPr>
        <w:ind w:firstLine="643"/>
        <w:rPr>
          <w:b/>
          <w:color w:val="000000" w:themeColor="text1"/>
        </w:rPr>
      </w:pPr>
      <w:bookmarkStart w:id="84" w:name="_Toc144051068"/>
      <w:r>
        <w:rPr>
          <w:rFonts w:hint="eastAsia"/>
          <w:b/>
          <w:color w:val="000000" w:themeColor="text1"/>
        </w:rPr>
        <w:t>（四）预算绩效管理情况</w:t>
      </w:r>
      <w:bookmarkEnd w:id="84"/>
    </w:p>
    <w:p>
      <w:pPr>
        <w:ind w:firstLine="640"/>
        <w:rPr>
          <w:color w:val="000000" w:themeColor="text1"/>
          <w:highlight w:val="yellow"/>
        </w:rPr>
      </w:pPr>
      <w:r>
        <w:rPr>
          <w:rFonts w:hint="eastAsia"/>
          <w:color w:val="000000" w:themeColor="text1"/>
        </w:rPr>
        <w:t>根据预算绩效管理要求，本单位在2022年度预算编制阶段，组织对在职医疗补助（事业）项目等16个项目开展了预算事前绩效评估，对</w:t>
      </w:r>
      <w:r>
        <w:rPr>
          <w:rFonts w:hint="eastAsia"/>
          <w:color w:val="000000" w:themeColor="text1"/>
          <w:lang w:val="en-US" w:eastAsia="zh-CN"/>
        </w:rPr>
        <w:t>2</w:t>
      </w:r>
      <w:r>
        <w:rPr>
          <w:rFonts w:hint="eastAsia"/>
          <w:color w:val="000000" w:themeColor="text1"/>
        </w:rPr>
        <w:t>个项目编制了绩效目标，预算执行过程中，选取</w:t>
      </w:r>
      <w:r>
        <w:rPr>
          <w:rFonts w:hint="eastAsia"/>
          <w:color w:val="000000" w:themeColor="text1"/>
          <w:lang w:val="en-US" w:eastAsia="zh-CN"/>
        </w:rPr>
        <w:t>2</w:t>
      </w:r>
      <w:r>
        <w:rPr>
          <w:rFonts w:hint="eastAsia"/>
          <w:color w:val="000000" w:themeColor="text1"/>
        </w:rPr>
        <w:t>个项目开展绩效监控，组织对16个项目开展绩效自评，绩效自评表详见第四部分附件。</w:t>
      </w:r>
    </w:p>
    <w:p>
      <w:pPr>
        <w:widowControl/>
        <w:ind w:firstLine="640"/>
        <w:jc w:val="left"/>
        <w:rPr>
          <w:rFonts w:ascii="仿宋_GB2312" w:eastAsia="仿宋_GB2312"/>
          <w:b/>
          <w:color w:val="000000" w:themeColor="text1"/>
          <w:szCs w:val="32"/>
        </w:rPr>
      </w:pPr>
      <w:r>
        <w:rPr>
          <w:rFonts w:ascii="仿宋_GB2312" w:eastAsia="仿宋_GB2312"/>
          <w:b/>
          <w:color w:val="000000" w:themeColor="text1"/>
          <w:szCs w:val="32"/>
        </w:rPr>
        <w:br w:type="page"/>
      </w:r>
    </w:p>
    <w:p>
      <w:pPr>
        <w:pStyle w:val="3"/>
        <w:ind w:firstLine="880"/>
        <w:rPr>
          <w:color w:val="000000" w:themeColor="text1"/>
        </w:rPr>
      </w:pPr>
      <w:bookmarkStart w:id="85" w:name="_Toc144051069"/>
      <w:bookmarkStart w:id="86" w:name="_Toc15377225"/>
      <w:bookmarkStart w:id="87" w:name="_Toc15396613"/>
      <w:r>
        <w:rPr>
          <w:rFonts w:hint="eastAsia"/>
          <w:color w:val="000000" w:themeColor="text1"/>
        </w:rPr>
        <w:t>第三部分 名词解释</w:t>
      </w:r>
      <w:bookmarkEnd w:id="85"/>
      <w:bookmarkEnd w:id="86"/>
      <w:bookmarkEnd w:id="87"/>
    </w:p>
    <w:p>
      <w:pPr>
        <w:ind w:firstLine="640"/>
        <w:rPr>
          <w:color w:val="000000" w:themeColor="text1"/>
        </w:rPr>
      </w:pPr>
      <w:r>
        <w:rPr>
          <w:color w:val="000000" w:themeColor="text1"/>
        </w:rPr>
        <w:t>1.</w:t>
      </w:r>
      <w:r>
        <w:rPr>
          <w:rFonts w:hint="eastAsia"/>
          <w:color w:val="000000" w:themeColor="text1"/>
        </w:rPr>
        <w:t>财政拨款收入：指单位从同级财政部门取得的财政预算资金。</w:t>
      </w:r>
    </w:p>
    <w:p>
      <w:pPr>
        <w:ind w:firstLine="640"/>
        <w:rPr>
          <w:color w:val="000000" w:themeColor="text1"/>
        </w:rPr>
      </w:pPr>
      <w:r>
        <w:rPr>
          <w:color w:val="000000" w:themeColor="text1"/>
        </w:rPr>
        <w:t>2.</w:t>
      </w:r>
      <w:r>
        <w:rPr>
          <w:rFonts w:hint="eastAsia"/>
          <w:color w:val="000000" w:themeColor="text1"/>
        </w:rPr>
        <w:t>教育支出（类）其他教育支出（款）其他教育支出（项）：指单位用于其他教育方面的支出。</w:t>
      </w:r>
    </w:p>
    <w:p>
      <w:pPr>
        <w:ind w:firstLine="640"/>
        <w:rPr>
          <w:color w:val="000000" w:themeColor="text1"/>
        </w:rPr>
      </w:pPr>
      <w:r>
        <w:rPr>
          <w:rFonts w:hint="eastAsia"/>
          <w:color w:val="000000" w:themeColor="text1"/>
        </w:rPr>
        <w:t>3</w:t>
      </w:r>
      <w:r>
        <w:rPr>
          <w:color w:val="000000" w:themeColor="text1"/>
        </w:rPr>
        <w:t>.</w:t>
      </w:r>
      <w:r>
        <w:rPr>
          <w:rFonts w:hint="eastAsia"/>
          <w:color w:val="000000" w:themeColor="text1"/>
        </w:rPr>
        <w:t>社会保障和就业支出（类）行政事业单位养老支出（款）机关事业单位基本养老保险缴费支出（项）：指单位实施养老保险制度由单位缴纳的基本养老保险费支出。社会保障和就业（类）行政事业单位养老支出（款）事业单位离退休（项）：指事业单位开支的离退休经费。</w:t>
      </w:r>
    </w:p>
    <w:p>
      <w:pPr>
        <w:ind w:firstLine="640"/>
        <w:rPr>
          <w:color w:val="000000" w:themeColor="text1"/>
        </w:rPr>
      </w:pPr>
      <w:r>
        <w:rPr>
          <w:rFonts w:hint="eastAsia"/>
          <w:color w:val="000000" w:themeColor="text1"/>
        </w:rPr>
        <w:t>4</w:t>
      </w:r>
      <w:r>
        <w:rPr>
          <w:color w:val="000000" w:themeColor="text1"/>
        </w:rPr>
        <w:t>.</w:t>
      </w:r>
      <w:r>
        <w:rPr>
          <w:rFonts w:hint="eastAsia"/>
          <w:color w:val="000000" w:themeColor="text1"/>
        </w:rPr>
        <w:t xml:space="preserve"> 住房保障支出（类）住房改革支出（款）住房公积金（项）：指单位按人力资源和社会保障部、财政部规定的基本工资和津贴补贴以及规定比例为职工缴纳的住房公积金。</w:t>
      </w:r>
    </w:p>
    <w:p>
      <w:pPr>
        <w:ind w:firstLine="640"/>
        <w:rPr>
          <w:color w:val="000000" w:themeColor="text1"/>
        </w:rPr>
      </w:pPr>
      <w:r>
        <w:rPr>
          <w:rFonts w:hint="eastAsia"/>
          <w:color w:val="000000" w:themeColor="text1"/>
        </w:rPr>
        <w:t>5</w:t>
      </w:r>
      <w:r>
        <w:rPr>
          <w:color w:val="000000" w:themeColor="text1"/>
        </w:rPr>
        <w:t>.</w:t>
      </w:r>
      <w:r>
        <w:rPr>
          <w:rFonts w:hint="eastAsia"/>
          <w:color w:val="000000" w:themeColor="text1"/>
        </w:rPr>
        <w:t>基本支出：指为保障机构正常运转、完成日常工作任务而发生的人员支出和公用支出。</w:t>
      </w:r>
    </w:p>
    <w:p>
      <w:pPr>
        <w:ind w:firstLine="640"/>
        <w:rPr>
          <w:color w:val="000000" w:themeColor="text1"/>
        </w:rPr>
      </w:pPr>
      <w:r>
        <w:rPr>
          <w:rFonts w:hint="eastAsia"/>
          <w:color w:val="000000" w:themeColor="text1"/>
        </w:rPr>
        <w:t>6</w:t>
      </w:r>
      <w:r>
        <w:rPr>
          <w:color w:val="000000" w:themeColor="text1"/>
        </w:rPr>
        <w:t>.</w:t>
      </w:r>
      <w:r>
        <w:rPr>
          <w:rFonts w:hint="eastAsia"/>
          <w:color w:val="000000" w:themeColor="text1"/>
        </w:rPr>
        <w:t>项目支出：指在基本支出之外为完成特定行政任务和事业发展目标所发生的支出。</w:t>
      </w:r>
    </w:p>
    <w:p>
      <w:pPr>
        <w:ind w:firstLine="640"/>
        <w:rPr>
          <w:color w:val="000000" w:themeColor="text1"/>
        </w:rPr>
      </w:pPr>
      <w:r>
        <w:rPr>
          <w:rFonts w:hint="eastAsia"/>
          <w:color w:val="000000" w:themeColor="text1"/>
        </w:rPr>
        <w:t>7</w:t>
      </w:r>
      <w:r>
        <w:rPr>
          <w:color w:val="000000" w:themeColor="text1"/>
        </w:rPr>
        <w:t>.</w:t>
      </w:r>
      <w:r>
        <w:rPr>
          <w:rFonts w:hint="eastAsia"/>
          <w:color w:val="000000" w:themeColor="text1"/>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rPr>
          <w:color w:val="000000" w:themeColor="text1"/>
        </w:rPr>
      </w:pPr>
      <w:r>
        <w:rPr>
          <w:rFonts w:hint="eastAsia"/>
          <w:color w:val="000000" w:themeColor="text1"/>
        </w:rPr>
        <w:t>8</w:t>
      </w:r>
      <w:r>
        <w:rPr>
          <w:color w:val="000000" w:themeColor="text1"/>
        </w:rPr>
        <w:t>.</w:t>
      </w:r>
      <w:r>
        <w:rPr>
          <w:rFonts w:hint="eastAsia"/>
          <w:color w:val="000000" w:themeColor="text1"/>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600"/>
        <w:rPr>
          <w:color w:val="000000" w:themeColor="text1"/>
        </w:rPr>
      </w:pPr>
    </w:p>
    <w:p>
      <w:pPr>
        <w:pStyle w:val="2"/>
        <w:spacing w:before="130"/>
        <w:ind w:firstLine="0" w:firstLineChars="0"/>
        <w:rPr>
          <w:color w:val="000000" w:themeColor="text1"/>
        </w:rPr>
      </w:pPr>
    </w:p>
    <w:p>
      <w:pPr>
        <w:pStyle w:val="3"/>
        <w:ind w:firstLine="0" w:firstLineChars="0"/>
        <w:rPr>
          <w:rStyle w:val="24"/>
          <w:bCs w:val="0"/>
          <w:color w:val="000000" w:themeColor="text1"/>
        </w:rPr>
      </w:pPr>
      <w:bookmarkStart w:id="88" w:name="_Toc15396614"/>
      <w:bookmarkStart w:id="89" w:name="_Toc15377226"/>
      <w:r>
        <w:rPr>
          <w:rFonts w:hint="eastAsia"/>
          <w:color w:val="000000" w:themeColor="text1"/>
        </w:rPr>
        <w:t>第四部分 附件</w:t>
      </w:r>
      <w:bookmarkEnd w:id="88"/>
    </w:p>
    <w:p>
      <w:pPr>
        <w:spacing w:line="572" w:lineRule="exact"/>
        <w:ind w:firstLine="640"/>
        <w:jc w:val="left"/>
        <w:outlineLvl w:val="0"/>
        <w:rPr>
          <w:rFonts w:ascii="仿宋_GB2312" w:hAnsi="仿宋_GB2312" w:eastAsia="仿宋_GB2312" w:cs="仿宋_GB2312"/>
          <w:color w:val="000000" w:themeColor="text1"/>
          <w:szCs w:val="32"/>
        </w:rPr>
      </w:pPr>
    </w:p>
    <w:p>
      <w:pPr>
        <w:ind w:firstLine="640"/>
        <w:rPr>
          <w:color w:val="000000" w:themeColor="text1"/>
          <w:kern w:val="0"/>
        </w:rPr>
      </w:pPr>
      <w:r>
        <w:rPr>
          <w:rFonts w:hint="eastAsia"/>
          <w:color w:val="000000" w:themeColor="text1"/>
          <w:kern w:val="0"/>
        </w:rPr>
        <w:t>部门预算项目支出绩效自评表（2022年度）见附件</w:t>
      </w:r>
      <w:r>
        <w:rPr>
          <w:rFonts w:hint="eastAsia"/>
          <w:color w:val="000000" w:themeColor="text1"/>
          <w:kern w:val="0"/>
          <w:lang w:val="en-US" w:eastAsia="zh-CN"/>
        </w:rPr>
        <w:t>3</w:t>
      </w:r>
      <w:r>
        <w:rPr>
          <w:rFonts w:ascii="宋体"/>
          <w:color w:val="000000" w:themeColor="text1"/>
        </w:rPr>
        <w:br w:type="page"/>
      </w:r>
      <w:bookmarkStart w:id="90" w:name="_Toc15396618"/>
    </w:p>
    <w:p>
      <w:pPr>
        <w:pStyle w:val="3"/>
        <w:ind w:firstLine="880"/>
        <w:rPr>
          <w:rFonts w:ascii="仿宋" w:hAnsi="仿宋"/>
          <w:color w:val="000000" w:themeColor="text1"/>
        </w:rPr>
      </w:pPr>
      <w:bookmarkStart w:id="91" w:name="_Toc144051070"/>
      <w:r>
        <w:rPr>
          <w:rFonts w:hint="eastAsia"/>
          <w:color w:val="000000" w:themeColor="text1"/>
        </w:rPr>
        <w:t>第五部分 附表</w:t>
      </w:r>
      <w:bookmarkEnd w:id="89"/>
      <w:bookmarkEnd w:id="90"/>
      <w:bookmarkEnd w:id="91"/>
      <w:bookmarkStart w:id="92" w:name="_Toc15396619"/>
    </w:p>
    <w:p>
      <w:pPr>
        <w:pStyle w:val="4"/>
        <w:numPr>
          <w:ilvl w:val="0"/>
          <w:numId w:val="0"/>
        </w:numPr>
        <w:spacing w:before="0" w:after="0" w:line="600" w:lineRule="exact"/>
        <w:rPr>
          <w:b w:val="0"/>
          <w:color w:val="000000" w:themeColor="text1"/>
        </w:rPr>
      </w:pPr>
      <w:bookmarkStart w:id="93" w:name="_Toc144051071"/>
      <w:r>
        <w:rPr>
          <w:rFonts w:hint="eastAsia"/>
          <w:b w:val="0"/>
          <w:color w:val="000000" w:themeColor="text1"/>
        </w:rPr>
        <w:t>一、收</w:t>
      </w:r>
      <w:r>
        <w:rPr>
          <w:rStyle w:val="25"/>
          <w:rFonts w:hint="eastAsia"/>
          <w:b w:val="0"/>
          <w:bCs w:val="0"/>
          <w:color w:val="000000" w:themeColor="text1"/>
        </w:rPr>
        <w:t>入支</w:t>
      </w:r>
      <w:r>
        <w:rPr>
          <w:rFonts w:hint="eastAsia"/>
          <w:b w:val="0"/>
          <w:color w:val="000000" w:themeColor="text1"/>
        </w:rPr>
        <w:t>出决算总表</w:t>
      </w:r>
      <w:bookmarkEnd w:id="92"/>
      <w:bookmarkEnd w:id="93"/>
    </w:p>
    <w:p>
      <w:pPr>
        <w:pStyle w:val="4"/>
        <w:numPr>
          <w:ilvl w:val="0"/>
          <w:numId w:val="0"/>
        </w:numPr>
        <w:spacing w:before="0" w:after="0" w:line="600" w:lineRule="exact"/>
        <w:rPr>
          <w:b w:val="0"/>
          <w:color w:val="000000" w:themeColor="text1"/>
        </w:rPr>
      </w:pPr>
      <w:bookmarkStart w:id="94" w:name="_Toc144051072"/>
      <w:bookmarkStart w:id="95" w:name="_Toc15396620"/>
      <w:r>
        <w:rPr>
          <w:rFonts w:hint="eastAsia"/>
          <w:b w:val="0"/>
          <w:color w:val="000000" w:themeColor="text1"/>
        </w:rPr>
        <w:t>二、收</w:t>
      </w:r>
      <w:r>
        <w:rPr>
          <w:rStyle w:val="25"/>
          <w:rFonts w:hint="eastAsia"/>
          <w:b w:val="0"/>
          <w:bCs w:val="0"/>
          <w:color w:val="000000" w:themeColor="text1"/>
        </w:rPr>
        <w:t>入决算表</w:t>
      </w:r>
      <w:bookmarkEnd w:id="94"/>
      <w:bookmarkEnd w:id="95"/>
    </w:p>
    <w:p>
      <w:pPr>
        <w:pStyle w:val="4"/>
        <w:numPr>
          <w:ilvl w:val="0"/>
          <w:numId w:val="0"/>
        </w:numPr>
        <w:spacing w:before="0" w:after="0" w:line="600" w:lineRule="exact"/>
        <w:rPr>
          <w:b w:val="0"/>
          <w:color w:val="000000" w:themeColor="text1"/>
        </w:rPr>
      </w:pPr>
      <w:bookmarkStart w:id="96" w:name="_Toc15396621"/>
      <w:bookmarkStart w:id="97" w:name="_Toc144051073"/>
      <w:r>
        <w:rPr>
          <w:rStyle w:val="25"/>
          <w:rFonts w:hint="eastAsia"/>
          <w:b w:val="0"/>
          <w:bCs w:val="0"/>
          <w:color w:val="000000" w:themeColor="text1"/>
        </w:rPr>
        <w:t>三、</w:t>
      </w:r>
      <w:r>
        <w:rPr>
          <w:rFonts w:hint="eastAsia"/>
          <w:b w:val="0"/>
          <w:color w:val="000000" w:themeColor="text1"/>
        </w:rPr>
        <w:t>支</w:t>
      </w:r>
      <w:r>
        <w:rPr>
          <w:rStyle w:val="25"/>
          <w:rFonts w:hint="eastAsia"/>
          <w:b w:val="0"/>
          <w:bCs w:val="0"/>
          <w:color w:val="000000" w:themeColor="text1"/>
        </w:rPr>
        <w:t>出决算表</w:t>
      </w:r>
      <w:bookmarkEnd w:id="96"/>
      <w:bookmarkEnd w:id="97"/>
    </w:p>
    <w:p>
      <w:pPr>
        <w:pStyle w:val="4"/>
        <w:numPr>
          <w:ilvl w:val="0"/>
          <w:numId w:val="0"/>
        </w:numPr>
        <w:spacing w:before="0" w:after="0" w:line="600" w:lineRule="exact"/>
        <w:rPr>
          <w:b w:val="0"/>
          <w:color w:val="000000" w:themeColor="text1"/>
        </w:rPr>
      </w:pPr>
      <w:bookmarkStart w:id="98" w:name="_Toc15396622"/>
      <w:bookmarkStart w:id="99" w:name="_Toc144051074"/>
      <w:r>
        <w:rPr>
          <w:rStyle w:val="25"/>
          <w:rFonts w:hint="eastAsia"/>
          <w:b w:val="0"/>
          <w:bCs w:val="0"/>
          <w:color w:val="000000" w:themeColor="text1"/>
        </w:rPr>
        <w:t>四、</w:t>
      </w:r>
      <w:r>
        <w:rPr>
          <w:rFonts w:hint="eastAsia"/>
          <w:b w:val="0"/>
          <w:color w:val="000000" w:themeColor="text1"/>
        </w:rPr>
        <w:t>财</w:t>
      </w:r>
      <w:r>
        <w:rPr>
          <w:rStyle w:val="25"/>
          <w:rFonts w:hint="eastAsia"/>
          <w:b w:val="0"/>
          <w:bCs w:val="0"/>
          <w:color w:val="000000" w:themeColor="text1"/>
        </w:rPr>
        <w:t>政拨款收入支出决算总表</w:t>
      </w:r>
      <w:bookmarkEnd w:id="98"/>
      <w:bookmarkEnd w:id="99"/>
    </w:p>
    <w:p>
      <w:pPr>
        <w:pStyle w:val="4"/>
        <w:numPr>
          <w:ilvl w:val="0"/>
          <w:numId w:val="0"/>
        </w:numPr>
        <w:spacing w:before="0" w:after="0" w:line="600" w:lineRule="exact"/>
        <w:rPr>
          <w:rStyle w:val="25"/>
          <w:b w:val="0"/>
          <w:bCs w:val="0"/>
          <w:color w:val="000000" w:themeColor="text1"/>
        </w:rPr>
      </w:pPr>
      <w:bookmarkStart w:id="100" w:name="_Toc144051075"/>
      <w:bookmarkStart w:id="101" w:name="_Toc15396623"/>
      <w:r>
        <w:rPr>
          <w:rStyle w:val="25"/>
          <w:rFonts w:hint="eastAsia"/>
          <w:b w:val="0"/>
          <w:bCs w:val="0"/>
          <w:color w:val="000000" w:themeColor="text1"/>
        </w:rPr>
        <w:t>五、</w:t>
      </w:r>
      <w:r>
        <w:rPr>
          <w:rFonts w:hint="eastAsia"/>
          <w:b w:val="0"/>
          <w:color w:val="000000" w:themeColor="text1"/>
        </w:rPr>
        <w:t>财</w:t>
      </w:r>
      <w:r>
        <w:rPr>
          <w:rStyle w:val="25"/>
          <w:rFonts w:hint="eastAsia"/>
          <w:b w:val="0"/>
          <w:bCs w:val="0"/>
          <w:color w:val="000000" w:themeColor="text1"/>
        </w:rPr>
        <w:t>政拨款支出决算明细表</w:t>
      </w:r>
      <w:bookmarkEnd w:id="100"/>
      <w:bookmarkEnd w:id="101"/>
      <w:bookmarkStart w:id="102" w:name="_Toc15396624"/>
    </w:p>
    <w:p>
      <w:pPr>
        <w:pStyle w:val="4"/>
        <w:numPr>
          <w:ilvl w:val="0"/>
          <w:numId w:val="0"/>
        </w:numPr>
        <w:spacing w:before="0" w:after="0" w:line="600" w:lineRule="exact"/>
        <w:rPr>
          <w:b w:val="0"/>
          <w:color w:val="000000" w:themeColor="text1"/>
        </w:rPr>
      </w:pPr>
      <w:bookmarkStart w:id="103" w:name="_Toc144051076"/>
      <w:r>
        <w:rPr>
          <w:rStyle w:val="25"/>
          <w:rFonts w:hint="eastAsia"/>
          <w:b w:val="0"/>
          <w:bCs w:val="0"/>
          <w:color w:val="000000" w:themeColor="text1"/>
        </w:rPr>
        <w:t>六、</w:t>
      </w:r>
      <w:r>
        <w:rPr>
          <w:rFonts w:hint="eastAsia"/>
          <w:b w:val="0"/>
          <w:color w:val="000000" w:themeColor="text1"/>
        </w:rPr>
        <w:t>一</w:t>
      </w:r>
      <w:r>
        <w:rPr>
          <w:rStyle w:val="25"/>
          <w:rFonts w:hint="eastAsia"/>
          <w:b w:val="0"/>
          <w:bCs w:val="0"/>
          <w:color w:val="000000" w:themeColor="text1"/>
        </w:rPr>
        <w:t>般公共预算财政拨款支出决算表</w:t>
      </w:r>
      <w:bookmarkEnd w:id="102"/>
      <w:bookmarkEnd w:id="103"/>
    </w:p>
    <w:p>
      <w:pPr>
        <w:pStyle w:val="4"/>
        <w:numPr>
          <w:ilvl w:val="0"/>
          <w:numId w:val="0"/>
        </w:numPr>
        <w:spacing w:before="0" w:after="0" w:line="600" w:lineRule="exact"/>
        <w:rPr>
          <w:b w:val="0"/>
          <w:color w:val="000000" w:themeColor="text1"/>
        </w:rPr>
      </w:pPr>
      <w:bookmarkStart w:id="104" w:name="_Toc144051077"/>
      <w:bookmarkStart w:id="105" w:name="_Toc15396625"/>
      <w:r>
        <w:rPr>
          <w:rStyle w:val="25"/>
          <w:rFonts w:hint="eastAsia"/>
          <w:b w:val="0"/>
          <w:bCs w:val="0"/>
          <w:color w:val="000000" w:themeColor="text1"/>
        </w:rPr>
        <w:t>七、</w:t>
      </w:r>
      <w:r>
        <w:rPr>
          <w:rFonts w:hint="eastAsia"/>
          <w:b w:val="0"/>
          <w:color w:val="000000" w:themeColor="text1"/>
        </w:rPr>
        <w:t>一</w:t>
      </w:r>
      <w:r>
        <w:rPr>
          <w:rStyle w:val="25"/>
          <w:rFonts w:hint="eastAsia"/>
          <w:b w:val="0"/>
          <w:bCs w:val="0"/>
          <w:color w:val="000000" w:themeColor="text1"/>
        </w:rPr>
        <w:t>般公共预算财政拨款支出决算明细表</w:t>
      </w:r>
      <w:bookmarkEnd w:id="104"/>
      <w:bookmarkEnd w:id="105"/>
    </w:p>
    <w:p>
      <w:pPr>
        <w:pStyle w:val="4"/>
        <w:numPr>
          <w:ilvl w:val="0"/>
          <w:numId w:val="0"/>
        </w:numPr>
        <w:spacing w:before="0" w:after="0" w:line="600" w:lineRule="exact"/>
        <w:rPr>
          <w:b w:val="0"/>
          <w:color w:val="000000" w:themeColor="text1"/>
        </w:rPr>
      </w:pPr>
      <w:bookmarkStart w:id="106" w:name="_Toc144051078"/>
      <w:bookmarkStart w:id="107" w:name="_Toc15396626"/>
      <w:r>
        <w:rPr>
          <w:rStyle w:val="25"/>
          <w:rFonts w:hint="eastAsia"/>
          <w:b w:val="0"/>
          <w:bCs w:val="0"/>
          <w:color w:val="000000" w:themeColor="text1"/>
        </w:rPr>
        <w:t>八、</w:t>
      </w:r>
      <w:r>
        <w:rPr>
          <w:rFonts w:hint="eastAsia"/>
          <w:b w:val="0"/>
          <w:color w:val="000000" w:themeColor="text1"/>
        </w:rPr>
        <w:t>一</w:t>
      </w:r>
      <w:r>
        <w:rPr>
          <w:rStyle w:val="25"/>
          <w:rFonts w:hint="eastAsia"/>
          <w:b w:val="0"/>
          <w:bCs w:val="0"/>
          <w:color w:val="000000" w:themeColor="text1"/>
        </w:rPr>
        <w:t>般公共预算财政拨款基本支出决算表</w:t>
      </w:r>
      <w:bookmarkEnd w:id="106"/>
      <w:bookmarkEnd w:id="107"/>
    </w:p>
    <w:p>
      <w:pPr>
        <w:pStyle w:val="4"/>
        <w:numPr>
          <w:ilvl w:val="0"/>
          <w:numId w:val="0"/>
        </w:numPr>
        <w:spacing w:before="0" w:after="0" w:line="600" w:lineRule="exact"/>
        <w:rPr>
          <w:b w:val="0"/>
          <w:color w:val="000000" w:themeColor="text1"/>
        </w:rPr>
      </w:pPr>
      <w:bookmarkStart w:id="108" w:name="_Toc144051079"/>
      <w:bookmarkStart w:id="109" w:name="_Toc15396627"/>
      <w:r>
        <w:rPr>
          <w:rStyle w:val="25"/>
          <w:rFonts w:hint="eastAsia"/>
          <w:b w:val="0"/>
          <w:bCs w:val="0"/>
          <w:color w:val="000000" w:themeColor="text1"/>
        </w:rPr>
        <w:t>九、</w:t>
      </w:r>
      <w:r>
        <w:rPr>
          <w:rFonts w:hint="eastAsia"/>
          <w:b w:val="0"/>
          <w:color w:val="000000" w:themeColor="text1"/>
        </w:rPr>
        <w:t>一</w:t>
      </w:r>
      <w:r>
        <w:rPr>
          <w:rStyle w:val="25"/>
          <w:rFonts w:hint="eastAsia"/>
          <w:b w:val="0"/>
          <w:bCs w:val="0"/>
          <w:color w:val="000000" w:themeColor="text1"/>
        </w:rPr>
        <w:t>般公共预算财政拨款项目支出决算表</w:t>
      </w:r>
      <w:bookmarkEnd w:id="108"/>
      <w:bookmarkEnd w:id="109"/>
    </w:p>
    <w:p>
      <w:pPr>
        <w:pStyle w:val="4"/>
        <w:numPr>
          <w:ilvl w:val="0"/>
          <w:numId w:val="0"/>
        </w:numPr>
        <w:spacing w:before="0" w:after="0" w:line="600" w:lineRule="exact"/>
        <w:rPr>
          <w:b w:val="0"/>
          <w:color w:val="000000" w:themeColor="text1"/>
        </w:rPr>
      </w:pPr>
      <w:bookmarkStart w:id="110" w:name="_Toc15396628"/>
      <w:bookmarkStart w:id="111" w:name="_Toc144051080"/>
      <w:r>
        <w:rPr>
          <w:rStyle w:val="25"/>
          <w:rFonts w:hint="eastAsia"/>
          <w:b w:val="0"/>
          <w:bCs w:val="0"/>
          <w:color w:val="000000" w:themeColor="text1"/>
        </w:rPr>
        <w:t>十、</w:t>
      </w:r>
      <w:bookmarkEnd w:id="110"/>
      <w:r>
        <w:rPr>
          <w:rFonts w:hint="eastAsia"/>
          <w:b w:val="0"/>
          <w:color w:val="000000" w:themeColor="text1"/>
        </w:rPr>
        <w:t>政</w:t>
      </w:r>
      <w:r>
        <w:rPr>
          <w:rStyle w:val="25"/>
          <w:rFonts w:hint="eastAsia"/>
          <w:b w:val="0"/>
          <w:bCs w:val="0"/>
          <w:color w:val="000000" w:themeColor="text1"/>
        </w:rPr>
        <w:t>府性基金预算财政拨款收入支出决算表（此表无数据）</w:t>
      </w:r>
      <w:bookmarkEnd w:id="111"/>
    </w:p>
    <w:p>
      <w:pPr>
        <w:pStyle w:val="4"/>
        <w:numPr>
          <w:ilvl w:val="0"/>
          <w:numId w:val="0"/>
        </w:numPr>
        <w:spacing w:before="0" w:after="0" w:line="600" w:lineRule="exact"/>
        <w:rPr>
          <w:b w:val="0"/>
          <w:color w:val="000000" w:themeColor="text1"/>
        </w:rPr>
      </w:pPr>
      <w:bookmarkStart w:id="112" w:name="_Toc15396629"/>
      <w:bookmarkStart w:id="113" w:name="_Toc144051081"/>
      <w:r>
        <w:rPr>
          <w:rStyle w:val="25"/>
          <w:rFonts w:hint="eastAsia"/>
          <w:b w:val="0"/>
          <w:bCs w:val="0"/>
          <w:color w:val="000000" w:themeColor="text1"/>
        </w:rPr>
        <w:t>十一、</w:t>
      </w:r>
      <w:bookmarkEnd w:id="112"/>
      <w:r>
        <w:rPr>
          <w:rFonts w:hint="eastAsia"/>
          <w:b w:val="0"/>
          <w:color w:val="000000" w:themeColor="text1"/>
        </w:rPr>
        <w:t>国</w:t>
      </w:r>
      <w:r>
        <w:rPr>
          <w:rStyle w:val="25"/>
          <w:rFonts w:hint="eastAsia"/>
          <w:b w:val="0"/>
          <w:bCs w:val="0"/>
          <w:color w:val="000000" w:themeColor="text1"/>
        </w:rPr>
        <w:t>有资本经营预算财政拨款收入支出决算表（此表无数据）</w:t>
      </w:r>
      <w:bookmarkEnd w:id="113"/>
    </w:p>
    <w:p>
      <w:pPr>
        <w:pStyle w:val="4"/>
        <w:numPr>
          <w:ilvl w:val="0"/>
          <w:numId w:val="0"/>
        </w:numPr>
        <w:spacing w:before="0" w:after="0" w:line="600" w:lineRule="exact"/>
        <w:rPr>
          <w:b w:val="0"/>
          <w:color w:val="000000" w:themeColor="text1"/>
        </w:rPr>
      </w:pPr>
      <w:bookmarkStart w:id="114" w:name="_Toc15396630"/>
      <w:bookmarkStart w:id="115" w:name="_Toc144051082"/>
      <w:r>
        <w:rPr>
          <w:rStyle w:val="25"/>
          <w:rFonts w:hint="eastAsia"/>
          <w:b w:val="0"/>
          <w:bCs w:val="0"/>
          <w:color w:val="000000" w:themeColor="text1"/>
        </w:rPr>
        <w:t>十二、</w:t>
      </w:r>
      <w:bookmarkEnd w:id="114"/>
      <w:r>
        <w:rPr>
          <w:rStyle w:val="25"/>
          <w:rFonts w:hint="eastAsia"/>
          <w:b w:val="0"/>
          <w:bCs w:val="0"/>
          <w:color w:val="000000" w:themeColor="text1"/>
        </w:rPr>
        <w:t>国有资本经营预算财政拨款支出决算表（此表无数据）</w:t>
      </w:r>
      <w:bookmarkEnd w:id="115"/>
    </w:p>
    <w:p>
      <w:pPr>
        <w:pStyle w:val="4"/>
        <w:numPr>
          <w:ilvl w:val="0"/>
          <w:numId w:val="0"/>
        </w:numPr>
        <w:rPr>
          <w:b w:val="0"/>
          <w:color w:val="000000" w:themeColor="text1"/>
        </w:rPr>
      </w:pPr>
      <w:bookmarkStart w:id="116" w:name="_Toc15396631"/>
      <w:bookmarkStart w:id="117" w:name="_Toc144051083"/>
      <w:r>
        <w:rPr>
          <w:rFonts w:hint="eastAsia"/>
          <w:b w:val="0"/>
          <w:color w:val="000000" w:themeColor="text1"/>
          <w:kern w:val="44"/>
        </w:rPr>
        <w:t>十三、</w:t>
      </w:r>
      <w:bookmarkEnd w:id="116"/>
      <w:r>
        <w:rPr>
          <w:rFonts w:hint="eastAsia"/>
          <w:b w:val="0"/>
          <w:color w:val="000000" w:themeColor="text1"/>
          <w:kern w:val="44"/>
        </w:rPr>
        <w:t>财政拨款“三公”经费支出决算表</w:t>
      </w:r>
      <w:bookmarkEnd w:id="117"/>
    </w:p>
    <w:sectPr>
      <w:headerReference r:id="rId5" w:type="default"/>
      <w:footerReference r:id="rId6" w:type="default"/>
      <w:pgSz w:w="11906" w:h="16838"/>
      <w:pgMar w:top="1440" w:right="1800" w:bottom="1440" w:left="1800" w:header="851" w:footer="992" w:gutter="0"/>
      <w:pgNumType w:start="1"/>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12"/>
      <w:docPartObj>
        <w:docPartGallery w:val="autotext"/>
      </w:docPartObj>
    </w:sdtPr>
    <w:sdtContent>
      <w:p>
        <w:pPr>
          <w:pStyle w:val="8"/>
          <w:ind w:firstLine="360"/>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8"/>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18A09A"/>
    <w:multiLevelType w:val="singleLevel"/>
    <w:tmpl w:val="3818A09A"/>
    <w:lvl w:ilvl="0" w:tentative="0">
      <w:start w:val="1"/>
      <w:numFmt w:val="chineseCounting"/>
      <w:pStyle w:val="4"/>
      <w:suff w:val="nothing"/>
      <w:lvlText w:val="%1、"/>
      <w:lvlJc w:val="left"/>
      <w:rPr>
        <w:rFonts w:cs="Times New Roman"/>
        <w:b w:val="0"/>
        <w:i w:val="0"/>
        <w:iCs w:val="0"/>
        <w:caps w:val="0"/>
        <w:smallCaps w:val="0"/>
        <w:strike w:val="0"/>
        <w:dstrike w:val="0"/>
        <w:outline w:val="0"/>
        <w:shadow w:val="0"/>
        <w:emboss w:val="0"/>
        <w:imprint w:val="0"/>
        <w:vanish w:val="0"/>
        <w:spacing w:val="0"/>
        <w:position w:val="0"/>
        <w:u w:val="none"/>
        <w:vertAlign w:val="baseline"/>
      </w:rPr>
    </w:lvl>
  </w:abstractNum>
  <w:abstractNum w:abstractNumId="1">
    <w:nsid w:val="48674A8E"/>
    <w:multiLevelType w:val="multilevel"/>
    <w:tmpl w:val="48674A8E"/>
    <w:lvl w:ilvl="0" w:tentative="0">
      <w:start w:val="6"/>
      <w:numFmt w:val="japaneseCounting"/>
      <w:lvlText w:val="%1、"/>
      <w:lvlJc w:val="left"/>
      <w:pPr>
        <w:ind w:left="1004" w:hanging="720"/>
      </w:pPr>
      <w:rPr>
        <w:rFonts w:hint="default"/>
        <w:b w:val="0"/>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2">
    <w:nsid w:val="65287601"/>
    <w:multiLevelType w:val="multilevel"/>
    <w:tmpl w:val="65287601"/>
    <w:lvl w:ilvl="0" w:tentative="0">
      <w:start w:val="9"/>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D145D3F"/>
    <w:multiLevelType w:val="multilevel"/>
    <w:tmpl w:val="6D145D3F"/>
    <w:lvl w:ilvl="0" w:tentative="0">
      <w:start w:val="3"/>
      <w:numFmt w:val="japaneseCounting"/>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llNzUyYjc2MDFlNDJjNzM2NGEwNGM5NmNhMTQzOWMifQ=="/>
  </w:docVars>
  <w:rsids>
    <w:rsidRoot w:val="00F1361C"/>
    <w:rsid w:val="000153BD"/>
    <w:rsid w:val="000222C6"/>
    <w:rsid w:val="0002549F"/>
    <w:rsid w:val="000365F0"/>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293"/>
    <w:rsid w:val="000D5782"/>
    <w:rsid w:val="000E6613"/>
    <w:rsid w:val="000E6D24"/>
    <w:rsid w:val="000E7119"/>
    <w:rsid w:val="000F3D30"/>
    <w:rsid w:val="00105C6B"/>
    <w:rsid w:val="00114E9B"/>
    <w:rsid w:val="00123991"/>
    <w:rsid w:val="00142216"/>
    <w:rsid w:val="00144D6A"/>
    <w:rsid w:val="0014729F"/>
    <w:rsid w:val="00157BAB"/>
    <w:rsid w:val="001654D1"/>
    <w:rsid w:val="00166E95"/>
    <w:rsid w:val="00174518"/>
    <w:rsid w:val="0018106D"/>
    <w:rsid w:val="001877A7"/>
    <w:rsid w:val="00191536"/>
    <w:rsid w:val="00191777"/>
    <w:rsid w:val="00196687"/>
    <w:rsid w:val="001B60A8"/>
    <w:rsid w:val="001C0962"/>
    <w:rsid w:val="001D7531"/>
    <w:rsid w:val="001E344F"/>
    <w:rsid w:val="001E737D"/>
    <w:rsid w:val="001F0592"/>
    <w:rsid w:val="001F7506"/>
    <w:rsid w:val="002006CD"/>
    <w:rsid w:val="00202B36"/>
    <w:rsid w:val="00204B7A"/>
    <w:rsid w:val="00204CDE"/>
    <w:rsid w:val="0021101A"/>
    <w:rsid w:val="00220536"/>
    <w:rsid w:val="0022192F"/>
    <w:rsid w:val="00235629"/>
    <w:rsid w:val="00260950"/>
    <w:rsid w:val="00260C38"/>
    <w:rsid w:val="00260C9E"/>
    <w:rsid w:val="002616C0"/>
    <w:rsid w:val="00265372"/>
    <w:rsid w:val="002662AA"/>
    <w:rsid w:val="00280496"/>
    <w:rsid w:val="00294DC9"/>
    <w:rsid w:val="00295495"/>
    <w:rsid w:val="002A31DE"/>
    <w:rsid w:val="002B2613"/>
    <w:rsid w:val="002C0D0A"/>
    <w:rsid w:val="002D6D05"/>
    <w:rsid w:val="002F1818"/>
    <w:rsid w:val="002F567B"/>
    <w:rsid w:val="003216A9"/>
    <w:rsid w:val="00335A74"/>
    <w:rsid w:val="0036561B"/>
    <w:rsid w:val="0037013F"/>
    <w:rsid w:val="00380C92"/>
    <w:rsid w:val="00392063"/>
    <w:rsid w:val="003A484F"/>
    <w:rsid w:val="003A4883"/>
    <w:rsid w:val="003A714B"/>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52C46"/>
    <w:rsid w:val="00453512"/>
    <w:rsid w:val="004569D6"/>
    <w:rsid w:val="00456ECC"/>
    <w:rsid w:val="00464B39"/>
    <w:rsid w:val="00471401"/>
    <w:rsid w:val="00473F31"/>
    <w:rsid w:val="004746D6"/>
    <w:rsid w:val="0048263A"/>
    <w:rsid w:val="00485945"/>
    <w:rsid w:val="00487E5D"/>
    <w:rsid w:val="004A711F"/>
    <w:rsid w:val="004B199D"/>
    <w:rsid w:val="004B4690"/>
    <w:rsid w:val="004E0202"/>
    <w:rsid w:val="004E0A2D"/>
    <w:rsid w:val="004E206B"/>
    <w:rsid w:val="004E6DF7"/>
    <w:rsid w:val="004F0FBD"/>
    <w:rsid w:val="00505A47"/>
    <w:rsid w:val="00512FDA"/>
    <w:rsid w:val="00520DA0"/>
    <w:rsid w:val="00547242"/>
    <w:rsid w:val="005664BB"/>
    <w:rsid w:val="00566FFA"/>
    <w:rsid w:val="0057481D"/>
    <w:rsid w:val="0058486E"/>
    <w:rsid w:val="00585B33"/>
    <w:rsid w:val="0059014D"/>
    <w:rsid w:val="00595700"/>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47EC"/>
    <w:rsid w:val="006C1937"/>
    <w:rsid w:val="006F020C"/>
    <w:rsid w:val="007127B7"/>
    <w:rsid w:val="0071798E"/>
    <w:rsid w:val="007416B6"/>
    <w:rsid w:val="00746F48"/>
    <w:rsid w:val="0075404D"/>
    <w:rsid w:val="0076182A"/>
    <w:rsid w:val="00764EBF"/>
    <w:rsid w:val="0076797B"/>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09AF"/>
    <w:rsid w:val="00951248"/>
    <w:rsid w:val="0095152F"/>
    <w:rsid w:val="00954C49"/>
    <w:rsid w:val="00955E37"/>
    <w:rsid w:val="009641D5"/>
    <w:rsid w:val="0097099F"/>
    <w:rsid w:val="00971997"/>
    <w:rsid w:val="00971FFC"/>
    <w:rsid w:val="0097446A"/>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17329"/>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1C1F"/>
    <w:rsid w:val="00A93B00"/>
    <w:rsid w:val="00A93C21"/>
    <w:rsid w:val="00AA476E"/>
    <w:rsid w:val="00AB2E5A"/>
    <w:rsid w:val="00AB64C9"/>
    <w:rsid w:val="00AC3C6A"/>
    <w:rsid w:val="00AD5620"/>
    <w:rsid w:val="00AD656B"/>
    <w:rsid w:val="00AD7C1B"/>
    <w:rsid w:val="00AE16BA"/>
    <w:rsid w:val="00AE1EBE"/>
    <w:rsid w:val="00B03C9D"/>
    <w:rsid w:val="00B060AE"/>
    <w:rsid w:val="00B10517"/>
    <w:rsid w:val="00B14E76"/>
    <w:rsid w:val="00B161B8"/>
    <w:rsid w:val="00B2048C"/>
    <w:rsid w:val="00B23BBD"/>
    <w:rsid w:val="00B310B9"/>
    <w:rsid w:val="00B35F3F"/>
    <w:rsid w:val="00B36CBB"/>
    <w:rsid w:val="00B425E0"/>
    <w:rsid w:val="00B440AA"/>
    <w:rsid w:val="00B44B70"/>
    <w:rsid w:val="00B53C56"/>
    <w:rsid w:val="00B57DAF"/>
    <w:rsid w:val="00B70044"/>
    <w:rsid w:val="00B759A3"/>
    <w:rsid w:val="00B77EA6"/>
    <w:rsid w:val="00B81598"/>
    <w:rsid w:val="00B841F1"/>
    <w:rsid w:val="00B944D6"/>
    <w:rsid w:val="00BB4DF0"/>
    <w:rsid w:val="00BC289F"/>
    <w:rsid w:val="00BC2D50"/>
    <w:rsid w:val="00BC5361"/>
    <w:rsid w:val="00BC5460"/>
    <w:rsid w:val="00BC6B50"/>
    <w:rsid w:val="00BD0E25"/>
    <w:rsid w:val="00BE2C72"/>
    <w:rsid w:val="00BF5BD6"/>
    <w:rsid w:val="00C03E31"/>
    <w:rsid w:val="00C33E72"/>
    <w:rsid w:val="00C354B2"/>
    <w:rsid w:val="00C35554"/>
    <w:rsid w:val="00C42709"/>
    <w:rsid w:val="00C533CC"/>
    <w:rsid w:val="00C566EC"/>
    <w:rsid w:val="00C5751C"/>
    <w:rsid w:val="00C61BFC"/>
    <w:rsid w:val="00C62B85"/>
    <w:rsid w:val="00C65438"/>
    <w:rsid w:val="00C7524A"/>
    <w:rsid w:val="00C87FD8"/>
    <w:rsid w:val="00C91381"/>
    <w:rsid w:val="00C91CBB"/>
    <w:rsid w:val="00CB4E70"/>
    <w:rsid w:val="00CC09B6"/>
    <w:rsid w:val="00CC27B7"/>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5258F"/>
    <w:rsid w:val="00D7035F"/>
    <w:rsid w:val="00DA634F"/>
    <w:rsid w:val="00DA65AC"/>
    <w:rsid w:val="00DB1913"/>
    <w:rsid w:val="00DC410D"/>
    <w:rsid w:val="00DC5A81"/>
    <w:rsid w:val="00DC68CA"/>
    <w:rsid w:val="00DC7CBA"/>
    <w:rsid w:val="00DD73B7"/>
    <w:rsid w:val="00DE42C9"/>
    <w:rsid w:val="00DF28BC"/>
    <w:rsid w:val="00DF34B9"/>
    <w:rsid w:val="00E01053"/>
    <w:rsid w:val="00E07361"/>
    <w:rsid w:val="00E07ACF"/>
    <w:rsid w:val="00E331A1"/>
    <w:rsid w:val="00E33202"/>
    <w:rsid w:val="00E336A9"/>
    <w:rsid w:val="00E349DE"/>
    <w:rsid w:val="00E472B1"/>
    <w:rsid w:val="00E50624"/>
    <w:rsid w:val="00E568DF"/>
    <w:rsid w:val="00E620E6"/>
    <w:rsid w:val="00E64269"/>
    <w:rsid w:val="00E769C8"/>
    <w:rsid w:val="00E82267"/>
    <w:rsid w:val="00E853CE"/>
    <w:rsid w:val="00E867B6"/>
    <w:rsid w:val="00EA010F"/>
    <w:rsid w:val="00EB085D"/>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51001"/>
    <w:rsid w:val="00F602DF"/>
    <w:rsid w:val="00F754A1"/>
    <w:rsid w:val="00F81FD9"/>
    <w:rsid w:val="00F841AA"/>
    <w:rsid w:val="00F84A94"/>
    <w:rsid w:val="00F87E96"/>
    <w:rsid w:val="00FA23E8"/>
    <w:rsid w:val="00FC5ECE"/>
    <w:rsid w:val="00FD3CC1"/>
    <w:rsid w:val="00FF1E02"/>
    <w:rsid w:val="00FF30B4"/>
    <w:rsid w:val="053A62B5"/>
    <w:rsid w:val="0A2032A3"/>
    <w:rsid w:val="0B8A37D8"/>
    <w:rsid w:val="0D4B23B2"/>
    <w:rsid w:val="10C055FF"/>
    <w:rsid w:val="118107EC"/>
    <w:rsid w:val="11DD6519"/>
    <w:rsid w:val="16BB723D"/>
    <w:rsid w:val="18015F3F"/>
    <w:rsid w:val="1BE8440E"/>
    <w:rsid w:val="1D155CEE"/>
    <w:rsid w:val="201C2BA6"/>
    <w:rsid w:val="206142D7"/>
    <w:rsid w:val="20F57F95"/>
    <w:rsid w:val="22662E9A"/>
    <w:rsid w:val="240371BF"/>
    <w:rsid w:val="25711CC6"/>
    <w:rsid w:val="25C741E6"/>
    <w:rsid w:val="27842671"/>
    <w:rsid w:val="29FD04D3"/>
    <w:rsid w:val="2ABE7A3E"/>
    <w:rsid w:val="2CA234A8"/>
    <w:rsid w:val="2EFA178C"/>
    <w:rsid w:val="30B46D73"/>
    <w:rsid w:val="319F7F4E"/>
    <w:rsid w:val="36FD18CD"/>
    <w:rsid w:val="383D272C"/>
    <w:rsid w:val="39AE70AB"/>
    <w:rsid w:val="3C0C0783"/>
    <w:rsid w:val="3F9F3A96"/>
    <w:rsid w:val="41F71DD8"/>
    <w:rsid w:val="48BF60AB"/>
    <w:rsid w:val="48F65AF1"/>
    <w:rsid w:val="493C27E9"/>
    <w:rsid w:val="496F39ED"/>
    <w:rsid w:val="49FF41D3"/>
    <w:rsid w:val="4BE068DB"/>
    <w:rsid w:val="4BF6002B"/>
    <w:rsid w:val="4ECE2238"/>
    <w:rsid w:val="50F2245D"/>
    <w:rsid w:val="51DB4B86"/>
    <w:rsid w:val="55333C3E"/>
    <w:rsid w:val="59D80FE8"/>
    <w:rsid w:val="5EE4067B"/>
    <w:rsid w:val="5FCE129C"/>
    <w:rsid w:val="627F35FC"/>
    <w:rsid w:val="64CA39A1"/>
    <w:rsid w:val="67631EC7"/>
    <w:rsid w:val="69630ADE"/>
    <w:rsid w:val="6C4A05C8"/>
    <w:rsid w:val="6D3B1A89"/>
    <w:rsid w:val="71BF4EC2"/>
    <w:rsid w:val="72734D90"/>
    <w:rsid w:val="7412278C"/>
    <w:rsid w:val="79E7B28D"/>
    <w:rsid w:val="7BD7220B"/>
    <w:rsid w:val="7F9F20EE"/>
    <w:rsid w:val="9E3A10E2"/>
    <w:rsid w:val="F2E1F9D4"/>
    <w:rsid w:val="F788081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 w:cs="Times New Roman"/>
      <w:kern w:val="2"/>
      <w:sz w:val="32"/>
      <w:szCs w:val="24"/>
      <w:lang w:val="en-US" w:eastAsia="zh-CN" w:bidi="ar-SA"/>
    </w:rPr>
  </w:style>
  <w:style w:type="paragraph" w:styleId="3">
    <w:name w:val="heading 1"/>
    <w:basedOn w:val="1"/>
    <w:next w:val="1"/>
    <w:link w:val="24"/>
    <w:qFormat/>
    <w:uiPriority w:val="9"/>
    <w:pPr>
      <w:keepNext/>
      <w:keepLines/>
      <w:jc w:val="center"/>
      <w:outlineLvl w:val="0"/>
    </w:pPr>
    <w:rPr>
      <w:rFonts w:ascii="黑体" w:hAnsi="黑体" w:eastAsia="黑体"/>
      <w:bCs/>
      <w:kern w:val="44"/>
      <w:sz w:val="44"/>
      <w:szCs w:val="44"/>
    </w:rPr>
  </w:style>
  <w:style w:type="paragraph" w:styleId="4">
    <w:name w:val="heading 2"/>
    <w:basedOn w:val="1"/>
    <w:next w:val="1"/>
    <w:link w:val="25"/>
    <w:unhideWhenUsed/>
    <w:qFormat/>
    <w:uiPriority w:val="9"/>
    <w:pPr>
      <w:keepNext/>
      <w:keepLines/>
      <w:numPr>
        <w:ilvl w:val="0"/>
        <w:numId w:val="1"/>
      </w:numPr>
      <w:spacing w:before="260" w:after="260" w:line="240" w:lineRule="atLeast"/>
      <w:ind w:firstLine="0" w:firstLineChars="0"/>
      <w:outlineLvl w:val="1"/>
    </w:pPr>
    <w:rPr>
      <w:rFonts w:ascii="黑体" w:hAnsi="黑体" w:eastAsia="黑体" w:cstheme="majorBidi"/>
      <w:bCs/>
      <w:szCs w:val="32"/>
    </w:rPr>
  </w:style>
  <w:style w:type="paragraph" w:styleId="5">
    <w:name w:val="heading 3"/>
    <w:basedOn w:val="1"/>
    <w:next w:val="1"/>
    <w:link w:val="28"/>
    <w:unhideWhenUsed/>
    <w:qFormat/>
    <w:uiPriority w:val="9"/>
    <w:pPr>
      <w:keepNext/>
      <w:keepLines/>
      <w:spacing w:before="260" w:after="260" w:line="416" w:lineRule="auto"/>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pPr>
  </w:style>
  <w:style w:type="character" w:customStyle="1" w:styleId="24">
    <w:name w:val="标题 1 Char"/>
    <w:basedOn w:val="13"/>
    <w:link w:val="3"/>
    <w:qFormat/>
    <w:uiPriority w:val="9"/>
    <w:rPr>
      <w:rFonts w:ascii="黑体" w:hAnsi="黑体" w:eastAsia="黑体" w:cs="Times New Roman"/>
      <w:bCs/>
      <w:kern w:val="44"/>
      <w:sz w:val="44"/>
      <w:szCs w:val="44"/>
    </w:rPr>
  </w:style>
  <w:style w:type="character" w:customStyle="1" w:styleId="25">
    <w:name w:val="标题 2 Char"/>
    <w:basedOn w:val="13"/>
    <w:link w:val="4"/>
    <w:qFormat/>
    <w:uiPriority w:val="9"/>
    <w:rPr>
      <w:rFonts w:ascii="黑体" w:hAnsi="黑体" w:eastAsia="黑体" w:cstheme="majorBidi"/>
      <w:bCs/>
      <w:kern w:val="2"/>
      <w:sz w:val="32"/>
      <w:szCs w:val="32"/>
    </w:rPr>
  </w:style>
  <w:style w:type="paragraph" w:customStyle="1" w:styleId="26">
    <w:name w:val="TOC 标题1"/>
    <w:basedOn w:val="3"/>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Heading"/>
    <w:basedOn w:val="3"/>
    <w:next w:val="1"/>
    <w:unhideWhenUsed/>
    <w:qFormat/>
    <w:uiPriority w:val="39"/>
    <w:pPr>
      <w:widowControl/>
      <w:spacing w:before="480" w:line="276" w:lineRule="auto"/>
      <w:ind w:firstLine="0" w:firstLineChars="0"/>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numbering" Target="numbering.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AC63-31BE-4152-8C5E-D104F296DA8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17</Pages>
  <Words>4102</Words>
  <Characters>4485</Characters>
  <Lines>20</Lines>
  <Paragraphs>13</Paragraphs>
  <TotalTime>8</TotalTime>
  <ScaleCrop>false</ScaleCrop>
  <LinksUpToDate>false</LinksUpToDate>
  <CharactersWithSpaces>4592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堂堂</cp:lastModifiedBy>
  <cp:lastPrinted>2023-07-31T02:35:00Z</cp:lastPrinted>
  <dcterms:modified xsi:type="dcterms:W3CDTF">2023-09-11T04:44:50Z</dcterms:modified>
  <dc:title>四川省***</dc:title>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96C19C8D34A84864B792B885B883F2EB_12</vt:lpwstr>
  </property>
</Properties>
</file>