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1B" w:rsidRDefault="00855B1B">
      <w:pPr>
        <w:spacing w:line="600" w:lineRule="exact"/>
        <w:jc w:val="center"/>
        <w:outlineLvl w:val="0"/>
        <w:rPr>
          <w:rFonts w:ascii="方正小标宋简体" w:eastAsia="方正小标宋简体" w:hAnsi="宋体"/>
          <w:sz w:val="72"/>
          <w:szCs w:val="72"/>
        </w:rPr>
      </w:pPr>
      <w:bookmarkStart w:id="0" w:name="_Toc15377193"/>
      <w:bookmarkStart w:id="1" w:name="_Toc15396597"/>
      <w:bookmarkStart w:id="2" w:name="_Toc15378441"/>
      <w:bookmarkStart w:id="3" w:name="_Toc15377425"/>
      <w:bookmarkStart w:id="4" w:name="_Toc15396475"/>
      <w:bookmarkStart w:id="5" w:name="_Toc15306267"/>
    </w:p>
    <w:p w:rsidR="00855B1B" w:rsidRDefault="00855B1B">
      <w:pPr>
        <w:spacing w:line="600" w:lineRule="exact"/>
        <w:jc w:val="center"/>
        <w:outlineLvl w:val="0"/>
        <w:rPr>
          <w:rFonts w:ascii="方正小标宋简体" w:eastAsia="方正小标宋简体" w:hAnsi="宋体"/>
          <w:sz w:val="72"/>
          <w:szCs w:val="72"/>
        </w:rPr>
      </w:pPr>
    </w:p>
    <w:p w:rsidR="00855B1B" w:rsidRDefault="00855B1B">
      <w:pPr>
        <w:spacing w:line="600" w:lineRule="exact"/>
        <w:jc w:val="center"/>
        <w:outlineLvl w:val="0"/>
        <w:rPr>
          <w:rFonts w:ascii="方正小标宋简体" w:eastAsia="方正小标宋简体" w:hAnsi="宋体"/>
          <w:sz w:val="72"/>
          <w:szCs w:val="72"/>
        </w:rPr>
      </w:pPr>
    </w:p>
    <w:p w:rsidR="00855B1B" w:rsidRDefault="004728E5">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2022年度</w:t>
      </w:r>
      <w:bookmarkEnd w:id="0"/>
      <w:bookmarkEnd w:id="1"/>
      <w:bookmarkEnd w:id="2"/>
      <w:bookmarkEnd w:id="3"/>
      <w:bookmarkEnd w:id="4"/>
    </w:p>
    <w:p w:rsidR="00855B1B" w:rsidRDefault="004728E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77194"/>
      <w:bookmarkStart w:id="8" w:name="_Toc15306268"/>
      <w:bookmarkStart w:id="9" w:name="_Toc15396476"/>
      <w:bookmarkStart w:id="10" w:name="_Toc15378442"/>
      <w:bookmarkStart w:id="11" w:name="_Toc15396598"/>
      <w:bookmarkEnd w:id="5"/>
      <w:r>
        <w:rPr>
          <w:rFonts w:ascii="方正小标宋简体" w:eastAsia="方正小标宋简体" w:hAnsi="方正小标宋简体" w:cs="方正小标宋简体" w:hint="eastAsia"/>
          <w:sz w:val="72"/>
          <w:szCs w:val="72"/>
        </w:rPr>
        <w:t>攀枝花市第三高级中学校单位</w:t>
      </w:r>
      <w:bookmarkStart w:id="12" w:name="_GoBack"/>
      <w:bookmarkEnd w:id="12"/>
      <w:r>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rsidR="00855B1B" w:rsidRDefault="004728E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855B1B" w:rsidRDefault="00855B1B">
      <w:pPr>
        <w:widowControl/>
        <w:jc w:val="center"/>
        <w:rPr>
          <w:rFonts w:ascii="黑体" w:eastAsia="黑体" w:hAnsi="黑体" w:cstheme="minorBidi"/>
          <w:sz w:val="28"/>
          <w:szCs w:val="28"/>
        </w:rPr>
      </w:pPr>
    </w:p>
    <w:p w:rsidR="00BD3663" w:rsidRDefault="00BD3663" w:rsidP="00BD3663">
      <w:pPr>
        <w:pStyle w:val="10"/>
      </w:pPr>
      <w:r>
        <w:rPr>
          <w:rFonts w:hint="eastAsia"/>
        </w:rPr>
        <w:t>公开时间：2023年9月</w:t>
      </w:r>
      <w:r w:rsidR="00745F1D">
        <w:rPr>
          <w:rFonts w:hint="eastAsia"/>
        </w:rPr>
        <w:t>1</w:t>
      </w:r>
      <w:r w:rsidR="00543983">
        <w:rPr>
          <w:rFonts w:hint="eastAsia"/>
        </w:rPr>
        <w:t>5</w:t>
      </w:r>
      <w:r>
        <w:rPr>
          <w:rFonts w:hint="eastAsia"/>
        </w:rPr>
        <w:t>日</w:t>
      </w:r>
    </w:p>
    <w:p w:rsidR="00855B1B" w:rsidRPr="00BD3663" w:rsidRDefault="00855B1B"/>
    <w:p w:rsidR="00855B1B" w:rsidRDefault="004728E5">
      <w:pPr>
        <w:pStyle w:val="10"/>
        <w:adjustRightInd w:val="0"/>
        <w:snapToGrid w:val="0"/>
        <w:spacing w:before="0" w:line="440" w:lineRule="exact"/>
        <w:jc w:val="left"/>
        <w:rPr>
          <w:rFonts w:cstheme="minorBidi"/>
          <w:sz w:val="24"/>
          <w:szCs w:val="24"/>
        </w:rPr>
      </w:pPr>
      <w:r>
        <w:rPr>
          <w:rFonts w:hint="eastAsia"/>
          <w:sz w:val="24"/>
        </w:rPr>
        <w:t>第一部分</w:t>
      </w:r>
      <w:r w:rsidR="00CF7B7A">
        <w:rPr>
          <w:rFonts w:hint="eastAsia"/>
          <w:sz w:val="24"/>
        </w:rPr>
        <w:t>单位</w:t>
      </w:r>
      <w:r>
        <w:rPr>
          <w:rFonts w:hint="eastAsia"/>
          <w:sz w:val="24"/>
        </w:rPr>
        <w:t>概况</w:t>
      </w:r>
      <w:r>
        <w:rPr>
          <w:rFonts w:cstheme="minorBidi"/>
          <w:sz w:val="24"/>
          <w:szCs w:val="24"/>
        </w:rPr>
        <w:tab/>
      </w:r>
      <w:r>
        <w:rPr>
          <w:rFonts w:cstheme="minorBidi" w:hint="eastAsia"/>
          <w:sz w:val="24"/>
          <w:szCs w:val="24"/>
        </w:rPr>
        <w:t>4</w:t>
      </w:r>
    </w:p>
    <w:p w:rsidR="00855B1B" w:rsidRDefault="004728E5">
      <w:pPr>
        <w:pStyle w:val="20"/>
        <w:adjustRightInd w:val="0"/>
        <w:snapToGrid w:val="0"/>
        <w:spacing w:line="440" w:lineRule="exact"/>
        <w:jc w:val="left"/>
        <w:rPr>
          <w:rFonts w:ascii="仿宋" w:eastAsia="仿宋" w:hAnsi="仿宋"/>
          <w:sz w:val="24"/>
        </w:rPr>
      </w:pPr>
      <w:r>
        <w:rPr>
          <w:rFonts w:hint="eastAsia"/>
          <w:sz w:val="24"/>
        </w:rPr>
        <w:t>一、部门职责</w:t>
      </w:r>
      <w:r>
        <w:rPr>
          <w:rFonts w:cstheme="minorBidi"/>
          <w:sz w:val="24"/>
        </w:rPr>
        <w:tab/>
      </w:r>
      <w:r>
        <w:rPr>
          <w:rFonts w:cstheme="minorBidi" w:hint="eastAsia"/>
          <w:sz w:val="24"/>
        </w:rPr>
        <w:t>4</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二、机构设置</w:t>
      </w:r>
      <w:r>
        <w:rPr>
          <w:rFonts w:cstheme="minorBidi"/>
          <w:sz w:val="24"/>
        </w:rPr>
        <w:tab/>
      </w:r>
      <w:r>
        <w:rPr>
          <w:rFonts w:cstheme="minorBidi" w:hint="eastAsia"/>
          <w:sz w:val="24"/>
        </w:rPr>
        <w:t>4</w:t>
      </w:r>
    </w:p>
    <w:p w:rsidR="00855B1B" w:rsidRDefault="004728E5">
      <w:pPr>
        <w:pStyle w:val="10"/>
        <w:adjustRightInd w:val="0"/>
        <w:snapToGrid w:val="0"/>
        <w:spacing w:before="0" w:line="440" w:lineRule="exact"/>
        <w:jc w:val="left"/>
        <w:rPr>
          <w:rFonts w:cstheme="minorBidi"/>
          <w:sz w:val="24"/>
          <w:szCs w:val="24"/>
        </w:rPr>
      </w:pPr>
      <w:r>
        <w:rPr>
          <w:rFonts w:hint="eastAsia"/>
          <w:sz w:val="24"/>
        </w:rPr>
        <w:t>第二部分 2022年度部门决算情况说明</w:t>
      </w:r>
      <w:r>
        <w:rPr>
          <w:rFonts w:cstheme="minorBidi"/>
          <w:sz w:val="24"/>
          <w:szCs w:val="24"/>
        </w:rPr>
        <w:tab/>
      </w:r>
      <w:r>
        <w:rPr>
          <w:rFonts w:cstheme="minorBidi" w:hint="eastAsia"/>
          <w:sz w:val="24"/>
          <w:szCs w:val="24"/>
        </w:rPr>
        <w:t>5-15</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cstheme="minorBidi"/>
          <w:sz w:val="24"/>
        </w:rPr>
        <w:tab/>
      </w:r>
      <w:r>
        <w:rPr>
          <w:rFonts w:cstheme="minorBidi" w:hint="eastAsia"/>
          <w:sz w:val="24"/>
        </w:rPr>
        <w:t>5</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cstheme="minorBidi"/>
          <w:sz w:val="24"/>
        </w:rPr>
        <w:tab/>
      </w:r>
      <w:r>
        <w:rPr>
          <w:rFonts w:cstheme="minorBidi" w:hint="eastAsia"/>
          <w:sz w:val="24"/>
        </w:rPr>
        <w:t>5-6</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cstheme="minorBidi"/>
          <w:sz w:val="24"/>
        </w:rPr>
        <w:tab/>
      </w:r>
      <w:r>
        <w:rPr>
          <w:rFonts w:cstheme="minorBidi" w:hint="eastAsia"/>
          <w:sz w:val="24"/>
        </w:rPr>
        <w:t>6</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cstheme="minorBidi"/>
          <w:sz w:val="24"/>
        </w:rPr>
        <w:tab/>
      </w:r>
      <w:r>
        <w:rPr>
          <w:rFonts w:cstheme="minorBidi" w:hint="eastAsia"/>
          <w:sz w:val="24"/>
        </w:rPr>
        <w:t>6-7</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cstheme="minorBidi"/>
          <w:sz w:val="24"/>
        </w:rPr>
        <w:tab/>
      </w:r>
      <w:r>
        <w:rPr>
          <w:rFonts w:cstheme="minorBidi" w:hint="eastAsia"/>
          <w:sz w:val="24"/>
        </w:rPr>
        <w:t>8-11</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cstheme="minorBidi"/>
          <w:sz w:val="24"/>
        </w:rPr>
        <w:tab/>
      </w:r>
      <w:r>
        <w:rPr>
          <w:rFonts w:cstheme="minorBidi" w:hint="eastAsia"/>
          <w:sz w:val="24"/>
        </w:rPr>
        <w:t>11-12</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七、财政拨款“三公”经费支出决算情况说明</w:t>
      </w:r>
      <w:r>
        <w:rPr>
          <w:rFonts w:cstheme="minorBidi"/>
          <w:sz w:val="24"/>
        </w:rPr>
        <w:tab/>
      </w:r>
      <w:r>
        <w:rPr>
          <w:rFonts w:cstheme="minorBidi" w:hint="eastAsia"/>
          <w:sz w:val="24"/>
        </w:rPr>
        <w:t>12-14</w:t>
      </w:r>
    </w:p>
    <w:p w:rsidR="00855B1B" w:rsidRDefault="004728E5">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cstheme="minorBidi"/>
          <w:sz w:val="24"/>
        </w:rPr>
        <w:tab/>
      </w:r>
      <w:r>
        <w:rPr>
          <w:rFonts w:cstheme="minorBidi" w:hint="eastAsia"/>
          <w:sz w:val="24"/>
        </w:rPr>
        <w:t>14</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Pr>
          <w:rFonts w:cstheme="minorBidi"/>
          <w:sz w:val="24"/>
        </w:rPr>
        <w:tab/>
      </w:r>
      <w:r>
        <w:rPr>
          <w:rFonts w:cstheme="minorBidi" w:hint="eastAsia"/>
          <w:sz w:val="24"/>
        </w:rPr>
        <w:t>14</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Style w:val="aa"/>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Pr>
          <w:rFonts w:cstheme="minorBidi"/>
          <w:sz w:val="24"/>
        </w:rPr>
        <w:tab/>
      </w:r>
      <w:r>
        <w:rPr>
          <w:rFonts w:cstheme="minorBidi" w:hint="eastAsia"/>
          <w:sz w:val="24"/>
        </w:rPr>
        <w:t>14-15</w:t>
      </w:r>
    </w:p>
    <w:p w:rsidR="00855B1B" w:rsidRDefault="004728E5">
      <w:pPr>
        <w:pStyle w:val="10"/>
        <w:adjustRightInd w:val="0"/>
        <w:snapToGrid w:val="0"/>
        <w:spacing w:before="0" w:line="440" w:lineRule="exact"/>
        <w:jc w:val="left"/>
        <w:rPr>
          <w:rFonts w:cstheme="minorBidi"/>
          <w:sz w:val="24"/>
          <w:szCs w:val="24"/>
        </w:rPr>
      </w:pPr>
      <w:r>
        <w:rPr>
          <w:rFonts w:hint="eastAsia"/>
          <w:sz w:val="24"/>
        </w:rPr>
        <w:t>第三部分名词解释</w:t>
      </w:r>
      <w:r>
        <w:rPr>
          <w:rFonts w:cstheme="minorBidi"/>
          <w:sz w:val="24"/>
          <w:szCs w:val="24"/>
        </w:rPr>
        <w:tab/>
      </w:r>
      <w:r>
        <w:rPr>
          <w:rFonts w:cstheme="minorBidi" w:hint="eastAsia"/>
          <w:sz w:val="24"/>
          <w:szCs w:val="24"/>
        </w:rPr>
        <w:t>16-18</w:t>
      </w:r>
    </w:p>
    <w:p w:rsidR="00855B1B" w:rsidRDefault="004728E5">
      <w:pPr>
        <w:pStyle w:val="10"/>
        <w:adjustRightInd w:val="0"/>
        <w:snapToGrid w:val="0"/>
        <w:spacing w:before="0" w:line="440" w:lineRule="exact"/>
        <w:jc w:val="left"/>
        <w:rPr>
          <w:rFonts w:cstheme="minorBidi"/>
          <w:sz w:val="24"/>
          <w:szCs w:val="24"/>
        </w:rPr>
      </w:pPr>
      <w:r>
        <w:rPr>
          <w:rFonts w:hint="eastAsia"/>
          <w:sz w:val="24"/>
        </w:rPr>
        <w:t>第四部分附件</w:t>
      </w:r>
      <w:r>
        <w:rPr>
          <w:rFonts w:cstheme="minorBidi"/>
          <w:sz w:val="24"/>
          <w:szCs w:val="24"/>
        </w:rPr>
        <w:tab/>
      </w:r>
      <w:r w:rsidR="00A75F16">
        <w:rPr>
          <w:rFonts w:cstheme="minorBidi" w:hint="eastAsia"/>
          <w:sz w:val="24"/>
          <w:szCs w:val="24"/>
        </w:rPr>
        <w:t>19</w:t>
      </w:r>
    </w:p>
    <w:p w:rsidR="00855B1B" w:rsidRDefault="004728E5">
      <w:pPr>
        <w:pStyle w:val="10"/>
        <w:adjustRightInd w:val="0"/>
        <w:snapToGrid w:val="0"/>
        <w:spacing w:before="0" w:line="440" w:lineRule="exact"/>
        <w:jc w:val="left"/>
        <w:rPr>
          <w:rFonts w:cstheme="minorBidi"/>
          <w:color w:val="000000" w:themeColor="text1"/>
          <w:sz w:val="24"/>
          <w:szCs w:val="24"/>
        </w:rPr>
      </w:pPr>
      <w:r>
        <w:rPr>
          <w:rFonts w:hint="eastAsia"/>
          <w:sz w:val="24"/>
        </w:rPr>
        <w:t>第五部分附表</w:t>
      </w:r>
      <w:r>
        <w:rPr>
          <w:rFonts w:cstheme="minorBidi"/>
          <w:sz w:val="24"/>
          <w:szCs w:val="24"/>
        </w:rPr>
        <w:tab/>
      </w:r>
      <w:r w:rsidR="00A75F16">
        <w:rPr>
          <w:rFonts w:cstheme="minorBidi" w:hint="eastAsia"/>
          <w:color w:val="000000" w:themeColor="text1"/>
          <w:sz w:val="24"/>
          <w:szCs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一、收入支出决算总表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二、收入决算表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三、支出决算表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四、财政拨款收入支出决算总表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五、财政拨款支出决算明细表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六、一般公共预算财政拨款支出决算表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七、一般公共预算财政拨款支出决算明细表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八、一般公共预算财政拨款基本支出决算明细表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九、一般公共预算财政拨款项目支出决算表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lastRenderedPageBreak/>
        <w:t>十、政府性基金预算财政拨款收入支出决算表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十一、国有资本经营预算财政拨款收入支出决算表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十二、国有资本经营预算财政拨款支出决算表</w:t>
      </w:r>
      <w:r>
        <w:rPr>
          <w:rFonts w:cstheme="minorBidi"/>
          <w:sz w:val="24"/>
        </w:rPr>
        <w:tab/>
      </w:r>
      <w:r w:rsidR="00A75F16">
        <w:rPr>
          <w:rFonts w:cstheme="minorBidi" w:hint="eastAsia"/>
          <w:sz w:val="24"/>
        </w:rPr>
        <w:t>20</w:t>
      </w:r>
    </w:p>
    <w:p w:rsidR="00855B1B" w:rsidRDefault="004728E5">
      <w:pPr>
        <w:pStyle w:val="20"/>
        <w:adjustRightInd w:val="0"/>
        <w:snapToGrid w:val="0"/>
        <w:spacing w:line="440" w:lineRule="exact"/>
        <w:ind w:leftChars="0"/>
        <w:jc w:val="left"/>
        <w:rPr>
          <w:rFonts w:asciiTheme="minorEastAsia" w:eastAsiaTheme="minorEastAsia" w:hAnsiTheme="minorEastAsia" w:cstheme="minorEastAsia"/>
          <w:sz w:val="24"/>
        </w:rPr>
      </w:pPr>
      <w:r>
        <w:rPr>
          <w:rFonts w:hint="eastAsia"/>
          <w:sz w:val="24"/>
        </w:rPr>
        <w:t>十三、财政拨款“三公”经费支出决算表</w:t>
      </w:r>
      <w:r>
        <w:rPr>
          <w:rFonts w:cstheme="minorBidi"/>
          <w:sz w:val="24"/>
        </w:rPr>
        <w:tab/>
      </w:r>
      <w:r w:rsidR="00A75F16">
        <w:rPr>
          <w:rFonts w:cstheme="minorBidi" w:hint="eastAsia"/>
          <w:sz w:val="24"/>
        </w:rPr>
        <w:t>20</w:t>
      </w:r>
    </w:p>
    <w:p w:rsidR="00855B1B" w:rsidRDefault="004728E5">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855B1B" w:rsidRDefault="004728E5">
      <w:pPr>
        <w:pStyle w:val="1"/>
        <w:jc w:val="center"/>
        <w:rPr>
          <w:rStyle w:val="1Char"/>
          <w:rFonts w:ascii="黑体" w:eastAsia="黑体" w:hAnsi="黑体"/>
          <w:b/>
        </w:rPr>
      </w:pPr>
      <w:r>
        <w:rPr>
          <w:rFonts w:ascii="黑体" w:eastAsia="黑体" w:hAnsi="黑体" w:hint="eastAsia"/>
          <w:b w:val="0"/>
        </w:rPr>
        <w:lastRenderedPageBreak/>
        <w:t xml:space="preserve">第一部分 </w:t>
      </w:r>
      <w:r w:rsidR="00CF7B7A">
        <w:rPr>
          <w:rStyle w:val="1Char"/>
          <w:rFonts w:ascii="黑体" w:eastAsia="黑体" w:hAnsi="黑体" w:hint="eastAsia"/>
        </w:rPr>
        <w:t>单位</w:t>
      </w:r>
      <w:r>
        <w:rPr>
          <w:rStyle w:val="1Char"/>
          <w:rFonts w:ascii="黑体" w:eastAsia="黑体" w:hAnsi="黑体" w:hint="eastAsia"/>
        </w:rPr>
        <w:t>概况</w:t>
      </w:r>
      <w:bookmarkEnd w:id="13"/>
      <w:bookmarkEnd w:id="14"/>
    </w:p>
    <w:p w:rsidR="00855B1B" w:rsidRDefault="00855B1B">
      <w:pPr>
        <w:widowControl/>
        <w:jc w:val="left"/>
        <w:rPr>
          <w:rFonts w:ascii="黑体" w:eastAsia="黑体"/>
          <w:sz w:val="32"/>
          <w:szCs w:val="32"/>
        </w:rPr>
      </w:pPr>
    </w:p>
    <w:p w:rsidR="00855B1B" w:rsidRDefault="00CF7B7A">
      <w:pPr>
        <w:pStyle w:val="2"/>
        <w:numPr>
          <w:ilvl w:val="0"/>
          <w:numId w:val="1"/>
        </w:numPr>
        <w:rPr>
          <w:rFonts w:ascii="黑体" w:eastAsia="黑体" w:hAnsi="黑体"/>
          <w:b w:val="0"/>
        </w:rPr>
      </w:pPr>
      <w:r>
        <w:rPr>
          <w:rFonts w:ascii="黑体" w:eastAsia="黑体" w:hAnsi="黑体" w:hint="eastAsia"/>
          <w:b w:val="0"/>
        </w:rPr>
        <w:t>单位</w:t>
      </w:r>
      <w:r w:rsidR="004728E5">
        <w:rPr>
          <w:rFonts w:ascii="黑体" w:eastAsia="黑体" w:hAnsi="黑体" w:hint="eastAsia"/>
          <w:b w:val="0"/>
        </w:rPr>
        <w:t>职责</w:t>
      </w:r>
    </w:p>
    <w:p w:rsidR="00855B1B" w:rsidRPr="00CF7B7A" w:rsidRDefault="004728E5" w:rsidP="00CF7B7A">
      <w:pPr>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 xml:space="preserve">   </w:t>
      </w:r>
      <w:r w:rsidR="00F91328">
        <w:rPr>
          <w:rFonts w:ascii="方正仿宋_GB2312" w:eastAsia="方正仿宋_GB2312" w:hAnsi="方正仿宋_GB2312" w:cs="方正仿宋_GB2312" w:hint="eastAsia"/>
          <w:color w:val="000000"/>
          <w:kern w:val="0"/>
          <w:sz w:val="33"/>
          <w:szCs w:val="33"/>
        </w:rPr>
        <w:t xml:space="preserve"> </w:t>
      </w:r>
      <w:r>
        <w:rPr>
          <w:rFonts w:ascii="方正仿宋_GB2312" w:eastAsia="方正仿宋_GB2312" w:hAnsi="方正仿宋_GB2312" w:cs="方正仿宋_GB2312" w:hint="eastAsia"/>
          <w:color w:val="000000"/>
          <w:kern w:val="0"/>
          <w:sz w:val="33"/>
          <w:szCs w:val="33"/>
        </w:rPr>
        <w:t>市三中为市教育和体育局直属高中，从事高中学历教育。学校始建于1978年，1982年学校被评为四川省首批办好的省重点中学之一，2002年学校被评为四川省国家级示范性高中之一，2013年学校被确认为四川省一级示范性普通高中。</w:t>
      </w:r>
    </w:p>
    <w:p w:rsidR="00855B1B" w:rsidRDefault="004728E5">
      <w:pPr>
        <w:pStyle w:val="2"/>
        <w:rPr>
          <w:rStyle w:val="2Char"/>
        </w:rPr>
      </w:pPr>
      <w:bookmarkStart w:id="15" w:name="_Toc15377200"/>
      <w:bookmarkStart w:id="16" w:name="_Toc15396601"/>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15"/>
      <w:bookmarkEnd w:id="16"/>
    </w:p>
    <w:p w:rsidR="00855B1B" w:rsidRDefault="004728E5">
      <w:pPr>
        <w:ind w:firstLineChars="250" w:firstLine="800"/>
        <w:rPr>
          <w:rFonts w:ascii="仿宋" w:eastAsia="仿宋" w:hAnsi="仿宋"/>
          <w:sz w:val="32"/>
          <w:szCs w:val="32"/>
        </w:rPr>
      </w:pPr>
      <w:r>
        <w:rPr>
          <w:rFonts w:ascii="仿宋" w:eastAsia="仿宋" w:hAnsi="仿宋" w:hint="eastAsia"/>
          <w:sz w:val="32"/>
          <w:szCs w:val="32"/>
        </w:rPr>
        <w:t>攀枝花市第三高级中学校内设15个内设机构，其中正科级干部职数15人，副科级干部职数21人。</w:t>
      </w:r>
    </w:p>
    <w:p w:rsidR="00CF7B7A" w:rsidRDefault="00CF7B7A" w:rsidP="00CF7B7A">
      <w:pPr>
        <w:pStyle w:val="a0"/>
        <w:spacing w:before="93"/>
        <w:rPr>
          <w:rFonts w:ascii="仿宋" w:eastAsia="仿宋" w:hAnsi="仿宋"/>
          <w:kern w:val="2"/>
          <w:sz w:val="32"/>
          <w:szCs w:val="32"/>
        </w:rPr>
      </w:pPr>
      <w:r>
        <w:rPr>
          <w:rFonts w:hint="eastAsia"/>
        </w:rPr>
        <w:t xml:space="preserve">     </w:t>
      </w:r>
      <w:r w:rsidRPr="00CF7B7A">
        <w:rPr>
          <w:rFonts w:ascii="仿宋" w:eastAsia="仿宋" w:hAnsi="仿宋" w:hint="eastAsia"/>
          <w:kern w:val="2"/>
          <w:sz w:val="32"/>
          <w:szCs w:val="32"/>
        </w:rPr>
        <w:t>学校包含学园路（东区学园路 1 号）和钒钛高新区（仁和区紫荆花路 46 号）两个校区，占地面积 14.67 万平方米，建筑面积 5.9 万平方米。现有 75 个教学班，学生 3700 余名，教职工 334 人，其中正高级教师 5 人，第四类高层次人才 7 人、第五类高层次人才 5 人</w:t>
      </w:r>
      <w:r>
        <w:rPr>
          <w:rFonts w:ascii="仿宋" w:eastAsia="仿宋" w:hAnsi="仿宋" w:hint="eastAsia"/>
          <w:kern w:val="2"/>
          <w:sz w:val="32"/>
          <w:szCs w:val="32"/>
        </w:rPr>
        <w:t>，</w:t>
      </w:r>
      <w:r w:rsidRPr="00CF7B7A">
        <w:rPr>
          <w:rFonts w:ascii="仿宋" w:eastAsia="仿宋" w:hAnsi="仿宋" w:hint="eastAsia"/>
          <w:kern w:val="2"/>
          <w:sz w:val="32"/>
          <w:szCs w:val="32"/>
        </w:rPr>
        <w:t>副高职称以上教职工 138 人，2022-2024 年县级以上骨干教师 64 人</w:t>
      </w:r>
      <w:r w:rsidR="00ED186B">
        <w:rPr>
          <w:rFonts w:ascii="仿宋" w:eastAsia="仿宋" w:hAnsi="仿宋" w:hint="eastAsia"/>
          <w:sz w:val="32"/>
          <w:szCs w:val="32"/>
        </w:rPr>
        <w:t>。</w:t>
      </w:r>
    </w:p>
    <w:p w:rsidR="00CF7B7A" w:rsidRPr="00CF7B7A" w:rsidRDefault="00CF7B7A" w:rsidP="00CF7B7A">
      <w:pPr>
        <w:pStyle w:val="a0"/>
        <w:spacing w:before="93"/>
        <w:rPr>
          <w:rFonts w:ascii="仿宋" w:eastAsia="仿宋" w:hAnsi="仿宋"/>
          <w:kern w:val="2"/>
          <w:sz w:val="32"/>
          <w:szCs w:val="32"/>
        </w:rPr>
      </w:pPr>
    </w:p>
    <w:p w:rsidR="00855B1B" w:rsidRDefault="004728E5">
      <w:pPr>
        <w:pStyle w:val="1"/>
        <w:ind w:right="440"/>
        <w:jc w:val="center"/>
        <w:rPr>
          <w:rStyle w:val="1Char"/>
          <w:rFonts w:ascii="黑体" w:eastAsia="黑体" w:hAnsi="黑体"/>
          <w:bCs/>
        </w:rPr>
      </w:pPr>
      <w:bookmarkStart w:id="17" w:name="_Toc15396602"/>
      <w:bookmarkStart w:id="18" w:name="_Toc15377204"/>
      <w:r>
        <w:rPr>
          <w:rFonts w:ascii="黑体" w:eastAsia="黑体" w:hAnsi="黑体" w:hint="eastAsia"/>
          <w:b w:val="0"/>
        </w:rPr>
        <w:lastRenderedPageBreak/>
        <w:t>第二部分 2022年度</w:t>
      </w:r>
      <w:r>
        <w:rPr>
          <w:rStyle w:val="1Char"/>
          <w:rFonts w:ascii="黑体" w:eastAsia="黑体" w:hAnsi="黑体" w:hint="eastAsia"/>
          <w:bCs/>
        </w:rPr>
        <w:t>部门决算情况说明</w:t>
      </w:r>
      <w:bookmarkEnd w:id="17"/>
      <w:bookmarkEnd w:id="18"/>
    </w:p>
    <w:p w:rsidR="00855B1B" w:rsidRDefault="00855B1B"/>
    <w:p w:rsidR="00855B1B" w:rsidRDefault="004728E5">
      <w:pPr>
        <w:pStyle w:val="ab"/>
        <w:numPr>
          <w:ilvl w:val="0"/>
          <w:numId w:val="2"/>
        </w:numPr>
        <w:spacing w:line="60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855B1B" w:rsidRDefault="004728E5">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2022年度收、支总计18363.44万元。与2021年相比，收、支总计增加1910.76万元，增长11.61</w:t>
      </w:r>
      <w:r>
        <w:rPr>
          <w:rFonts w:ascii="仿宋" w:eastAsia="仿宋" w:hAnsi="仿宋"/>
          <w:sz w:val="32"/>
          <w:szCs w:val="32"/>
        </w:rPr>
        <w:t>%</w:t>
      </w:r>
      <w:r>
        <w:rPr>
          <w:rFonts w:ascii="仿宋" w:eastAsia="仿宋" w:hAnsi="仿宋" w:hint="eastAsia"/>
          <w:sz w:val="32"/>
          <w:szCs w:val="32"/>
        </w:rPr>
        <w:t>。主要变动原因是人员正常工资晋升、在职人员增加。</w:t>
      </w:r>
    </w:p>
    <w:p w:rsidR="00855B1B" w:rsidRDefault="004728E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855B1B" w:rsidRDefault="00855B1B">
      <w:pPr>
        <w:pStyle w:val="a0"/>
        <w:spacing w:before="93"/>
      </w:pPr>
    </w:p>
    <w:p w:rsidR="00855B1B" w:rsidRDefault="004728E5">
      <w:pPr>
        <w:pStyle w:val="a0"/>
        <w:spacing w:before="93"/>
      </w:pPr>
      <w:r>
        <w:rPr>
          <w:rFonts w:hint="eastAsia"/>
          <w:noProof/>
        </w:rPr>
        <w:drawing>
          <wp:inline distT="0" distB="0" distL="0" distR="0">
            <wp:extent cx="4419600" cy="3079750"/>
            <wp:effectExtent l="19050" t="0" r="19050" b="6350"/>
            <wp:docPr id="3"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5B1B" w:rsidRDefault="00855B1B">
      <w:pPr>
        <w:spacing w:line="600" w:lineRule="exact"/>
        <w:ind w:firstLineChars="200" w:firstLine="640"/>
        <w:jc w:val="left"/>
        <w:rPr>
          <w:rFonts w:ascii="仿宋_GB2312" w:eastAsia="仿宋_GB2312"/>
          <w:sz w:val="32"/>
          <w:szCs w:val="32"/>
        </w:rPr>
      </w:pPr>
    </w:p>
    <w:p w:rsidR="00855B1B" w:rsidRDefault="004728E5">
      <w:pPr>
        <w:pStyle w:val="ab"/>
        <w:numPr>
          <w:ilvl w:val="0"/>
          <w:numId w:val="2"/>
        </w:numPr>
        <w:spacing w:line="600" w:lineRule="exact"/>
        <w:ind w:firstLineChars="0"/>
        <w:outlineLvl w:val="1"/>
        <w:rPr>
          <w:rStyle w:val="2Char"/>
          <w:rFonts w:ascii="黑体" w:eastAsia="黑体" w:hAnsi="黑体"/>
          <w:b w:val="0"/>
        </w:rPr>
      </w:pPr>
      <w:bookmarkStart w:id="21" w:name="_Toc15377206"/>
      <w:bookmarkStart w:id="22"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855B1B" w:rsidRDefault="004728E5">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22年本年收入合计9212.3万元，其中：一般公共预算财政拨款收入7467.02万元，占81.05</w:t>
      </w:r>
      <w:r>
        <w:rPr>
          <w:rFonts w:ascii="仿宋" w:eastAsia="仿宋" w:hAnsi="仿宋"/>
          <w:sz w:val="32"/>
          <w:szCs w:val="32"/>
        </w:rPr>
        <w:t>%</w:t>
      </w:r>
      <w:r>
        <w:rPr>
          <w:rFonts w:ascii="仿宋" w:eastAsia="仿宋" w:hAnsi="仿宋" w:hint="eastAsia"/>
          <w:sz w:val="32"/>
          <w:szCs w:val="32"/>
        </w:rPr>
        <w:t>；政府性基金预算财政拨款收入4.05万元，占0.04</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w:t>
      </w:r>
      <w:r>
        <w:rPr>
          <w:rFonts w:ascii="仿宋" w:eastAsia="仿宋" w:hAnsi="仿宋" w:hint="eastAsia"/>
          <w:sz w:val="32"/>
          <w:szCs w:val="32"/>
        </w:rPr>
        <w:lastRenderedPageBreak/>
        <w:t>业收入1097.99万元，占11.92</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；其他收入643.23万元，占6.98</w:t>
      </w:r>
      <w:r>
        <w:rPr>
          <w:rFonts w:ascii="仿宋" w:eastAsia="仿宋" w:hAnsi="仿宋"/>
          <w:sz w:val="32"/>
          <w:szCs w:val="32"/>
        </w:rPr>
        <w:t>%</w:t>
      </w:r>
      <w:r>
        <w:rPr>
          <w:rFonts w:ascii="仿宋" w:eastAsia="仿宋" w:hAnsi="仿宋" w:hint="eastAsia"/>
          <w:sz w:val="32"/>
          <w:szCs w:val="32"/>
        </w:rPr>
        <w:t>。</w:t>
      </w:r>
    </w:p>
    <w:p w:rsidR="00855B1B" w:rsidRDefault="004728E5">
      <w:pPr>
        <w:spacing w:line="600" w:lineRule="exact"/>
        <w:rPr>
          <w:rFonts w:ascii="仿宋" w:eastAsia="仿宋" w:hAnsi="仿宋"/>
          <w:sz w:val="32"/>
          <w:szCs w:val="32"/>
        </w:rPr>
      </w:pPr>
      <w:r>
        <w:rPr>
          <w:rFonts w:ascii="仿宋" w:eastAsia="仿宋" w:hAnsi="仿宋" w:hint="eastAsia"/>
          <w:sz w:val="32"/>
          <w:szCs w:val="32"/>
        </w:rPr>
        <w:t>（图2：收入决算结构图）（饼状图）</w:t>
      </w:r>
    </w:p>
    <w:p w:rsidR="00855B1B" w:rsidRDefault="00855B1B">
      <w:pPr>
        <w:pStyle w:val="a0"/>
        <w:spacing w:before="93"/>
      </w:pPr>
    </w:p>
    <w:p w:rsidR="00855B1B" w:rsidRDefault="004728E5">
      <w:pPr>
        <w:pStyle w:val="a0"/>
        <w:spacing w:before="93"/>
      </w:pPr>
      <w:r>
        <w:rPr>
          <w:rFonts w:hint="eastAsia"/>
          <w:noProof/>
        </w:rPr>
        <w:drawing>
          <wp:inline distT="0" distB="0" distL="0" distR="0">
            <wp:extent cx="4381500" cy="2552700"/>
            <wp:effectExtent l="19050" t="0" r="19050" b="0"/>
            <wp:docPr id="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5B1B" w:rsidRDefault="00855B1B">
      <w:pPr>
        <w:pStyle w:val="a0"/>
        <w:spacing w:before="93"/>
      </w:pPr>
    </w:p>
    <w:p w:rsidR="00855B1B" w:rsidRDefault="004728E5">
      <w:pPr>
        <w:pStyle w:val="ab"/>
        <w:numPr>
          <w:ilvl w:val="0"/>
          <w:numId w:val="2"/>
        </w:numPr>
        <w:spacing w:line="600" w:lineRule="exact"/>
        <w:ind w:firstLineChars="0"/>
        <w:outlineLvl w:val="1"/>
        <w:rPr>
          <w:rStyle w:val="2Char"/>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855B1B" w:rsidRDefault="004728E5">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22年本年支出合计9151.14万元，其中：基本支出8357.62万元，占91.33</w:t>
      </w:r>
      <w:r>
        <w:rPr>
          <w:rFonts w:ascii="仿宋" w:eastAsia="仿宋" w:hAnsi="仿宋"/>
          <w:sz w:val="32"/>
          <w:szCs w:val="32"/>
        </w:rPr>
        <w:t>%</w:t>
      </w:r>
      <w:r>
        <w:rPr>
          <w:rFonts w:ascii="仿宋" w:eastAsia="仿宋" w:hAnsi="仿宋" w:hint="eastAsia"/>
          <w:sz w:val="32"/>
          <w:szCs w:val="32"/>
        </w:rPr>
        <w:t>；项目支出793.51万元，占8.67</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rsidR="00855B1B" w:rsidRDefault="00855B1B">
      <w:pPr>
        <w:spacing w:line="600" w:lineRule="exact"/>
        <w:ind w:firstLine="640"/>
        <w:rPr>
          <w:rFonts w:ascii="仿宋" w:eastAsia="仿宋" w:hAnsi="仿宋"/>
          <w:sz w:val="32"/>
          <w:szCs w:val="32"/>
          <w:shd w:val="pct10" w:color="auto" w:fill="FFFFFF"/>
        </w:rPr>
      </w:pPr>
    </w:p>
    <w:p w:rsidR="00855B1B" w:rsidRDefault="004728E5">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855B1B" w:rsidRDefault="00855B1B">
      <w:pPr>
        <w:spacing w:line="600" w:lineRule="exact"/>
        <w:ind w:firstLineChars="200" w:firstLine="640"/>
        <w:rPr>
          <w:rFonts w:ascii="仿宋_GB2312" w:eastAsia="仿宋_GB2312"/>
          <w:sz w:val="32"/>
          <w:szCs w:val="32"/>
        </w:rPr>
      </w:pPr>
    </w:p>
    <w:p w:rsidR="00855B1B" w:rsidRDefault="00855B1B">
      <w:pPr>
        <w:pStyle w:val="a0"/>
        <w:spacing w:before="93"/>
      </w:pPr>
    </w:p>
    <w:p w:rsidR="00855B1B" w:rsidRDefault="00855B1B">
      <w:pPr>
        <w:pStyle w:val="a0"/>
        <w:spacing w:before="93"/>
      </w:pPr>
    </w:p>
    <w:p w:rsidR="00855B1B" w:rsidRDefault="004728E5">
      <w:pPr>
        <w:pStyle w:val="a0"/>
        <w:spacing w:before="93"/>
      </w:pPr>
      <w:r>
        <w:rPr>
          <w:rFonts w:hint="eastAsia"/>
          <w:noProof/>
        </w:rPr>
        <w:drawing>
          <wp:inline distT="0" distB="0" distL="0" distR="0">
            <wp:extent cx="4867275" cy="2933700"/>
            <wp:effectExtent l="19050" t="0" r="9525" b="0"/>
            <wp:docPr id="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5B1B" w:rsidRDefault="00855B1B">
      <w:pPr>
        <w:pStyle w:val="a0"/>
        <w:spacing w:before="93"/>
      </w:pPr>
    </w:p>
    <w:p w:rsidR="00855B1B" w:rsidRDefault="004728E5">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855B1B" w:rsidRDefault="004728E5">
      <w:pPr>
        <w:snapToGrid w:val="0"/>
        <w:spacing w:line="520" w:lineRule="exact"/>
        <w:ind w:firstLineChars="200" w:firstLine="640"/>
        <w:rPr>
          <w:rFonts w:ascii="仿宋_GB2312" w:eastAsia="仿宋_GB2312" w:hAnsi="仿宋"/>
          <w:sz w:val="32"/>
          <w:szCs w:val="32"/>
        </w:rPr>
      </w:pPr>
      <w:r>
        <w:rPr>
          <w:rFonts w:ascii="仿宋" w:eastAsia="仿宋" w:hAnsi="仿宋"/>
          <w:sz w:val="32"/>
          <w:szCs w:val="32"/>
        </w:rPr>
        <w:t>20</w:t>
      </w:r>
      <w:r>
        <w:rPr>
          <w:rFonts w:ascii="仿宋" w:eastAsia="仿宋" w:hAnsi="仿宋" w:hint="eastAsia"/>
          <w:sz w:val="32"/>
          <w:szCs w:val="32"/>
        </w:rPr>
        <w:t>22年财政拨款收、支总计14958.96万元。与</w:t>
      </w:r>
      <w:r>
        <w:rPr>
          <w:rFonts w:ascii="仿宋" w:eastAsia="仿宋" w:hAnsi="仿宋"/>
          <w:sz w:val="32"/>
          <w:szCs w:val="32"/>
        </w:rPr>
        <w:t>20</w:t>
      </w:r>
      <w:r>
        <w:rPr>
          <w:rFonts w:ascii="仿宋" w:eastAsia="仿宋" w:hAnsi="仿宋" w:hint="eastAsia"/>
          <w:sz w:val="32"/>
          <w:szCs w:val="32"/>
        </w:rPr>
        <w:t>21年相比，财政拨款收、支总计减少1518.59万元，下降9.22</w:t>
      </w:r>
      <w:r>
        <w:rPr>
          <w:rFonts w:ascii="仿宋" w:eastAsia="仿宋" w:hAnsi="仿宋"/>
          <w:sz w:val="32"/>
          <w:szCs w:val="32"/>
        </w:rPr>
        <w:t>%</w:t>
      </w:r>
      <w:r>
        <w:rPr>
          <w:rFonts w:ascii="仿宋" w:eastAsia="仿宋" w:hAnsi="仿宋" w:hint="eastAsia"/>
          <w:sz w:val="32"/>
          <w:szCs w:val="32"/>
        </w:rPr>
        <w:t>。</w:t>
      </w:r>
      <w:r>
        <w:rPr>
          <w:rFonts w:ascii="仿宋_GB2312" w:eastAsia="仿宋_GB2312" w:hAnsi="仿宋" w:hint="eastAsia"/>
          <w:sz w:val="32"/>
          <w:szCs w:val="32"/>
        </w:rPr>
        <w:t>减少原因主要为今年财政第一次采用教育收费反清算方式，原由财政统一安排的教育收费收入变更为事业收入。</w:t>
      </w:r>
    </w:p>
    <w:p w:rsidR="00855B1B" w:rsidRDefault="00855B1B">
      <w:pPr>
        <w:spacing w:line="600" w:lineRule="exact"/>
        <w:ind w:firstLine="640"/>
        <w:rPr>
          <w:rFonts w:ascii="仿宋" w:eastAsia="仿宋" w:hAnsi="仿宋"/>
          <w:sz w:val="32"/>
          <w:szCs w:val="32"/>
        </w:rPr>
      </w:pPr>
    </w:p>
    <w:p w:rsidR="00855B1B" w:rsidRDefault="004728E5">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855B1B" w:rsidRDefault="00855B1B">
      <w:pPr>
        <w:spacing w:line="600" w:lineRule="exact"/>
        <w:ind w:firstLine="640"/>
        <w:rPr>
          <w:rFonts w:ascii="仿宋" w:eastAsia="仿宋" w:hAnsi="仿宋"/>
          <w:b/>
          <w:sz w:val="32"/>
          <w:szCs w:val="32"/>
        </w:rPr>
      </w:pPr>
    </w:p>
    <w:p w:rsidR="00855B1B" w:rsidRDefault="00855B1B">
      <w:pPr>
        <w:pStyle w:val="a0"/>
        <w:spacing w:before="93"/>
      </w:pPr>
    </w:p>
    <w:p w:rsidR="00855B1B" w:rsidRDefault="00855B1B">
      <w:pPr>
        <w:pStyle w:val="a0"/>
        <w:spacing w:before="93"/>
      </w:pPr>
    </w:p>
    <w:p w:rsidR="00855B1B" w:rsidRDefault="004728E5">
      <w:pPr>
        <w:pStyle w:val="a0"/>
        <w:spacing w:before="93"/>
      </w:pPr>
      <w:r>
        <w:rPr>
          <w:rFonts w:hint="eastAsia"/>
          <w:noProof/>
        </w:rPr>
        <w:lastRenderedPageBreak/>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5B1B" w:rsidRDefault="00855B1B">
      <w:pPr>
        <w:pStyle w:val="a0"/>
        <w:spacing w:before="93"/>
      </w:pPr>
    </w:p>
    <w:p w:rsidR="00855B1B" w:rsidRDefault="00855B1B">
      <w:pPr>
        <w:pStyle w:val="a0"/>
        <w:spacing w:before="93"/>
      </w:pPr>
    </w:p>
    <w:p w:rsidR="00855B1B" w:rsidRDefault="00855B1B">
      <w:pPr>
        <w:pStyle w:val="a0"/>
        <w:spacing w:before="93"/>
      </w:pPr>
    </w:p>
    <w:p w:rsidR="00855B1B" w:rsidRDefault="004728E5">
      <w:pPr>
        <w:spacing w:line="600" w:lineRule="exact"/>
        <w:ind w:firstLineChars="200" w:firstLine="640"/>
        <w:outlineLvl w:val="1"/>
        <w:rPr>
          <w:rStyle w:val="2Char"/>
          <w:rFonts w:ascii="黑体" w:eastAsia="黑体" w:hAnsi="黑体"/>
          <w:b w:val="0"/>
        </w:rPr>
      </w:pPr>
      <w:bookmarkStart w:id="27" w:name="_Toc15396607"/>
      <w:bookmarkStart w:id="2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855B1B" w:rsidRDefault="004728E5" w:rsidP="00CF7B7A">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855B1B" w:rsidRDefault="004728E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22年一般公共预算财政拨款支出7473.84万元，占本年支出合计的81.78</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21年相比，一般公共预算财政拨款支出减少727.06万元，下降8.9</w:t>
      </w:r>
      <w:r>
        <w:rPr>
          <w:rFonts w:ascii="仿宋" w:eastAsia="仿宋" w:hAnsi="仿宋"/>
          <w:sz w:val="32"/>
          <w:szCs w:val="32"/>
        </w:rPr>
        <w:t>%</w:t>
      </w:r>
      <w:r>
        <w:rPr>
          <w:rFonts w:ascii="仿宋" w:eastAsia="仿宋" w:hAnsi="仿宋" w:hint="eastAsia"/>
          <w:sz w:val="32"/>
          <w:szCs w:val="32"/>
        </w:rPr>
        <w:t>。主要变动原因是</w:t>
      </w:r>
      <w:r>
        <w:rPr>
          <w:rFonts w:ascii="仿宋_GB2312" w:eastAsia="仿宋_GB2312" w:hAnsi="仿宋" w:hint="eastAsia"/>
          <w:sz w:val="32"/>
          <w:szCs w:val="32"/>
        </w:rPr>
        <w:t>今年财政第一次采用教育收费反清算方式，原由财政统一安排的教育收费收入变更为事业收入，对应支出也相应调整。</w:t>
      </w:r>
    </w:p>
    <w:p w:rsidR="00855B1B" w:rsidRDefault="004728E5">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855B1B" w:rsidRDefault="00855B1B">
      <w:pPr>
        <w:spacing w:line="600" w:lineRule="exact"/>
        <w:ind w:firstLineChars="200" w:firstLine="640"/>
        <w:rPr>
          <w:rFonts w:ascii="仿宋" w:eastAsia="仿宋" w:hAnsi="仿宋"/>
          <w:sz w:val="32"/>
          <w:szCs w:val="32"/>
        </w:rPr>
      </w:pPr>
    </w:p>
    <w:p w:rsidR="00855B1B" w:rsidRDefault="00855B1B">
      <w:pPr>
        <w:pStyle w:val="a0"/>
        <w:spacing w:before="93"/>
      </w:pPr>
    </w:p>
    <w:p w:rsidR="00855B1B" w:rsidRDefault="004728E5">
      <w:pPr>
        <w:pStyle w:val="a0"/>
        <w:spacing w:before="93"/>
      </w:pPr>
      <w:r>
        <w:rPr>
          <w:rFonts w:hint="eastAsia"/>
          <w:noProof/>
        </w:rPr>
        <w:lastRenderedPageBreak/>
        <w:drawing>
          <wp:inline distT="0" distB="0" distL="0" distR="0">
            <wp:extent cx="5274310" cy="3076575"/>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B1B" w:rsidRDefault="00855B1B">
      <w:pPr>
        <w:pStyle w:val="a0"/>
        <w:spacing w:before="93"/>
      </w:pPr>
    </w:p>
    <w:p w:rsidR="00855B1B" w:rsidRDefault="00855B1B">
      <w:pPr>
        <w:pStyle w:val="a0"/>
        <w:spacing w:before="93"/>
      </w:pPr>
    </w:p>
    <w:p w:rsidR="00855B1B" w:rsidRDefault="004728E5" w:rsidP="00CF7B7A">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855B1B" w:rsidRDefault="004728E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22年一般公共预算财政拨款支出7483.84万元，主要用于以下方面</w:t>
      </w:r>
      <w:r>
        <w:rPr>
          <w:rFonts w:ascii="仿宋" w:eastAsia="仿宋" w:hAnsi="仿宋"/>
          <w:sz w:val="32"/>
          <w:szCs w:val="32"/>
        </w:rPr>
        <w:t>:</w:t>
      </w:r>
      <w:r>
        <w:rPr>
          <w:rFonts w:ascii="仿宋" w:eastAsia="仿宋" w:hAnsi="仿宋" w:hint="eastAsia"/>
          <w:b/>
          <w:sz w:val="32"/>
          <w:szCs w:val="32"/>
        </w:rPr>
        <w:t>教育支出</w:t>
      </w:r>
      <w:r>
        <w:rPr>
          <w:rFonts w:ascii="仿宋" w:eastAsia="仿宋" w:hAnsi="仿宋" w:hint="eastAsia"/>
          <w:sz w:val="32"/>
          <w:szCs w:val="32"/>
        </w:rPr>
        <w:t>6163.37万元，占82.36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文化旅游体育与传媒支出9.45万元，占0.13</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Pr>
          <w:rFonts w:ascii="仿宋" w:eastAsia="仿宋" w:hAnsi="仿宋" w:hint="eastAsia"/>
          <w:sz w:val="32"/>
          <w:szCs w:val="32"/>
        </w:rPr>
        <w:t>748.21万元，占10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562.82万元，占7.52</w:t>
      </w:r>
      <w:r>
        <w:rPr>
          <w:rFonts w:ascii="仿宋" w:eastAsia="仿宋" w:hAnsi="仿宋"/>
          <w:sz w:val="32"/>
          <w:szCs w:val="32"/>
        </w:rPr>
        <w:t>%</w:t>
      </w:r>
      <w:r>
        <w:rPr>
          <w:rFonts w:ascii="仿宋" w:eastAsia="仿宋" w:hAnsi="仿宋" w:hint="eastAsia"/>
          <w:sz w:val="32"/>
          <w:szCs w:val="32"/>
        </w:rPr>
        <w:t>。</w:t>
      </w:r>
    </w:p>
    <w:p w:rsidR="00855B1B" w:rsidRDefault="00855B1B">
      <w:pPr>
        <w:spacing w:line="600" w:lineRule="exact"/>
        <w:ind w:firstLine="640"/>
        <w:rPr>
          <w:rFonts w:ascii="仿宋" w:eastAsia="仿宋" w:hAnsi="仿宋"/>
          <w:sz w:val="32"/>
          <w:szCs w:val="32"/>
        </w:rPr>
      </w:pPr>
    </w:p>
    <w:p w:rsidR="00855B1B" w:rsidRDefault="004728E5">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855B1B" w:rsidRDefault="00855B1B">
      <w:pPr>
        <w:spacing w:line="600" w:lineRule="exact"/>
        <w:ind w:firstLineChars="200" w:firstLine="640"/>
        <w:rPr>
          <w:rFonts w:ascii="仿宋" w:eastAsia="仿宋" w:hAnsi="仿宋"/>
          <w:sz w:val="32"/>
          <w:szCs w:val="32"/>
        </w:rPr>
      </w:pPr>
    </w:p>
    <w:p w:rsidR="00855B1B" w:rsidRDefault="00855B1B">
      <w:pPr>
        <w:pStyle w:val="a0"/>
        <w:spacing w:before="93"/>
      </w:pPr>
    </w:p>
    <w:p w:rsidR="00855B1B" w:rsidRDefault="004728E5">
      <w:pPr>
        <w:pStyle w:val="a0"/>
        <w:spacing w:before="93"/>
      </w:pPr>
      <w:r>
        <w:rPr>
          <w:rFonts w:hint="eastAsia"/>
          <w:noProof/>
        </w:rPr>
        <w:lastRenderedPageBreak/>
        <w:drawing>
          <wp:inline distT="0" distB="0" distL="0" distR="0">
            <wp:extent cx="5274310" cy="3076575"/>
            <wp:effectExtent l="19050" t="0" r="21590" b="0"/>
            <wp:docPr id="1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5B1B" w:rsidRDefault="00855B1B">
      <w:pPr>
        <w:pStyle w:val="a0"/>
        <w:spacing w:before="93"/>
      </w:pPr>
    </w:p>
    <w:p w:rsidR="00855B1B" w:rsidRDefault="004728E5" w:rsidP="00CF7B7A">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855B1B" w:rsidRDefault="004728E5" w:rsidP="00CF7B7A">
      <w:pPr>
        <w:spacing w:line="600" w:lineRule="exact"/>
        <w:ind w:firstLineChars="200" w:firstLine="643"/>
        <w:outlineLvl w:val="2"/>
        <w:rPr>
          <w:rFonts w:ascii="仿宋" w:eastAsia="仿宋" w:hAnsi="仿宋"/>
          <w:sz w:val="32"/>
          <w:szCs w:val="32"/>
        </w:rPr>
      </w:pPr>
      <w:bookmarkStart w:id="32" w:name="_Toc15377444"/>
      <w:bookmarkStart w:id="33" w:name="_Toc15378460"/>
      <w:bookmarkStart w:id="34" w:name="_Toc15377213"/>
      <w:r>
        <w:rPr>
          <w:rFonts w:ascii="仿宋" w:eastAsia="仿宋" w:hAnsi="仿宋" w:hint="eastAsia"/>
          <w:b/>
          <w:sz w:val="32"/>
          <w:szCs w:val="32"/>
        </w:rPr>
        <w:t>2022年一般公共预算支出决算数为7483.84</w:t>
      </w:r>
      <w:r>
        <w:rPr>
          <w:rFonts w:ascii="仿宋" w:eastAsia="仿宋" w:hAnsi="仿宋" w:hint="eastAsia"/>
          <w:sz w:val="32"/>
          <w:szCs w:val="32"/>
        </w:rPr>
        <w:t>，</w:t>
      </w:r>
      <w:r>
        <w:rPr>
          <w:rStyle w:val="a8"/>
          <w:rFonts w:ascii="仿宋" w:eastAsia="仿宋" w:hAnsi="仿宋" w:hint="eastAsia"/>
          <w:bCs/>
          <w:sz w:val="32"/>
          <w:szCs w:val="32"/>
        </w:rPr>
        <w:t>完成预算97.7</w:t>
      </w:r>
      <w:r>
        <w:rPr>
          <w:rStyle w:val="a8"/>
          <w:rFonts w:ascii="仿宋" w:eastAsia="仿宋" w:hAnsi="仿宋"/>
          <w:bCs/>
          <w:sz w:val="32"/>
          <w:szCs w:val="32"/>
        </w:rPr>
        <w:t>%</w:t>
      </w:r>
      <w:r>
        <w:rPr>
          <w:rStyle w:val="a8"/>
          <w:rFonts w:ascii="仿宋" w:eastAsia="仿宋" w:hAnsi="仿宋" w:hint="eastAsia"/>
          <w:bCs/>
          <w:sz w:val="32"/>
          <w:szCs w:val="32"/>
        </w:rPr>
        <w:t>。其中：</w:t>
      </w:r>
      <w:bookmarkEnd w:id="32"/>
      <w:bookmarkEnd w:id="33"/>
      <w:bookmarkEnd w:id="34"/>
    </w:p>
    <w:p w:rsidR="00855B1B" w:rsidRDefault="004728E5" w:rsidP="00CF7B7A">
      <w:pPr>
        <w:spacing w:line="600" w:lineRule="exact"/>
        <w:ind w:firstLineChars="200" w:firstLine="643"/>
        <w:rPr>
          <w:rStyle w:val="a8"/>
          <w:rFonts w:ascii="仿宋" w:eastAsia="仿宋" w:hAnsi="仿宋"/>
          <w:b w:val="0"/>
          <w:bCs/>
          <w:color w:val="FF0000"/>
          <w:sz w:val="32"/>
          <w:szCs w:val="32"/>
        </w:rPr>
      </w:pPr>
      <w:r>
        <w:rPr>
          <w:rStyle w:val="a8"/>
          <w:rFonts w:ascii="仿宋" w:eastAsia="仿宋" w:hAnsi="仿宋"/>
          <w:bCs/>
          <w:sz w:val="32"/>
          <w:szCs w:val="32"/>
        </w:rPr>
        <w:t>1.</w:t>
      </w:r>
      <w:r>
        <w:rPr>
          <w:rStyle w:val="a8"/>
          <w:rFonts w:ascii="仿宋" w:eastAsia="仿宋" w:hAnsi="仿宋" w:hint="eastAsia"/>
          <w:bCs/>
          <w:sz w:val="32"/>
          <w:szCs w:val="32"/>
        </w:rPr>
        <w:t>教育（类）普通教育（款）高中教育（项）</w:t>
      </w:r>
      <w:r>
        <w:rPr>
          <w:rStyle w:val="a8"/>
          <w:rFonts w:ascii="仿宋" w:eastAsia="仿宋" w:hAnsi="仿宋"/>
          <w:bCs/>
          <w:sz w:val="32"/>
          <w:szCs w:val="32"/>
        </w:rPr>
        <w:t>:</w:t>
      </w:r>
      <w:r>
        <w:rPr>
          <w:rStyle w:val="a8"/>
          <w:rFonts w:ascii="仿宋" w:eastAsia="仿宋" w:hAnsi="仿宋" w:hint="eastAsia"/>
          <w:b w:val="0"/>
          <w:bCs/>
          <w:sz w:val="32"/>
          <w:szCs w:val="32"/>
        </w:rPr>
        <w:t>支出决算为6100.61万元，</w:t>
      </w:r>
      <w:r>
        <w:rPr>
          <w:rStyle w:val="a8"/>
          <w:rFonts w:ascii="仿宋" w:eastAsia="仿宋" w:hAnsi="仿宋" w:hint="eastAsia"/>
          <w:b w:val="0"/>
          <w:bCs/>
          <w:color w:val="000000" w:themeColor="text1"/>
          <w:sz w:val="32"/>
          <w:szCs w:val="32"/>
        </w:rPr>
        <w:t>完成预算99.16</w:t>
      </w:r>
      <w:r>
        <w:rPr>
          <w:rStyle w:val="a8"/>
          <w:rFonts w:ascii="仿宋" w:eastAsia="仿宋" w:hAnsi="仿宋"/>
          <w:b w:val="0"/>
          <w:bCs/>
          <w:color w:val="000000" w:themeColor="text1"/>
          <w:sz w:val="32"/>
          <w:szCs w:val="32"/>
        </w:rPr>
        <w:t>%</w:t>
      </w:r>
      <w:r>
        <w:rPr>
          <w:rStyle w:val="a8"/>
          <w:rFonts w:ascii="仿宋" w:eastAsia="仿宋" w:hAnsi="仿宋" w:hint="eastAsia"/>
          <w:b w:val="0"/>
          <w:bCs/>
          <w:color w:val="000000" w:themeColor="text1"/>
          <w:sz w:val="32"/>
          <w:szCs w:val="32"/>
        </w:rPr>
        <w:t>，</w:t>
      </w:r>
      <w:r>
        <w:rPr>
          <w:rFonts w:ascii="仿宋_GB2312" w:eastAsia="仿宋_GB2312" w:hAnsi="仿宋" w:hint="eastAsia"/>
          <w:color w:val="000000" w:themeColor="text1"/>
          <w:sz w:val="32"/>
          <w:szCs w:val="32"/>
        </w:rPr>
        <w:t>今年财政第一次采用教育收费反清算方式，原由财政统一安排的教育收费收入变更为事业收入，对应调整了支出。</w:t>
      </w:r>
    </w:p>
    <w:p w:rsidR="00855B1B" w:rsidRDefault="004728E5" w:rsidP="00CF7B7A">
      <w:pPr>
        <w:spacing w:line="600" w:lineRule="exact"/>
        <w:ind w:firstLineChars="200" w:firstLine="643"/>
        <w:rPr>
          <w:rStyle w:val="a8"/>
          <w:rFonts w:ascii="仿宋" w:eastAsia="仿宋" w:hAnsi="仿宋"/>
          <w:b w:val="0"/>
          <w:bCs/>
          <w:color w:val="FF0000"/>
          <w:sz w:val="32"/>
          <w:szCs w:val="32"/>
        </w:rPr>
      </w:pPr>
      <w:r>
        <w:rPr>
          <w:rStyle w:val="a8"/>
          <w:rFonts w:ascii="仿宋" w:eastAsia="仿宋" w:hAnsi="仿宋" w:hint="eastAsia"/>
          <w:bCs/>
          <w:sz w:val="32"/>
          <w:szCs w:val="32"/>
        </w:rPr>
        <w:t>2</w:t>
      </w:r>
      <w:r>
        <w:rPr>
          <w:rStyle w:val="a8"/>
          <w:rFonts w:ascii="仿宋" w:eastAsia="仿宋" w:hAnsi="仿宋"/>
          <w:bCs/>
          <w:sz w:val="32"/>
          <w:szCs w:val="32"/>
        </w:rPr>
        <w:t>.</w:t>
      </w:r>
      <w:r>
        <w:rPr>
          <w:rStyle w:val="a8"/>
          <w:rFonts w:ascii="仿宋" w:eastAsia="仿宋" w:hAnsi="仿宋" w:hint="eastAsia"/>
          <w:bCs/>
          <w:sz w:val="32"/>
          <w:szCs w:val="32"/>
        </w:rPr>
        <w:t>教育（类）普通教育（款）其他普通教育支出（项）</w:t>
      </w:r>
      <w:r>
        <w:rPr>
          <w:rStyle w:val="a8"/>
          <w:rFonts w:ascii="仿宋" w:eastAsia="仿宋" w:hAnsi="仿宋"/>
          <w:bCs/>
          <w:sz w:val="32"/>
          <w:szCs w:val="32"/>
        </w:rPr>
        <w:t>:</w:t>
      </w:r>
      <w:r>
        <w:rPr>
          <w:rStyle w:val="a8"/>
          <w:rFonts w:ascii="仿宋" w:eastAsia="仿宋" w:hAnsi="仿宋" w:hint="eastAsia"/>
          <w:b w:val="0"/>
          <w:bCs/>
          <w:sz w:val="32"/>
          <w:szCs w:val="32"/>
        </w:rPr>
        <w:t>支出决算为8.46万元，完成预算100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55B1B" w:rsidRDefault="004728E5" w:rsidP="00CF7B7A">
      <w:pPr>
        <w:spacing w:line="600" w:lineRule="exact"/>
        <w:ind w:firstLineChars="200" w:firstLine="643"/>
      </w:pPr>
      <w:r>
        <w:rPr>
          <w:rStyle w:val="a8"/>
          <w:rFonts w:ascii="仿宋" w:eastAsia="仿宋" w:hAnsi="仿宋" w:hint="eastAsia"/>
          <w:bCs/>
          <w:sz w:val="32"/>
          <w:szCs w:val="32"/>
        </w:rPr>
        <w:t>3</w:t>
      </w:r>
      <w:r>
        <w:rPr>
          <w:rStyle w:val="a8"/>
          <w:rFonts w:ascii="仿宋" w:eastAsia="仿宋" w:hAnsi="仿宋"/>
          <w:bCs/>
          <w:sz w:val="32"/>
          <w:szCs w:val="32"/>
        </w:rPr>
        <w:t>.</w:t>
      </w:r>
      <w:r>
        <w:rPr>
          <w:rStyle w:val="a8"/>
          <w:rFonts w:ascii="仿宋" w:eastAsia="仿宋" w:hAnsi="仿宋" w:hint="eastAsia"/>
          <w:bCs/>
          <w:sz w:val="32"/>
          <w:szCs w:val="32"/>
        </w:rPr>
        <w:t>教育（类）教育费附加安排的支出（款）其他教育费附加安排的支出（项）</w:t>
      </w:r>
      <w:r>
        <w:rPr>
          <w:rStyle w:val="a8"/>
          <w:rFonts w:ascii="仿宋" w:eastAsia="仿宋" w:hAnsi="仿宋"/>
          <w:bCs/>
          <w:sz w:val="32"/>
          <w:szCs w:val="32"/>
        </w:rPr>
        <w:t>:</w:t>
      </w:r>
      <w:r>
        <w:rPr>
          <w:rStyle w:val="a8"/>
          <w:rFonts w:ascii="仿宋" w:eastAsia="仿宋" w:hAnsi="仿宋" w:hint="eastAsia"/>
          <w:b w:val="0"/>
          <w:bCs/>
          <w:sz w:val="32"/>
          <w:szCs w:val="32"/>
        </w:rPr>
        <w:t>支出决算为54.3万元，完成预算100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55B1B" w:rsidRDefault="004728E5" w:rsidP="00CF7B7A">
      <w:pPr>
        <w:spacing w:line="600" w:lineRule="exact"/>
        <w:ind w:firstLineChars="200" w:firstLine="643"/>
        <w:rPr>
          <w:rFonts w:ascii="仿宋" w:eastAsia="仿宋" w:hAnsi="仿宋"/>
          <w:bCs/>
          <w:color w:val="FF0000"/>
          <w:sz w:val="32"/>
          <w:szCs w:val="32"/>
        </w:rPr>
      </w:pPr>
      <w:r>
        <w:rPr>
          <w:rStyle w:val="a8"/>
          <w:rFonts w:ascii="仿宋" w:eastAsia="仿宋" w:hAnsi="仿宋"/>
          <w:bCs/>
          <w:sz w:val="32"/>
          <w:szCs w:val="32"/>
        </w:rPr>
        <w:t>4.</w:t>
      </w:r>
      <w:r>
        <w:rPr>
          <w:rStyle w:val="a8"/>
          <w:rFonts w:ascii="仿宋" w:eastAsia="仿宋" w:hAnsi="仿宋" w:hint="eastAsia"/>
          <w:bCs/>
          <w:sz w:val="32"/>
          <w:szCs w:val="32"/>
        </w:rPr>
        <w:t>文化旅游体育与传媒（类）体育（款）其他体育支出（项）</w:t>
      </w:r>
      <w:r>
        <w:rPr>
          <w:rStyle w:val="a8"/>
          <w:rFonts w:ascii="仿宋" w:eastAsia="仿宋" w:hAnsi="仿宋"/>
          <w:bCs/>
          <w:sz w:val="32"/>
          <w:szCs w:val="32"/>
        </w:rPr>
        <w:t>:</w:t>
      </w:r>
      <w:r>
        <w:rPr>
          <w:rStyle w:val="a8"/>
          <w:rFonts w:ascii="仿宋" w:eastAsia="仿宋" w:hAnsi="仿宋" w:hint="eastAsia"/>
          <w:b w:val="0"/>
          <w:bCs/>
          <w:sz w:val="32"/>
          <w:szCs w:val="32"/>
        </w:rPr>
        <w:t>支出决算为9.45万元，完成预算100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55B1B" w:rsidRDefault="004728E5" w:rsidP="00CF7B7A">
      <w:pPr>
        <w:spacing w:line="600" w:lineRule="exact"/>
        <w:ind w:firstLineChars="200" w:firstLine="643"/>
        <w:rPr>
          <w:rStyle w:val="a8"/>
          <w:rFonts w:ascii="仿宋" w:eastAsia="仿宋" w:hAnsi="仿宋"/>
          <w:b w:val="0"/>
          <w:bCs/>
          <w:color w:val="FF0000"/>
          <w:sz w:val="32"/>
          <w:szCs w:val="32"/>
        </w:rPr>
      </w:pPr>
      <w:r>
        <w:rPr>
          <w:rStyle w:val="a8"/>
          <w:rFonts w:ascii="仿宋" w:eastAsia="仿宋" w:hAnsi="仿宋"/>
          <w:bCs/>
          <w:sz w:val="32"/>
          <w:szCs w:val="32"/>
        </w:rPr>
        <w:lastRenderedPageBreak/>
        <w:t>5.</w:t>
      </w:r>
      <w:r>
        <w:rPr>
          <w:rStyle w:val="a8"/>
          <w:rFonts w:ascii="仿宋" w:eastAsia="仿宋" w:hAnsi="仿宋" w:hint="eastAsia"/>
          <w:bCs/>
          <w:sz w:val="32"/>
          <w:szCs w:val="32"/>
        </w:rPr>
        <w:t>社会保障和就业（类）行政事业单位养老支出（款）事业单位离退休（项）</w:t>
      </w:r>
      <w:r>
        <w:rPr>
          <w:rStyle w:val="a8"/>
          <w:rFonts w:ascii="仿宋" w:eastAsia="仿宋" w:hAnsi="仿宋"/>
          <w:bCs/>
          <w:sz w:val="32"/>
          <w:szCs w:val="32"/>
        </w:rPr>
        <w:t>:</w:t>
      </w:r>
      <w:r>
        <w:rPr>
          <w:rStyle w:val="a8"/>
          <w:rFonts w:ascii="仿宋" w:eastAsia="仿宋" w:hAnsi="仿宋" w:hint="eastAsia"/>
          <w:b w:val="0"/>
          <w:bCs/>
          <w:sz w:val="32"/>
          <w:szCs w:val="32"/>
        </w:rPr>
        <w:t>支出决算为269.23万元，完成预算99.38</w:t>
      </w:r>
      <w:r>
        <w:rPr>
          <w:rStyle w:val="a8"/>
          <w:rFonts w:ascii="仿宋" w:eastAsia="仿宋" w:hAnsi="仿宋"/>
          <w:b w:val="0"/>
          <w:bCs/>
          <w:sz w:val="32"/>
          <w:szCs w:val="32"/>
        </w:rPr>
        <w:t>%</w:t>
      </w:r>
      <w:r>
        <w:rPr>
          <w:rStyle w:val="a8"/>
          <w:rFonts w:ascii="仿宋" w:eastAsia="仿宋" w:hAnsi="仿宋" w:hint="eastAsia"/>
          <w:b w:val="0"/>
          <w:bCs/>
          <w:sz w:val="32"/>
          <w:szCs w:val="32"/>
        </w:rPr>
        <w:t>。</w:t>
      </w:r>
      <w:r>
        <w:rPr>
          <w:rStyle w:val="a8"/>
          <w:rFonts w:ascii="仿宋" w:eastAsia="仿宋" w:hAnsi="仿宋" w:hint="eastAsia"/>
          <w:b w:val="0"/>
          <w:bCs/>
          <w:color w:val="000000" w:themeColor="text1"/>
          <w:sz w:val="32"/>
          <w:szCs w:val="32"/>
        </w:rPr>
        <w:t>决算数小于预算数的主要原因是退休教职工死亡，支出减少。</w:t>
      </w:r>
    </w:p>
    <w:p w:rsidR="00855B1B" w:rsidRDefault="004728E5" w:rsidP="00CF7B7A">
      <w:pPr>
        <w:spacing w:line="600" w:lineRule="exact"/>
        <w:ind w:firstLineChars="200" w:firstLine="643"/>
        <w:rPr>
          <w:rFonts w:ascii="仿宋" w:eastAsia="仿宋" w:hAnsi="仿宋"/>
          <w:bCs/>
          <w:color w:val="000000" w:themeColor="text1"/>
          <w:sz w:val="32"/>
          <w:szCs w:val="32"/>
        </w:rPr>
      </w:pPr>
      <w:r>
        <w:rPr>
          <w:rStyle w:val="a8"/>
          <w:rFonts w:ascii="仿宋" w:eastAsia="仿宋" w:hAnsi="仿宋" w:hint="eastAsia"/>
          <w:bCs/>
          <w:sz w:val="32"/>
          <w:szCs w:val="32"/>
        </w:rPr>
        <w:t>6</w:t>
      </w:r>
      <w:r>
        <w:rPr>
          <w:rStyle w:val="a8"/>
          <w:rFonts w:ascii="仿宋" w:eastAsia="仿宋" w:hAnsi="仿宋"/>
          <w:bCs/>
          <w:sz w:val="32"/>
          <w:szCs w:val="32"/>
        </w:rPr>
        <w:t>.</w:t>
      </w:r>
      <w:r>
        <w:rPr>
          <w:rStyle w:val="a8"/>
          <w:rFonts w:ascii="仿宋" w:eastAsia="仿宋" w:hAnsi="仿宋" w:hint="eastAsia"/>
          <w:bCs/>
          <w:sz w:val="32"/>
          <w:szCs w:val="32"/>
        </w:rPr>
        <w:t>社会保障和就业（类）行政事业单位养老支出（款）机关事业单位基本养老保险缴费支出（项）</w:t>
      </w:r>
      <w:r>
        <w:rPr>
          <w:rStyle w:val="a8"/>
          <w:rFonts w:ascii="仿宋" w:eastAsia="仿宋" w:hAnsi="仿宋"/>
          <w:bCs/>
          <w:sz w:val="32"/>
          <w:szCs w:val="32"/>
        </w:rPr>
        <w:t>:</w:t>
      </w:r>
      <w:r>
        <w:rPr>
          <w:rStyle w:val="a8"/>
          <w:rFonts w:ascii="仿宋" w:eastAsia="仿宋" w:hAnsi="仿宋" w:hint="eastAsia"/>
          <w:b w:val="0"/>
          <w:bCs/>
          <w:sz w:val="32"/>
          <w:szCs w:val="32"/>
        </w:rPr>
        <w:t>支出决算为463.49万元，完成预算78.37</w:t>
      </w:r>
      <w:r>
        <w:rPr>
          <w:rStyle w:val="a8"/>
          <w:rFonts w:ascii="仿宋" w:eastAsia="仿宋" w:hAnsi="仿宋"/>
          <w:b w:val="0"/>
          <w:bCs/>
          <w:sz w:val="32"/>
          <w:szCs w:val="32"/>
        </w:rPr>
        <w:t>%</w:t>
      </w:r>
      <w:r>
        <w:rPr>
          <w:rStyle w:val="a8"/>
          <w:rFonts w:ascii="仿宋" w:eastAsia="仿宋" w:hAnsi="仿宋" w:hint="eastAsia"/>
          <w:b w:val="0"/>
          <w:bCs/>
          <w:sz w:val="32"/>
          <w:szCs w:val="32"/>
        </w:rPr>
        <w:t>。</w:t>
      </w:r>
      <w:r>
        <w:rPr>
          <w:rStyle w:val="a8"/>
          <w:rFonts w:ascii="仿宋" w:eastAsia="仿宋" w:hAnsi="仿宋" w:hint="eastAsia"/>
          <w:b w:val="0"/>
          <w:bCs/>
          <w:color w:val="000000" w:themeColor="text1"/>
          <w:sz w:val="32"/>
          <w:szCs w:val="32"/>
        </w:rPr>
        <w:t>决算数小于预算数的主要原因是</w:t>
      </w:r>
      <w:r>
        <w:rPr>
          <w:rFonts w:ascii="仿宋_GB2312" w:eastAsia="仿宋_GB2312" w:hAnsi="仿宋" w:hint="eastAsia"/>
          <w:color w:val="000000" w:themeColor="text1"/>
          <w:sz w:val="32"/>
          <w:szCs w:val="32"/>
        </w:rPr>
        <w:t>今年财政第一次采用教育收费反清算方式，原由财政统一安排的教育收费收入变更为事业收入，对应调整了支出</w:t>
      </w:r>
      <w:r>
        <w:rPr>
          <w:rStyle w:val="a8"/>
          <w:rFonts w:ascii="仿宋" w:eastAsia="仿宋" w:hAnsi="仿宋" w:hint="eastAsia"/>
          <w:b w:val="0"/>
          <w:bCs/>
          <w:color w:val="000000" w:themeColor="text1"/>
          <w:sz w:val="32"/>
          <w:szCs w:val="32"/>
        </w:rPr>
        <w:t>。</w:t>
      </w:r>
    </w:p>
    <w:p w:rsidR="00855B1B" w:rsidRDefault="004728E5" w:rsidP="00CF7B7A">
      <w:pPr>
        <w:spacing w:line="600" w:lineRule="exact"/>
        <w:ind w:firstLineChars="200" w:firstLine="643"/>
        <w:rPr>
          <w:rFonts w:ascii="仿宋" w:eastAsia="仿宋" w:hAnsi="仿宋"/>
          <w:bCs/>
          <w:color w:val="FF0000"/>
          <w:sz w:val="32"/>
          <w:szCs w:val="32"/>
        </w:rPr>
      </w:pPr>
      <w:r>
        <w:rPr>
          <w:rStyle w:val="a8"/>
          <w:rFonts w:ascii="仿宋" w:eastAsia="仿宋" w:hAnsi="仿宋" w:hint="eastAsia"/>
          <w:bCs/>
          <w:sz w:val="32"/>
          <w:szCs w:val="32"/>
        </w:rPr>
        <w:t>7</w:t>
      </w:r>
      <w:r>
        <w:rPr>
          <w:rStyle w:val="a8"/>
          <w:rFonts w:ascii="仿宋" w:eastAsia="仿宋" w:hAnsi="仿宋"/>
          <w:bCs/>
          <w:sz w:val="32"/>
          <w:szCs w:val="32"/>
        </w:rPr>
        <w:t>.</w:t>
      </w:r>
      <w:r>
        <w:rPr>
          <w:rStyle w:val="a8"/>
          <w:rFonts w:ascii="仿宋" w:eastAsia="仿宋" w:hAnsi="仿宋" w:hint="eastAsia"/>
          <w:bCs/>
          <w:sz w:val="32"/>
          <w:szCs w:val="32"/>
        </w:rPr>
        <w:t xml:space="preserve"> 社会保障和就业（类）抚恤（款）死亡抚恤（项）</w:t>
      </w:r>
      <w:r>
        <w:rPr>
          <w:rStyle w:val="a8"/>
          <w:rFonts w:ascii="仿宋" w:eastAsia="仿宋" w:hAnsi="仿宋"/>
          <w:bCs/>
          <w:sz w:val="32"/>
          <w:szCs w:val="32"/>
        </w:rPr>
        <w:t>:</w:t>
      </w:r>
      <w:r>
        <w:rPr>
          <w:rStyle w:val="a8"/>
          <w:rFonts w:ascii="仿宋" w:eastAsia="仿宋" w:hAnsi="仿宋" w:hint="eastAsia"/>
          <w:b w:val="0"/>
          <w:bCs/>
          <w:sz w:val="32"/>
          <w:szCs w:val="32"/>
        </w:rPr>
        <w:t>支出决算为15.50万元，完成预算100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55B1B" w:rsidRDefault="004728E5" w:rsidP="00CF7B7A">
      <w:pPr>
        <w:spacing w:line="600" w:lineRule="exact"/>
        <w:ind w:firstLineChars="200" w:firstLine="643"/>
        <w:rPr>
          <w:rFonts w:ascii="仿宋" w:eastAsia="仿宋" w:hAnsi="仿宋"/>
          <w:bCs/>
          <w:color w:val="000000" w:themeColor="text1"/>
          <w:sz w:val="32"/>
          <w:szCs w:val="32"/>
        </w:rPr>
      </w:pPr>
      <w:r>
        <w:rPr>
          <w:rStyle w:val="a8"/>
          <w:rFonts w:ascii="仿宋" w:eastAsia="仿宋" w:hAnsi="仿宋" w:hint="eastAsia"/>
          <w:bCs/>
          <w:sz w:val="32"/>
          <w:szCs w:val="32"/>
        </w:rPr>
        <w:t>8</w:t>
      </w:r>
      <w:r>
        <w:rPr>
          <w:rStyle w:val="a8"/>
          <w:rFonts w:ascii="仿宋" w:eastAsia="仿宋" w:hAnsi="仿宋"/>
          <w:bCs/>
          <w:sz w:val="32"/>
          <w:szCs w:val="32"/>
        </w:rPr>
        <w:t>.</w:t>
      </w:r>
      <w:r>
        <w:rPr>
          <w:rStyle w:val="a8"/>
          <w:rFonts w:ascii="仿宋" w:eastAsia="仿宋" w:hAnsi="仿宋" w:hint="eastAsia"/>
          <w:bCs/>
          <w:sz w:val="32"/>
          <w:szCs w:val="32"/>
        </w:rPr>
        <w:t>住房保障支出（类）住房改革支出（款）住房公积金（项）</w:t>
      </w:r>
      <w:r>
        <w:rPr>
          <w:rStyle w:val="a8"/>
          <w:rFonts w:ascii="仿宋" w:eastAsia="仿宋" w:hAnsi="仿宋"/>
          <w:bCs/>
          <w:sz w:val="32"/>
          <w:szCs w:val="32"/>
        </w:rPr>
        <w:t>:</w:t>
      </w:r>
      <w:r>
        <w:rPr>
          <w:rStyle w:val="a8"/>
          <w:rFonts w:ascii="仿宋" w:eastAsia="仿宋" w:hAnsi="仿宋" w:hint="eastAsia"/>
          <w:b w:val="0"/>
          <w:bCs/>
          <w:sz w:val="32"/>
          <w:szCs w:val="32"/>
        </w:rPr>
        <w:t>支出决算为562.82万元，完成预算87.11</w:t>
      </w:r>
      <w:r>
        <w:rPr>
          <w:rStyle w:val="a8"/>
          <w:rFonts w:ascii="仿宋" w:eastAsia="仿宋" w:hAnsi="仿宋"/>
          <w:b w:val="0"/>
          <w:bCs/>
          <w:sz w:val="32"/>
          <w:szCs w:val="32"/>
        </w:rPr>
        <w:t>%</w:t>
      </w:r>
      <w:r>
        <w:rPr>
          <w:rStyle w:val="a8"/>
          <w:rFonts w:ascii="仿宋" w:eastAsia="仿宋" w:hAnsi="仿宋" w:hint="eastAsia"/>
          <w:b w:val="0"/>
          <w:bCs/>
          <w:sz w:val="32"/>
          <w:szCs w:val="32"/>
        </w:rPr>
        <w:t>。</w:t>
      </w:r>
      <w:r>
        <w:rPr>
          <w:rStyle w:val="a8"/>
          <w:rFonts w:ascii="仿宋" w:eastAsia="仿宋" w:hAnsi="仿宋" w:hint="eastAsia"/>
          <w:b w:val="0"/>
          <w:bCs/>
          <w:color w:val="000000" w:themeColor="text1"/>
          <w:sz w:val="32"/>
          <w:szCs w:val="32"/>
        </w:rPr>
        <w:t>决算数小于预算数的主要原因是公积金缴费基数调整（下调）。</w:t>
      </w:r>
    </w:p>
    <w:p w:rsidR="00855B1B" w:rsidRDefault="004728E5">
      <w:pPr>
        <w:tabs>
          <w:tab w:val="right" w:pos="8306"/>
        </w:tabs>
        <w:spacing w:line="600" w:lineRule="exact"/>
        <w:ind w:firstLine="640"/>
        <w:outlineLvl w:val="1"/>
        <w:rPr>
          <w:rStyle w:val="2Char"/>
        </w:rPr>
      </w:pPr>
      <w:bookmarkStart w:id="35" w:name="_Toc15377214"/>
      <w:bookmarkStart w:id="36"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855B1B" w:rsidRDefault="004728E5">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22年一般公共预算财政拨款基本支出7296.34万元，其中：</w:t>
      </w:r>
    </w:p>
    <w:p w:rsidR="00855B1B" w:rsidRDefault="004728E5">
      <w:pPr>
        <w:spacing w:line="600" w:lineRule="exact"/>
        <w:ind w:firstLine="645"/>
        <w:rPr>
          <w:rFonts w:ascii="仿宋" w:eastAsia="仿宋" w:hAnsi="仿宋"/>
          <w:sz w:val="32"/>
          <w:szCs w:val="32"/>
        </w:rPr>
      </w:pPr>
      <w:r>
        <w:rPr>
          <w:rFonts w:ascii="仿宋" w:eastAsia="仿宋" w:hAnsi="仿宋" w:hint="eastAsia"/>
          <w:sz w:val="32"/>
          <w:szCs w:val="32"/>
        </w:rPr>
        <w:t>人员经费7059.77万元，主要包括：基本工资、津贴补贴、奖金、绩效工资、机关事业单位基本养老保险缴费、其他社会保障缴费、其他工资福利支出、退休费、抚恤金、生活补助、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公用经费236.57万元，主要包括：办公费、印刷费、手续费、水费、电费、邮电费、物业管理费、差旅费、维修</w:t>
      </w:r>
      <w:r>
        <w:rPr>
          <w:rFonts w:ascii="仿宋" w:eastAsia="仿宋" w:hAnsi="仿宋" w:hint="eastAsia"/>
          <w:sz w:val="32"/>
          <w:szCs w:val="32"/>
        </w:rPr>
        <w:lastRenderedPageBreak/>
        <w:t>（护）费、租赁费、培训费、劳务费、工会经费、公务用车运行维护费、其他交通费、其他商品和服务支出、其他资本性支出等。</w:t>
      </w:r>
    </w:p>
    <w:p w:rsidR="00855B1B" w:rsidRDefault="004728E5">
      <w:pPr>
        <w:spacing w:line="600" w:lineRule="exact"/>
        <w:ind w:firstLine="640"/>
        <w:outlineLvl w:val="1"/>
        <w:rPr>
          <w:rStyle w:val="2Char"/>
          <w:rFonts w:ascii="黑体" w:eastAsia="黑体" w:hAnsi="黑体"/>
          <w:b w:val="0"/>
        </w:rPr>
      </w:pPr>
      <w:bookmarkStart w:id="37" w:name="_Toc15377215"/>
      <w:bookmarkStart w:id="38" w:name="_Toc15396609"/>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7"/>
      <w:bookmarkEnd w:id="38"/>
    </w:p>
    <w:p w:rsidR="00855B1B" w:rsidRDefault="004728E5">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855B1B" w:rsidRDefault="004728E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22年“三公”经费财政拨款支出决算为4.78万元，完成预算73.2</w:t>
      </w:r>
      <w:r>
        <w:rPr>
          <w:rFonts w:ascii="仿宋" w:eastAsia="仿宋" w:hAnsi="仿宋"/>
          <w:sz w:val="32"/>
          <w:szCs w:val="32"/>
        </w:rPr>
        <w:t>%</w:t>
      </w:r>
      <w:r>
        <w:rPr>
          <w:rFonts w:ascii="仿宋" w:eastAsia="仿宋" w:hAnsi="仿宋" w:hint="eastAsia"/>
          <w:sz w:val="32"/>
          <w:szCs w:val="32"/>
        </w:rPr>
        <w:t>，较上年减少1.22万元， 20.3%。决算数小于预算数的主要原因是部分车辆维修费未结账支付。</w:t>
      </w:r>
    </w:p>
    <w:p w:rsidR="00855B1B" w:rsidRDefault="004728E5">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855B1B" w:rsidRDefault="004728E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；公务用车购置及运行维护费支出决算4.78万元，占100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。具体情况如下：</w:t>
      </w:r>
    </w:p>
    <w:p w:rsidR="00855B1B" w:rsidRDefault="004728E5">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855B1B" w:rsidRDefault="00855B1B">
      <w:pPr>
        <w:pStyle w:val="a0"/>
        <w:spacing w:before="93"/>
      </w:pPr>
    </w:p>
    <w:p w:rsidR="00855B1B" w:rsidRDefault="004728E5">
      <w:pPr>
        <w:pStyle w:val="a0"/>
        <w:spacing w:before="93"/>
      </w:pPr>
      <w:r>
        <w:rPr>
          <w:rFonts w:hint="eastAsia"/>
          <w:noProof/>
        </w:rPr>
        <w:drawing>
          <wp:inline distT="0" distB="0" distL="0" distR="0">
            <wp:extent cx="5133975" cy="2447925"/>
            <wp:effectExtent l="19050" t="0" r="9525" b="0"/>
            <wp:docPr id="1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5B1B" w:rsidRDefault="00855B1B">
      <w:pPr>
        <w:pStyle w:val="a0"/>
        <w:spacing w:before="93"/>
      </w:pPr>
    </w:p>
    <w:p w:rsidR="00855B1B" w:rsidRDefault="00855B1B">
      <w:pPr>
        <w:pStyle w:val="a0"/>
        <w:spacing w:before="93"/>
      </w:pPr>
    </w:p>
    <w:p w:rsidR="00855B1B" w:rsidRDefault="00855B1B">
      <w:pPr>
        <w:pStyle w:val="a0"/>
        <w:spacing w:before="93"/>
      </w:pPr>
    </w:p>
    <w:p w:rsidR="00855B1B" w:rsidRDefault="004728E5">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8"/>
          <w:rFonts w:ascii="仿宋" w:eastAsia="仿宋" w:hAnsi="仿宋" w:hint="eastAsia"/>
          <w:b w:val="0"/>
          <w:bCs/>
          <w:sz w:val="32"/>
          <w:szCs w:val="32"/>
        </w:rPr>
        <w:t>完成预算0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21年持平，主要原因是本年未安排因公出国（境）事项。</w:t>
      </w:r>
    </w:p>
    <w:p w:rsidR="00FD5B58" w:rsidRDefault="00FD5B58" w:rsidP="00FD5B58">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4.78万元,</w:t>
      </w:r>
      <w:r>
        <w:rPr>
          <w:rStyle w:val="a8"/>
          <w:rFonts w:ascii="仿宋" w:eastAsia="仿宋" w:hAnsi="仿宋" w:hint="eastAsia"/>
          <w:b w:val="0"/>
          <w:bCs/>
          <w:sz w:val="32"/>
          <w:szCs w:val="32"/>
        </w:rPr>
        <w:t>完成预算73.2</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21年减少1.22万元，下降20.3</w:t>
      </w:r>
      <w:r>
        <w:rPr>
          <w:rFonts w:ascii="仿宋_GB2312" w:eastAsia="仿宋_GB2312"/>
          <w:sz w:val="32"/>
          <w:szCs w:val="32"/>
        </w:rPr>
        <w:t>%</w:t>
      </w:r>
      <w:r>
        <w:rPr>
          <w:rFonts w:ascii="仿宋_GB2312" w:eastAsia="仿宋_GB2312" w:hint="eastAsia"/>
          <w:sz w:val="32"/>
          <w:szCs w:val="32"/>
        </w:rPr>
        <w:t>。主要原因是</w:t>
      </w:r>
      <w:r>
        <w:rPr>
          <w:rFonts w:ascii="仿宋" w:eastAsia="仿宋" w:hAnsi="仿宋" w:hint="eastAsia"/>
          <w:sz w:val="32"/>
          <w:szCs w:val="32"/>
        </w:rPr>
        <w:t>部分车辆维修费未结账支付</w:t>
      </w:r>
      <w:r>
        <w:rPr>
          <w:rFonts w:ascii="仿宋_GB2312" w:eastAsia="仿宋_GB2312" w:hint="eastAsia"/>
          <w:sz w:val="32"/>
          <w:szCs w:val="32"/>
        </w:rPr>
        <w:t>。</w:t>
      </w:r>
    </w:p>
    <w:p w:rsidR="00855B1B" w:rsidRDefault="00FD5B58" w:rsidP="00FD5B58">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w:t>
      </w:r>
      <w:r w:rsidR="00E05B2E">
        <w:rPr>
          <w:rFonts w:ascii="仿宋_GB2312" w:eastAsia="仿宋_GB2312" w:hint="eastAsia"/>
          <w:sz w:val="32"/>
          <w:szCs w:val="32"/>
        </w:rPr>
        <w:t>万元</w:t>
      </w:r>
      <w:r w:rsidR="004728E5">
        <w:rPr>
          <w:rFonts w:ascii="仿宋_GB2312" w:eastAsia="仿宋_GB2312" w:hint="eastAsia"/>
          <w:sz w:val="32"/>
          <w:szCs w:val="32"/>
        </w:rPr>
        <w:t>。截至</w:t>
      </w:r>
      <w:r w:rsidR="004728E5">
        <w:rPr>
          <w:rFonts w:ascii="仿宋_GB2312" w:eastAsia="仿宋_GB2312"/>
          <w:sz w:val="32"/>
          <w:szCs w:val="32"/>
        </w:rPr>
        <w:t>20</w:t>
      </w:r>
      <w:r w:rsidR="004728E5">
        <w:rPr>
          <w:rFonts w:ascii="仿宋_GB2312" w:eastAsia="仿宋_GB2312" w:hint="eastAsia"/>
          <w:sz w:val="32"/>
          <w:szCs w:val="32"/>
        </w:rPr>
        <w:t>22年</w:t>
      </w:r>
      <w:r w:rsidR="004728E5">
        <w:rPr>
          <w:rFonts w:ascii="仿宋_GB2312" w:eastAsia="仿宋_GB2312"/>
          <w:sz w:val="32"/>
          <w:szCs w:val="32"/>
        </w:rPr>
        <w:t>12</w:t>
      </w:r>
      <w:r w:rsidR="004728E5">
        <w:rPr>
          <w:rFonts w:ascii="仿宋_GB2312" w:eastAsia="仿宋_GB2312" w:hint="eastAsia"/>
          <w:sz w:val="32"/>
          <w:szCs w:val="32"/>
        </w:rPr>
        <w:t>月底，单位共有公务用车3辆，其中：轿车1辆、越野车0辆、载客汽车2辆。</w:t>
      </w:r>
    </w:p>
    <w:p w:rsidR="00855B1B" w:rsidRDefault="004728E5">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4.78万元。主要用于教职工市内公务、学生比赛、教师新校区通勤等等所需的公务用车燃料费、维修费、过路过桥费、保险费等支出。</w:t>
      </w:r>
    </w:p>
    <w:p w:rsidR="00FD5B58" w:rsidRDefault="00FD5B58" w:rsidP="00FD5B58">
      <w:pPr>
        <w:spacing w:line="600" w:lineRule="exact"/>
        <w:ind w:firstLine="640"/>
        <w:rPr>
          <w:rFonts w:ascii="仿宋_GB2312" w:eastAsia="仿宋_GB2312"/>
          <w:sz w:val="32"/>
          <w:szCs w:val="32"/>
        </w:rPr>
      </w:pPr>
      <w:bookmarkStart w:id="41" w:name="_Toc15377218"/>
      <w:bookmarkStart w:id="42" w:name="_Toc15396610"/>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r>
        <w:rPr>
          <w:rStyle w:val="a8"/>
          <w:rFonts w:ascii="仿宋" w:eastAsia="仿宋" w:hAnsi="仿宋" w:hint="eastAsia"/>
          <w:b w:val="0"/>
          <w:bCs/>
          <w:sz w:val="32"/>
          <w:szCs w:val="32"/>
        </w:rPr>
        <w:t>完成预算0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21年减少0.17万元，下降100</w:t>
      </w:r>
      <w:r>
        <w:rPr>
          <w:rFonts w:ascii="仿宋_GB2312" w:eastAsia="仿宋_GB2312"/>
          <w:sz w:val="32"/>
          <w:szCs w:val="32"/>
        </w:rPr>
        <w:t>%</w:t>
      </w:r>
      <w:r>
        <w:rPr>
          <w:rFonts w:ascii="仿宋_GB2312" w:eastAsia="仿宋_GB2312" w:hint="eastAsia"/>
          <w:sz w:val="32"/>
          <w:szCs w:val="32"/>
        </w:rPr>
        <w:t>。主要原因是本年未产生必须接待公务事项。</w:t>
      </w:r>
    </w:p>
    <w:p w:rsidR="00FD5B58" w:rsidRDefault="00FD5B58" w:rsidP="00FD5B58">
      <w:pPr>
        <w:spacing w:line="600" w:lineRule="exact"/>
        <w:ind w:firstLine="640"/>
        <w:rPr>
          <w:rFonts w:ascii="仿宋_GB2312" w:eastAsia="仿宋_GB2312"/>
          <w:sz w:val="32"/>
          <w:szCs w:val="32"/>
        </w:rPr>
      </w:pPr>
      <w:r>
        <w:rPr>
          <w:rFonts w:hint="eastAsia"/>
        </w:rPr>
        <w:t xml:space="preserve"> </w:t>
      </w: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万元。国内公务接待0批次，0人次，共计支出0万元</w:t>
      </w:r>
      <w:r w:rsidR="00E05B2E">
        <w:rPr>
          <w:rFonts w:ascii="仿宋_GB2312" w:eastAsia="仿宋_GB2312" w:hint="eastAsia"/>
          <w:sz w:val="32"/>
          <w:szCs w:val="32"/>
        </w:rPr>
        <w:t>。</w:t>
      </w:r>
    </w:p>
    <w:p w:rsidR="00FD5B58" w:rsidRPr="00BF57D9" w:rsidRDefault="00FD5B58" w:rsidP="00FD5B58">
      <w:pPr>
        <w:spacing w:line="600" w:lineRule="exact"/>
        <w:ind w:firstLineChars="200" w:firstLine="643"/>
        <w:rPr>
          <w:rFonts w:ascii="仿宋_GB2312" w:eastAsia="仿宋_GB2312"/>
          <w:sz w:val="32"/>
          <w:szCs w:val="32"/>
        </w:rPr>
      </w:pPr>
      <w:r>
        <w:rPr>
          <w:rFonts w:ascii="仿宋" w:eastAsia="仿宋" w:hAnsi="仿宋" w:hint="eastAsia"/>
          <w:b/>
          <w:sz w:val="32"/>
          <w:szCs w:val="32"/>
        </w:rPr>
        <w:lastRenderedPageBreak/>
        <w:t>外事接待支出</w:t>
      </w:r>
      <w:r>
        <w:rPr>
          <w:rFonts w:ascii="仿宋" w:eastAsia="仿宋" w:hAnsi="仿宋" w:hint="eastAsia"/>
          <w:sz w:val="32"/>
          <w:szCs w:val="32"/>
        </w:rPr>
        <w:t>0</w:t>
      </w:r>
      <w:r>
        <w:rPr>
          <w:rFonts w:ascii="仿宋_GB2312" w:eastAsia="仿宋_GB2312" w:hint="eastAsia"/>
          <w:sz w:val="32"/>
          <w:szCs w:val="32"/>
        </w:rPr>
        <w:t>万元。外事接待0批次，0人次共计支出0万元。</w:t>
      </w:r>
    </w:p>
    <w:p w:rsidR="00855B1B" w:rsidRDefault="004728E5">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855B1B" w:rsidRDefault="004728E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22年政府性基金预算财政拨款支出4.05万元。</w:t>
      </w:r>
    </w:p>
    <w:p w:rsidR="00855B1B" w:rsidRDefault="004728E5">
      <w:pPr>
        <w:numPr>
          <w:ilvl w:val="0"/>
          <w:numId w:val="3"/>
        </w:numPr>
        <w:spacing w:line="600" w:lineRule="exact"/>
        <w:ind w:firstLine="640"/>
        <w:outlineLvl w:val="1"/>
        <w:rPr>
          <w:rStyle w:val="2Char"/>
          <w:rFonts w:ascii="黑体" w:eastAsia="黑体" w:hAnsi="黑体"/>
          <w:b w:val="0"/>
        </w:rPr>
      </w:pPr>
      <w:bookmarkStart w:id="43" w:name="_Toc15396611"/>
      <w:bookmarkStart w:id="44" w:name="_Toc15377219"/>
      <w:r>
        <w:rPr>
          <w:rStyle w:val="2Char"/>
          <w:rFonts w:ascii="黑体" w:eastAsia="黑体" w:hAnsi="黑体" w:hint="eastAsia"/>
          <w:b w:val="0"/>
        </w:rPr>
        <w:t>国有资本经营预算支出决算情况说明</w:t>
      </w:r>
      <w:bookmarkEnd w:id="43"/>
      <w:bookmarkEnd w:id="44"/>
    </w:p>
    <w:p w:rsidR="00855B1B" w:rsidRDefault="004728E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22年国有资本经营预算财政拨款支出0万元。</w:t>
      </w:r>
    </w:p>
    <w:p w:rsidR="00855B1B" w:rsidRDefault="00855B1B">
      <w:pPr>
        <w:spacing w:line="580" w:lineRule="exact"/>
        <w:jc w:val="center"/>
        <w:rPr>
          <w:rFonts w:ascii="方正小标宋简体" w:eastAsia="方正小标宋简体" w:hAnsi="方正小标宋简体" w:cs="方正小标宋简体"/>
          <w:sz w:val="44"/>
          <w:szCs w:val="44"/>
        </w:rPr>
      </w:pPr>
    </w:p>
    <w:p w:rsidR="00855B1B" w:rsidRDefault="004728E5">
      <w:pPr>
        <w:numPr>
          <w:ilvl w:val="0"/>
          <w:numId w:val="3"/>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855B1B" w:rsidRDefault="004728E5" w:rsidP="00CF7B7A">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855B1B" w:rsidRDefault="004728E5">
      <w:pPr>
        <w:spacing w:line="600" w:lineRule="exact"/>
        <w:ind w:firstLineChars="200" w:firstLine="640"/>
        <w:rPr>
          <w:rFonts w:ascii="仿宋_GB2312" w:eastAsia="仿宋_GB2312"/>
          <w:sz w:val="32"/>
          <w:szCs w:val="32"/>
        </w:rPr>
      </w:pPr>
      <w:r>
        <w:rPr>
          <w:rFonts w:ascii="仿宋_GB2312" w:eastAsia="仿宋_GB2312" w:hint="eastAsia"/>
          <w:sz w:val="32"/>
          <w:szCs w:val="32"/>
        </w:rPr>
        <w:t>我单位是事业单位，无此项支出。</w:t>
      </w:r>
    </w:p>
    <w:p w:rsidR="00855B1B" w:rsidRDefault="004728E5" w:rsidP="00CF7B7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855B1B" w:rsidRDefault="004728E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枝花市第三高级中学校政府采购支出总额411.29万元，其中：政府采购货物支出118.44万元、政府采购工程支出292.85万元、政府采购服务支出0万元。主要用于学校智慧黑板更新、网络日志记录设备。授予中小企业合同金额411.29万元，占政府采购支出总额的100</w:t>
      </w:r>
      <w:r>
        <w:rPr>
          <w:rFonts w:ascii="仿宋_GB2312" w:eastAsia="仿宋_GB2312"/>
          <w:sz w:val="32"/>
          <w:szCs w:val="32"/>
        </w:rPr>
        <w:t>%</w:t>
      </w:r>
      <w:r>
        <w:rPr>
          <w:rFonts w:ascii="仿宋_GB2312" w:eastAsia="仿宋_GB2312" w:hint="eastAsia"/>
          <w:sz w:val="32"/>
          <w:szCs w:val="32"/>
        </w:rPr>
        <w:t>，其中：授予小微企业合同金额0万元，占政府采购支出总额的0</w:t>
      </w:r>
      <w:r>
        <w:rPr>
          <w:rFonts w:ascii="仿宋_GB2312" w:eastAsia="仿宋_GB2312"/>
          <w:sz w:val="32"/>
          <w:szCs w:val="32"/>
        </w:rPr>
        <w:t>%</w:t>
      </w:r>
      <w:r>
        <w:rPr>
          <w:rFonts w:ascii="仿宋_GB2312" w:eastAsia="仿宋_GB2312" w:hint="eastAsia"/>
          <w:sz w:val="32"/>
          <w:szCs w:val="32"/>
        </w:rPr>
        <w:t>。</w:t>
      </w:r>
    </w:p>
    <w:p w:rsidR="00855B1B" w:rsidRDefault="004728E5" w:rsidP="00CF7B7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855B1B" w:rsidRDefault="004728E5">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日，攀枝花市第三高级中学校共有车辆3辆，其中：主要领导干部用车0辆、机要通信用车0辆、应急保障用车0辆、其他用车3辆，其他用车主要是用于：一台一般公务用车，用于教职工市内一般公务及应急处置，中</w:t>
      </w:r>
      <w:r>
        <w:rPr>
          <w:rFonts w:ascii="仿宋_GB2312" w:eastAsia="仿宋_GB2312" w:hint="eastAsia"/>
          <w:sz w:val="32"/>
          <w:szCs w:val="32"/>
        </w:rPr>
        <w:lastRenderedPageBreak/>
        <w:t>型和大型客车各一辆，主要用于教职工新校区通勤、教研活动、学生演出及比赛等。单价</w:t>
      </w:r>
      <w:r>
        <w:rPr>
          <w:rFonts w:ascii="仿宋_GB2312" w:eastAsia="仿宋_GB2312"/>
          <w:sz w:val="32"/>
          <w:szCs w:val="32"/>
        </w:rPr>
        <w:t>100</w:t>
      </w:r>
      <w:r>
        <w:rPr>
          <w:rFonts w:ascii="仿宋_GB2312" w:eastAsia="仿宋_GB2312" w:hint="eastAsia"/>
          <w:sz w:val="32"/>
          <w:szCs w:val="32"/>
        </w:rPr>
        <w:t>万元以上专用设备0台（套）。</w:t>
      </w:r>
    </w:p>
    <w:p w:rsidR="00855B1B" w:rsidRDefault="004728E5" w:rsidP="00CF7B7A">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855B1B" w:rsidRDefault="004728E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根据预算绩效管理要求，本部门在2022年度预算编制阶段，组织对智慧黑板项目等1个项目开展了预算事前绩效评估，对1个项目编制了绩效目标，预算执行过程中，选取1个项目开展绩效监控。</w:t>
      </w:r>
    </w:p>
    <w:p w:rsidR="00855B1B" w:rsidRDefault="004728E5">
      <w:pPr>
        <w:widowControl/>
        <w:ind w:firstLineChars="200" w:firstLine="640"/>
        <w:jc w:val="left"/>
        <w:rPr>
          <w:rFonts w:ascii="仿宋_GB2312" w:eastAsia="仿宋_GB2312"/>
          <w:b/>
          <w:color w:val="FF0000"/>
          <w:sz w:val="32"/>
          <w:szCs w:val="32"/>
        </w:rPr>
      </w:pPr>
      <w:r>
        <w:rPr>
          <w:rFonts w:ascii="仿宋_GB2312" w:eastAsia="仿宋_GB2312" w:hAnsi="仿宋_GB2312" w:cs="仿宋_GB2312" w:hint="eastAsia"/>
          <w:sz w:val="32"/>
          <w:szCs w:val="32"/>
        </w:rPr>
        <w:t>组织对2022年度一般公共预算开展绩效自评，形成攀枝花市第三高级中学部门整体（含部门预算项目）绩效自评报告、智慧黑板等专项预算项目绩效自评报告，其中，攀枝</w:t>
      </w:r>
      <w:r>
        <w:rPr>
          <w:rFonts w:ascii="仿宋_GB2312" w:eastAsia="仿宋_GB2312" w:hAnsi="仿宋_GB2312" w:cs="仿宋_GB2312" w:hint="eastAsia"/>
          <w:color w:val="000000" w:themeColor="text1"/>
          <w:sz w:val="32"/>
          <w:szCs w:val="32"/>
        </w:rPr>
        <w:t>花市第三高级中学部门整体（含部门预算项目）绩效自评得分为92分，绩效自评综述：市三中2022年完成年初既定绩效目标，高三毕业学生合格率100%，基本完成市政府高考任务，学校办学条件进一步得到提升，师生、家长、社会满意度有所提高；智慧黑板专项预算项目绩效自评得分为91分，绩效自评综述：学校按计划完成高三园30间教师智慧黑板更新改造，设备质量良好，师生使用效果好，满意度高。绩效自评报告详见附件。</w:t>
      </w:r>
      <w:r>
        <w:rPr>
          <w:rFonts w:ascii="仿宋_GB2312" w:eastAsia="仿宋_GB2312"/>
          <w:b/>
          <w:color w:val="FF0000"/>
          <w:sz w:val="32"/>
          <w:szCs w:val="32"/>
        </w:rPr>
        <w:br w:type="page"/>
      </w:r>
    </w:p>
    <w:p w:rsidR="00855B1B" w:rsidRDefault="004728E5">
      <w:pPr>
        <w:numPr>
          <w:ilvl w:val="0"/>
          <w:numId w:val="4"/>
        </w:numPr>
        <w:spacing w:line="600" w:lineRule="exact"/>
        <w:ind w:firstLineChars="150" w:firstLine="660"/>
        <w:jc w:val="center"/>
        <w:outlineLvl w:val="0"/>
        <w:rPr>
          <w:rStyle w:val="1Char"/>
          <w:rFonts w:ascii="黑体" w:eastAsia="黑体" w:hAnsi="黑体"/>
          <w:b w:val="0"/>
        </w:rPr>
      </w:pPr>
      <w:bookmarkStart w:id="50" w:name="_Toc15377225"/>
      <w:bookmarkStart w:id="51"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855B1B" w:rsidRDefault="00855B1B">
      <w:pPr>
        <w:spacing w:line="600" w:lineRule="exact"/>
        <w:jc w:val="left"/>
        <w:rPr>
          <w:rFonts w:ascii="宋体"/>
          <w:b/>
          <w:sz w:val="44"/>
          <w:szCs w:val="44"/>
        </w:rPr>
      </w:pP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经营收入：指事业单位在专业业务活动及其辅助活动之外开展非独立核算经营活动取得的收入。如…（二级预算单位经营收入情况）等。</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其他收入：指单位取得的除上述收入以外的各项收入。主要是…（收入类型）等。</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855B1B" w:rsidRDefault="004728E5">
      <w:pPr>
        <w:ind w:firstLineChars="200" w:firstLine="640"/>
        <w:rPr>
          <w:rFonts w:ascii="仿宋_GB2312" w:eastAsia="仿宋_GB2312"/>
          <w:color w:val="000000" w:themeColor="text1"/>
          <w:sz w:val="32"/>
          <w:szCs w:val="32"/>
        </w:rPr>
      </w:pPr>
      <w:r>
        <w:rPr>
          <w:rFonts w:ascii="仿宋_GB2312" w:eastAsia="仿宋_GB2312" w:hint="eastAsia"/>
          <w:sz w:val="32"/>
          <w:szCs w:val="32"/>
        </w:rPr>
        <w:t>9</w:t>
      </w:r>
      <w:r>
        <w:rPr>
          <w:rFonts w:ascii="仿宋_GB2312" w:eastAsia="仿宋_GB2312"/>
          <w:sz w:val="32"/>
          <w:szCs w:val="32"/>
        </w:rPr>
        <w:t>.</w:t>
      </w:r>
      <w:r>
        <w:rPr>
          <w:rStyle w:val="a8"/>
          <w:rFonts w:ascii="仿宋" w:eastAsia="仿宋" w:hAnsi="仿宋" w:hint="eastAsia"/>
          <w:b w:val="0"/>
          <w:bCs/>
          <w:color w:val="000000" w:themeColor="text1"/>
          <w:sz w:val="32"/>
          <w:szCs w:val="32"/>
        </w:rPr>
        <w:t>教育（类）普通教育（款）高中教育（项）</w:t>
      </w:r>
      <w:r>
        <w:rPr>
          <w:rFonts w:ascii="仿宋_GB2312" w:eastAsia="仿宋_GB2312" w:hint="eastAsia"/>
          <w:color w:val="000000" w:themeColor="text1"/>
          <w:sz w:val="32"/>
          <w:szCs w:val="32"/>
        </w:rPr>
        <w:t>：指反映各部门举办的普通高中教育支出。</w:t>
      </w:r>
    </w:p>
    <w:p w:rsidR="00855B1B" w:rsidRDefault="004728E5">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w:t>
      </w:r>
      <w:r>
        <w:rPr>
          <w:rFonts w:ascii="仿宋_GB2312" w:eastAsia="仿宋_GB2312"/>
          <w:color w:val="000000" w:themeColor="text1"/>
          <w:sz w:val="32"/>
          <w:szCs w:val="32"/>
        </w:rPr>
        <w:t>.</w:t>
      </w:r>
      <w:r>
        <w:rPr>
          <w:rStyle w:val="a8"/>
          <w:rFonts w:ascii="仿宋" w:eastAsia="仿宋" w:hAnsi="仿宋" w:hint="eastAsia"/>
          <w:b w:val="0"/>
          <w:bCs/>
          <w:color w:val="000000" w:themeColor="text1"/>
          <w:sz w:val="32"/>
          <w:szCs w:val="32"/>
        </w:rPr>
        <w:t xml:space="preserve"> 教育（类）普通教育（款）其他普通教育支出（项）</w:t>
      </w:r>
      <w:r>
        <w:rPr>
          <w:rFonts w:ascii="仿宋_GB2312" w:eastAsia="仿宋_GB2312" w:hint="eastAsia"/>
          <w:color w:val="000000" w:themeColor="text1"/>
          <w:sz w:val="32"/>
          <w:szCs w:val="32"/>
        </w:rPr>
        <w:t>：指反映除学前教育等项目以外其他用于普通教育方面的支出。</w:t>
      </w:r>
    </w:p>
    <w:p w:rsidR="00855B1B" w:rsidRDefault="004728E5">
      <w:pPr>
        <w:ind w:firstLineChars="200" w:firstLine="640"/>
        <w:rPr>
          <w:rFonts w:ascii="仿宋_GB2312" w:eastAsia="仿宋_GB2312"/>
          <w:sz w:val="32"/>
          <w:szCs w:val="32"/>
        </w:rPr>
      </w:pPr>
      <w:r>
        <w:rPr>
          <w:rFonts w:ascii="仿宋_GB2312" w:eastAsia="仿宋_GB2312" w:hint="eastAsia"/>
          <w:color w:val="000000" w:themeColor="text1"/>
          <w:sz w:val="32"/>
          <w:szCs w:val="32"/>
        </w:rPr>
        <w:lastRenderedPageBreak/>
        <w:t>1</w:t>
      </w:r>
      <w:r>
        <w:rPr>
          <w:rFonts w:hint="eastAsia"/>
          <w:color w:val="000000" w:themeColor="text1"/>
          <w:sz w:val="32"/>
          <w:szCs w:val="32"/>
        </w:rPr>
        <w:t>1</w:t>
      </w:r>
      <w:r>
        <w:rPr>
          <w:rFonts w:ascii="仿宋_GB2312" w:eastAsia="仿宋_GB2312"/>
          <w:color w:val="000000" w:themeColor="text1"/>
          <w:sz w:val="32"/>
          <w:szCs w:val="32"/>
        </w:rPr>
        <w:t>.</w:t>
      </w:r>
      <w:r>
        <w:rPr>
          <w:rStyle w:val="a8"/>
          <w:rFonts w:ascii="仿宋" w:eastAsia="仿宋" w:hAnsi="仿宋" w:hint="eastAsia"/>
          <w:b w:val="0"/>
          <w:bCs/>
          <w:color w:val="000000" w:themeColor="text1"/>
          <w:sz w:val="32"/>
          <w:szCs w:val="32"/>
        </w:rPr>
        <w:t xml:space="preserve"> 教育（类）教育费附加安排的支出（款）其他教育费附加安排的支出（项）</w:t>
      </w:r>
      <w:r>
        <w:rPr>
          <w:rFonts w:ascii="仿宋_GB2312" w:eastAsia="仿宋_GB2312" w:hint="eastAsia"/>
          <w:color w:val="000000" w:themeColor="text1"/>
          <w:sz w:val="32"/>
          <w:szCs w:val="32"/>
        </w:rPr>
        <w:t>：</w:t>
      </w:r>
      <w:r>
        <w:rPr>
          <w:rFonts w:ascii="仿宋_GB2312" w:eastAsia="仿宋_GB2312" w:hint="eastAsia"/>
          <w:sz w:val="32"/>
          <w:szCs w:val="32"/>
        </w:rPr>
        <w:t>指反映用教育费附加安排的除农村中小学校校舍建设等以外的教育费附加支出。</w:t>
      </w:r>
    </w:p>
    <w:p w:rsidR="00855B1B" w:rsidRDefault="004728E5">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Pr>
          <w:rFonts w:ascii="仿宋_GB2312" w:eastAsia="仿宋_GB2312"/>
          <w:b/>
          <w:sz w:val="32"/>
          <w:szCs w:val="32"/>
        </w:rPr>
        <w:t>.</w:t>
      </w:r>
      <w:r>
        <w:rPr>
          <w:rStyle w:val="a8"/>
          <w:rFonts w:ascii="仿宋" w:eastAsia="仿宋" w:hAnsi="仿宋" w:hint="eastAsia"/>
          <w:b w:val="0"/>
          <w:bCs/>
          <w:sz w:val="32"/>
          <w:szCs w:val="32"/>
        </w:rPr>
        <w:t xml:space="preserve"> 文化旅游体育与传媒（类）体育（款）其他体育支出（项）</w:t>
      </w:r>
      <w:r>
        <w:rPr>
          <w:rFonts w:ascii="仿宋_GB2312" w:eastAsia="仿宋_GB2312" w:hint="eastAsia"/>
          <w:b/>
          <w:sz w:val="32"/>
          <w:szCs w:val="32"/>
        </w:rPr>
        <w:t>：</w:t>
      </w:r>
      <w:r>
        <w:rPr>
          <w:rFonts w:ascii="仿宋_GB2312" w:eastAsia="仿宋_GB2312" w:hint="eastAsia"/>
          <w:sz w:val="32"/>
          <w:szCs w:val="32"/>
        </w:rPr>
        <w:t>指反映除行政体育等项目以外其他用于体育方面的支出。</w:t>
      </w:r>
    </w:p>
    <w:p w:rsidR="00855B1B" w:rsidRDefault="004728E5">
      <w:pPr>
        <w:ind w:firstLineChars="200" w:firstLine="640"/>
        <w:rPr>
          <w:rFonts w:ascii="仿宋_GB2312" w:eastAsia="仿宋_GB2312"/>
          <w:b/>
          <w:sz w:val="32"/>
          <w:szCs w:val="32"/>
        </w:rPr>
      </w:pPr>
      <w:r>
        <w:rPr>
          <w:rFonts w:ascii="仿宋_GB2312" w:eastAsia="仿宋_GB2312"/>
          <w:sz w:val="32"/>
          <w:szCs w:val="32"/>
        </w:rPr>
        <w:t>1</w:t>
      </w:r>
      <w:r>
        <w:rPr>
          <w:rFonts w:ascii="仿宋_GB2312" w:eastAsia="仿宋_GB2312" w:hint="eastAsia"/>
          <w:sz w:val="32"/>
          <w:szCs w:val="32"/>
        </w:rPr>
        <w:t>3</w:t>
      </w:r>
      <w:r>
        <w:rPr>
          <w:rFonts w:ascii="仿宋_GB2312" w:eastAsia="仿宋_GB2312"/>
          <w:b/>
          <w:sz w:val="32"/>
          <w:szCs w:val="32"/>
        </w:rPr>
        <w:t>.</w:t>
      </w:r>
      <w:r>
        <w:rPr>
          <w:rStyle w:val="a8"/>
          <w:rFonts w:ascii="仿宋" w:eastAsia="仿宋" w:hAnsi="仿宋" w:hint="eastAsia"/>
          <w:b w:val="0"/>
          <w:bCs/>
          <w:sz w:val="32"/>
          <w:szCs w:val="32"/>
        </w:rPr>
        <w:t xml:space="preserve"> 社会保障和就业（类）行政事业单位养老支出（款）事业单位离退休（项）</w:t>
      </w:r>
      <w:r>
        <w:rPr>
          <w:rFonts w:ascii="仿宋_GB2312" w:eastAsia="仿宋_GB2312" w:hint="eastAsia"/>
          <w:b/>
          <w:sz w:val="32"/>
          <w:szCs w:val="32"/>
        </w:rPr>
        <w:t>：</w:t>
      </w:r>
      <w:r>
        <w:rPr>
          <w:rFonts w:ascii="仿宋_GB2312" w:eastAsia="仿宋_GB2312" w:hint="eastAsia"/>
          <w:sz w:val="32"/>
          <w:szCs w:val="32"/>
        </w:rPr>
        <w:t>指事业单位开支的离退休费。</w:t>
      </w:r>
    </w:p>
    <w:p w:rsidR="00855B1B" w:rsidRDefault="004728E5">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4</w:t>
      </w:r>
      <w:r>
        <w:rPr>
          <w:rFonts w:ascii="仿宋_GB2312" w:eastAsia="仿宋_GB2312"/>
          <w:b/>
          <w:sz w:val="32"/>
          <w:szCs w:val="32"/>
        </w:rPr>
        <w:t>.</w:t>
      </w:r>
      <w:r>
        <w:rPr>
          <w:rStyle w:val="a8"/>
          <w:rFonts w:ascii="仿宋" w:eastAsia="仿宋" w:hAnsi="仿宋" w:hint="eastAsia"/>
          <w:b w:val="0"/>
          <w:bCs/>
          <w:sz w:val="32"/>
          <w:szCs w:val="32"/>
        </w:rPr>
        <w:t xml:space="preserve"> 社会保障和就业（类）行政事业单位养老支出（款）机关事业单位基本养老保险缴费支出（项）</w:t>
      </w:r>
      <w:r>
        <w:rPr>
          <w:rFonts w:ascii="仿宋_GB2312" w:eastAsia="仿宋_GB2312" w:hint="eastAsia"/>
          <w:b/>
          <w:sz w:val="32"/>
          <w:szCs w:val="32"/>
        </w:rPr>
        <w:t>：</w:t>
      </w:r>
      <w:r>
        <w:rPr>
          <w:rFonts w:ascii="仿宋_GB2312" w:eastAsia="仿宋_GB2312" w:hint="eastAsia"/>
          <w:sz w:val="32"/>
          <w:szCs w:val="32"/>
        </w:rPr>
        <w:t>指反映机关事业单位实施养老保险制度由单位实际缴纳的基本养老保险费支出。</w:t>
      </w:r>
    </w:p>
    <w:p w:rsidR="00855B1B" w:rsidRDefault="004728E5">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5</w:t>
      </w:r>
      <w:r>
        <w:rPr>
          <w:rFonts w:ascii="仿宋_GB2312" w:eastAsia="仿宋_GB2312"/>
          <w:b/>
          <w:sz w:val="32"/>
          <w:szCs w:val="32"/>
        </w:rPr>
        <w:t>.</w:t>
      </w:r>
      <w:r>
        <w:rPr>
          <w:rStyle w:val="a8"/>
          <w:rFonts w:ascii="仿宋" w:eastAsia="仿宋" w:hAnsi="仿宋" w:hint="eastAsia"/>
          <w:b w:val="0"/>
          <w:bCs/>
          <w:sz w:val="32"/>
          <w:szCs w:val="32"/>
        </w:rPr>
        <w:t xml:space="preserve"> 社会保障和就业（类）抚恤（款）死亡抚恤（项）</w:t>
      </w:r>
      <w:r>
        <w:rPr>
          <w:rFonts w:ascii="仿宋_GB2312" w:eastAsia="仿宋_GB2312" w:hint="eastAsia"/>
          <w:b/>
          <w:sz w:val="32"/>
          <w:szCs w:val="32"/>
        </w:rPr>
        <w:t>：</w:t>
      </w:r>
      <w:r>
        <w:rPr>
          <w:rFonts w:ascii="仿宋_GB2312" w:eastAsia="仿宋_GB2312" w:hint="eastAsia"/>
          <w:sz w:val="32"/>
          <w:szCs w:val="32"/>
        </w:rPr>
        <w:t>指反映按规定用于烈士和牺牲、病故人员家属的一次性和定期抚恤金、丧葬补助费以及烈士褒扬金。</w:t>
      </w:r>
    </w:p>
    <w:p w:rsidR="00855B1B" w:rsidRDefault="004728E5">
      <w:pPr>
        <w:ind w:firstLineChars="200" w:firstLine="640"/>
        <w:rPr>
          <w:rFonts w:ascii="仿宋_GB2312" w:eastAsia="仿宋_GB2312"/>
          <w:b/>
          <w:sz w:val="32"/>
          <w:szCs w:val="32"/>
        </w:rPr>
      </w:pPr>
      <w:r>
        <w:rPr>
          <w:rFonts w:ascii="仿宋_GB2312" w:eastAsia="仿宋_GB2312" w:hint="eastAsia"/>
          <w:sz w:val="32"/>
          <w:szCs w:val="32"/>
        </w:rPr>
        <w:t>16</w:t>
      </w:r>
      <w:r>
        <w:rPr>
          <w:rFonts w:ascii="仿宋_GB2312" w:eastAsia="仿宋_GB2312"/>
          <w:b/>
          <w:sz w:val="32"/>
          <w:szCs w:val="32"/>
        </w:rPr>
        <w:t>.</w:t>
      </w:r>
      <w:r>
        <w:rPr>
          <w:rStyle w:val="a8"/>
          <w:rFonts w:ascii="仿宋" w:eastAsia="仿宋" w:hAnsi="仿宋" w:hint="eastAsia"/>
          <w:b w:val="0"/>
          <w:bCs/>
          <w:sz w:val="32"/>
          <w:szCs w:val="32"/>
        </w:rPr>
        <w:t xml:space="preserve"> 住房保障支出（类）住房改革支出（款）住房公积金（项）</w:t>
      </w:r>
      <w:r>
        <w:rPr>
          <w:rFonts w:ascii="仿宋_GB2312" w:eastAsia="仿宋_GB2312" w:hint="eastAsia"/>
          <w:b/>
          <w:sz w:val="32"/>
          <w:szCs w:val="32"/>
        </w:rPr>
        <w:t>：</w:t>
      </w:r>
      <w:r>
        <w:rPr>
          <w:rFonts w:ascii="仿宋_GB2312" w:eastAsia="仿宋_GB2312" w:hint="eastAsia"/>
          <w:sz w:val="32"/>
          <w:szCs w:val="32"/>
        </w:rPr>
        <w:t>指反映行政事业单位按人力资源和社会保障部、财政部规定的基本工资和津贴补贴以及规定比例为职工缴纳的住房公积金。</w:t>
      </w:r>
    </w:p>
    <w:p w:rsidR="00855B1B" w:rsidRDefault="004728E5">
      <w:pPr>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855B1B" w:rsidRDefault="004728E5">
      <w:pPr>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项目支出：指在基本支出之外为完成特定行政任务</w:t>
      </w:r>
      <w:r>
        <w:rPr>
          <w:rFonts w:ascii="仿宋_GB2312" w:eastAsia="仿宋_GB2312" w:hint="eastAsia"/>
          <w:sz w:val="32"/>
          <w:szCs w:val="32"/>
        </w:rPr>
        <w:lastRenderedPageBreak/>
        <w:t>和事业发展目标所发生的支出。</w:t>
      </w:r>
    </w:p>
    <w:p w:rsidR="00855B1B" w:rsidRDefault="004728E5">
      <w:pPr>
        <w:ind w:firstLineChars="200" w:firstLine="640"/>
        <w:rPr>
          <w:rFonts w:ascii="仿宋_GB2312" w:eastAsia="仿宋_GB2312"/>
          <w:sz w:val="32"/>
          <w:szCs w:val="32"/>
        </w:rPr>
      </w:pPr>
      <w:r>
        <w:rPr>
          <w:rFonts w:ascii="仿宋_GB2312" w:eastAsia="仿宋_GB2312" w:hint="eastAsia"/>
          <w:sz w:val="32"/>
          <w:szCs w:val="32"/>
        </w:rPr>
        <w:t>19</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20</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55B1B" w:rsidRDefault="004728E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21</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55B1B" w:rsidRDefault="00855B1B">
      <w:pPr>
        <w:pStyle w:val="Default"/>
        <w:spacing w:line="560" w:lineRule="exact"/>
        <w:ind w:firstLineChars="200" w:firstLine="640"/>
        <w:rPr>
          <w:rFonts w:ascii="仿宋_GB2312" w:eastAsia="仿宋_GB2312"/>
          <w:color w:val="auto"/>
          <w:sz w:val="32"/>
          <w:szCs w:val="32"/>
        </w:rPr>
      </w:pPr>
    </w:p>
    <w:p w:rsidR="00855B1B" w:rsidRDefault="00855B1B">
      <w:pPr>
        <w:pStyle w:val="Default"/>
        <w:spacing w:line="560" w:lineRule="exact"/>
        <w:ind w:firstLineChars="200" w:firstLine="640"/>
        <w:rPr>
          <w:rFonts w:ascii="仿宋_GB2312" w:eastAsia="仿宋_GB2312"/>
          <w:color w:val="auto"/>
          <w:sz w:val="32"/>
          <w:szCs w:val="32"/>
        </w:rPr>
      </w:pPr>
    </w:p>
    <w:p w:rsidR="00855B1B" w:rsidRDefault="00855B1B">
      <w:pPr>
        <w:pStyle w:val="Default"/>
        <w:spacing w:line="560" w:lineRule="exact"/>
        <w:ind w:firstLineChars="200" w:firstLine="640"/>
        <w:rPr>
          <w:rFonts w:ascii="仿宋_GB2312" w:eastAsia="仿宋_GB2312"/>
          <w:color w:val="auto"/>
          <w:sz w:val="32"/>
          <w:szCs w:val="32"/>
        </w:rPr>
      </w:pPr>
    </w:p>
    <w:p w:rsidR="00855B1B" w:rsidRDefault="00855B1B">
      <w:pPr>
        <w:pStyle w:val="Default"/>
        <w:spacing w:line="560" w:lineRule="exact"/>
        <w:ind w:firstLineChars="200" w:firstLine="640"/>
        <w:rPr>
          <w:rFonts w:ascii="仿宋_GB2312" w:eastAsia="仿宋_GB2312"/>
          <w:color w:val="auto"/>
          <w:sz w:val="32"/>
          <w:szCs w:val="32"/>
        </w:rPr>
      </w:pPr>
    </w:p>
    <w:p w:rsidR="00855B1B" w:rsidRDefault="00855B1B">
      <w:pPr>
        <w:pStyle w:val="Default"/>
        <w:spacing w:line="560" w:lineRule="exact"/>
        <w:ind w:firstLineChars="200" w:firstLine="640"/>
        <w:rPr>
          <w:rFonts w:ascii="仿宋_GB2312" w:eastAsia="仿宋_GB2312"/>
          <w:color w:val="auto"/>
          <w:sz w:val="32"/>
          <w:szCs w:val="32"/>
        </w:rPr>
      </w:pPr>
    </w:p>
    <w:p w:rsidR="00855B1B" w:rsidRDefault="00855B1B">
      <w:pPr>
        <w:pStyle w:val="Default"/>
        <w:spacing w:line="560" w:lineRule="exact"/>
        <w:ind w:firstLineChars="200" w:firstLine="640"/>
        <w:rPr>
          <w:rFonts w:ascii="仿宋_GB2312" w:eastAsia="仿宋_GB2312"/>
          <w:color w:val="auto"/>
          <w:sz w:val="32"/>
          <w:szCs w:val="32"/>
        </w:rPr>
      </w:pPr>
    </w:p>
    <w:p w:rsidR="00855B1B" w:rsidRDefault="00855B1B">
      <w:pPr>
        <w:pStyle w:val="Default"/>
        <w:spacing w:line="560" w:lineRule="exact"/>
        <w:ind w:firstLineChars="200" w:firstLine="640"/>
        <w:rPr>
          <w:rFonts w:ascii="仿宋_GB2312" w:eastAsia="仿宋_GB2312"/>
          <w:color w:val="auto"/>
          <w:sz w:val="32"/>
          <w:szCs w:val="32"/>
        </w:rPr>
      </w:pPr>
    </w:p>
    <w:p w:rsidR="00855B1B" w:rsidRDefault="004728E5">
      <w:pPr>
        <w:spacing w:line="600" w:lineRule="exact"/>
        <w:jc w:val="center"/>
        <w:outlineLvl w:val="0"/>
        <w:rPr>
          <w:rStyle w:val="1Char"/>
          <w:rFonts w:ascii="黑体" w:eastAsia="黑体" w:hAnsi="黑体"/>
          <w:b w:val="0"/>
        </w:rPr>
      </w:pPr>
      <w:bookmarkStart w:id="52" w:name="_Toc15396614"/>
      <w:bookmarkStart w:id="53" w:name="_Toc15377226"/>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2"/>
    </w:p>
    <w:p w:rsidR="00A75F16" w:rsidRPr="00A75F16" w:rsidRDefault="00A75F16" w:rsidP="00A75F16">
      <w:pPr>
        <w:pStyle w:val="a0"/>
        <w:spacing w:before="93"/>
      </w:pPr>
    </w:p>
    <w:p w:rsidR="00A75F16" w:rsidRDefault="00A75F16" w:rsidP="00A75F16">
      <w:pPr>
        <w:spacing w:line="600" w:lineRule="exact"/>
        <w:ind w:firstLineChars="200" w:firstLine="640"/>
        <w:outlineLvl w:val="0"/>
        <w:rPr>
          <w:rFonts w:ascii="宋体" w:hAnsi="宋体" w:cs="宋体"/>
          <w:kern w:val="0"/>
          <w:sz w:val="32"/>
          <w:szCs w:val="32"/>
        </w:rPr>
      </w:pPr>
      <w:r>
        <w:rPr>
          <w:rFonts w:ascii="宋体" w:hAnsi="宋体" w:cs="宋体" w:hint="eastAsia"/>
          <w:kern w:val="0"/>
          <w:sz w:val="32"/>
          <w:szCs w:val="32"/>
        </w:rPr>
        <w:t>部门预算项目支出绩效自评表（2022年度）见附件：攀枝花市第三高级中学校部门预算项目支出绩效自评表</w:t>
      </w: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Default="00A75F16" w:rsidP="00A75F16">
      <w:pPr>
        <w:pStyle w:val="a0"/>
        <w:spacing w:before="93"/>
      </w:pPr>
    </w:p>
    <w:p w:rsidR="00A75F16" w:rsidRPr="00A75F16" w:rsidRDefault="00A75F16" w:rsidP="00A75F16">
      <w:pPr>
        <w:pStyle w:val="a0"/>
        <w:spacing w:before="93"/>
      </w:pPr>
    </w:p>
    <w:p w:rsidR="00855B1B" w:rsidRDefault="004728E5">
      <w:pPr>
        <w:spacing w:line="600" w:lineRule="exact"/>
        <w:jc w:val="center"/>
        <w:outlineLvl w:val="0"/>
        <w:rPr>
          <w:rFonts w:ascii="仿宋" w:eastAsia="仿宋" w:hAnsi="仿宋"/>
        </w:rPr>
      </w:pPr>
      <w:bookmarkStart w:id="54" w:name="_Toc15396618"/>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3"/>
      <w:bookmarkEnd w:id="54"/>
    </w:p>
    <w:p w:rsidR="00855B1B" w:rsidRDefault="004728E5">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855B1B" w:rsidRDefault="004728E5">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855B1B" w:rsidRDefault="004728E5">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855B1B" w:rsidRDefault="004728E5">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855B1B" w:rsidRDefault="004728E5">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855B1B" w:rsidRDefault="004728E5">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855B1B" w:rsidRDefault="004728E5">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855B1B" w:rsidRDefault="004728E5">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855B1B" w:rsidRDefault="004728E5">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855B1B" w:rsidRDefault="004728E5">
      <w:pPr>
        <w:pStyle w:val="2"/>
        <w:rPr>
          <w:rFonts w:ascii="仿宋" w:eastAsia="仿宋" w:hAnsi="仿宋"/>
        </w:rPr>
      </w:pPr>
      <w:bookmarkStart w:id="64" w:name="_Toc15396628"/>
      <w:r>
        <w:rPr>
          <w:rStyle w:val="2Char"/>
          <w:rFonts w:ascii="仿宋" w:eastAsia="仿宋" w:hAnsi="仿宋" w:hint="eastAsia"/>
        </w:rPr>
        <w:t>十、</w:t>
      </w:r>
      <w:bookmarkEnd w:id="64"/>
      <w:r>
        <w:rPr>
          <w:rFonts w:ascii="仿宋" w:eastAsia="仿宋" w:hAnsi="仿宋" w:hint="eastAsia"/>
          <w:b w:val="0"/>
        </w:rPr>
        <w:t>政</w:t>
      </w:r>
      <w:r>
        <w:rPr>
          <w:rStyle w:val="2Char"/>
          <w:rFonts w:ascii="仿宋" w:eastAsia="仿宋" w:hAnsi="仿宋" w:hint="eastAsia"/>
        </w:rPr>
        <w:t>府性基金预算财政拨款收入支出决算表</w:t>
      </w:r>
    </w:p>
    <w:p w:rsidR="00855B1B" w:rsidRDefault="004728E5">
      <w:pPr>
        <w:pStyle w:val="2"/>
        <w:rPr>
          <w:rFonts w:ascii="仿宋" w:eastAsia="仿宋" w:hAnsi="仿宋"/>
        </w:rPr>
      </w:pPr>
      <w:bookmarkStart w:id="65" w:name="_Toc15396629"/>
      <w:r>
        <w:rPr>
          <w:rStyle w:val="2Char"/>
          <w:rFonts w:ascii="仿宋" w:eastAsia="仿宋" w:hAnsi="仿宋" w:hint="eastAsia"/>
        </w:rPr>
        <w:t>十一、</w:t>
      </w:r>
      <w:bookmarkEnd w:id="65"/>
      <w:r>
        <w:rPr>
          <w:rFonts w:ascii="仿宋" w:eastAsia="仿宋" w:hAnsi="仿宋" w:hint="eastAsia"/>
          <w:b w:val="0"/>
        </w:rPr>
        <w:t>国</w:t>
      </w:r>
      <w:r>
        <w:rPr>
          <w:rStyle w:val="2Char"/>
          <w:rFonts w:ascii="仿宋" w:eastAsia="仿宋" w:hAnsi="仿宋" w:hint="eastAsia"/>
        </w:rPr>
        <w:t>有资本经营预算财政拨款收入支出决算表（此表无数据）</w:t>
      </w:r>
    </w:p>
    <w:p w:rsidR="00855B1B" w:rsidRDefault="004728E5">
      <w:pPr>
        <w:pStyle w:val="2"/>
        <w:rPr>
          <w:rFonts w:ascii="仿宋" w:eastAsia="仿宋" w:hAnsi="仿宋"/>
        </w:rPr>
      </w:pPr>
      <w:bookmarkStart w:id="66" w:name="_Toc15396630"/>
      <w:r>
        <w:rPr>
          <w:rStyle w:val="2Char"/>
          <w:rFonts w:ascii="仿宋" w:eastAsia="仿宋" w:hAnsi="仿宋" w:hint="eastAsia"/>
        </w:rPr>
        <w:t>十二、</w:t>
      </w:r>
      <w:bookmarkEnd w:id="66"/>
      <w:r>
        <w:rPr>
          <w:rStyle w:val="2Char"/>
          <w:rFonts w:ascii="仿宋" w:eastAsia="仿宋" w:hAnsi="仿宋" w:hint="eastAsia"/>
        </w:rPr>
        <w:t>国有资本经营预算财政拨款支出决算表（此表无数据）</w:t>
      </w:r>
    </w:p>
    <w:p w:rsidR="00855B1B" w:rsidRDefault="004728E5">
      <w:pPr>
        <w:pStyle w:val="2"/>
        <w:rPr>
          <w:rFonts w:eastAsia="仿宋"/>
        </w:rPr>
      </w:pPr>
      <w:bookmarkStart w:id="67" w:name="_Toc15396631"/>
      <w:r>
        <w:rPr>
          <w:rStyle w:val="2Char"/>
          <w:rFonts w:ascii="仿宋" w:eastAsia="仿宋" w:hAnsi="仿宋" w:hint="eastAsia"/>
        </w:rPr>
        <w:t>十三、</w:t>
      </w:r>
      <w:bookmarkEnd w:id="67"/>
      <w:r>
        <w:rPr>
          <w:rStyle w:val="2Char"/>
          <w:rFonts w:ascii="仿宋" w:eastAsia="仿宋" w:hAnsi="仿宋" w:hint="eastAsia"/>
        </w:rPr>
        <w:t>财政拨款“三公”经费支出决算表</w:t>
      </w:r>
    </w:p>
    <w:sectPr w:rsidR="00855B1B" w:rsidSect="00855B1B">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D26" w:rsidRDefault="00CE1D26" w:rsidP="00855B1B">
      <w:r>
        <w:separator/>
      </w:r>
    </w:p>
  </w:endnote>
  <w:endnote w:type="continuationSeparator" w:id="1">
    <w:p w:rsidR="00CE1D26" w:rsidRDefault="00CE1D26" w:rsidP="00855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仿宋"/>
    <w:charset w:val="00"/>
    <w:family w:val="roman"/>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仿宋_GB2312">
    <w:altName w:val="仿宋"/>
    <w:charset w:val="86"/>
    <w:family w:val="auto"/>
    <w:pitch w:val="default"/>
    <w:sig w:usb0="00000000" w:usb1="00000000"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855B1B" w:rsidRDefault="003C5B05">
        <w:pPr>
          <w:pStyle w:val="a6"/>
          <w:jc w:val="center"/>
        </w:pPr>
        <w:r w:rsidRPr="003C5B05">
          <w:fldChar w:fldCharType="begin"/>
        </w:r>
        <w:r w:rsidR="004728E5">
          <w:instrText>PAGE   \* MERGEFORMAT</w:instrText>
        </w:r>
        <w:r w:rsidRPr="003C5B05">
          <w:fldChar w:fldCharType="separate"/>
        </w:r>
        <w:r w:rsidR="00E05B2E" w:rsidRPr="00E05B2E">
          <w:rPr>
            <w:noProof/>
            <w:lang w:val="zh-CN"/>
          </w:rPr>
          <w:t>20</w:t>
        </w:r>
        <w:r>
          <w:rPr>
            <w:lang w:val="zh-CN"/>
          </w:rPr>
          <w:fldChar w:fldCharType="end"/>
        </w:r>
      </w:p>
    </w:sdtContent>
  </w:sdt>
  <w:p w:rsidR="00855B1B" w:rsidRDefault="00855B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D26" w:rsidRDefault="00CE1D26" w:rsidP="00855B1B">
      <w:r>
        <w:separator/>
      </w:r>
    </w:p>
  </w:footnote>
  <w:footnote w:type="continuationSeparator" w:id="1">
    <w:p w:rsidR="00CE1D26" w:rsidRDefault="00CE1D26" w:rsidP="00855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1B" w:rsidRDefault="00855B1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0FD16D87"/>
    <w:multiLevelType w:val="multilevel"/>
    <w:tmpl w:val="0FD16D87"/>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D8D6DB89"/>
    <w:rsid w:val="DB6F4CAB"/>
    <w:rsid w:val="DF6F9789"/>
    <w:rsid w:val="FC9FCDE2"/>
    <w:rsid w:val="FFBD28E5"/>
    <w:rsid w:val="00002E29"/>
    <w:rsid w:val="000222C6"/>
    <w:rsid w:val="0002549F"/>
    <w:rsid w:val="000468DB"/>
    <w:rsid w:val="0006317A"/>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3AD8"/>
    <w:rsid w:val="00136D0C"/>
    <w:rsid w:val="00142216"/>
    <w:rsid w:val="001426F0"/>
    <w:rsid w:val="00144D6A"/>
    <w:rsid w:val="0014729F"/>
    <w:rsid w:val="00157BAB"/>
    <w:rsid w:val="001654D1"/>
    <w:rsid w:val="00174518"/>
    <w:rsid w:val="0018106D"/>
    <w:rsid w:val="001877A7"/>
    <w:rsid w:val="00191536"/>
    <w:rsid w:val="00196687"/>
    <w:rsid w:val="001C0962"/>
    <w:rsid w:val="001D5C30"/>
    <w:rsid w:val="001D7531"/>
    <w:rsid w:val="001E1B59"/>
    <w:rsid w:val="001E2FF1"/>
    <w:rsid w:val="001E4C2C"/>
    <w:rsid w:val="001E737D"/>
    <w:rsid w:val="001F0592"/>
    <w:rsid w:val="001F7506"/>
    <w:rsid w:val="002006CD"/>
    <w:rsid w:val="00202B36"/>
    <w:rsid w:val="00204B7A"/>
    <w:rsid w:val="00204CDE"/>
    <w:rsid w:val="0021101A"/>
    <w:rsid w:val="00216728"/>
    <w:rsid w:val="00217081"/>
    <w:rsid w:val="00220536"/>
    <w:rsid w:val="00235629"/>
    <w:rsid w:val="00244943"/>
    <w:rsid w:val="00247B82"/>
    <w:rsid w:val="00260C38"/>
    <w:rsid w:val="002616C0"/>
    <w:rsid w:val="00264461"/>
    <w:rsid w:val="00265372"/>
    <w:rsid w:val="002662AA"/>
    <w:rsid w:val="00273286"/>
    <w:rsid w:val="00280496"/>
    <w:rsid w:val="0028480E"/>
    <w:rsid w:val="00290A4D"/>
    <w:rsid w:val="00294DC9"/>
    <w:rsid w:val="00295495"/>
    <w:rsid w:val="002A31DE"/>
    <w:rsid w:val="002B2613"/>
    <w:rsid w:val="002D6D05"/>
    <w:rsid w:val="002E5B64"/>
    <w:rsid w:val="002F1818"/>
    <w:rsid w:val="002F567B"/>
    <w:rsid w:val="003216A9"/>
    <w:rsid w:val="00335A74"/>
    <w:rsid w:val="0036561B"/>
    <w:rsid w:val="0037013F"/>
    <w:rsid w:val="00380C92"/>
    <w:rsid w:val="003A484F"/>
    <w:rsid w:val="003A4883"/>
    <w:rsid w:val="003B0BE0"/>
    <w:rsid w:val="003B0C1B"/>
    <w:rsid w:val="003B688C"/>
    <w:rsid w:val="003C0291"/>
    <w:rsid w:val="003C262D"/>
    <w:rsid w:val="003C334F"/>
    <w:rsid w:val="003C39AE"/>
    <w:rsid w:val="003C5B05"/>
    <w:rsid w:val="003C7B60"/>
    <w:rsid w:val="003D0C0F"/>
    <w:rsid w:val="003D19AE"/>
    <w:rsid w:val="003D1FB2"/>
    <w:rsid w:val="003D66DA"/>
    <w:rsid w:val="003E1310"/>
    <w:rsid w:val="003E6F55"/>
    <w:rsid w:val="00406254"/>
    <w:rsid w:val="004203C6"/>
    <w:rsid w:val="004223DE"/>
    <w:rsid w:val="00434489"/>
    <w:rsid w:val="00437085"/>
    <w:rsid w:val="00443880"/>
    <w:rsid w:val="004464F4"/>
    <w:rsid w:val="00446E63"/>
    <w:rsid w:val="00467094"/>
    <w:rsid w:val="00471401"/>
    <w:rsid w:val="004728E5"/>
    <w:rsid w:val="00473F31"/>
    <w:rsid w:val="0048263A"/>
    <w:rsid w:val="00487E5D"/>
    <w:rsid w:val="004A711F"/>
    <w:rsid w:val="004B199D"/>
    <w:rsid w:val="004B4690"/>
    <w:rsid w:val="004D1BFA"/>
    <w:rsid w:val="004E0A2D"/>
    <w:rsid w:val="004E206B"/>
    <w:rsid w:val="004E59A2"/>
    <w:rsid w:val="004E6DF7"/>
    <w:rsid w:val="004F0FBD"/>
    <w:rsid w:val="00501B73"/>
    <w:rsid w:val="00505A47"/>
    <w:rsid w:val="00512FDA"/>
    <w:rsid w:val="00520BD3"/>
    <w:rsid w:val="00520DA0"/>
    <w:rsid w:val="00525E15"/>
    <w:rsid w:val="00543983"/>
    <w:rsid w:val="005664BB"/>
    <w:rsid w:val="00566FFA"/>
    <w:rsid w:val="00572F3A"/>
    <w:rsid w:val="0057481D"/>
    <w:rsid w:val="0058486E"/>
    <w:rsid w:val="00585B33"/>
    <w:rsid w:val="0059014D"/>
    <w:rsid w:val="005B5C64"/>
    <w:rsid w:val="005B67C6"/>
    <w:rsid w:val="005B751A"/>
    <w:rsid w:val="005C5337"/>
    <w:rsid w:val="005C559D"/>
    <w:rsid w:val="005C6BD0"/>
    <w:rsid w:val="005D1C8B"/>
    <w:rsid w:val="005D468D"/>
    <w:rsid w:val="005D5CED"/>
    <w:rsid w:val="005D7D8C"/>
    <w:rsid w:val="005E571B"/>
    <w:rsid w:val="005F1A4C"/>
    <w:rsid w:val="00603116"/>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0F80"/>
    <w:rsid w:val="00681A31"/>
    <w:rsid w:val="00683E73"/>
    <w:rsid w:val="006A3141"/>
    <w:rsid w:val="006A5E34"/>
    <w:rsid w:val="006B2422"/>
    <w:rsid w:val="006B2B9A"/>
    <w:rsid w:val="006C1937"/>
    <w:rsid w:val="006F020C"/>
    <w:rsid w:val="007127B7"/>
    <w:rsid w:val="0071798E"/>
    <w:rsid w:val="0073341C"/>
    <w:rsid w:val="007416B6"/>
    <w:rsid w:val="00745F1D"/>
    <w:rsid w:val="00746F48"/>
    <w:rsid w:val="0075404D"/>
    <w:rsid w:val="0076182A"/>
    <w:rsid w:val="00762287"/>
    <w:rsid w:val="00767B7E"/>
    <w:rsid w:val="007770C3"/>
    <w:rsid w:val="00784D24"/>
    <w:rsid w:val="00785FBA"/>
    <w:rsid w:val="00786E4A"/>
    <w:rsid w:val="007875EB"/>
    <w:rsid w:val="00790E30"/>
    <w:rsid w:val="0079426B"/>
    <w:rsid w:val="007C0D56"/>
    <w:rsid w:val="007C5A47"/>
    <w:rsid w:val="007D1682"/>
    <w:rsid w:val="007D312A"/>
    <w:rsid w:val="007D3F19"/>
    <w:rsid w:val="007E1CDF"/>
    <w:rsid w:val="007E23B0"/>
    <w:rsid w:val="007E23E5"/>
    <w:rsid w:val="007F1991"/>
    <w:rsid w:val="007F2C2F"/>
    <w:rsid w:val="007F55FC"/>
    <w:rsid w:val="007F5665"/>
    <w:rsid w:val="00800112"/>
    <w:rsid w:val="00804D72"/>
    <w:rsid w:val="00805DB3"/>
    <w:rsid w:val="00813348"/>
    <w:rsid w:val="008253BB"/>
    <w:rsid w:val="0083706E"/>
    <w:rsid w:val="008408F6"/>
    <w:rsid w:val="008423A5"/>
    <w:rsid w:val="00850625"/>
    <w:rsid w:val="00853718"/>
    <w:rsid w:val="00855221"/>
    <w:rsid w:val="00855B1B"/>
    <w:rsid w:val="00860645"/>
    <w:rsid w:val="00871F71"/>
    <w:rsid w:val="00872FD8"/>
    <w:rsid w:val="00885AF4"/>
    <w:rsid w:val="008939CD"/>
    <w:rsid w:val="008A5A82"/>
    <w:rsid w:val="008B768C"/>
    <w:rsid w:val="008C4DB1"/>
    <w:rsid w:val="008C4EAF"/>
    <w:rsid w:val="008C5176"/>
    <w:rsid w:val="008C7FD0"/>
    <w:rsid w:val="008E1DE7"/>
    <w:rsid w:val="008E707C"/>
    <w:rsid w:val="00900B08"/>
    <w:rsid w:val="00902155"/>
    <w:rsid w:val="00902FA3"/>
    <w:rsid w:val="00916076"/>
    <w:rsid w:val="00923564"/>
    <w:rsid w:val="0092392E"/>
    <w:rsid w:val="009315F9"/>
    <w:rsid w:val="00933499"/>
    <w:rsid w:val="00935C98"/>
    <w:rsid w:val="00937CFE"/>
    <w:rsid w:val="00943DCE"/>
    <w:rsid w:val="00946945"/>
    <w:rsid w:val="00951248"/>
    <w:rsid w:val="0095152F"/>
    <w:rsid w:val="00954C49"/>
    <w:rsid w:val="00955E37"/>
    <w:rsid w:val="0097099F"/>
    <w:rsid w:val="00971997"/>
    <w:rsid w:val="00971FFC"/>
    <w:rsid w:val="00985241"/>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0CF9"/>
    <w:rsid w:val="00A4142F"/>
    <w:rsid w:val="00A422EB"/>
    <w:rsid w:val="00A45BB7"/>
    <w:rsid w:val="00A54B73"/>
    <w:rsid w:val="00A56DF2"/>
    <w:rsid w:val="00A56E6E"/>
    <w:rsid w:val="00A67AB5"/>
    <w:rsid w:val="00A733B2"/>
    <w:rsid w:val="00A741C2"/>
    <w:rsid w:val="00A75F16"/>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3382"/>
    <w:rsid w:val="00BB4DF0"/>
    <w:rsid w:val="00BC289F"/>
    <w:rsid w:val="00BC2D50"/>
    <w:rsid w:val="00BC5361"/>
    <w:rsid w:val="00BC5460"/>
    <w:rsid w:val="00BC6B50"/>
    <w:rsid w:val="00BD0E25"/>
    <w:rsid w:val="00BD3663"/>
    <w:rsid w:val="00BE1F49"/>
    <w:rsid w:val="00BF5BD6"/>
    <w:rsid w:val="00C03E31"/>
    <w:rsid w:val="00C33E72"/>
    <w:rsid w:val="00C354B2"/>
    <w:rsid w:val="00C35554"/>
    <w:rsid w:val="00C42709"/>
    <w:rsid w:val="00C4495C"/>
    <w:rsid w:val="00C52575"/>
    <w:rsid w:val="00C533CC"/>
    <w:rsid w:val="00C5751C"/>
    <w:rsid w:val="00C61BFC"/>
    <w:rsid w:val="00C62B85"/>
    <w:rsid w:val="00C65241"/>
    <w:rsid w:val="00C65438"/>
    <w:rsid w:val="00C7591F"/>
    <w:rsid w:val="00C87FC8"/>
    <w:rsid w:val="00C87FD8"/>
    <w:rsid w:val="00C91381"/>
    <w:rsid w:val="00C91CBB"/>
    <w:rsid w:val="00CB4E70"/>
    <w:rsid w:val="00CC09B6"/>
    <w:rsid w:val="00CC666F"/>
    <w:rsid w:val="00CC6BAC"/>
    <w:rsid w:val="00CD0539"/>
    <w:rsid w:val="00CD1E3F"/>
    <w:rsid w:val="00CE1D26"/>
    <w:rsid w:val="00CE44F6"/>
    <w:rsid w:val="00CE49DA"/>
    <w:rsid w:val="00CE59A7"/>
    <w:rsid w:val="00CE7B61"/>
    <w:rsid w:val="00CF7B7A"/>
    <w:rsid w:val="00D00095"/>
    <w:rsid w:val="00D04B88"/>
    <w:rsid w:val="00D114F0"/>
    <w:rsid w:val="00D16BE6"/>
    <w:rsid w:val="00D20620"/>
    <w:rsid w:val="00D254F7"/>
    <w:rsid w:val="00D26091"/>
    <w:rsid w:val="00D2685C"/>
    <w:rsid w:val="00D34E7C"/>
    <w:rsid w:val="00D34F17"/>
    <w:rsid w:val="00D35489"/>
    <w:rsid w:val="00D36AFE"/>
    <w:rsid w:val="00D51276"/>
    <w:rsid w:val="00D7035F"/>
    <w:rsid w:val="00D81340"/>
    <w:rsid w:val="00DA634F"/>
    <w:rsid w:val="00DA65AC"/>
    <w:rsid w:val="00DB1913"/>
    <w:rsid w:val="00DC410D"/>
    <w:rsid w:val="00DC4B63"/>
    <w:rsid w:val="00DC5A81"/>
    <w:rsid w:val="00DC68CA"/>
    <w:rsid w:val="00DC6C81"/>
    <w:rsid w:val="00DC7CBA"/>
    <w:rsid w:val="00DD73B7"/>
    <w:rsid w:val="00DF06E2"/>
    <w:rsid w:val="00DF28BC"/>
    <w:rsid w:val="00DF34B9"/>
    <w:rsid w:val="00E01053"/>
    <w:rsid w:val="00E05B2E"/>
    <w:rsid w:val="00E07ACF"/>
    <w:rsid w:val="00E22135"/>
    <w:rsid w:val="00E331A1"/>
    <w:rsid w:val="00E33202"/>
    <w:rsid w:val="00E336A9"/>
    <w:rsid w:val="00E472B1"/>
    <w:rsid w:val="00E50624"/>
    <w:rsid w:val="00E5285B"/>
    <w:rsid w:val="00E568DF"/>
    <w:rsid w:val="00E64269"/>
    <w:rsid w:val="00E82267"/>
    <w:rsid w:val="00E853CE"/>
    <w:rsid w:val="00E867B6"/>
    <w:rsid w:val="00E8766D"/>
    <w:rsid w:val="00EA010F"/>
    <w:rsid w:val="00ED186B"/>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1F0"/>
    <w:rsid w:val="00F602DF"/>
    <w:rsid w:val="00F754A1"/>
    <w:rsid w:val="00F81FD9"/>
    <w:rsid w:val="00F841AA"/>
    <w:rsid w:val="00F84A94"/>
    <w:rsid w:val="00F87E96"/>
    <w:rsid w:val="00F91328"/>
    <w:rsid w:val="00FA23E8"/>
    <w:rsid w:val="00FB2CB7"/>
    <w:rsid w:val="00FC45D1"/>
    <w:rsid w:val="00FD3CC1"/>
    <w:rsid w:val="00FD5B58"/>
    <w:rsid w:val="00FD6436"/>
    <w:rsid w:val="00FF1E02"/>
    <w:rsid w:val="00FF30B4"/>
    <w:rsid w:val="00FF3E1F"/>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FollowedHyperlink"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55B1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55B1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55B1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55B1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855B1B"/>
    <w:pPr>
      <w:spacing w:beforeLines="30"/>
    </w:pPr>
    <w:rPr>
      <w:rFonts w:ascii="仿宋_GB2312" w:eastAsia="仿宋_GB2312"/>
      <w:kern w:val="0"/>
      <w:sz w:val="30"/>
    </w:rPr>
  </w:style>
  <w:style w:type="paragraph" w:styleId="a4">
    <w:name w:val="Body Text Indent"/>
    <w:basedOn w:val="a"/>
    <w:qFormat/>
    <w:rsid w:val="00855B1B"/>
    <w:pPr>
      <w:spacing w:after="120"/>
      <w:ind w:leftChars="200" w:left="200"/>
    </w:pPr>
    <w:rPr>
      <w:rFonts w:ascii="仿宋_GB2312"/>
      <w:szCs w:val="32"/>
    </w:rPr>
  </w:style>
  <w:style w:type="paragraph" w:styleId="30">
    <w:name w:val="toc 3"/>
    <w:basedOn w:val="a"/>
    <w:next w:val="a"/>
    <w:uiPriority w:val="39"/>
    <w:unhideWhenUsed/>
    <w:qFormat/>
    <w:rsid w:val="00855B1B"/>
    <w:pPr>
      <w:tabs>
        <w:tab w:val="right" w:leader="dot" w:pos="8296"/>
      </w:tabs>
      <w:ind w:leftChars="400" w:left="840"/>
    </w:pPr>
  </w:style>
  <w:style w:type="paragraph" w:styleId="a5">
    <w:name w:val="Balloon Text"/>
    <w:basedOn w:val="a"/>
    <w:link w:val="Char0"/>
    <w:uiPriority w:val="99"/>
    <w:semiHidden/>
    <w:unhideWhenUsed/>
    <w:qFormat/>
    <w:rsid w:val="00855B1B"/>
    <w:rPr>
      <w:sz w:val="18"/>
      <w:szCs w:val="18"/>
    </w:rPr>
  </w:style>
  <w:style w:type="paragraph" w:styleId="a6">
    <w:name w:val="footer"/>
    <w:basedOn w:val="a"/>
    <w:link w:val="Char1"/>
    <w:uiPriority w:val="99"/>
    <w:qFormat/>
    <w:rsid w:val="00855B1B"/>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855B1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55B1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55B1B"/>
    <w:pPr>
      <w:tabs>
        <w:tab w:val="right" w:leader="dot" w:pos="8296"/>
      </w:tabs>
      <w:ind w:leftChars="200" w:left="420"/>
    </w:pPr>
  </w:style>
  <w:style w:type="paragraph" w:styleId="21">
    <w:name w:val="Body Text First Indent 2"/>
    <w:basedOn w:val="a4"/>
    <w:uiPriority w:val="99"/>
    <w:unhideWhenUsed/>
    <w:qFormat/>
    <w:rsid w:val="00855B1B"/>
    <w:pPr>
      <w:ind w:firstLineChars="200" w:firstLine="420"/>
    </w:pPr>
  </w:style>
  <w:style w:type="character" w:styleId="a8">
    <w:name w:val="Strong"/>
    <w:basedOn w:val="a1"/>
    <w:uiPriority w:val="99"/>
    <w:qFormat/>
    <w:rsid w:val="00855B1B"/>
    <w:rPr>
      <w:b/>
    </w:rPr>
  </w:style>
  <w:style w:type="character" w:styleId="a9">
    <w:name w:val="FollowedHyperlink"/>
    <w:basedOn w:val="a1"/>
    <w:uiPriority w:val="99"/>
    <w:semiHidden/>
    <w:unhideWhenUsed/>
    <w:qFormat/>
    <w:rsid w:val="00855B1B"/>
    <w:rPr>
      <w:color w:val="954F72"/>
      <w:u w:val="single"/>
    </w:rPr>
  </w:style>
  <w:style w:type="character" w:styleId="aa">
    <w:name w:val="Hyperlink"/>
    <w:basedOn w:val="a1"/>
    <w:uiPriority w:val="99"/>
    <w:unhideWhenUsed/>
    <w:qFormat/>
    <w:rsid w:val="00855B1B"/>
    <w:rPr>
      <w:color w:val="0000FF" w:themeColor="hyperlink"/>
      <w:u w:val="single"/>
    </w:rPr>
  </w:style>
  <w:style w:type="paragraph" w:customStyle="1" w:styleId="5">
    <w:name w:val="标题 5（有编号）（绿盟科技）"/>
    <w:next w:val="a"/>
    <w:uiPriority w:val="99"/>
    <w:qFormat/>
    <w:rsid w:val="00855B1B"/>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sid w:val="00855B1B"/>
    <w:rPr>
      <w:rFonts w:ascii="Times New Roman" w:hAnsi="Times New Roman"/>
      <w:sz w:val="18"/>
      <w:szCs w:val="18"/>
    </w:rPr>
  </w:style>
  <w:style w:type="character" w:customStyle="1" w:styleId="Char2">
    <w:name w:val="页眉 Char"/>
    <w:link w:val="a7"/>
    <w:uiPriority w:val="99"/>
    <w:semiHidden/>
    <w:qFormat/>
    <w:locked/>
    <w:rsid w:val="00855B1B"/>
    <w:rPr>
      <w:sz w:val="18"/>
    </w:rPr>
  </w:style>
  <w:style w:type="character" w:customStyle="1" w:styleId="FooterChar">
    <w:name w:val="Footer Char"/>
    <w:basedOn w:val="a1"/>
    <w:uiPriority w:val="99"/>
    <w:semiHidden/>
    <w:qFormat/>
    <w:rsid w:val="00855B1B"/>
    <w:rPr>
      <w:rFonts w:ascii="Times New Roman" w:hAnsi="Times New Roman"/>
      <w:sz w:val="18"/>
      <w:szCs w:val="18"/>
    </w:rPr>
  </w:style>
  <w:style w:type="character" w:customStyle="1" w:styleId="Char1">
    <w:name w:val="页脚 Char"/>
    <w:link w:val="a6"/>
    <w:uiPriority w:val="99"/>
    <w:qFormat/>
    <w:locked/>
    <w:rsid w:val="00855B1B"/>
    <w:rPr>
      <w:sz w:val="18"/>
    </w:rPr>
  </w:style>
  <w:style w:type="character" w:customStyle="1" w:styleId="BodyTextChar">
    <w:name w:val="Body Text Char"/>
    <w:basedOn w:val="a1"/>
    <w:uiPriority w:val="99"/>
    <w:semiHidden/>
    <w:qFormat/>
    <w:rsid w:val="00855B1B"/>
    <w:rPr>
      <w:rFonts w:ascii="Times New Roman" w:hAnsi="Times New Roman"/>
      <w:szCs w:val="24"/>
    </w:rPr>
  </w:style>
  <w:style w:type="character" w:customStyle="1" w:styleId="Char">
    <w:name w:val="正文文本 Char"/>
    <w:link w:val="a0"/>
    <w:uiPriority w:val="99"/>
    <w:qFormat/>
    <w:locked/>
    <w:rsid w:val="00855B1B"/>
    <w:rPr>
      <w:rFonts w:ascii="仿宋_GB2312" w:eastAsia="仿宋_GB2312" w:hAnsi="Times New Roman"/>
      <w:sz w:val="24"/>
    </w:rPr>
  </w:style>
  <w:style w:type="paragraph" w:customStyle="1" w:styleId="Default">
    <w:name w:val="Default"/>
    <w:uiPriority w:val="99"/>
    <w:qFormat/>
    <w:rsid w:val="00855B1B"/>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855B1B"/>
    <w:pPr>
      <w:ind w:firstLineChars="200" w:firstLine="420"/>
    </w:pPr>
  </w:style>
  <w:style w:type="character" w:customStyle="1" w:styleId="1Char">
    <w:name w:val="标题 1 Char"/>
    <w:basedOn w:val="a1"/>
    <w:link w:val="1"/>
    <w:uiPriority w:val="9"/>
    <w:qFormat/>
    <w:rsid w:val="00855B1B"/>
    <w:rPr>
      <w:rFonts w:ascii="Times New Roman" w:hAnsi="Times New Roman"/>
      <w:b/>
      <w:bCs/>
      <w:kern w:val="44"/>
      <w:sz w:val="44"/>
      <w:szCs w:val="44"/>
    </w:rPr>
  </w:style>
  <w:style w:type="character" w:customStyle="1" w:styleId="2Char">
    <w:name w:val="标题 2 Char"/>
    <w:basedOn w:val="a1"/>
    <w:link w:val="2"/>
    <w:uiPriority w:val="9"/>
    <w:qFormat/>
    <w:rsid w:val="00855B1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855B1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855B1B"/>
    <w:rPr>
      <w:rFonts w:ascii="Times New Roman" w:hAnsi="Times New Roman"/>
      <w:kern w:val="2"/>
      <w:sz w:val="18"/>
      <w:szCs w:val="18"/>
    </w:rPr>
  </w:style>
  <w:style w:type="character" w:customStyle="1" w:styleId="3Char">
    <w:name w:val="标题 3 Char"/>
    <w:basedOn w:val="a1"/>
    <w:link w:val="3"/>
    <w:uiPriority w:val="9"/>
    <w:qFormat/>
    <w:rsid w:val="00855B1B"/>
    <w:rPr>
      <w:rFonts w:ascii="Times New Roman" w:hAnsi="Times New Roman"/>
      <w:b/>
      <w:bCs/>
      <w:kern w:val="2"/>
      <w:sz w:val="32"/>
      <w:szCs w:val="32"/>
    </w:rPr>
  </w:style>
  <w:style w:type="paragraph" w:customStyle="1" w:styleId="TOC2">
    <w:name w:val="TOC 标题2"/>
    <w:basedOn w:val="1"/>
    <w:next w:val="a"/>
    <w:uiPriority w:val="39"/>
    <w:unhideWhenUsed/>
    <w:qFormat/>
    <w:rsid w:val="00855B1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c">
    <w:name w:val="四号正文"/>
    <w:basedOn w:val="a"/>
    <w:qFormat/>
    <w:rsid w:val="00855B1B"/>
    <w:pPr>
      <w:spacing w:line="360" w:lineRule="auto"/>
    </w:pPr>
    <w:rPr>
      <w:rFonts w:ascii="??" w:hAnsi="??"/>
      <w:color w:val="000000"/>
      <w:kern w:val="0"/>
      <w:sz w:val="28"/>
      <w:szCs w:val="21"/>
      <w:lang w:val="zh-CN"/>
    </w:rPr>
  </w:style>
  <w:style w:type="paragraph" w:customStyle="1" w:styleId="TOC3">
    <w:name w:val="TOC 标题3"/>
    <w:basedOn w:val="1"/>
    <w:next w:val="a"/>
    <w:uiPriority w:val="39"/>
    <w:unhideWhenUsed/>
    <w:qFormat/>
    <w:rsid w:val="00855B1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sonormal0">
    <w:name w:val="msonormal"/>
    <w:basedOn w:val="a"/>
    <w:qFormat/>
    <w:rsid w:val="00855B1B"/>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855B1B"/>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qFormat/>
    <w:rsid w:val="00855B1B"/>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qFormat/>
    <w:rsid w:val="00855B1B"/>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qFormat/>
    <w:rsid w:val="00855B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false"/>
                <c15:leaderLines/>
              </c:ext>
            </c:extLst>
          </c:dLbls>
          <c:cat>
            <c:strRef>
              <c:f>Sheet1!$A$2:$A$3</c:f>
              <c:strCache>
                <c:ptCount val="2"/>
                <c:pt idx="0">
                  <c:v>2021年</c:v>
                </c:pt>
                <c:pt idx="1">
                  <c:v>2022年</c:v>
                </c:pt>
              </c:strCache>
            </c:strRef>
          </c:cat>
          <c:val>
            <c:numRef>
              <c:f>Sheet1!$B$2:$B$3</c:f>
              <c:numCache>
                <c:formatCode>General</c:formatCode>
                <c:ptCount val="2"/>
                <c:pt idx="0">
                  <c:v>8229.67</c:v>
                </c:pt>
                <c:pt idx="1">
                  <c:v>9212.2999999999829</c:v>
                </c:pt>
              </c:numCache>
            </c:numRef>
          </c:val>
        </c:ser>
        <c:ser>
          <c:idx val="1"/>
          <c:order val="1"/>
          <c:tx>
            <c:strRef>
              <c:f>Sheet1!$C$1</c:f>
              <c:strCache>
                <c:ptCount val="1"/>
                <c:pt idx="0">
                  <c:v>支出</c:v>
                </c:pt>
              </c:strCache>
            </c:strRef>
          </c:tx>
          <c:cat>
            <c:strRef>
              <c:f>Sheet1!$A$2:$A$3</c:f>
              <c:strCache>
                <c:ptCount val="2"/>
                <c:pt idx="0">
                  <c:v>2021年</c:v>
                </c:pt>
                <c:pt idx="1">
                  <c:v>2022年</c:v>
                </c:pt>
              </c:strCache>
            </c:strRef>
          </c:cat>
          <c:val>
            <c:numRef>
              <c:f>Sheet1!$C$2:$C$3</c:f>
              <c:numCache>
                <c:formatCode>General</c:formatCode>
                <c:ptCount val="2"/>
                <c:pt idx="0">
                  <c:v>8223.01</c:v>
                </c:pt>
                <c:pt idx="1">
                  <c:v>9151.1400000000049</c:v>
                </c:pt>
              </c:numCache>
            </c:numRef>
          </c:val>
        </c:ser>
        <c:axId val="157112960"/>
        <c:axId val="157139712"/>
      </c:barChart>
      <c:catAx>
        <c:axId val="15711296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7139712"/>
        <c:crosses val="autoZero"/>
        <c:auto val="1"/>
        <c:lblAlgn val="ctr"/>
        <c:lblOffset val="100"/>
      </c:catAx>
      <c:valAx>
        <c:axId val="157139712"/>
        <c:scaling>
          <c:orientation val="minMax"/>
          <c:min val="6000"/>
        </c:scaling>
        <c:axPos val="l"/>
        <c:majorGridlines/>
        <c:minorGridlines/>
        <c:numFmt formatCode="General" sourceLinked="1"/>
        <c:tickLblPos val="nextTo"/>
        <c:spPr>
          <a:noFill/>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7112960"/>
        <c:crosses val="autoZero"/>
        <c:crossBetween val="between"/>
      </c:valAx>
      <c:spPr>
        <a:solidFill>
          <a:schemeClr val="bg1"/>
        </a:solid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各项收入占比</c:v>
                </c:pt>
              </c:strCache>
            </c:strRef>
          </c:tx>
          <c:explosion val="25"/>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Sheet1!$A$2:$A$5</c:f>
              <c:strCache>
                <c:ptCount val="4"/>
                <c:pt idx="0">
                  <c:v>一般公共预算财政拨款收入</c:v>
                </c:pt>
                <c:pt idx="1">
                  <c:v>政府性基金预算财政拨款收入</c:v>
                </c:pt>
                <c:pt idx="2">
                  <c:v>其他收入</c:v>
                </c:pt>
                <c:pt idx="3">
                  <c:v>事业收入</c:v>
                </c:pt>
              </c:strCache>
            </c:strRef>
          </c:cat>
          <c:val>
            <c:numRef>
              <c:f>Sheet1!$B$2:$B$5</c:f>
              <c:numCache>
                <c:formatCode>General</c:formatCode>
                <c:ptCount val="4"/>
                <c:pt idx="0">
                  <c:v>7471.08</c:v>
                </c:pt>
                <c:pt idx="1">
                  <c:v>4.05</c:v>
                </c:pt>
                <c:pt idx="2">
                  <c:v>643.23</c:v>
                </c:pt>
                <c:pt idx="3">
                  <c:v>1097.99</c:v>
                </c:pt>
              </c:numCache>
            </c:numRef>
          </c:val>
        </c:ser>
        <c:dLbls>
          <c:showPercent val="1"/>
        </c:dLbls>
        <c:firstSliceAng val="15"/>
      </c:pieChart>
      <c:spPr>
        <a:noFill/>
        <a:ln w="25400">
          <a:noFill/>
        </a:ln>
        <a:effectLst/>
      </c:spPr>
    </c:plotArea>
    <c:legend>
      <c:legendPos val="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各项支出占比</c:v>
                </c:pt>
              </c:strCache>
            </c:strRef>
          </c:tx>
          <c:explosion val="25"/>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8357.6200000000008</c:v>
                </c:pt>
                <c:pt idx="1">
                  <c:v>793.51</c:v>
                </c:pt>
              </c:numCache>
            </c:numRef>
          </c:val>
        </c:ser>
        <c:dLbls>
          <c:showPercent val="1"/>
        </c:dLbls>
        <c:firstSliceAng val="15"/>
      </c:pieChart>
      <c:spPr>
        <a:noFill/>
        <a:ln w="25400">
          <a:noFill/>
        </a:ln>
        <a:effectLst/>
      </c:spPr>
    </c:plotArea>
    <c:legend>
      <c:legendPos val="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系列 1</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cat>
            <c:strRef>
              <c:f>Sheet1!$A$2:$A$3</c:f>
              <c:strCache>
                <c:ptCount val="2"/>
                <c:pt idx="0">
                  <c:v>2021年财政拨款收支</c:v>
                </c:pt>
                <c:pt idx="1">
                  <c:v>2022年财政拨款收支</c:v>
                </c:pt>
              </c:strCache>
            </c:strRef>
          </c:cat>
          <c:val>
            <c:numRef>
              <c:f>Sheet1!$B$2:$B$3</c:f>
              <c:numCache>
                <c:formatCode>General</c:formatCode>
                <c:ptCount val="2"/>
                <c:pt idx="0">
                  <c:v>16477.55</c:v>
                </c:pt>
                <c:pt idx="1">
                  <c:v>14958.96</c:v>
                </c:pt>
              </c:numCache>
            </c:numRef>
          </c:val>
        </c:ser>
        <c:ser>
          <c:idx val="1"/>
          <c:order val="1"/>
          <c:tx>
            <c:strRef>
              <c:f>Sheet1!$C$1</c:f>
              <c:strCache>
                <c:ptCount val="1"/>
                <c:pt idx="0">
                  <c:v>列1</c:v>
                </c:pt>
              </c:strCache>
            </c:strRef>
          </c:tx>
          <c:cat>
            <c:strRef>
              <c:f>Sheet1!$A$2:$A$3</c:f>
              <c:strCache>
                <c:ptCount val="2"/>
                <c:pt idx="0">
                  <c:v>2021年财政拨款收支</c:v>
                </c:pt>
                <c:pt idx="1">
                  <c:v>2022年财政拨款收支</c:v>
                </c:pt>
              </c:strCache>
            </c:strRef>
          </c:cat>
          <c:val>
            <c:numRef>
              <c:f>Sheet1!$C$2:$C$3</c:f>
              <c:numCache>
                <c:formatCode>General</c:formatCode>
                <c:ptCount val="2"/>
              </c:numCache>
            </c:numRef>
          </c:val>
        </c:ser>
        <c:ser>
          <c:idx val="2"/>
          <c:order val="2"/>
          <c:tx>
            <c:strRef>
              <c:f>Sheet1!$D$1</c:f>
              <c:strCache>
                <c:ptCount val="1"/>
                <c:pt idx="0">
                  <c:v>列2</c:v>
                </c:pt>
              </c:strCache>
            </c:strRef>
          </c:tx>
          <c:cat>
            <c:strRef>
              <c:f>Sheet1!$A$2:$A$3</c:f>
              <c:strCache>
                <c:ptCount val="2"/>
                <c:pt idx="0">
                  <c:v>2021年财政拨款收支</c:v>
                </c:pt>
                <c:pt idx="1">
                  <c:v>2022年财政拨款收支</c:v>
                </c:pt>
              </c:strCache>
            </c:strRef>
          </c:cat>
          <c:val>
            <c:numRef>
              <c:f>Sheet1!$D$2:$D$3</c:f>
              <c:numCache>
                <c:formatCode>General</c:formatCode>
                <c:ptCount val="2"/>
              </c:numCache>
            </c:numRef>
          </c:val>
        </c:ser>
        <c:gapWidth val="180"/>
        <c:overlap val="90"/>
        <c:axId val="158202112"/>
        <c:axId val="158248960"/>
      </c:barChart>
      <c:catAx>
        <c:axId val="15820211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8248960"/>
        <c:crosses val="autoZero"/>
        <c:auto val="1"/>
        <c:lblAlgn val="ctr"/>
        <c:lblOffset val="100"/>
      </c:catAx>
      <c:valAx>
        <c:axId val="158248960"/>
        <c:scaling>
          <c:orientation val="minMax"/>
          <c:min val="10000"/>
        </c:scaling>
        <c:axPos val="l"/>
        <c:majorGridlines/>
        <c:min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8202112"/>
        <c:crosses val="autoZero"/>
        <c:crossBetween val="between"/>
        <c:majorUnit val="500"/>
        <c:minorUnit val="200"/>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barChart>
        <c:barDir val="col"/>
        <c:grouping val="stacked"/>
        <c:ser>
          <c:idx val="0"/>
          <c:order val="0"/>
          <c:tx>
            <c:strRef>
              <c:f>Sheet1!$B$1</c:f>
              <c:strCache>
                <c:ptCount val="1"/>
                <c:pt idx="0">
                  <c:v>系列 1</c:v>
                </c:pt>
              </c:strCache>
            </c:strRef>
          </c:tx>
          <c:spPr>
            <a:blipFill>
              <a:blip xmlns:r="http://schemas.openxmlformats.org/officeDocument/2006/relationships" r:embed="rId1"/>
              <a:tile tx="0" ty="0" sx="100000" sy="100000" flip="none" algn="tl"/>
            </a:blipFill>
          </c:spPr>
          <c:cat>
            <c:strRef>
              <c:f>Sheet1!$A$2:$A$3</c:f>
              <c:strCache>
                <c:ptCount val="2"/>
                <c:pt idx="0">
                  <c:v>2021年一般公共预算财政拨款支出</c:v>
                </c:pt>
                <c:pt idx="1">
                  <c:v>2022年一般公共预算财政拨款支出</c:v>
                </c:pt>
              </c:strCache>
            </c:strRef>
          </c:cat>
          <c:val>
            <c:numRef>
              <c:f>Sheet1!$B$2:$B$3</c:f>
              <c:numCache>
                <c:formatCode>General</c:formatCode>
                <c:ptCount val="2"/>
                <c:pt idx="0">
                  <c:v>8200.9</c:v>
                </c:pt>
                <c:pt idx="1">
                  <c:v>7473.84</c:v>
                </c:pt>
              </c:numCache>
            </c:numRef>
          </c:val>
        </c:ser>
        <c:overlap val="100"/>
        <c:axId val="131436544"/>
        <c:axId val="131438080"/>
      </c:barChart>
      <c:catAx>
        <c:axId val="13143654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1438080"/>
        <c:crosses val="autoZero"/>
        <c:auto val="1"/>
        <c:lblAlgn val="ctr"/>
        <c:lblOffset val="100"/>
      </c:catAx>
      <c:valAx>
        <c:axId val="131438080"/>
        <c:scaling>
          <c:orientation val="minMax"/>
          <c:min val="5000"/>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143654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一般公共预算财政拨款支出结构情况</c:v>
                </c:pt>
              </c:strCache>
            </c:strRef>
          </c:tx>
          <c:explosion val="25"/>
          <c:cat>
            <c:strRef>
              <c:f>Sheet1!$A$2:$A$5</c:f>
              <c:strCache>
                <c:ptCount val="4"/>
                <c:pt idx="0">
                  <c:v>教育支出</c:v>
                </c:pt>
                <c:pt idx="1">
                  <c:v>文化旅游体育与传媒支出</c:v>
                </c:pt>
                <c:pt idx="2">
                  <c:v>社会保障和就业支出</c:v>
                </c:pt>
                <c:pt idx="3">
                  <c:v>住房保障支出</c:v>
                </c:pt>
              </c:strCache>
            </c:strRef>
          </c:cat>
          <c:val>
            <c:numRef>
              <c:f>Sheet1!$B$2:$B$5</c:f>
              <c:numCache>
                <c:formatCode>General</c:formatCode>
                <c:ptCount val="4"/>
                <c:pt idx="0">
                  <c:v>6163.37</c:v>
                </c:pt>
                <c:pt idx="1">
                  <c:v>9.4500000000000028</c:v>
                </c:pt>
                <c:pt idx="2">
                  <c:v>748.21</c:v>
                </c:pt>
                <c:pt idx="3">
                  <c:v>562.81999999999948</c:v>
                </c:pt>
              </c:numCache>
            </c:numRef>
          </c:val>
        </c:ser>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“三公”经费财政拨款决算具体情况</c:v>
                </c:pt>
              </c:strCache>
            </c:strRef>
          </c:tx>
          <c:explosion val="25"/>
          <c:cat>
            <c:strRef>
              <c:f>Sheet1!$A$2:$A$4</c:f>
              <c:strCache>
                <c:ptCount val="3"/>
                <c:pt idx="0">
                  <c:v>因公出国（境）费用</c:v>
                </c:pt>
                <c:pt idx="1">
                  <c:v>公务用车购置及运行维护费</c:v>
                </c:pt>
                <c:pt idx="2">
                  <c:v>公务接待费支出</c:v>
                </c:pt>
              </c:strCache>
            </c:strRef>
          </c:cat>
          <c:val>
            <c:numRef>
              <c:f>Sheet1!$B$2:$B$4</c:f>
              <c:numCache>
                <c:formatCode>General</c:formatCode>
                <c:ptCount val="3"/>
                <c:pt idx="0">
                  <c:v>0</c:v>
                </c:pt>
                <c:pt idx="1">
                  <c:v>4.78</c:v>
                </c:pt>
                <c:pt idx="2">
                  <c:v>0</c:v>
                </c:pt>
              </c:numCache>
            </c:numRef>
          </c:val>
        </c:ser>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943</Words>
  <Characters>5376</Characters>
  <Application>Microsoft Office Word</Application>
  <DocSecurity>0</DocSecurity>
  <Lines>44</Lines>
  <Paragraphs>12</Paragraphs>
  <ScaleCrop>false</ScaleCrop>
  <Company>四川省财政厅</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郭辉</cp:lastModifiedBy>
  <cp:revision>70</cp:revision>
  <cp:lastPrinted>2023-07-31T18:35:00Z</cp:lastPrinted>
  <dcterms:created xsi:type="dcterms:W3CDTF">2020-08-05T17:49:00Z</dcterms:created>
  <dcterms:modified xsi:type="dcterms:W3CDTF">2023-09-13T06:28:00Z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