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7193"/>
      <w:bookmarkStart w:id="3" w:name="_Toc15396597"/>
      <w:bookmarkStart w:id="4" w:name="_Toc15396475"/>
      <w:bookmarkStart w:id="5"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77194"/>
      <w:bookmarkStart w:id="9" w:name="_Toc15396476"/>
      <w:bookmarkStart w:id="10" w:name="_Toc15377426"/>
      <w:r>
        <w:rPr>
          <w:rFonts w:hint="eastAsia" w:ascii="方正小标宋简体" w:hAnsi="方正小标宋简体" w:eastAsia="方正小标宋简体" w:cs="方正小标宋简体"/>
          <w:sz w:val="72"/>
          <w:szCs w:val="72"/>
          <w:lang w:eastAsia="zh-CN"/>
        </w:rPr>
        <w:t>四川省</w:t>
      </w:r>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lang w:eastAsia="zh-CN"/>
        </w:rPr>
        <w:t>教育和体育局</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w:t>
      </w:r>
      <w:r>
        <w:rPr>
          <w:rFonts w:hint="eastAsia"/>
          <w:lang w:val="en-US" w:eastAsia="zh-CN"/>
        </w:rPr>
        <w:t>5</w:t>
      </w:r>
      <w:bookmarkStart w:id="67" w:name="_GoBack"/>
      <w:bookmarkEnd w:id="67"/>
      <w:r>
        <w:rPr>
          <w:rFonts w:hint="eastAsia"/>
        </w:rPr>
        <w:t>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hint="eastAsia" w:eastAsia="宋体"/>
          <w:lang w:val="en-US" w:eastAsia="zh-CN"/>
        </w:rPr>
      </w:pPr>
      <w:r>
        <w:rPr>
          <w:rFonts w:hint="eastAsia"/>
          <w:sz w:val="24"/>
        </w:rPr>
        <w:t>二、机构设置</w:t>
      </w:r>
      <w:r>
        <w:rPr>
          <w:rFonts w:cstheme="minorBidi"/>
          <w:sz w:val="24"/>
          <w:szCs w:val="24"/>
        </w:rPr>
        <w:tab/>
      </w:r>
      <w:r>
        <w:rPr>
          <w:rFonts w:hint="eastAsia" w:cstheme="minorBidi"/>
          <w:sz w:val="24"/>
          <w:szCs w:val="24"/>
          <w:lang w:val="en-US" w:eastAsia="zh-CN"/>
        </w:rPr>
        <w:t>7</w:t>
      </w:r>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第二部分 2022年度单位决算情况说明</w:t>
      </w:r>
      <w:r>
        <w:rPr>
          <w:rFonts w:cstheme="minorBidi"/>
          <w:sz w:val="24"/>
          <w:szCs w:val="24"/>
        </w:rPr>
        <w:tab/>
      </w:r>
      <w:r>
        <w:rPr>
          <w:rFonts w:hint="eastAsia" w:cstheme="minorBidi"/>
          <w:sz w:val="24"/>
          <w:szCs w:val="24"/>
          <w:lang w:val="en-US" w:eastAsia="zh-CN"/>
        </w:rPr>
        <w:t>8</w:t>
      </w:r>
    </w:p>
    <w:p>
      <w:pPr>
        <w:pStyle w:val="10"/>
        <w:adjustRightInd w:val="0"/>
        <w:snapToGrid w:val="0"/>
        <w:spacing w:before="0" w:line="440" w:lineRule="exact"/>
        <w:ind w:firstLine="480" w:firstLineChars="200"/>
        <w:jc w:val="left"/>
        <w:rPr>
          <w:rFonts w:hint="default" w:ascii="仿宋" w:hAnsi="仿宋" w:eastAsia="仿宋" w:cstheme="minorBidi"/>
          <w:sz w:val="24"/>
          <w:lang w:val="en-US" w:eastAsia="zh-CN"/>
        </w:rPr>
      </w:pPr>
      <w:r>
        <w:rPr>
          <w:rFonts w:hint="eastAsia"/>
          <w:sz w:val="24"/>
        </w:rPr>
        <w:t>一、收入支出决算总体情况说明</w:t>
      </w:r>
      <w:r>
        <w:rPr>
          <w:rFonts w:cstheme="minorBidi"/>
          <w:sz w:val="24"/>
          <w:szCs w:val="24"/>
        </w:rPr>
        <w:tab/>
      </w:r>
      <w:r>
        <w:rPr>
          <w:rFonts w:hint="eastAsia" w:cstheme="minorBidi"/>
          <w:sz w:val="24"/>
          <w:szCs w:val="24"/>
          <w:lang w:val="en-US" w:eastAsia="zh-CN"/>
        </w:rPr>
        <w:t>8</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szCs w:val="24"/>
        </w:rPr>
        <w:tab/>
      </w:r>
      <w:r>
        <w:rPr>
          <w:rFonts w:hint="eastAsia" w:cstheme="minorBidi"/>
          <w:sz w:val="24"/>
          <w:szCs w:val="24"/>
          <w:lang w:val="en-US" w:eastAsia="zh-CN"/>
        </w:rPr>
        <w:t>8</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szCs w:val="24"/>
        </w:rPr>
        <w:tab/>
      </w:r>
      <w:r>
        <w:rPr>
          <w:rFonts w:hint="eastAsia" w:cstheme="minorBidi"/>
          <w:sz w:val="24"/>
          <w:szCs w:val="24"/>
          <w:lang w:val="en-US" w:eastAsia="zh-CN"/>
        </w:rPr>
        <w:t>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cstheme="minorBidi"/>
          <w:sz w:val="24"/>
          <w:szCs w:val="24"/>
        </w:rPr>
        <w:tab/>
      </w:r>
      <w:r>
        <w:rPr>
          <w:rFonts w:hint="eastAsia" w:cstheme="minorBidi"/>
          <w:sz w:val="24"/>
          <w:szCs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cstheme="minorBidi"/>
          <w:sz w:val="24"/>
          <w:szCs w:val="24"/>
        </w:rPr>
        <w:tab/>
      </w:r>
      <w:r>
        <w:rPr>
          <w:rFonts w:hint="eastAsia" w:cstheme="minorBidi"/>
          <w:sz w:val="24"/>
          <w:szCs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szCs w:val="24"/>
        </w:rPr>
        <w:tab/>
      </w:r>
      <w:r>
        <w:rPr>
          <w:rFonts w:hint="eastAsia" w:cstheme="minorBidi"/>
          <w:sz w:val="24"/>
          <w:szCs w:val="24"/>
          <w:lang w:val="en-US" w:eastAsia="zh-CN"/>
        </w:rPr>
        <w:t>14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szCs w:val="24"/>
        </w:rPr>
        <w:tab/>
      </w:r>
      <w:r>
        <w:rPr>
          <w:rFonts w:hint="eastAsia" w:cstheme="minorBidi"/>
          <w:sz w:val="24"/>
          <w:szCs w:val="24"/>
          <w:lang w:val="en-US" w:eastAsia="zh-CN"/>
        </w:rPr>
        <w:t>14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szCs w:val="24"/>
        </w:rPr>
        <w:tab/>
      </w:r>
      <w:r>
        <w:rPr>
          <w:rFonts w:hint="eastAsia" w:cstheme="minorBidi"/>
          <w:sz w:val="24"/>
          <w:szCs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szCs w:val="24"/>
        </w:rPr>
        <w:tab/>
      </w:r>
      <w:r>
        <w:rPr>
          <w:rFonts w:hint="eastAsia" w:cstheme="minorBidi"/>
          <w:sz w:val="24"/>
          <w:szCs w:val="24"/>
          <w:lang w:val="en-US" w:eastAsia="zh-CN"/>
        </w:rPr>
        <w:t>17</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szCs w:val="24"/>
        </w:rPr>
        <w:tab/>
      </w:r>
      <w:r>
        <w:rPr>
          <w:rFonts w:hint="eastAsia" w:cstheme="minorBidi"/>
          <w:sz w:val="24"/>
          <w:szCs w:val="24"/>
          <w:lang w:val="en-US" w:eastAsia="zh-CN"/>
        </w:rPr>
        <w:t>17</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szCs w:val="24"/>
        </w:rPr>
        <w:tab/>
      </w:r>
      <w:r>
        <w:rPr>
          <w:rFonts w:hint="eastAsia" w:cstheme="minorBidi"/>
          <w:sz w:val="24"/>
          <w:szCs w:val="24"/>
          <w:lang w:val="en-US" w:eastAsia="zh-CN"/>
        </w:rPr>
        <w:t>19</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szCs w:val="24"/>
        </w:rPr>
        <w:tab/>
      </w:r>
      <w:r>
        <w:rPr>
          <w:rFonts w:hint="eastAsia" w:cstheme="minorBidi"/>
          <w:sz w:val="24"/>
          <w:szCs w:val="24"/>
          <w:lang w:val="en-US" w:eastAsia="zh-CN"/>
        </w:rPr>
        <w:t>22</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szCs w:val="24"/>
        </w:rPr>
        <w:tab/>
      </w:r>
      <w:r>
        <w:rPr>
          <w:rFonts w:hint="eastAsia" w:cstheme="minorBidi"/>
          <w:sz w:val="24"/>
          <w:szCs w:val="24"/>
          <w:lang w:val="en-US" w:eastAsia="zh-CN"/>
        </w:rPr>
        <w:t>23</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主要职责</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攀枝花市教育</w:t>
      </w:r>
      <w:r>
        <w:rPr>
          <w:rFonts w:hint="eastAsia" w:ascii="仿宋_GB2312" w:eastAsia="仿宋_GB2312" w:cs="仿宋_GB2312"/>
          <w:sz w:val="32"/>
          <w:szCs w:val="32"/>
          <w:lang w:eastAsia="zh-CN"/>
        </w:rPr>
        <w:t>和</w:t>
      </w:r>
      <w:r>
        <w:rPr>
          <w:rFonts w:hint="eastAsia" w:ascii="仿宋_GB2312" w:eastAsia="仿宋_GB2312" w:cs="仿宋_GB2312"/>
          <w:sz w:val="32"/>
          <w:szCs w:val="32"/>
        </w:rPr>
        <w:t>体育局是2014年由原攀枝花市教育局和原攀枝花市体育局合并成立的，为市政府工作部门。</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主要职责：</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（1）贯彻执行国家和省有关教育体育工作的方针、政策和法律、法规，研究制定有关贯彻意见并组织实施。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（3）负责义务教育的指导与协调，推进全市义务教育均衡发展和促进教育公平。指导普通高中教育、学前教育和特殊教育工作。推进基础教育教学改革，全面实施素质教育。</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（4）指导基础教育、中等职业教育和成人教育学校开展思想政治、德育、体育卫生与艺术教育、国防教育、心理健康教育、安全和稳定工作。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（5）指导职业教育发展与改革，组织实施民族地区免费中等职业教育工作。完成省里下达的藏（彝）区学生“9+3”免费职业教育任务。</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（6）综合管理全市成人教育和广播电视教育及扫除青壮年文盲工作，协调普通高等教育发展。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(7)负责全市教育督导工作。负责组织对中等及以下各级各类教育、广播电视教育以及扫除青壮年文盲工作的督导检查和评估考核工作；开展基础教育发展水平和质量监测工作。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(8)负责本部门教育体育经费的统筹管理。会同有关部门制定筹措教育体育经费、拨款、基建投资的政策和措施，协助有关部门做好教育体育拨款的筹集、拨付工作；监督全市教育体育经费的筹措和使用情况；指导国(境)外教育体育援助、贷款和合作项目的执行。负责普通高校生源地信用助学贷款工作，完善贫困学生资助管理体系。</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(9)指导少数民族教育工作，协调对少数民族地区的教育援助。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(10)统筹规划、综合管理全市民办教育，规范民办教育办学秩序，促进民办教育事业健康发展。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(11)负责全市中小学校教师队伍建设和教育体育系统干部队伍建设工作；组织和指导县(区)域内义务教育学校校长教师交流轮岗工作，推进义务教育教师“县管校用”管理制度改革。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(12)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(13)贯彻执行国家语言文字的方针政策，拟订语言文字工作中长期规划和工作计划，指导普通话推广和普通话师资培训工作，承担市语言文字工作委员会的具体工作。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(14)指导教育体育系统对外交流与合作，负责全市中小学出国留学人员和教育体育系统来攀外籍教师、教练、专家及留学人员的有关管理工作。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(15)管理、指导大中专招生和自学考试工作；制定中小学和中等职业学校招生计划并组织实施。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(16)统筹规划全市群众体育发展。负责推行全民健身计划，监督实施国家体育锻炼标准，承担全市国民体质监测和社会体育指导工作队伍制度建设；指导公共体育设施的建设，负责对公共体育设施的管理。</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(17)统筹规划全市竞技体育发展。指导体育训练、体育竞赛和运动员队伍建设；组织和统筹参加省级以上综合运动会，负责组织协调市级综合性运动会的竞赛工作，协调运动员社会保障工作。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(18)统筹规划全市青少年体育发展。指导和管理学校体育工作；制定全市学校体育、青少年业余训练的规划和工作意见，并负责组织实施、督促和检查。</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(19)指导全市学校后勤改革和体育产业发展，负责全市学校后勤和体育产业管理。拟定全市体育产业发展政策、措施，规范体育服务管理，推动体育标准化建设；协助管理全市体育彩票市场。</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(20)指导教育体育科研、技术攻关及成果推广工作；负责组织、监督全市体育运动中的反兴奋剂工作。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(21)负责指导、检查、督促全市学校安全管理工作。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(22)承担市政府公布的有关行政审批事项。</w:t>
      </w:r>
    </w:p>
    <w:p>
      <w:pPr>
        <w:ind w:firstLine="640" w:firstLineChars="200"/>
      </w:pPr>
      <w:r>
        <w:rPr>
          <w:rFonts w:hint="eastAsia" w:ascii="仿宋_GB2312" w:eastAsia="仿宋_GB2312" w:cs="仿宋_GB2312"/>
          <w:sz w:val="32"/>
          <w:szCs w:val="32"/>
        </w:rPr>
        <w:t>(23)承办市政府交办的其他事项。</w:t>
      </w:r>
    </w:p>
    <w:p/>
    <w:p>
      <w:pPr>
        <w:pStyle w:val="4"/>
        <w:rPr>
          <w:rFonts w:ascii="黑体" w:hAnsi="黑体" w:eastAsia="黑体"/>
          <w:b w:val="0"/>
        </w:rPr>
      </w:pPr>
      <w:r>
        <w:rPr>
          <w:rFonts w:hint="eastAsia" w:ascii="黑体" w:hAnsi="黑体" w:eastAsia="黑体"/>
          <w:b w:val="0"/>
        </w:rPr>
        <w:t>二、机构设置</w:t>
      </w:r>
    </w:p>
    <w:bookmarkEnd w:id="14"/>
    <w:bookmarkEnd w:id="15"/>
    <w:p>
      <w:pPr>
        <w:widowControl/>
        <w:ind w:firstLine="960" w:firstLineChars="300"/>
        <w:jc w:val="left"/>
        <w:rPr>
          <w:rFonts w:ascii="仿宋" w:hAnsi="仿宋" w:eastAsia="仿宋"/>
          <w:kern w:val="0"/>
          <w:sz w:val="32"/>
          <w:szCs w:val="32"/>
        </w:rPr>
      </w:pPr>
      <w:r>
        <w:rPr>
          <w:rFonts w:hint="eastAsia" w:hAnsi="仿宋_GB2312" w:eastAsia="仿宋_GB2312"/>
          <w:bCs/>
          <w:color w:val="000000"/>
          <w:sz w:val="32"/>
          <w:szCs w:val="32"/>
        </w:rPr>
        <w:t>办公室、政策法规与综合改革科(行政审批科) 、计划基建财务科、审计科、基础教育科(民族教育科、市语言文字工作委员会办公室)、</w:t>
      </w:r>
      <w:r>
        <w:rPr>
          <w:rFonts w:hAnsi="仿宋_GB2312" w:eastAsia="仿宋_GB2312"/>
          <w:bCs/>
          <w:color w:val="000000"/>
          <w:sz w:val="32"/>
          <w:szCs w:val="32"/>
        </w:rPr>
        <w:t>职业成人高等教育科(民族地区免费中职教育办公室)</w:t>
      </w:r>
      <w:r>
        <w:rPr>
          <w:rFonts w:hint="eastAsia" w:hAnsi="仿宋_GB2312" w:eastAsia="仿宋_GB2312"/>
          <w:bCs/>
          <w:color w:val="000000"/>
          <w:sz w:val="32"/>
          <w:szCs w:val="32"/>
        </w:rPr>
        <w:t>、</w:t>
      </w:r>
      <w:r>
        <w:rPr>
          <w:rFonts w:hAnsi="仿宋_GB2312" w:eastAsia="仿宋_GB2312"/>
          <w:bCs/>
          <w:color w:val="000000"/>
          <w:sz w:val="32"/>
          <w:szCs w:val="32"/>
        </w:rPr>
        <w:t>教育督导委员会办公室</w:t>
      </w:r>
      <w:r>
        <w:rPr>
          <w:rFonts w:hint="eastAsia" w:hAnsi="仿宋_GB2312" w:eastAsia="仿宋_GB2312"/>
          <w:bCs/>
          <w:color w:val="000000"/>
          <w:sz w:val="32"/>
          <w:szCs w:val="32"/>
        </w:rPr>
        <w:t>、体育产业科、</w:t>
      </w:r>
      <w:r>
        <w:rPr>
          <w:rFonts w:hAnsi="仿宋_GB2312" w:eastAsia="仿宋_GB2312"/>
          <w:bCs/>
          <w:color w:val="000000"/>
          <w:sz w:val="32"/>
          <w:szCs w:val="32"/>
        </w:rPr>
        <w:t>学校后勤管理与学生资助</w:t>
      </w:r>
      <w:r>
        <w:rPr>
          <w:rFonts w:hint="eastAsia" w:hAnsi="仿宋_GB2312" w:eastAsia="仿宋_GB2312"/>
          <w:bCs/>
          <w:color w:val="000000"/>
          <w:sz w:val="32"/>
          <w:szCs w:val="32"/>
        </w:rPr>
        <w:t>科、</w:t>
      </w:r>
      <w:r>
        <w:rPr>
          <w:rFonts w:hAnsi="仿宋_GB2312" w:eastAsia="仿宋_GB2312"/>
          <w:bCs/>
          <w:color w:val="000000"/>
          <w:sz w:val="32"/>
          <w:szCs w:val="32"/>
        </w:rPr>
        <w:t>学校思想政治教育科</w:t>
      </w:r>
      <w:r>
        <w:rPr>
          <w:rFonts w:hint="eastAsia" w:hAnsi="仿宋_GB2312" w:eastAsia="仿宋_GB2312"/>
          <w:bCs/>
          <w:color w:val="000000"/>
          <w:sz w:val="32"/>
          <w:szCs w:val="32"/>
        </w:rPr>
        <w:t>、</w:t>
      </w:r>
      <w:r>
        <w:rPr>
          <w:rFonts w:hAnsi="仿宋_GB2312" w:eastAsia="仿宋_GB2312"/>
          <w:bCs/>
          <w:color w:val="000000"/>
          <w:sz w:val="32"/>
          <w:szCs w:val="32"/>
        </w:rPr>
        <w:t>学校体育卫生艺术教育科(学校国防军训办公室)</w:t>
      </w:r>
      <w:r>
        <w:rPr>
          <w:rFonts w:hint="eastAsia" w:hAnsi="仿宋_GB2312" w:eastAsia="仿宋_GB2312"/>
          <w:bCs/>
          <w:color w:val="000000"/>
          <w:sz w:val="32"/>
          <w:szCs w:val="32"/>
        </w:rPr>
        <w:t>、竞赛训练科、社会体育科、</w:t>
      </w:r>
      <w:r>
        <w:rPr>
          <w:rFonts w:hint="eastAsia" w:hAnsi="仿宋_GB2312" w:eastAsia="仿宋_GB2312"/>
          <w:bCs/>
          <w:color w:val="000000"/>
          <w:sz w:val="32"/>
          <w:szCs w:val="32"/>
          <w:lang w:eastAsia="zh-CN"/>
        </w:rPr>
        <w:t>驻局纪检监察组综合科</w:t>
      </w:r>
      <w:r>
        <w:rPr>
          <w:rFonts w:hint="eastAsia" w:hAnsi="仿宋_GB2312" w:eastAsia="仿宋_GB2312"/>
          <w:bCs/>
          <w:color w:val="000000"/>
          <w:sz w:val="32"/>
          <w:szCs w:val="32"/>
        </w:rPr>
        <w:t>、安全管理科、</w:t>
      </w:r>
      <w:r>
        <w:rPr>
          <w:rFonts w:hint="eastAsia" w:hAnsi="仿宋_GB2312" w:eastAsia="仿宋_GB2312"/>
          <w:bCs/>
          <w:color w:val="000000"/>
          <w:sz w:val="32"/>
          <w:szCs w:val="32"/>
          <w:lang w:eastAsia="zh-CN"/>
        </w:rPr>
        <w:t>校外教育监管科（民办教育科）、</w:t>
      </w:r>
      <w:r>
        <w:rPr>
          <w:rFonts w:hAnsi="仿宋_GB2312" w:eastAsia="仿宋_GB2312"/>
          <w:bCs/>
          <w:color w:val="000000"/>
          <w:sz w:val="32"/>
          <w:szCs w:val="32"/>
        </w:rPr>
        <w:t>党工委办公室(统战科、组织干部科)</w:t>
      </w:r>
      <w:r>
        <w:rPr>
          <w:rFonts w:hint="eastAsia" w:hAnsi="仿宋_GB2312" w:eastAsia="仿宋_GB2312"/>
          <w:bCs/>
          <w:color w:val="000000"/>
          <w:sz w:val="32"/>
          <w:szCs w:val="32"/>
        </w:rPr>
        <w:t>、人事科(离退休人员管理科)共1</w:t>
      </w:r>
      <w:r>
        <w:rPr>
          <w:rFonts w:hint="eastAsia" w:hAnsi="仿宋_GB2312" w:eastAsia="仿宋_GB2312"/>
          <w:bCs/>
          <w:color w:val="000000"/>
          <w:sz w:val="32"/>
          <w:szCs w:val="32"/>
          <w:lang w:val="en-US" w:eastAsia="zh-CN"/>
        </w:rPr>
        <w:t>8</w:t>
      </w:r>
      <w:r>
        <w:rPr>
          <w:rFonts w:hint="eastAsia" w:hAnsi="仿宋_GB2312" w:eastAsia="仿宋_GB2312"/>
          <w:bCs/>
          <w:color w:val="000000"/>
          <w:sz w:val="32"/>
          <w:szCs w:val="32"/>
        </w:rPr>
        <w:t>个内设科室。</w:t>
      </w: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2022年度收、支总计2896.</w:t>
      </w:r>
      <w:r>
        <w:rPr>
          <w:rFonts w:hint="eastAsia" w:ascii="仿宋" w:hAnsi="仿宋" w:eastAsia="仿宋"/>
          <w:sz w:val="32"/>
          <w:szCs w:val="32"/>
          <w:lang w:val="en-US" w:eastAsia="zh-CN"/>
        </w:rPr>
        <w:t>62</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7.58</w:t>
      </w:r>
      <w:r>
        <w:rPr>
          <w:rFonts w:hint="eastAsia" w:ascii="仿宋" w:hAnsi="仿宋" w:eastAsia="仿宋"/>
          <w:sz w:val="32"/>
          <w:szCs w:val="32"/>
        </w:rPr>
        <w:t>万元，增长</w:t>
      </w:r>
      <w:r>
        <w:rPr>
          <w:rFonts w:hint="eastAsia" w:ascii="仿宋" w:hAnsi="仿宋" w:eastAsia="仿宋"/>
          <w:sz w:val="32"/>
          <w:szCs w:val="32"/>
          <w:lang w:val="en-US" w:eastAsia="zh-CN"/>
        </w:rPr>
        <w:t>0.26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人员职务职级变动，工资薪金略有增加</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rPr>
          <w:rFonts w:hint="eastAsia" w:ascii="仿宋" w:hAnsi="仿宋" w:eastAsia="仿宋"/>
          <w:sz w:val="32"/>
          <w:szCs w:val="32"/>
        </w:rPr>
      </w:pPr>
    </w:p>
    <w:p>
      <w:pPr>
        <w:pStyle w:val="2"/>
        <w:rPr>
          <w:rFonts w:hint="eastAsia" w:ascii="仿宋" w:hAnsi="仿宋" w:eastAsia="仿宋"/>
          <w:sz w:val="32"/>
          <w:szCs w:val="32"/>
        </w:rPr>
      </w:pPr>
      <w:r>
        <w:rPr>
          <w:rFonts w:hint="eastAsia" w:ascii="仿宋_GB2312" w:eastAsia="仿宋_GB2312"/>
          <w:sz w:val="32"/>
          <w:szCs w:val="32"/>
        </w:rPr>
        <w:drawing>
          <wp:inline distT="0" distB="0" distL="0" distR="0">
            <wp:extent cx="5274310" cy="3076575"/>
            <wp:effectExtent l="5080" t="4445" r="16510" b="508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left"/>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22年本年收入合计2567.22万元，其中：一般公共预算财政拨款收入2450.96万元，占</w:t>
      </w:r>
      <w:r>
        <w:rPr>
          <w:rFonts w:hint="eastAsia" w:ascii="仿宋" w:hAnsi="仿宋" w:eastAsia="仿宋"/>
          <w:sz w:val="32"/>
          <w:szCs w:val="32"/>
          <w:lang w:val="en-US" w:eastAsia="zh-CN"/>
        </w:rPr>
        <w:t>95.47</w:t>
      </w:r>
      <w:r>
        <w:rPr>
          <w:rFonts w:ascii="仿宋" w:hAnsi="仿宋" w:eastAsia="仿宋"/>
          <w:sz w:val="32"/>
          <w:szCs w:val="32"/>
        </w:rPr>
        <w:t>%</w:t>
      </w:r>
      <w:r>
        <w:rPr>
          <w:rFonts w:hint="eastAsia" w:ascii="仿宋" w:hAnsi="仿宋" w:eastAsia="仿宋"/>
          <w:sz w:val="32"/>
          <w:szCs w:val="32"/>
        </w:rPr>
        <w:t>；政府性基金预算财政拨款收入116.26万元，占</w:t>
      </w:r>
      <w:r>
        <w:rPr>
          <w:rFonts w:hint="eastAsia" w:ascii="仿宋" w:hAnsi="仿宋" w:eastAsia="仿宋"/>
          <w:sz w:val="32"/>
          <w:szCs w:val="32"/>
          <w:lang w:val="en-US" w:eastAsia="zh-CN"/>
        </w:rPr>
        <w:t>4.53</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r>
        <w:rPr>
          <w:rFonts w:ascii="仿宋_GB2312" w:eastAsia="仿宋_GB2312"/>
          <w:sz w:val="32"/>
          <w:szCs w:val="32"/>
        </w:rPr>
        <w:drawing>
          <wp:inline distT="0" distB="0" distL="0" distR="0">
            <wp:extent cx="5274310" cy="3076575"/>
            <wp:effectExtent l="5080" t="4445" r="16510" b="5080"/>
            <wp:docPr id="1"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2896.62</w:t>
      </w:r>
      <w:r>
        <w:rPr>
          <w:rFonts w:hint="eastAsia" w:ascii="仿宋" w:hAnsi="仿宋" w:eastAsia="仿宋"/>
          <w:sz w:val="32"/>
          <w:szCs w:val="32"/>
        </w:rPr>
        <w:t>万元，其中：基本支出1697.72万元，占</w:t>
      </w:r>
      <w:r>
        <w:rPr>
          <w:rFonts w:hint="eastAsia" w:ascii="仿宋" w:hAnsi="仿宋" w:eastAsia="仿宋"/>
          <w:sz w:val="32"/>
          <w:szCs w:val="32"/>
          <w:lang w:val="en-US" w:eastAsia="zh-CN"/>
        </w:rPr>
        <w:t>58.61</w:t>
      </w:r>
      <w:r>
        <w:rPr>
          <w:rFonts w:ascii="仿宋" w:hAnsi="仿宋" w:eastAsia="仿宋"/>
          <w:sz w:val="32"/>
          <w:szCs w:val="32"/>
        </w:rPr>
        <w:t>%</w:t>
      </w:r>
      <w:r>
        <w:rPr>
          <w:rFonts w:hint="eastAsia" w:ascii="仿宋" w:hAnsi="仿宋" w:eastAsia="仿宋"/>
          <w:sz w:val="32"/>
          <w:szCs w:val="32"/>
        </w:rPr>
        <w:t>；项目支出1198.9万元，占</w:t>
      </w:r>
      <w:r>
        <w:rPr>
          <w:rFonts w:hint="eastAsia" w:ascii="仿宋" w:hAnsi="仿宋" w:eastAsia="仿宋"/>
          <w:sz w:val="32"/>
          <w:szCs w:val="32"/>
          <w:lang w:val="en-US" w:eastAsia="zh-CN"/>
        </w:rPr>
        <w:t>41.39</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r>
        <w:rPr>
          <w:rFonts w:hint="eastAsia" w:ascii="仿宋_GB2312" w:eastAsia="仿宋_GB2312"/>
          <w:sz w:val="32"/>
          <w:szCs w:val="32"/>
        </w:rPr>
        <w:drawing>
          <wp:inline distT="0" distB="0" distL="0" distR="0">
            <wp:extent cx="5274310" cy="3076575"/>
            <wp:effectExtent l="5080" t="4445" r="16510" b="508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2896.25</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7.21</w:t>
      </w:r>
      <w:r>
        <w:rPr>
          <w:rFonts w:hint="eastAsia" w:ascii="仿宋" w:hAnsi="仿宋" w:eastAsia="仿宋"/>
          <w:sz w:val="32"/>
          <w:szCs w:val="32"/>
        </w:rPr>
        <w:t>万元，增长</w:t>
      </w:r>
      <w:r>
        <w:rPr>
          <w:rFonts w:hint="eastAsia" w:ascii="仿宋" w:hAnsi="仿宋" w:eastAsia="仿宋"/>
          <w:sz w:val="32"/>
          <w:szCs w:val="32"/>
          <w:lang w:val="en-US" w:eastAsia="zh-CN"/>
        </w:rPr>
        <w:t>0.25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人员职务职级变动，工资薪金略有增加。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2"/>
        <w:rPr>
          <w:rFonts w:ascii="仿宋" w:hAnsi="仿宋" w:eastAsia="仿宋"/>
          <w:b/>
          <w:sz w:val="32"/>
          <w:szCs w:val="32"/>
        </w:rPr>
      </w:pPr>
      <w:r>
        <w:rPr>
          <w:rFonts w:hint="eastAsia" w:ascii="仿宋" w:hAnsi="仿宋" w:eastAsia="仿宋"/>
          <w:b/>
          <w:sz w:val="32"/>
          <w:szCs w:val="32"/>
        </w:rPr>
        <w:drawing>
          <wp:inline distT="0" distB="0" distL="0" distR="0">
            <wp:extent cx="5274310" cy="3076575"/>
            <wp:effectExtent l="5080" t="4445" r="16510" b="508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2519.99</w:t>
      </w:r>
      <w:r>
        <w:rPr>
          <w:rFonts w:hint="eastAsia" w:ascii="仿宋" w:hAnsi="仿宋" w:eastAsia="仿宋"/>
          <w:sz w:val="32"/>
          <w:szCs w:val="32"/>
        </w:rPr>
        <w:t>元，占本年支出合计的</w:t>
      </w:r>
      <w:r>
        <w:rPr>
          <w:rFonts w:hint="eastAsia" w:ascii="仿宋" w:hAnsi="仿宋" w:eastAsia="仿宋"/>
          <w:sz w:val="32"/>
          <w:szCs w:val="32"/>
          <w:lang w:val="en-US" w:eastAsia="zh-CN"/>
        </w:rPr>
        <w:t>87.01</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249.02</w:t>
      </w:r>
      <w:r>
        <w:rPr>
          <w:rFonts w:hint="eastAsia" w:ascii="仿宋" w:hAnsi="仿宋" w:eastAsia="仿宋"/>
          <w:sz w:val="32"/>
          <w:szCs w:val="32"/>
        </w:rPr>
        <w:t>万元，下降</w:t>
      </w:r>
      <w:r>
        <w:rPr>
          <w:rFonts w:hint="eastAsia" w:ascii="仿宋" w:hAnsi="仿宋" w:eastAsia="仿宋"/>
          <w:sz w:val="32"/>
          <w:szCs w:val="32"/>
          <w:lang w:val="en-US" w:eastAsia="zh-CN"/>
        </w:rPr>
        <w:t>8.99</w:t>
      </w:r>
      <w:r>
        <w:rPr>
          <w:rFonts w:ascii="仿宋" w:hAnsi="仿宋" w:eastAsia="仿宋"/>
          <w:sz w:val="32"/>
          <w:szCs w:val="32"/>
        </w:rPr>
        <w:t>%</w:t>
      </w:r>
      <w:r>
        <w:rPr>
          <w:rFonts w:hint="eastAsia" w:ascii="仿宋" w:hAnsi="仿宋" w:eastAsia="仿宋"/>
          <w:sz w:val="32"/>
          <w:szCs w:val="32"/>
        </w:rPr>
        <w:t>。主要变动原因是</w:t>
      </w:r>
      <w:r>
        <w:rPr>
          <w:rFonts w:hint="eastAsia" w:ascii="仿宋" w:eastAsia="仿宋"/>
          <w:color w:val="000000"/>
          <w:sz w:val="32"/>
          <w:szCs w:val="32"/>
        </w:rPr>
        <w:t>受疫情影响，各项财政收入减少，相应的支出减少</w:t>
      </w:r>
      <w:r>
        <w:rPr>
          <w:rFonts w:hint="eastAsia" w:ascii="仿宋" w:eastAsia="仿宋"/>
          <w:color w:val="000000"/>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r>
        <w:rPr>
          <w:rFonts w:hint="eastAsia" w:ascii="仿宋" w:hAnsi="仿宋" w:eastAsia="仿宋"/>
          <w:sz w:val="32"/>
          <w:szCs w:val="32"/>
        </w:rPr>
        <w:drawing>
          <wp:inline distT="0" distB="0" distL="0" distR="0">
            <wp:extent cx="4610100" cy="4695825"/>
            <wp:effectExtent l="4445" t="4445" r="14605"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2519.99</w:t>
      </w:r>
      <w:r>
        <w:rPr>
          <w:rFonts w:hint="eastAsia" w:ascii="仿宋" w:hAnsi="仿宋" w:eastAsia="仿宋"/>
          <w:sz w:val="32"/>
          <w:szCs w:val="32"/>
        </w:rPr>
        <w:t>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0.34</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1955.03</w:t>
      </w:r>
      <w:r>
        <w:rPr>
          <w:rFonts w:hint="eastAsia" w:ascii="仿宋" w:hAnsi="仿宋" w:eastAsia="仿宋"/>
          <w:sz w:val="32"/>
          <w:szCs w:val="32"/>
        </w:rPr>
        <w:t>万元，占</w:t>
      </w:r>
      <w:r>
        <w:rPr>
          <w:rFonts w:hint="eastAsia" w:ascii="仿宋" w:hAnsi="仿宋" w:eastAsia="仿宋"/>
          <w:sz w:val="32"/>
          <w:szCs w:val="32"/>
          <w:lang w:val="en-US" w:eastAsia="zh-CN"/>
        </w:rPr>
        <w:t>77.58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41.4</w:t>
      </w:r>
      <w:r>
        <w:rPr>
          <w:rFonts w:hint="eastAsia" w:ascii="仿宋" w:hAnsi="仿宋" w:eastAsia="仿宋"/>
          <w:b/>
          <w:bCs/>
          <w:sz w:val="32"/>
          <w:szCs w:val="32"/>
        </w:rPr>
        <w:t>万元，占</w:t>
      </w:r>
      <w:r>
        <w:rPr>
          <w:rFonts w:hint="eastAsia" w:ascii="仿宋" w:hAnsi="仿宋" w:eastAsia="仿宋"/>
          <w:b/>
          <w:bCs/>
          <w:sz w:val="32"/>
          <w:szCs w:val="32"/>
          <w:lang w:val="en-US" w:eastAsia="zh-CN"/>
        </w:rPr>
        <w:t>1.64</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406.25</w:t>
      </w:r>
      <w:r>
        <w:rPr>
          <w:rFonts w:hint="eastAsia" w:ascii="仿宋" w:hAnsi="仿宋" w:eastAsia="仿宋"/>
          <w:sz w:val="32"/>
          <w:szCs w:val="32"/>
        </w:rPr>
        <w:t>万元，占</w:t>
      </w:r>
      <w:r>
        <w:rPr>
          <w:rFonts w:hint="eastAsia" w:ascii="仿宋" w:hAnsi="仿宋" w:eastAsia="仿宋"/>
          <w:sz w:val="32"/>
          <w:szCs w:val="32"/>
          <w:lang w:val="en-US" w:eastAsia="zh-CN"/>
        </w:rPr>
        <w:t>16.12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0.89</w:t>
      </w:r>
      <w:r>
        <w:rPr>
          <w:rFonts w:hint="eastAsia" w:ascii="仿宋" w:hAnsi="仿宋" w:eastAsia="仿宋"/>
          <w:sz w:val="32"/>
          <w:szCs w:val="32"/>
        </w:rPr>
        <w:t>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116.08</w:t>
      </w:r>
      <w:r>
        <w:rPr>
          <w:rFonts w:hint="eastAsia" w:ascii="仿宋" w:hAnsi="仿宋" w:eastAsia="仿宋"/>
          <w:sz w:val="32"/>
          <w:szCs w:val="32"/>
        </w:rPr>
        <w:t>万元，占</w:t>
      </w:r>
      <w:r>
        <w:rPr>
          <w:rFonts w:hint="eastAsia" w:ascii="仿宋" w:hAnsi="仿宋" w:eastAsia="仿宋"/>
          <w:sz w:val="32"/>
          <w:szCs w:val="32"/>
          <w:lang w:val="en-US" w:eastAsia="zh-CN"/>
        </w:rPr>
        <w:t>4.61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rPr>
          <w:rFonts w:ascii="仿宋" w:hAnsi="仿宋" w:eastAsia="仿宋"/>
          <w:sz w:val="32"/>
          <w:szCs w:val="32"/>
        </w:rPr>
      </w:pPr>
    </w:p>
    <w:p>
      <w:pPr>
        <w:pStyle w:val="2"/>
        <w:rPr>
          <w:rFonts w:ascii="仿宋" w:hAnsi="仿宋" w:eastAsia="仿宋"/>
          <w:sz w:val="32"/>
          <w:szCs w:val="32"/>
        </w:rPr>
      </w:pPr>
      <w:r>
        <w:rPr>
          <w:rFonts w:hint="eastAsia" w:ascii="仿宋" w:hAnsi="仿宋" w:eastAsia="仿宋"/>
          <w:sz w:val="32"/>
          <w:szCs w:val="32"/>
        </w:rPr>
        <w:drawing>
          <wp:inline distT="0" distB="0" distL="0" distR="0">
            <wp:extent cx="4867275" cy="4267835"/>
            <wp:effectExtent l="5080" t="4445" r="4445"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7444"/>
      <w:bookmarkStart w:id="32" w:name="_Toc15377213"/>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2519.99</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w:t>
      </w:r>
      <w:r>
        <w:rPr>
          <w:rStyle w:val="14"/>
          <w:rFonts w:hint="eastAsia" w:ascii="仿宋" w:eastAsia="仿宋"/>
          <w:bCs/>
          <w:color w:val="auto"/>
          <w:sz w:val="32"/>
          <w:szCs w:val="32"/>
          <w:highlight w:val="none"/>
          <w:lang w:eastAsia="zh-CN"/>
        </w:rPr>
        <w:t>商贸事务（</w:t>
      </w:r>
      <w:r>
        <w:rPr>
          <w:rStyle w:val="14"/>
          <w:rFonts w:hint="eastAsia" w:ascii="仿宋" w:eastAsia="仿宋"/>
          <w:bCs/>
          <w:color w:val="auto"/>
          <w:sz w:val="32"/>
          <w:szCs w:val="32"/>
          <w:highlight w:val="none"/>
        </w:rPr>
        <w:t>款）</w:t>
      </w:r>
      <w:r>
        <w:rPr>
          <w:rStyle w:val="14"/>
          <w:rFonts w:hint="eastAsia" w:ascii="仿宋" w:eastAsia="仿宋"/>
          <w:bCs/>
          <w:color w:val="auto"/>
          <w:sz w:val="32"/>
          <w:szCs w:val="32"/>
          <w:highlight w:val="none"/>
          <w:lang w:eastAsia="zh-CN"/>
        </w:rPr>
        <w:t>招商引资</w:t>
      </w:r>
      <w:r>
        <w:rPr>
          <w:rStyle w:val="14"/>
          <w:rFonts w:hint="eastAsia" w:ascii="仿宋" w:eastAsia="仿宋"/>
          <w:bCs/>
          <w:color w:val="auto"/>
          <w:sz w:val="32"/>
          <w:szCs w:val="32"/>
          <w:highlight w:val="none"/>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0.34</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教育（类）</w:t>
      </w:r>
      <w:r>
        <w:rPr>
          <w:rStyle w:val="14"/>
          <w:rFonts w:hint="eastAsia" w:ascii="仿宋" w:hAnsi="仿宋" w:eastAsia="仿宋"/>
          <w:bCs/>
          <w:color w:val="000000"/>
          <w:sz w:val="32"/>
          <w:szCs w:val="32"/>
        </w:rPr>
        <w:t>教育管理事务（款）行政运行</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1175.39</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2" w:firstLineChars="200"/>
        <w:rPr>
          <w:rStyle w:val="14"/>
          <w:rFonts w:hint="eastAsia" w:ascii="仿宋" w:hAnsi="仿宋" w:eastAsia="仿宋"/>
          <w:b w:val="0"/>
          <w:bCs/>
          <w:sz w:val="32"/>
          <w:szCs w:val="32"/>
        </w:rPr>
      </w:pPr>
      <w:r>
        <w:rPr>
          <w:rStyle w:val="14"/>
          <w:rFonts w:ascii="仿宋" w:hAnsi="仿宋" w:eastAsia="仿宋"/>
          <w:bCs/>
          <w:sz w:val="32"/>
          <w:szCs w:val="32"/>
        </w:rPr>
        <w:t>3.</w:t>
      </w:r>
      <w:r>
        <w:rPr>
          <w:rStyle w:val="14"/>
          <w:rFonts w:hint="eastAsia" w:ascii="仿宋" w:hAnsi="仿宋" w:eastAsia="仿宋"/>
          <w:bCs/>
          <w:color w:val="000000"/>
          <w:sz w:val="32"/>
          <w:szCs w:val="32"/>
        </w:rPr>
        <w:t>教育（类）教育管理事务（款）</w:t>
      </w:r>
      <w:r>
        <w:rPr>
          <w:rStyle w:val="14"/>
          <w:rFonts w:hint="eastAsia" w:ascii="仿宋" w:hAnsi="仿宋" w:eastAsia="仿宋"/>
          <w:bCs/>
          <w:color w:val="000000"/>
          <w:sz w:val="32"/>
          <w:szCs w:val="32"/>
          <w:lang w:eastAsia="zh-CN"/>
        </w:rPr>
        <w:t>一般行政管理事</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0.37</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2"/>
        <w:ind w:firstLine="600"/>
        <w:rPr>
          <w:rStyle w:val="14"/>
          <w:rFonts w:hint="eastAsia" w:ascii="仿宋" w:eastAsia="仿宋"/>
          <w:b w:val="0"/>
          <w:bCs/>
          <w:color w:val="auto"/>
          <w:sz w:val="32"/>
          <w:szCs w:val="32"/>
          <w:highlight w:val="none"/>
        </w:rPr>
      </w:pPr>
      <w:r>
        <w:rPr>
          <w:rStyle w:val="14"/>
          <w:rFonts w:hint="eastAsia" w:ascii="仿宋" w:eastAsia="仿宋"/>
          <w:bCs/>
          <w:color w:val="auto"/>
          <w:sz w:val="32"/>
          <w:szCs w:val="32"/>
          <w:highlight w:val="none"/>
          <w:lang w:val="en-US" w:eastAsia="zh-CN"/>
        </w:rPr>
        <w:t>4</w:t>
      </w:r>
      <w:r>
        <w:rPr>
          <w:rStyle w:val="14"/>
          <w:rFonts w:ascii="仿宋" w:eastAsia="仿宋"/>
          <w:bCs/>
          <w:color w:val="auto"/>
          <w:sz w:val="32"/>
          <w:szCs w:val="32"/>
          <w:highlight w:val="none"/>
        </w:rPr>
        <w:t>.</w:t>
      </w:r>
      <w:r>
        <w:rPr>
          <w:rStyle w:val="14"/>
          <w:rFonts w:hint="eastAsia" w:ascii="仿宋" w:hAnsi="仿宋" w:eastAsia="仿宋"/>
          <w:bCs/>
          <w:color w:val="000000"/>
          <w:sz w:val="32"/>
          <w:szCs w:val="32"/>
        </w:rPr>
        <w:t>教育（类）教育管理事务（款）</w:t>
      </w:r>
      <w:r>
        <w:rPr>
          <w:rStyle w:val="14"/>
          <w:rFonts w:hint="eastAsia" w:ascii="仿宋" w:hAnsi="仿宋" w:eastAsia="仿宋"/>
          <w:bCs/>
          <w:color w:val="000000"/>
          <w:sz w:val="32"/>
          <w:szCs w:val="32"/>
          <w:lang w:eastAsia="zh-CN"/>
        </w:rPr>
        <w:t>其他教育管理事务支出</w:t>
      </w:r>
      <w:r>
        <w:rPr>
          <w:rStyle w:val="14"/>
          <w:rFonts w:hint="eastAsia" w:ascii="仿宋" w:hAnsi="仿宋" w:eastAsia="仿宋"/>
          <w:bCs/>
          <w:color w:val="000000"/>
          <w:sz w:val="32"/>
          <w:szCs w:val="32"/>
        </w:rPr>
        <w:t>（项）</w:t>
      </w:r>
      <w:r>
        <w:rPr>
          <w:rStyle w:val="14"/>
          <w:rFonts w:ascii="仿宋" w:eastAsia="仿宋"/>
          <w:bCs/>
          <w:color w:val="auto"/>
          <w:sz w:val="32"/>
          <w:szCs w:val="32"/>
          <w:highlight w:val="none"/>
        </w:rPr>
        <w:t>:</w:t>
      </w:r>
      <w:r>
        <w:rPr>
          <w:rStyle w:val="14"/>
          <w:rFonts w:ascii="仿宋" w:eastAsia="仿宋"/>
          <w:b w:val="0"/>
          <w:bCs/>
          <w:color w:val="auto"/>
          <w:sz w:val="32"/>
          <w:szCs w:val="32"/>
          <w:highlight w:val="none"/>
        </w:rPr>
        <w:t xml:space="preserve"> </w:t>
      </w:r>
      <w:r>
        <w:rPr>
          <w:rStyle w:val="14"/>
          <w:rFonts w:hint="eastAsia" w:ascii="仿宋" w:eastAsia="仿宋"/>
          <w:b w:val="0"/>
          <w:bCs/>
          <w:color w:val="auto"/>
          <w:sz w:val="32"/>
          <w:szCs w:val="32"/>
          <w:highlight w:val="none"/>
        </w:rPr>
        <w:t>支出决算为</w:t>
      </w:r>
      <w:r>
        <w:rPr>
          <w:rStyle w:val="14"/>
          <w:rFonts w:hint="eastAsia" w:ascii="仿宋" w:eastAsia="仿宋"/>
          <w:b w:val="0"/>
          <w:bCs/>
          <w:color w:val="auto"/>
          <w:sz w:val="32"/>
          <w:szCs w:val="32"/>
          <w:highlight w:val="none"/>
          <w:lang w:val="en-US" w:eastAsia="zh-CN"/>
        </w:rPr>
        <w:t>4.19</w:t>
      </w:r>
      <w:r>
        <w:rPr>
          <w:rStyle w:val="14"/>
          <w:rFonts w:hint="eastAsia" w:ascii="仿宋" w:eastAsia="仿宋"/>
          <w:b w:val="0"/>
          <w:bCs/>
          <w:color w:val="auto"/>
          <w:sz w:val="32"/>
          <w:szCs w:val="32"/>
          <w:highlight w:val="none"/>
        </w:rPr>
        <w:t>万元，完成预算</w:t>
      </w:r>
      <w:r>
        <w:rPr>
          <w:rStyle w:val="14"/>
          <w:rFonts w:hint="eastAsia" w:ascii="仿宋" w:eastAsia="仿宋"/>
          <w:b w:val="0"/>
          <w:bCs/>
          <w:color w:val="auto"/>
          <w:sz w:val="32"/>
          <w:szCs w:val="32"/>
          <w:highlight w:val="none"/>
          <w:lang w:val="en-US" w:eastAsia="zh-CN"/>
        </w:rPr>
        <w:t>100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p>
    <w:p>
      <w:pPr>
        <w:numPr>
          <w:ilvl w:val="0"/>
          <w:numId w:val="0"/>
        </w:numPr>
        <w:spacing w:line="600" w:lineRule="exact"/>
        <w:ind w:firstLine="642"/>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5.</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eastAsia="zh-CN"/>
        </w:rPr>
        <w:t>职业教育</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中等职业教育</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738.58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pStyle w:val="2"/>
        <w:ind w:firstLine="600"/>
        <w:rPr>
          <w:rStyle w:val="14"/>
          <w:rFonts w:hint="eastAsia" w:ascii="仿宋" w:hAnsi="仿宋" w:eastAsia="仿宋"/>
          <w:b w:val="0"/>
          <w:bCs/>
          <w:color w:val="000000"/>
          <w:sz w:val="32"/>
          <w:szCs w:val="32"/>
          <w:lang w:eastAsia="zh-CN"/>
        </w:rPr>
      </w:pPr>
      <w:r>
        <w:rPr>
          <w:rStyle w:val="14"/>
          <w:rFonts w:hint="eastAsia" w:ascii="仿宋" w:hAnsi="仿宋" w:eastAsia="仿宋" w:cs="Times New Roman"/>
          <w:bCs/>
          <w:color w:val="000000"/>
          <w:kern w:val="2"/>
          <w:sz w:val="32"/>
          <w:szCs w:val="32"/>
          <w:lang w:val="en-US" w:eastAsia="zh-CN" w:bidi="ar-SA"/>
        </w:rPr>
        <w:t>6.</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eastAsia="zh-CN"/>
        </w:rPr>
        <w:t>进修及培训</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教师进修</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18.15</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pStyle w:val="2"/>
        <w:ind w:firstLine="600"/>
        <w:rPr>
          <w:rStyle w:val="14"/>
          <w:rFonts w:hint="default" w:ascii="仿宋" w:hAnsi="仿宋" w:eastAsia="仿宋"/>
          <w:b w:val="0"/>
          <w:bCs/>
          <w:color w:val="000000"/>
          <w:sz w:val="32"/>
          <w:szCs w:val="32"/>
          <w:lang w:val="en-US" w:eastAsia="zh-CN"/>
        </w:rPr>
      </w:pPr>
      <w:r>
        <w:rPr>
          <w:rStyle w:val="14"/>
          <w:rFonts w:hint="eastAsia" w:ascii="仿宋" w:hAnsi="仿宋" w:eastAsia="仿宋" w:cs="Times New Roman"/>
          <w:bCs/>
          <w:color w:val="000000"/>
          <w:kern w:val="2"/>
          <w:sz w:val="32"/>
          <w:szCs w:val="32"/>
          <w:lang w:val="en-US" w:eastAsia="zh-CN" w:bidi="ar-SA"/>
        </w:rPr>
        <w:t>7.</w:t>
      </w:r>
      <w:r>
        <w:rPr>
          <w:rStyle w:val="14"/>
          <w:rFonts w:hint="eastAsia" w:ascii="仿宋" w:hAnsi="仿宋" w:eastAsia="仿宋"/>
          <w:bCs/>
          <w:color w:val="000000"/>
          <w:sz w:val="32"/>
          <w:szCs w:val="32"/>
        </w:rPr>
        <w:t>教育（类）教育附加安排的支出（款）其他教育费附加安排的支出（项）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18.35</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Fonts w:ascii="仿宋" w:hAnsi="仿宋" w:eastAsia="仿宋"/>
          <w:b/>
          <w:sz w:val="32"/>
          <w:szCs w:val="32"/>
        </w:rPr>
      </w:pPr>
      <w:r>
        <w:rPr>
          <w:rStyle w:val="14"/>
          <w:rFonts w:hint="eastAsia" w:ascii="仿宋" w:hAnsi="仿宋" w:eastAsia="仿宋"/>
          <w:bCs/>
          <w:sz w:val="32"/>
          <w:szCs w:val="32"/>
          <w:lang w:val="en-US" w:eastAsia="zh-CN"/>
        </w:rPr>
        <w:t>8</w:t>
      </w:r>
      <w:r>
        <w:rPr>
          <w:rStyle w:val="14"/>
          <w:rFonts w:ascii="仿宋" w:hAnsi="仿宋" w:eastAsia="仿宋"/>
          <w:bCs/>
          <w:sz w:val="32"/>
          <w:szCs w:val="32"/>
        </w:rPr>
        <w:t>.</w:t>
      </w:r>
      <w:r>
        <w:rPr>
          <w:rStyle w:val="14"/>
          <w:rFonts w:hint="eastAsia" w:ascii="仿宋" w:hAnsi="仿宋" w:eastAsia="仿宋"/>
          <w:bCs/>
          <w:sz w:val="32"/>
          <w:szCs w:val="32"/>
        </w:rPr>
        <w:t>文化旅游体育与传媒（类）</w:t>
      </w:r>
      <w:r>
        <w:rPr>
          <w:rStyle w:val="14"/>
          <w:rFonts w:hint="eastAsia" w:ascii="仿宋" w:eastAsia="仿宋"/>
          <w:bCs/>
          <w:color w:val="auto"/>
          <w:sz w:val="32"/>
          <w:szCs w:val="32"/>
          <w:highlight w:val="none"/>
          <w:lang w:eastAsia="zh-CN"/>
        </w:rPr>
        <w:t>体育</w:t>
      </w:r>
      <w:r>
        <w:rPr>
          <w:rStyle w:val="14"/>
          <w:rFonts w:hint="eastAsia" w:ascii="仿宋" w:eastAsia="仿宋"/>
          <w:bCs/>
          <w:color w:val="auto"/>
          <w:sz w:val="32"/>
          <w:szCs w:val="32"/>
          <w:highlight w:val="none"/>
        </w:rPr>
        <w:t>（款）</w:t>
      </w:r>
      <w:r>
        <w:rPr>
          <w:rStyle w:val="14"/>
          <w:rFonts w:hint="eastAsia" w:ascii="仿宋" w:hAnsi="仿宋" w:eastAsia="仿宋"/>
          <w:bCs/>
          <w:color w:val="000000"/>
          <w:sz w:val="32"/>
          <w:szCs w:val="32"/>
          <w:lang w:eastAsia="zh-CN"/>
        </w:rPr>
        <w:t>其他体育支出</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41.4</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lang w:val="en-US" w:eastAsia="zh-CN"/>
        </w:rPr>
        <w:t>9.</w:t>
      </w:r>
      <w:r>
        <w:rPr>
          <w:rStyle w:val="14"/>
          <w:rFonts w:hint="eastAsia" w:ascii="仿宋" w:hAnsi="仿宋" w:eastAsia="仿宋"/>
          <w:bCs/>
          <w:color w:val="000000"/>
          <w:sz w:val="32"/>
          <w:szCs w:val="32"/>
        </w:rPr>
        <w:t>社会保障和就业（类）行政事业单位养老保险（款）行政单位离退休（项）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319.49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Style w:val="2"/>
        <w:ind w:firstLine="642"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10.</w:t>
      </w:r>
      <w:r>
        <w:rPr>
          <w:rStyle w:val="14"/>
          <w:rFonts w:hint="eastAsia" w:ascii="仿宋" w:hAnsi="仿宋" w:eastAsia="仿宋"/>
          <w:bCs/>
          <w:color w:val="000000"/>
          <w:sz w:val="32"/>
          <w:szCs w:val="32"/>
        </w:rPr>
        <w:t>社会保障和就业（类）行政事业单位养老保险（款）机关事业单位养老保险缴费支出（项）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85.25</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eastAsia="zh-CN"/>
        </w:rPr>
        <w:t>抚恤</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死亡抚恤（</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1.51</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Style w:val="2"/>
        <w:ind w:firstLine="642"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12.</w:t>
      </w:r>
      <w:r>
        <w:rPr>
          <w:rStyle w:val="14"/>
          <w:rFonts w:hint="eastAsia" w:ascii="仿宋" w:hAnsi="仿宋" w:eastAsia="仿宋"/>
          <w:bCs/>
          <w:color w:val="000000"/>
          <w:sz w:val="32"/>
          <w:szCs w:val="32"/>
          <w:lang w:eastAsia="zh-CN"/>
        </w:rPr>
        <w:t>卫生健康支出</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其他卫生健康支出</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eastAsia="zh-CN"/>
        </w:rPr>
        <w:t>其他卫生健康支出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0.89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2" w:firstLineChars="200"/>
        <w:rPr>
          <w:rStyle w:val="14"/>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13.</w:t>
      </w:r>
      <w:r>
        <w:rPr>
          <w:rFonts w:hint="eastAsia" w:ascii="仿宋" w:hAnsi="仿宋" w:eastAsia="仿宋"/>
          <w:b/>
          <w:bCs/>
          <w:color w:val="000000"/>
          <w:sz w:val="32"/>
          <w:szCs w:val="32"/>
        </w:rPr>
        <w:t>住房保障支出</w:t>
      </w:r>
      <w:r>
        <w:rPr>
          <w:rStyle w:val="14"/>
          <w:rFonts w:hint="eastAsia" w:ascii="仿宋" w:hAnsi="仿宋" w:eastAsia="仿宋"/>
          <w:bCs/>
          <w:color w:val="000000"/>
          <w:sz w:val="32"/>
          <w:szCs w:val="32"/>
        </w:rPr>
        <w:t>（类）住房改革支出（款）住房公积金（项）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116.08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1697.72</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1540.47</w:t>
      </w:r>
      <w:r>
        <w:rPr>
          <w:rFonts w:hint="eastAsia" w:ascii="仿宋" w:hAnsi="仿宋" w:eastAsia="仿宋"/>
          <w:sz w:val="32"/>
          <w:szCs w:val="32"/>
        </w:rPr>
        <w:t>万元，主要包括：基本工资、津贴补贴、奖金、机关事业单位基本养老保险缴费</w:t>
      </w:r>
      <w:r>
        <w:rPr>
          <w:rFonts w:hint="eastAsia" w:ascii="仿宋" w:hAnsi="仿宋" w:eastAsia="仿宋"/>
          <w:sz w:val="32"/>
          <w:szCs w:val="32"/>
          <w:lang w:eastAsia="zh-CN"/>
        </w:rPr>
        <w:t>、</w:t>
      </w:r>
      <w:r>
        <w:rPr>
          <w:rFonts w:hint="eastAsia" w:ascii="仿宋" w:hAnsi="仿宋" w:eastAsia="仿宋"/>
          <w:sz w:val="32"/>
          <w:szCs w:val="32"/>
        </w:rPr>
        <w:t>职工基本医疗保险缴费、公务员医疗补助缴费</w:t>
      </w:r>
      <w:r>
        <w:rPr>
          <w:rFonts w:hint="eastAsia" w:ascii="仿宋" w:hAnsi="仿宋" w:eastAsia="仿宋"/>
          <w:sz w:val="32"/>
          <w:szCs w:val="32"/>
          <w:lang w:eastAsia="zh-CN"/>
        </w:rPr>
        <w:t>、</w:t>
      </w:r>
      <w:r>
        <w:rPr>
          <w:rFonts w:hint="eastAsia" w:ascii="仿宋" w:hAnsi="仿宋" w:eastAsia="仿宋"/>
          <w:sz w:val="32"/>
          <w:szCs w:val="32"/>
        </w:rPr>
        <w:t>其他社会保障缴费</w:t>
      </w:r>
      <w:r>
        <w:rPr>
          <w:rFonts w:hint="eastAsia" w:ascii="仿宋" w:hAnsi="仿宋" w:eastAsia="仿宋"/>
          <w:sz w:val="32"/>
          <w:szCs w:val="32"/>
          <w:lang w:eastAsia="zh-CN"/>
        </w:rPr>
        <w:t>、</w:t>
      </w:r>
      <w:r>
        <w:rPr>
          <w:rFonts w:hint="eastAsia" w:ascii="仿宋" w:hAnsi="仿宋" w:eastAsia="仿宋"/>
          <w:sz w:val="32"/>
          <w:szCs w:val="32"/>
        </w:rPr>
        <w:t>其他工资福利支出、抚恤金、生活补助、住房公积金等。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157.25</w:t>
      </w:r>
      <w:r>
        <w:rPr>
          <w:rFonts w:hint="eastAsia" w:ascii="仿宋" w:hAnsi="仿宋" w:eastAsia="仿宋"/>
          <w:sz w:val="32"/>
          <w:szCs w:val="32"/>
        </w:rPr>
        <w:t>万元，主要包括：办公费、印刷费、手续费、水费、电费、邮电费、差旅费、维修（护）费、会议费、培训费、公务接待费、劳务费、委托业务费、工会经费、福利费、公务用车运行维护费、其他交通费、其他商品和服务支出等。</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rPr>
          <w:rFonts w:ascii="仿宋" w:eastAsia="仿宋"/>
          <w:b/>
          <w:color w:val="auto"/>
          <w:sz w:val="32"/>
          <w:szCs w:val="32"/>
          <w:highlight w:val="none"/>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2.84</w:t>
      </w:r>
      <w:r>
        <w:rPr>
          <w:rFonts w:hint="eastAsia" w:ascii="仿宋" w:hAnsi="仿宋" w:eastAsia="仿宋"/>
          <w:sz w:val="32"/>
          <w:szCs w:val="32"/>
        </w:rPr>
        <w:t>万元，完成预算</w:t>
      </w:r>
      <w:r>
        <w:rPr>
          <w:rFonts w:hint="eastAsia" w:ascii="仿宋" w:hAnsi="仿宋" w:eastAsia="仿宋"/>
          <w:sz w:val="32"/>
          <w:szCs w:val="32"/>
          <w:lang w:val="en-US" w:eastAsia="zh-CN"/>
        </w:rPr>
        <w:t>46.33</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1.16</w:t>
      </w:r>
      <w:r>
        <w:rPr>
          <w:rFonts w:hint="eastAsia" w:ascii="仿宋" w:hAnsi="仿宋" w:eastAsia="仿宋"/>
          <w:sz w:val="32"/>
          <w:szCs w:val="32"/>
        </w:rPr>
        <w:t>万元，增长</w:t>
      </w:r>
      <w:r>
        <w:rPr>
          <w:rFonts w:hint="eastAsia" w:ascii="仿宋" w:hAnsi="仿宋" w:eastAsia="仿宋"/>
          <w:sz w:val="32"/>
          <w:szCs w:val="32"/>
          <w:lang w:val="en-US" w:eastAsia="zh-CN"/>
        </w:rPr>
        <w:t>40.85</w:t>
      </w:r>
      <w:r>
        <w:rPr>
          <w:rFonts w:hint="eastAsia" w:ascii="仿宋" w:hAnsi="仿宋" w:eastAsia="仿宋"/>
          <w:sz w:val="32"/>
          <w:szCs w:val="32"/>
        </w:rPr>
        <w:t>%。决算数小于预算数的主要原因是</w:t>
      </w:r>
      <w:r>
        <w:rPr>
          <w:rFonts w:hint="eastAsia" w:ascii="仿宋" w:eastAsia="仿宋"/>
          <w:color w:val="auto"/>
          <w:sz w:val="32"/>
          <w:szCs w:val="32"/>
          <w:highlight w:val="none"/>
        </w:rPr>
        <w:t>市教育和体育局严格执行中央八项规定和省、市十项规定以及《党政机关厉行节约反对浪费条例》等相关文件要求，厉行节约，反对浪费，严格控制公务接待和公务用车。</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1.62</w:t>
      </w:r>
      <w:r>
        <w:rPr>
          <w:rFonts w:hint="eastAsia" w:ascii="仿宋" w:hAnsi="仿宋" w:eastAsia="仿宋"/>
          <w:sz w:val="32"/>
          <w:szCs w:val="32"/>
        </w:rPr>
        <w:t>万元，占</w:t>
      </w:r>
      <w:r>
        <w:rPr>
          <w:rFonts w:hint="eastAsia" w:ascii="仿宋" w:hAnsi="仿宋" w:eastAsia="仿宋"/>
          <w:sz w:val="32"/>
          <w:szCs w:val="32"/>
          <w:lang w:val="en-US" w:eastAsia="zh-CN"/>
        </w:rPr>
        <w:t>57.04</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1.22</w:t>
      </w:r>
      <w:r>
        <w:rPr>
          <w:rFonts w:hint="eastAsia" w:ascii="仿宋" w:hAnsi="仿宋" w:eastAsia="仿宋"/>
          <w:sz w:val="32"/>
          <w:szCs w:val="32"/>
        </w:rPr>
        <w:t>万元，占</w:t>
      </w:r>
      <w:r>
        <w:rPr>
          <w:rFonts w:hint="eastAsia" w:ascii="仿宋" w:hAnsi="仿宋" w:eastAsia="仿宋"/>
          <w:sz w:val="32"/>
          <w:szCs w:val="32"/>
          <w:lang w:val="en-US" w:eastAsia="zh-CN"/>
        </w:rPr>
        <w:t>42.96</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2"/>
        <w:rPr>
          <w:rFonts w:hint="eastAsia" w:ascii="仿宋" w:hAnsi="仿宋" w:eastAsia="仿宋"/>
          <w:sz w:val="32"/>
          <w:szCs w:val="32"/>
        </w:rPr>
      </w:pPr>
      <w:r>
        <w:drawing>
          <wp:inline distT="0" distB="0" distL="0" distR="0">
            <wp:extent cx="5095875" cy="3581400"/>
            <wp:effectExtent l="4445" t="4445" r="5080" b="1460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ascii="仿宋_GB2312" w:eastAsia="仿宋_GB2312"/>
          <w:b/>
          <w:color w:val="auto"/>
          <w:sz w:val="32"/>
          <w:szCs w:val="32"/>
          <w:highlight w:val="none"/>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eastAsia="zh-CN"/>
        </w:rPr>
        <w:t>与</w:t>
      </w:r>
      <w:r>
        <w:rPr>
          <w:rFonts w:hint="eastAsia" w:ascii="仿宋_GB2312" w:eastAsia="仿宋_GB2312"/>
          <w:color w:val="auto"/>
          <w:sz w:val="32"/>
          <w:szCs w:val="32"/>
          <w:highlight w:val="none"/>
          <w:lang w:val="en-US" w:eastAsia="zh-CN"/>
        </w:rPr>
        <w:t>2021年持平</w:t>
      </w:r>
      <w:r>
        <w:rPr>
          <w:rFonts w:hint="eastAsia" w:ascii="仿宋_GB2312" w:eastAsia="仿宋_GB2312"/>
          <w:color w:val="auto"/>
          <w:sz w:val="32"/>
          <w:szCs w:val="32"/>
          <w:highlight w:val="none"/>
        </w:rPr>
        <w:t>。</w:t>
      </w:r>
    </w:p>
    <w:p>
      <w:pPr>
        <w:ind w:firstLine="722" w:firstLineChars="225"/>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1.62</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40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1.13</w:t>
      </w:r>
      <w:r>
        <w:rPr>
          <w:rFonts w:hint="eastAsia" w:ascii="仿宋_GB2312" w:eastAsia="仿宋_GB2312"/>
          <w:sz w:val="32"/>
          <w:szCs w:val="32"/>
        </w:rPr>
        <w:t>万元，增长</w:t>
      </w:r>
      <w:r>
        <w:rPr>
          <w:rFonts w:hint="eastAsia" w:ascii="仿宋_GB2312" w:eastAsia="仿宋_GB2312"/>
          <w:sz w:val="32"/>
          <w:szCs w:val="32"/>
          <w:lang w:val="en-US" w:eastAsia="zh-CN"/>
        </w:rPr>
        <w:t>69.75</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 w:eastAsia="仿宋_GB2312"/>
          <w:bCs/>
          <w:color w:val="000000" w:themeColor="text1"/>
          <w:sz w:val="30"/>
          <w:szCs w:val="30"/>
          <w:lang w:eastAsia="zh-CN"/>
          <w14:textFill>
            <w14:solidFill>
              <w14:schemeClr w14:val="tx1"/>
            </w14:solidFill>
          </w14:textFill>
        </w:rPr>
        <w:t>公务用车在</w:t>
      </w:r>
      <w:r>
        <w:rPr>
          <w:rFonts w:hint="eastAsia" w:ascii="仿宋_GB2312" w:hAnsi="仿宋" w:eastAsia="仿宋_GB2312"/>
          <w:bCs/>
          <w:color w:val="000000" w:themeColor="text1"/>
          <w:sz w:val="30"/>
          <w:szCs w:val="30"/>
          <w:lang w:val="en-US" w:eastAsia="zh-CN"/>
          <w14:textFill>
            <w14:solidFill>
              <w14:schemeClr w14:val="tx1"/>
            </w14:solidFill>
          </w14:textFill>
        </w:rPr>
        <w:t>2021年使用的是20年充的油卡，同时2021年的维修费在2022年开支，造成2022年的</w:t>
      </w:r>
      <w:r>
        <w:rPr>
          <w:rFonts w:hint="eastAsia" w:ascii="仿宋_GB2312" w:eastAsia="仿宋_GB2312"/>
          <w:sz w:val="32"/>
          <w:szCs w:val="32"/>
          <w:lang w:val="en-US" w:eastAsia="zh-CN"/>
        </w:rPr>
        <w:t>公务用车购置及运行维护费</w:t>
      </w:r>
      <w:r>
        <w:rPr>
          <w:rFonts w:hint="eastAsia" w:ascii="仿宋_GB2312" w:hAnsi="仿宋" w:eastAsia="仿宋_GB2312"/>
          <w:bCs/>
          <w:color w:val="000000" w:themeColor="text1"/>
          <w:sz w:val="30"/>
          <w:szCs w:val="30"/>
          <w:lang w:val="en-US" w:eastAsia="zh-CN"/>
          <w14:textFill>
            <w14:solidFill>
              <w14:schemeClr w14:val="tx1"/>
            </w14:solidFill>
          </w14:textFill>
        </w:rPr>
        <w:t>增加较多</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lang w:val="en-US" w:eastAsia="zh-CN"/>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1.62</w:t>
      </w:r>
      <w:r>
        <w:rPr>
          <w:rFonts w:hint="eastAsia" w:ascii="仿宋_GB2312" w:eastAsia="仿宋_GB2312"/>
          <w:sz w:val="32"/>
          <w:szCs w:val="32"/>
        </w:rPr>
        <w:t>万元。主要用于</w:t>
      </w:r>
      <w:r>
        <w:rPr>
          <w:rFonts w:hint="eastAsia" w:ascii="仿宋_GB2312" w:eastAsia="仿宋_GB2312"/>
          <w:sz w:val="32"/>
          <w:szCs w:val="32"/>
          <w:lang w:val="en-US" w:eastAsia="zh-CN"/>
        </w:rPr>
        <w:t>教育教学管理、学校安全工作、教师培训、普通初中教育、教育督导、普通高中教育、职业教育、“9+3”工作、校安工程、学生营养改善计划、高寒山区温暖工程、农村薄弱学校改造以及单位日常公务等所需的公务用车燃料费、维修费、过路过桥费、保险费等支出</w:t>
      </w:r>
    </w:p>
    <w:p>
      <w:pPr>
        <w:numPr>
          <w:ilvl w:val="0"/>
          <w:numId w:val="3"/>
        </w:numPr>
        <w:spacing w:line="600" w:lineRule="exact"/>
        <w:ind w:firstLine="640"/>
        <w:rPr>
          <w:rFonts w:hint="default" w:eastAsia="仿宋_GB2312"/>
          <w:lang w:val="en-US" w:eastAsia="zh-CN"/>
        </w:rPr>
      </w:pPr>
      <w:r>
        <w:rPr>
          <w:rFonts w:hint="eastAsia" w:ascii="仿宋_GB2312" w:eastAsia="仿宋_GB2312"/>
          <w:b/>
          <w:sz w:val="32"/>
          <w:szCs w:val="32"/>
        </w:rPr>
        <w:t>公务接待费支出</w:t>
      </w:r>
      <w:r>
        <w:rPr>
          <w:rFonts w:hint="eastAsia" w:ascii="仿宋_GB2312" w:eastAsia="仿宋_GB2312"/>
          <w:sz w:val="32"/>
          <w:szCs w:val="32"/>
          <w:lang w:val="en-US" w:eastAsia="zh-CN"/>
        </w:rPr>
        <w:t>1.22</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58.65%</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0.03</w:t>
      </w:r>
      <w:r>
        <w:rPr>
          <w:rFonts w:hint="eastAsia" w:ascii="仿宋_GB2312" w:eastAsia="仿宋_GB2312"/>
          <w:sz w:val="32"/>
          <w:szCs w:val="32"/>
        </w:rPr>
        <w:t>万元，增长</w:t>
      </w:r>
      <w:r>
        <w:rPr>
          <w:rFonts w:hint="eastAsia" w:ascii="仿宋_GB2312" w:eastAsia="仿宋_GB2312"/>
          <w:sz w:val="32"/>
          <w:szCs w:val="32"/>
          <w:lang w:val="en-US" w:eastAsia="zh-CN"/>
        </w:rPr>
        <w:t>2.46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省级相关部门和其他地市州来攀调研、学习的接待次数较上年增加</w:t>
      </w:r>
      <w:r>
        <w:rPr>
          <w:rFonts w:hint="eastAsia" w:ascii="仿宋_GB2312" w:eastAsia="仿宋_GB2312"/>
          <w:sz w:val="32"/>
          <w:szCs w:val="32"/>
        </w:rPr>
        <w:t>。其中：</w:t>
      </w:r>
    </w:p>
    <w:p>
      <w:pPr>
        <w:spacing w:line="600" w:lineRule="exact"/>
        <w:ind w:firstLine="640"/>
        <w:rPr>
          <w:rFonts w:hint="eastAsia"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1.22</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13</w:t>
      </w:r>
      <w:r>
        <w:rPr>
          <w:rFonts w:hint="eastAsia" w:ascii="仿宋_GB2312" w:eastAsia="仿宋_GB2312"/>
          <w:sz w:val="32"/>
          <w:szCs w:val="32"/>
        </w:rPr>
        <w:t>批次，</w:t>
      </w:r>
      <w:r>
        <w:rPr>
          <w:rFonts w:hint="eastAsia" w:ascii="仿宋_GB2312" w:eastAsia="仿宋_GB2312"/>
          <w:sz w:val="32"/>
          <w:szCs w:val="32"/>
          <w:lang w:val="en-US" w:eastAsia="zh-CN"/>
        </w:rPr>
        <w:t>60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1.22</w:t>
      </w:r>
      <w:r>
        <w:rPr>
          <w:rFonts w:hint="eastAsia" w:ascii="仿宋_GB2312" w:eastAsia="仿宋_GB2312"/>
          <w:sz w:val="32"/>
          <w:szCs w:val="32"/>
        </w:rPr>
        <w:t>万元，具体内容包括：</w:t>
      </w:r>
      <w:r>
        <w:rPr>
          <w:rFonts w:hint="eastAsia" w:ascii="仿宋_GB2312" w:eastAsia="仿宋_GB2312"/>
          <w:sz w:val="32"/>
          <w:szCs w:val="32"/>
          <w:lang w:val="en-US" w:eastAsia="zh-CN"/>
        </w:rPr>
        <w:t xml:space="preserve"> 1.四川城乡建设研究院来攀调研山地健身公园规划设计工作接待费0.09万元；2.四川省人民政府教育督导委员会来攀接待费0.23万元；3.凉山州教体局来攀教育交流接待费0.15万元；4.接待驻省体育局纪检组餐费0.1万元；5.接待省厅春节前走访慰问优秀教师、生活困难党员和老党员0.07万元；6.疫情防控、校园安全稳定剂“双规范”“双减”工作专项督查接待费0.14万元；7.接待省体育局赴攀开展调研督导工作0.12万元；8.接待省体育局来攀安全、疫情专项检查0.04万元；9.接待广安考察学习规范普高收费工作餐费0.28万元。</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376.26</w:t>
      </w:r>
      <w:r>
        <w:rPr>
          <w:rFonts w:hint="eastAsia" w:ascii="仿宋_GB2312" w:eastAsia="仿宋_GB2312"/>
          <w:sz w:val="32"/>
          <w:szCs w:val="32"/>
        </w:rPr>
        <w:t>万元。</w:t>
      </w:r>
    </w:p>
    <w:p>
      <w:pPr>
        <w:numPr>
          <w:ilvl w:val="0"/>
          <w:numId w:val="4"/>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5"/>
          <w:rFonts w:ascii="黑体" w:hAnsi="黑体" w:eastAsia="黑体"/>
          <w:b w:val="0"/>
        </w:rPr>
      </w:pPr>
      <w:bookmarkStart w:id="44" w:name="_Toc15396612"/>
      <w:bookmarkStart w:id="45" w:name="_Toc15377221"/>
      <w:r>
        <w:rPr>
          <w:rStyle w:val="25"/>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市教育和体育局</w:t>
      </w:r>
      <w:r>
        <w:rPr>
          <w:rFonts w:hint="eastAsia" w:ascii="仿宋_GB2312" w:eastAsia="仿宋_GB2312"/>
          <w:sz w:val="32"/>
          <w:szCs w:val="32"/>
        </w:rPr>
        <w:t>机关运行经费支出</w:t>
      </w:r>
      <w:r>
        <w:rPr>
          <w:rFonts w:hint="eastAsia" w:ascii="仿宋_GB2312" w:eastAsia="仿宋_GB2312"/>
          <w:sz w:val="32"/>
          <w:szCs w:val="32"/>
          <w:lang w:val="en-US" w:eastAsia="zh-CN"/>
        </w:rPr>
        <w:t>157.25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31.58</w:t>
      </w:r>
      <w:r>
        <w:rPr>
          <w:rFonts w:hint="eastAsia" w:ascii="仿宋_GB2312" w:eastAsia="仿宋_GB2312"/>
          <w:sz w:val="32"/>
          <w:szCs w:val="32"/>
        </w:rPr>
        <w:t>万元，下降</w:t>
      </w:r>
      <w:r>
        <w:rPr>
          <w:rFonts w:hint="eastAsia" w:ascii="仿宋_GB2312" w:eastAsia="仿宋_GB2312"/>
          <w:sz w:val="32"/>
          <w:szCs w:val="32"/>
          <w:lang w:val="en-US" w:eastAsia="zh-CN"/>
        </w:rPr>
        <w:t>16.72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我单位贯彻落实中央和省、市关于厉行节约的指示精神，提高财政资金使用效益。</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市教育和体育局</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市教育和体育局</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w:t>
      </w:r>
      <w:r>
        <w:rPr>
          <w:rFonts w:hint="eastAsia" w:ascii="仿宋_GB2312" w:eastAsia="仿宋_GB2312" w:cs="仿宋_GB2312"/>
          <w:color w:val="000000"/>
          <w:sz w:val="32"/>
          <w:szCs w:val="32"/>
        </w:rPr>
        <w:t>单位日常公务使用</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eastAsia="zh-CN"/>
        </w:rPr>
        <w:t>体彩公益金项目、</w:t>
      </w:r>
      <w:r>
        <w:rPr>
          <w:rFonts w:hint="eastAsia" w:ascii="仿宋_GB2312" w:eastAsia="仿宋_GB2312" w:cs="仿宋_GB2312"/>
          <w:color w:val="auto"/>
          <w:sz w:val="32"/>
          <w:szCs w:val="32"/>
          <w:highlight w:val="none"/>
          <w:lang w:eastAsia="zh-CN"/>
        </w:rPr>
        <w:t>财政教育资金</w:t>
      </w:r>
      <w:r>
        <w:rPr>
          <w:rFonts w:hint="eastAsia" w:ascii="仿宋_GB2312" w:eastAsia="仿宋_GB2312" w:cs="仿宋_GB2312"/>
          <w:color w:val="auto"/>
          <w:sz w:val="32"/>
          <w:szCs w:val="32"/>
          <w:highlight w:val="none"/>
        </w:rPr>
        <w:t>项目</w:t>
      </w:r>
      <w:r>
        <w:rPr>
          <w:rFonts w:hint="eastAsia" w:hAnsi="仿宋_GB2312" w:cs="仿宋_GB2312"/>
          <w:sz w:val="32"/>
          <w:szCs w:val="32"/>
        </w:rPr>
        <w:t>项目（项目名称）等</w:t>
      </w:r>
      <w:r>
        <w:rPr>
          <w:rFonts w:hint="eastAsia" w:hAnsi="仿宋_GB2312" w:cs="仿宋_GB2312"/>
          <w:sz w:val="32"/>
          <w:szCs w:val="32"/>
          <w:lang w:val="en-US" w:eastAsia="zh-CN"/>
        </w:rPr>
        <w:t>3</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13</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3</w:t>
      </w:r>
      <w:r>
        <w:rPr>
          <w:rFonts w:hint="eastAsia" w:hAnsi="仿宋_GB2312" w:cs="仿宋_GB2312"/>
          <w:sz w:val="32"/>
          <w:szCs w:val="32"/>
        </w:rPr>
        <w:t>个项目开展绩效监控，组织对</w:t>
      </w:r>
      <w:r>
        <w:rPr>
          <w:rFonts w:hint="eastAsia" w:hAnsi="仿宋_GB2312" w:cs="仿宋_GB2312"/>
          <w:sz w:val="32"/>
          <w:szCs w:val="32"/>
          <w:lang w:val="en-US" w:eastAsia="zh-CN"/>
        </w:rPr>
        <w:t>44</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.年末结转和结余：指单位按有关规定结转到下年或以后年度继续使用的资金。</w:t>
      </w:r>
    </w:p>
    <w:p>
      <w:pPr>
        <w:widowControl/>
        <w:spacing w:line="560" w:lineRule="exact"/>
        <w:ind w:firstLine="660"/>
        <w:rPr>
          <w:rFonts w:hint="eastAsia" w:ascii="仿宋_GB2312" w:eastAsia="仿宋_GB2312"/>
          <w:color w:val="auto"/>
          <w:sz w:val="32"/>
          <w:szCs w:val="32"/>
        </w:rPr>
      </w:pP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ascii="仿宋_GB2312" w:eastAsia="仿宋_GB2312"/>
          <w:sz w:val="32"/>
          <w:szCs w:val="32"/>
        </w:rPr>
        <w:t>“</w:t>
      </w:r>
      <w:r>
        <w:rPr>
          <w:rFonts w:hint="eastAsia" w:ascii="仿宋_GB2312" w:eastAsia="仿宋_GB2312" w:cs="仿宋_GB2312"/>
          <w:sz w:val="32"/>
          <w:szCs w:val="32"/>
        </w:rPr>
        <w:t>三公</w:t>
      </w:r>
      <w:r>
        <w:rPr>
          <w:rFonts w:ascii="仿宋_GB2312" w:eastAsia="仿宋_GB2312"/>
          <w:sz w:val="32"/>
          <w:szCs w:val="32"/>
        </w:rPr>
        <w:t>”</w:t>
      </w:r>
      <w:r>
        <w:rPr>
          <w:rFonts w:hint="eastAsia" w:ascii="仿宋_GB2312" w:eastAsia="仿宋_GB2312" w:cs="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一般公共服务（类）组织事务（款）其他组织事务支出（项）：指其他用于中国共产党组织部门的事业支出。</w:t>
      </w:r>
    </w:p>
    <w:p>
      <w:pPr>
        <w:widowControl/>
        <w:spacing w:line="560" w:lineRule="exact"/>
        <w:ind w:firstLine="660"/>
        <w:rPr>
          <w:rFonts w:hint="eastAsia"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附加安排的支出（款）其他教育附加安排的支出（项）</w:t>
      </w:r>
      <w:r>
        <w:rPr>
          <w:rFonts w:ascii="仿宋_GB2312" w:eastAsia="仿宋_GB2312" w:cs="仿宋_GB2312"/>
          <w:sz w:val="32"/>
          <w:szCs w:val="32"/>
        </w:rPr>
        <w:t>:</w:t>
      </w:r>
      <w:r>
        <w:rPr>
          <w:rFonts w:hint="eastAsia" w:ascii="仿宋_GB2312" w:eastAsia="仿宋_GB2312" w:cs="仿宋_GB2312"/>
          <w:sz w:val="32"/>
          <w:szCs w:val="32"/>
        </w:rPr>
        <w:t>反映除农村中小学校舍建设、农村中小学教学设施、城市中小学校舍建设、城市中小学教学设施、中等职业学校教学设施以外的教育费附加支出。</w:t>
      </w:r>
    </w:p>
    <w:p>
      <w:pPr>
        <w:widowControl/>
        <w:spacing w:line="560" w:lineRule="exact"/>
        <w:ind w:firstLine="660"/>
        <w:rPr>
          <w:rFonts w:hint="eastAsia" w:ascii="仿宋_GB2312" w:eastAsia="仿宋_GB2312" w:cs="仿宋_GB2312"/>
          <w:sz w:val="32"/>
          <w:szCs w:val="32"/>
          <w:lang w:eastAsia="zh-CN"/>
        </w:rPr>
      </w:pPr>
      <w:r>
        <w:rPr>
          <w:rFonts w:ascii="仿宋_GB2312" w:eastAsia="仿宋_GB2312" w:cs="仿宋_GB2312"/>
          <w:sz w:val="32"/>
          <w:szCs w:val="32"/>
        </w:rPr>
        <w:t>7.</w:t>
      </w:r>
      <w:r>
        <w:rPr>
          <w:rFonts w:hint="eastAsia" w:ascii="仿宋_GB2312" w:eastAsia="仿宋_GB2312" w:cs="仿宋_GB2312"/>
          <w:sz w:val="32"/>
          <w:szCs w:val="32"/>
        </w:rPr>
        <w:t>文化体育与传媒（类）体育（款）一般行政管理事务（项）：指反映行政单位（包括实行公务员管理的事业单位）未单独设置项级科目的其他项目支出。</w:t>
      </w:r>
    </w:p>
    <w:p>
      <w:pPr>
        <w:widowControl/>
        <w:spacing w:line="560" w:lineRule="exact"/>
        <w:ind w:firstLine="660"/>
        <w:rPr>
          <w:rFonts w:hint="eastAsia"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社会保障和就业（类）行政事业单位离退休（款）机关事业单位基本养老保险缴费支出（项）：反映机关事业单位实施养老保险制度由单位缴纳的基本养老保险费支出。社会保障和就业（类）社会福利（款）儿童福利（项）：反映对儿童提供福利服务方面的支出。</w:t>
      </w:r>
    </w:p>
    <w:p>
      <w:pPr>
        <w:widowControl/>
        <w:spacing w:line="560" w:lineRule="exact"/>
        <w:ind w:firstLine="660"/>
        <w:rPr>
          <w:rFonts w:ascii="仿宋_GB2312" w:eastAsia="仿宋_GB2312"/>
          <w:sz w:val="32"/>
          <w:szCs w:val="32"/>
        </w:rPr>
      </w:pPr>
      <w:r>
        <w:rPr>
          <w:rFonts w:hint="eastAsia" w:ascii="仿宋_GB2312" w:eastAsia="仿宋_GB2312" w:cs="仿宋_GB2312"/>
          <w:sz w:val="32"/>
          <w:szCs w:val="32"/>
          <w:lang w:val="en-US" w:eastAsia="zh-CN"/>
        </w:rPr>
        <w:t>9</w:t>
      </w:r>
      <w:r>
        <w:rPr>
          <w:rFonts w:ascii="仿宋_GB2312" w:eastAsia="仿宋_GB2312" w:cs="仿宋_GB2312"/>
          <w:sz w:val="32"/>
          <w:szCs w:val="32"/>
        </w:rPr>
        <w:t>.</w:t>
      </w:r>
      <w:r>
        <w:rPr>
          <w:rFonts w:hint="eastAsia" w:ascii="仿宋_GB2312" w:eastAsia="仿宋_GB2312" w:cs="仿宋_GB2312"/>
          <w:sz w:val="32"/>
          <w:szCs w:val="32"/>
        </w:rPr>
        <w:t>基本支出：指为保障机构正常运转、完成日常工作任务而发生的人员支出和公用支出。</w:t>
      </w:r>
    </w:p>
    <w:p>
      <w:pPr>
        <w:pStyle w:val="2"/>
        <w:ind w:firstLine="640" w:firstLineChars="200"/>
        <w:rPr>
          <w:rFonts w:hint="eastAsia"/>
        </w:rPr>
      </w:pPr>
      <w:r>
        <w:rPr>
          <w:rFonts w:ascii="仿宋_GB2312" w:eastAsia="仿宋_GB2312" w:cs="仿宋_GB2312"/>
          <w:sz w:val="32"/>
          <w:szCs w:val="32"/>
        </w:rPr>
        <w:t>1</w:t>
      </w:r>
      <w:r>
        <w:rPr>
          <w:rFonts w:hint="eastAsia" w:cs="仿宋_GB2312"/>
          <w:sz w:val="32"/>
          <w:szCs w:val="32"/>
          <w:lang w:val="en-US" w:eastAsia="zh-CN"/>
        </w:rPr>
        <w:t>0</w:t>
      </w:r>
      <w:r>
        <w:rPr>
          <w:rFonts w:ascii="仿宋_GB2312" w:eastAsia="仿宋_GB2312" w:cs="仿宋_GB2312"/>
          <w:sz w:val="32"/>
          <w:szCs w:val="32"/>
        </w:rPr>
        <w:t>.</w:t>
      </w:r>
      <w:r>
        <w:rPr>
          <w:rFonts w:hint="eastAsia" w:ascii="仿宋_GB2312" w:eastAsia="仿宋_GB2312" w:cs="仿宋_GB2312"/>
          <w:sz w:val="32"/>
          <w:szCs w:val="32"/>
        </w:rPr>
        <w:t>项目支出：指在基本支出之外为完成特定行政任务和事业发展目标所发生的支出。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1</w:t>
      </w:r>
      <w:r>
        <w:rPr>
          <w:rFonts w:ascii="仿宋_GB2312" w:eastAsia="仿宋_GB2312" w:cs="仿宋_GB2312"/>
          <w:sz w:val="32"/>
          <w:szCs w:val="32"/>
        </w:rPr>
        <w:t>.</w:t>
      </w:r>
      <w:r>
        <w:rPr>
          <w:rFonts w:hint="eastAsia" w:ascii="仿宋_GB2312" w:eastAsia="仿宋_GB2312" w:cs="仿宋_GB2312"/>
          <w:sz w:val="32"/>
          <w:szCs w:val="32"/>
        </w:rPr>
        <w:t>住房保障（类）住房改革支出（款）住房公积金（项）：指反映行政事业单位按人力资源和社会保障部、财政部规定的基本工资和津贴补贴以及规定比列为职工缴纳的住房公积金</w:t>
      </w:r>
    </w:p>
    <w:p>
      <w:pPr>
        <w:widowControl/>
        <w:spacing w:line="560" w:lineRule="exact"/>
        <w:ind w:firstLine="66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2</w:t>
      </w:r>
      <w:r>
        <w:rPr>
          <w:rFonts w:ascii="仿宋_GB2312" w:eastAsia="仿宋_GB2312" w:cs="仿宋_GB2312"/>
          <w:sz w:val="32"/>
          <w:szCs w:val="32"/>
        </w:rPr>
        <w:t>.</w:t>
      </w:r>
      <w:r>
        <w:rPr>
          <w:rFonts w:hint="eastAsia" w:ascii="仿宋_GB2312" w:eastAsia="仿宋_GB2312" w:cs="仿宋_GB2312"/>
          <w:sz w:val="32"/>
          <w:szCs w:val="32"/>
        </w:rPr>
        <w:t>其他支出（类）彩票公益金及对应专项债务收入安排的支出（款）用于体育事业的彩票公益金支出（项）：反映用于体育事业的彩票公益金支出。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eastAsia="宋体" w:cs="宋体"/>
          <w:kern w:val="0"/>
          <w:sz w:val="32"/>
          <w:szCs w:val="32"/>
          <w:lang w:val="en-US" w:eastAsia="zh-CN"/>
        </w:rPr>
      </w:pPr>
      <w:bookmarkStart w:id="53" w:name="_Toc15396618"/>
      <w:r>
        <w:rPr>
          <w:rFonts w:hint="eastAsia" w:ascii="宋体" w:hAnsi="宋体" w:cs="宋体"/>
          <w:kern w:val="0"/>
          <w:sz w:val="32"/>
          <w:szCs w:val="32"/>
        </w:rPr>
        <w:t>部门预算项目支出绩效自评表（2022年度）见附件</w:t>
      </w:r>
      <w:r>
        <w:rPr>
          <w:rFonts w:hint="eastAsia" w:ascii="宋体" w:hAnsi="宋体" w:cs="宋体"/>
          <w:kern w:val="0"/>
          <w:sz w:val="32"/>
          <w:szCs w:val="32"/>
          <w:lang w:val="en-US" w:eastAsia="zh-CN"/>
        </w:rPr>
        <w:t>2</w:t>
      </w:r>
    </w:p>
    <w:p>
      <w:pPr>
        <w:spacing w:line="600" w:lineRule="exact"/>
        <w:jc w:val="left"/>
        <w:outlineLvl w:val="0"/>
        <w:rPr>
          <w:rFonts w:ascii="仿宋_GB2312" w:hAnsi="Calibri" w:eastAsia="仿宋_GB2312" w:cs="仿宋"/>
          <w:kern w:val="0"/>
          <w:sz w:val="32"/>
          <w:szCs w:val="32"/>
        </w:rPr>
      </w:pPr>
    </w:p>
    <w:p>
      <w:pPr>
        <w:spacing w:line="600" w:lineRule="exact"/>
        <w:ind w:firstLine="640" w:firstLineChars="200"/>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r>
        <w:rPr>
          <w:rStyle w:val="30"/>
          <w:rFonts w:hint="eastAsia" w:ascii="仿宋" w:eastAsia="仿宋"/>
          <w:b w:val="0"/>
          <w:bCs w:val="0"/>
          <w:color w:val="auto"/>
          <w:highlight w:val="none"/>
        </w:rPr>
        <w:t>（此表无数据）</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r>
        <w:rPr>
          <w:rStyle w:val="30"/>
          <w:rFonts w:hint="eastAsia" w:ascii="仿宋" w:eastAsia="仿宋"/>
          <w:b w:val="0"/>
          <w:bCs w:val="0"/>
          <w:color w:val="auto"/>
          <w:highlight w:val="none"/>
        </w:rPr>
        <w:t>（此表无数据）</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DCA546C"/>
    <w:multiLevelType w:val="singleLevel"/>
    <w:tmpl w:val="DDCA546C"/>
    <w:lvl w:ilvl="0" w:tentative="0">
      <w:start w:val="3"/>
      <w:numFmt w:val="decimal"/>
      <w:lvlText w:val="%1."/>
      <w:lvlJc w:val="left"/>
      <w:pPr>
        <w:tabs>
          <w:tab w:val="left" w:pos="312"/>
        </w:tabs>
      </w:p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435895"/>
    <w:rsid w:val="053A62B5"/>
    <w:rsid w:val="08026E64"/>
    <w:rsid w:val="0A2032A3"/>
    <w:rsid w:val="0B8A37D8"/>
    <w:rsid w:val="0DC91036"/>
    <w:rsid w:val="0EA51D9B"/>
    <w:rsid w:val="0F61664B"/>
    <w:rsid w:val="10C055FF"/>
    <w:rsid w:val="118107EC"/>
    <w:rsid w:val="11DD6519"/>
    <w:rsid w:val="135E49CA"/>
    <w:rsid w:val="13C37BB3"/>
    <w:rsid w:val="159C7FAF"/>
    <w:rsid w:val="16BB723D"/>
    <w:rsid w:val="18015F3F"/>
    <w:rsid w:val="1BE8440E"/>
    <w:rsid w:val="1D155CEE"/>
    <w:rsid w:val="1E0206EA"/>
    <w:rsid w:val="1EEA4C8C"/>
    <w:rsid w:val="1EF41E98"/>
    <w:rsid w:val="20F57F95"/>
    <w:rsid w:val="240371BF"/>
    <w:rsid w:val="25711CC6"/>
    <w:rsid w:val="25C741E6"/>
    <w:rsid w:val="25FA642A"/>
    <w:rsid w:val="27842671"/>
    <w:rsid w:val="292547FB"/>
    <w:rsid w:val="29CC08B1"/>
    <w:rsid w:val="29FD04D3"/>
    <w:rsid w:val="2ABE7A3E"/>
    <w:rsid w:val="2AE91053"/>
    <w:rsid w:val="2CA234A8"/>
    <w:rsid w:val="2EFA178C"/>
    <w:rsid w:val="2FB962B0"/>
    <w:rsid w:val="30B46D73"/>
    <w:rsid w:val="319F7F4E"/>
    <w:rsid w:val="324147B6"/>
    <w:rsid w:val="37A47535"/>
    <w:rsid w:val="383D272C"/>
    <w:rsid w:val="38505042"/>
    <w:rsid w:val="39AE70AB"/>
    <w:rsid w:val="39C464C2"/>
    <w:rsid w:val="3C0C0783"/>
    <w:rsid w:val="3E9A3447"/>
    <w:rsid w:val="3F9F3A96"/>
    <w:rsid w:val="404416A2"/>
    <w:rsid w:val="48BF60AB"/>
    <w:rsid w:val="493C27E9"/>
    <w:rsid w:val="496F39ED"/>
    <w:rsid w:val="49FF41D3"/>
    <w:rsid w:val="4BE068DB"/>
    <w:rsid w:val="4BF6002B"/>
    <w:rsid w:val="4ECE2238"/>
    <w:rsid w:val="51DB4B86"/>
    <w:rsid w:val="533D2E78"/>
    <w:rsid w:val="55333C3E"/>
    <w:rsid w:val="575E250A"/>
    <w:rsid w:val="5BB33560"/>
    <w:rsid w:val="64CA39A1"/>
    <w:rsid w:val="69630ADE"/>
    <w:rsid w:val="6C4A05C8"/>
    <w:rsid w:val="6D3B1A89"/>
    <w:rsid w:val="71BF4EC2"/>
    <w:rsid w:val="72734D90"/>
    <w:rsid w:val="73BC4864"/>
    <w:rsid w:val="7412278C"/>
    <w:rsid w:val="765F5E55"/>
    <w:rsid w:val="79526750"/>
    <w:rsid w:val="79E7B28D"/>
    <w:rsid w:val="7C1819B3"/>
    <w:rsid w:val="7F63DA24"/>
    <w:rsid w:val="7F9F20EE"/>
    <w:rsid w:val="9E3A10E2"/>
    <w:rsid w:val="F2E1F9D4"/>
    <w:rsid w:val="F7880819"/>
    <w:rsid w:val="FFF77A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heading 2 Char"/>
    <w:basedOn w:val="13"/>
    <w:link w:val="4"/>
    <w:qFormat/>
    <w:uiPriority w:val="0"/>
    <w:rPr>
      <w:rFonts w:ascii="Cambria" w:hAnsi="Cambria"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a:t>收支总计变动情况</a:t>
            </a:r>
            <a:endParaRPr lang="zh-CN" altLang="en-US"/>
          </a:p>
        </c:rich>
      </c:tx>
      <c:layout/>
      <c:overlay val="false"/>
    </c:title>
    <c:autoTitleDeleted val="false"/>
    <c:plotArea>
      <c:layout/>
      <c:barChart>
        <c:barDir val="col"/>
        <c:grouping val="clustered"/>
        <c:varyColors val="false"/>
        <c:ser>
          <c:idx val="0"/>
          <c:order val="0"/>
          <c:tx>
            <c:strRef>
              <c:f>Sheet1!$B$1</c:f>
              <c:strCache>
                <c:ptCount val="1"/>
                <c:pt idx="0">
                  <c:v>收支总计
单位：万元</c:v>
                </c:pt>
              </c:strCache>
            </c:strRef>
          </c:tx>
          <c:invertIfNegative val="false"/>
          <c:dLbls>
            <c:dLbl>
              <c:idx val="0"/>
              <c:layout>
                <c:manualLayout>
                  <c:x val="-0.00180592342884662"/>
                  <c:y val="0.0123839009287926"/>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2896.</a:t>
                    </a:r>
                    <a:r>
                      <a:rPr lang="en-US" altLang="zh-CN"/>
                      <a:t>62</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2022年度</c:v>
                </c:pt>
                <c:pt idx="1">
                  <c:v>2021年度</c:v>
                </c:pt>
              </c:strCache>
            </c:strRef>
          </c:cat>
          <c:val>
            <c:numRef>
              <c:f>Sheet1!$B$2:$B$3</c:f>
              <c:numCache>
                <c:formatCode>General</c:formatCode>
                <c:ptCount val="2"/>
                <c:pt idx="0">
                  <c:v>2896.62</c:v>
                </c:pt>
                <c:pt idx="1">
                  <c:v>2889.04</c:v>
                </c:pt>
              </c:numCache>
            </c:numRef>
          </c:val>
        </c:ser>
        <c:dLbls>
          <c:showLegendKey val="false"/>
          <c:showVal val="true"/>
          <c:showCatName val="false"/>
          <c:showSerName val="false"/>
          <c:showPercent val="false"/>
          <c:showBubbleSize val="false"/>
        </c:dLbls>
        <c:gapWidth val="150"/>
        <c:axId val="141744384"/>
        <c:axId val="142394496"/>
      </c:barChart>
      <c:catAx>
        <c:axId val="141744384"/>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394496"/>
        <c:crosses val="autoZero"/>
        <c:auto val="true"/>
        <c:lblAlgn val="ctr"/>
        <c:lblOffset val="100"/>
        <c:noMultiLvlLbl val="false"/>
      </c:catAx>
      <c:valAx>
        <c:axId val="14239449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174438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a:t>本年收入结构
单位：万元</a:t>
            </a:r>
            <a:endParaRPr lang="zh-CN" altLang="en-US"/>
          </a:p>
        </c:rich>
      </c:tx>
      <c:layout>
        <c:manualLayout>
          <c:xMode val="edge"/>
          <c:yMode val="edge"/>
          <c:x val="0.675776547074407"/>
          <c:y val="0.0288957688338493"/>
        </c:manualLayout>
      </c:layout>
      <c:overlay val="false"/>
    </c:title>
    <c:autoTitleDeleted val="false"/>
    <c:plotArea>
      <c:layout>
        <c:manualLayout>
          <c:layoutTarget val="inner"/>
          <c:xMode val="edge"/>
          <c:yMode val="edge"/>
          <c:x val="0.0722843367189263"/>
          <c:y val="0.28669998293557"/>
          <c:w val="0.52077086860651"/>
          <c:h val="0.582637185831646"/>
        </c:manualLayout>
      </c:layout>
      <c:pieChart>
        <c:varyColors val="true"/>
        <c:ser>
          <c:idx val="0"/>
          <c:order val="0"/>
          <c:tx>
            <c:strRef>
              <c:f>Sheet1!$B$1</c:f>
              <c:strCache>
                <c:ptCount val="1"/>
                <c:pt idx="0">
                  <c:v>本年收入
单位：万元</c:v>
                </c:pt>
              </c:strCache>
            </c:strRef>
          </c:tx>
          <c:explosion val="25"/>
          <c:dPt>
            <c:idx val="0"/>
            <c:bubble3D val="false"/>
          </c:dPt>
          <c:dPt>
            <c:idx val="1"/>
            <c:bubble3D val="false"/>
          </c:dPt>
          <c:dPt>
            <c:idx val="2"/>
            <c:bubble3D val="false"/>
          </c:dPt>
          <c:dLbls>
            <c:dLbl>
              <c:idx val="0"/>
              <c:layout>
                <c:manualLayout>
                  <c:x val="-0.200306580386819"/>
                  <c:y val="-0.49203441410428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一般公共预算财政补款收入
</a:t>
                    </a:r>
                    <a:r>
                      <a:rPr lang="en-US" altLang="zh-CN"/>
                      <a:t>2450.96</a:t>
                    </a:r>
                    <a:r>
                      <a:rPr lang="zh-CN" altLang="en-US"/>
                      <a:t>万元</a:t>
                    </a:r>
                    <a:r>
                      <a:rPr lang="en-US" altLang="zh-CN"/>
                      <a:t>
</a:t>
                    </a:r>
                    <a:r>
                      <a:rPr lang="zh-CN" altLang="en-US"/>
                      <a:t>占比</a:t>
                    </a:r>
                    <a:r>
                      <a:rPr lang="en-US" altLang="zh-CN"/>
                      <a:t>95.47%</a:t>
                    </a:r>
                    <a:endParaRPr lang="zh-CN" altLang="en-US"/>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1"/>
              <c:layout>
                <c:manualLayout>
                  <c:x val="-0.046239034110623"/>
                  <c:y val="-0.00314928126244284"/>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政府性基金预算财政拨款收入
</a:t>
                    </a:r>
                    <a:r>
                      <a:rPr lang="en-US" altLang="zh-CN"/>
                      <a:t>116.26</a:t>
                    </a:r>
                    <a:r>
                      <a:rPr lang="zh-CN" altLang="en-US"/>
                      <a:t>万元</a:t>
                    </a:r>
                    <a:endParaRPr lang="en-US" altLang="zh-CN"/>
                  </a:p>
                  <a:p>
                    <a:pPr>
                      <a:defRPr lang="zh-CN" sz="1000" b="0" i="0" u="none" strike="noStrike" kern="1200" baseline="0">
                        <a:solidFill>
                          <a:schemeClr val="tx1"/>
                        </a:solidFill>
                        <a:latin typeface="+mn-lt"/>
                        <a:ea typeface="+mn-ea"/>
                        <a:cs typeface="+mn-cs"/>
                      </a:defRPr>
                    </a:pPr>
                    <a:r>
                      <a:rPr lang="zh-CN" altLang="en-US"/>
                      <a:t>占比</a:t>
                    </a:r>
                    <a:r>
                      <a:rPr lang="en-US" altLang="zh-CN"/>
                      <a:t>4.53%</a:t>
                    </a:r>
                    <a:endParaRPr lang="zh-CN" altLang="en-US"/>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2"/>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一般公共预算财政补款收入</c:v>
                </c:pt>
                <c:pt idx="1">
                  <c:v>政府性基金预算财政拨款收入</c:v>
                </c:pt>
              </c:strCache>
            </c:strRef>
          </c:cat>
          <c:val>
            <c:numRef>
              <c:f>Sheet1!$B$2:$B$4</c:f>
              <c:numCache>
                <c:formatCode>General</c:formatCode>
                <c:ptCount val="3"/>
                <c:pt idx="0">
                  <c:v>2450.96</c:v>
                </c:pt>
                <c:pt idx="1">
                  <c:v>116.26</c:v>
                </c:pt>
              </c:numCache>
            </c:numRef>
          </c:val>
        </c:ser>
        <c:dLbls>
          <c:showLegendKey val="false"/>
          <c:showVal val="true"/>
          <c:showCatName val="true"/>
          <c:showSerName val="false"/>
          <c:showPercent val="true"/>
          <c:showBubbleSize val="false"/>
          <c:showLeaderLines val="true"/>
        </c:dLbls>
        <c:firstSliceAng val="15"/>
      </c:pieChart>
      <c:spPr>
        <a:noFill/>
        <a:ln>
          <a:noFill/>
        </a:ln>
        <a:effectLst/>
      </c:spPr>
    </c:plotArea>
    <c:legend>
      <c:legendPos val="r"/>
      <c:layout>
        <c:manualLayout>
          <c:xMode val="edge"/>
          <c:yMode val="edge"/>
          <c:x val="0.641522966985255"/>
          <c:y val="0.369209591835079"/>
          <c:w val="0.329582258153199"/>
          <c:h val="0.38133313831127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a:t>本年支出结构
单位：万元</a:t>
            </a:r>
            <a:endParaRPr lang="zh-CN" altLang="en-US"/>
          </a:p>
        </c:rich>
      </c:tx>
      <c:layout/>
      <c:overlay val="false"/>
    </c:title>
    <c:autoTitleDeleted val="false"/>
    <c:plotArea>
      <c:layout/>
      <c:pieChart>
        <c:varyColors val="true"/>
        <c:ser>
          <c:idx val="0"/>
          <c:order val="0"/>
          <c:tx>
            <c:strRef>
              <c:f>Sheet1!$B$1</c:f>
              <c:strCache>
                <c:ptCount val="1"/>
                <c:pt idx="0">
                  <c:v>本年支出结构
单位：万元</c:v>
                </c:pt>
              </c:strCache>
            </c:strRef>
          </c:tx>
          <c:explosion val="25"/>
          <c:dPt>
            <c:idx val="0"/>
            <c:bubble3D val="false"/>
          </c:dPt>
          <c:dPt>
            <c:idx val="1"/>
            <c:bubble3D val="false"/>
          </c:dPt>
          <c:dLbls>
            <c:dLbl>
              <c:idx val="0"/>
              <c:layout>
                <c:manualLayout>
                  <c:x val="0.0473493215226256"/>
                  <c:y val="-0.228751127471296"/>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基本支出
</a:t>
                    </a:r>
                    <a:r>
                      <a:rPr lang="en-US" altLang="zh-CN"/>
                      <a:t>1697.72
58.61%</a:t>
                    </a:r>
                    <a:endParaRPr lang="zh-CN" altLang="en-US"/>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1"/>
              <c:layout>
                <c:manualLayout>
                  <c:x val="-0.0336597583380575"/>
                  <c:y val="0.104921869286463"/>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项目支出
</a:t>
                    </a:r>
                    <a:r>
                      <a:rPr lang="en-US" altLang="zh-CN"/>
                      <a:t>1198.9
41.39%</a:t>
                    </a:r>
                    <a:endParaRPr lang="zh-CN" altLang="en-US"/>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1697.72</c:v>
                </c:pt>
                <c:pt idx="1">
                  <c:v>1198.9</c:v>
                </c:pt>
              </c:numCache>
            </c:numRef>
          </c:val>
        </c:ser>
        <c:dLbls>
          <c:showLegendKey val="false"/>
          <c:showVal val="true"/>
          <c:showCatName val="true"/>
          <c:showSerName val="false"/>
          <c:showPercent val="true"/>
          <c:showBubbleSize val="false"/>
          <c:showLeaderLines val="true"/>
        </c:dLbls>
        <c:firstSliceAng val="0"/>
      </c:pieChart>
    </c:plotArea>
    <c:legend>
      <c:legendPos val="r"/>
      <c:layout>
        <c:manualLayout>
          <c:xMode val="edge"/>
          <c:yMode val="edge"/>
          <c:x val="0.757102066431439"/>
          <c:y val="0.525560404020705"/>
          <c:w val="0.139358323648022"/>
          <c:h val="0.157382803929695"/>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a:t>财政拨款收、支决算总计变动情况
单位：万元</a:t>
            </a:r>
            <a:endParaRPr lang="zh-CN" altLang="en-US"/>
          </a:p>
        </c:rich>
      </c:tx>
      <c:layout/>
      <c:overlay val="false"/>
    </c:title>
    <c:autoTitleDeleted val="false"/>
    <c:plotArea>
      <c:layout/>
      <c:barChart>
        <c:barDir val="col"/>
        <c:grouping val="clustered"/>
        <c:varyColors val="false"/>
        <c:ser>
          <c:idx val="0"/>
          <c:order val="0"/>
          <c:tx>
            <c:strRef>
              <c:f>Sheet1!$B$1</c:f>
              <c:strCache>
                <c:ptCount val="1"/>
                <c:pt idx="0">
                  <c:v>财政拨款收入
单位：万元</c:v>
                </c:pt>
              </c:strCache>
            </c:strRef>
          </c:tx>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2896.2</a:t>
                    </a:r>
                    <a:r>
                      <a:rPr lang="en-US" altLang="zh-CN"/>
                      <a:t>5</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2022年度</c:v>
                </c:pt>
                <c:pt idx="1">
                  <c:v>2021年度</c:v>
                </c:pt>
              </c:strCache>
            </c:strRef>
          </c:cat>
          <c:val>
            <c:numRef>
              <c:f>Sheet1!$B$2:$B$3</c:f>
              <c:numCache>
                <c:formatCode>General</c:formatCode>
                <c:ptCount val="2"/>
                <c:pt idx="0">
                  <c:v>2896.26</c:v>
                </c:pt>
                <c:pt idx="1">
                  <c:v>2889.04</c:v>
                </c:pt>
              </c:numCache>
            </c:numRef>
          </c:val>
        </c:ser>
        <c:dLbls>
          <c:showLegendKey val="false"/>
          <c:showVal val="true"/>
          <c:showCatName val="false"/>
          <c:showSerName val="false"/>
          <c:showPercent val="false"/>
          <c:showBubbleSize val="false"/>
        </c:dLbls>
        <c:gapWidth val="150"/>
        <c:axId val="231927168"/>
        <c:axId val="404469632"/>
      </c:barChart>
      <c:catAx>
        <c:axId val="231927168"/>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404469632"/>
        <c:crosses val="autoZero"/>
        <c:auto val="true"/>
        <c:lblAlgn val="ctr"/>
        <c:lblOffset val="100"/>
        <c:noMultiLvlLbl val="false"/>
      </c:catAx>
      <c:valAx>
        <c:axId val="40446963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1927168"/>
        <c:crosses val="autoZero"/>
        <c:crossBetween val="between"/>
      </c:valAx>
      <c:spPr>
        <a:solidFill>
          <a:schemeClr val="bg1"/>
        </a:solidFill>
        <a:ln>
          <a:noFill/>
        </a:ln>
        <a:effectLst/>
      </c:spPr>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a:t>一般公共预算财政拨款支出决算变动情况</a:t>
            </a:r>
            <a:endParaRPr lang="zh-CN" altLang="en-US"/>
          </a:p>
        </c:rich>
      </c:tx>
      <c:layout/>
      <c:overlay val="false"/>
    </c:title>
    <c:autoTitleDeleted val="false"/>
    <c:plotArea>
      <c:layout/>
      <c:barChart>
        <c:barDir val="col"/>
        <c:grouping val="clustered"/>
        <c:varyColors val="false"/>
        <c:ser>
          <c:idx val="0"/>
          <c:order val="0"/>
          <c:tx>
            <c:strRef>
              <c:f>Sheet1!$B$1</c:f>
              <c:strCache>
                <c:ptCount val="1"/>
                <c:pt idx="0">
                  <c:v>一般公共预算财政拨款支出
单位：万元</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2021年度</c:v>
                </c:pt>
                <c:pt idx="1">
                  <c:v>2022年度</c:v>
                </c:pt>
              </c:strCache>
            </c:strRef>
          </c:cat>
          <c:val>
            <c:numRef>
              <c:f>Sheet1!$B$2:$B$3</c:f>
              <c:numCache>
                <c:formatCode>General</c:formatCode>
                <c:ptCount val="2"/>
                <c:pt idx="0">
                  <c:v>2769.01</c:v>
                </c:pt>
                <c:pt idx="1">
                  <c:v>2519.99</c:v>
                </c:pt>
              </c:numCache>
            </c:numRef>
          </c:val>
        </c:ser>
        <c:dLbls>
          <c:showLegendKey val="false"/>
          <c:showVal val="true"/>
          <c:showCatName val="false"/>
          <c:showSerName val="false"/>
          <c:showPercent val="false"/>
          <c:showBubbleSize val="false"/>
        </c:dLbls>
        <c:gapWidth val="150"/>
        <c:axId val="233027456"/>
        <c:axId val="233028992"/>
      </c:barChart>
      <c:catAx>
        <c:axId val="233027456"/>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3028992"/>
        <c:crosses val="autoZero"/>
        <c:auto val="true"/>
        <c:lblAlgn val="ctr"/>
        <c:lblOffset val="100"/>
        <c:noMultiLvlLbl val="false"/>
      </c:catAx>
      <c:valAx>
        <c:axId val="23302899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33027456"/>
        <c:crosses val="autoZero"/>
        <c:crossBetween val="between"/>
      </c:valAx>
      <c:spPr>
        <a:solidFill>
          <a:schemeClr val="bg1"/>
        </a:solidFill>
        <a:ln>
          <a:noFill/>
        </a:ln>
        <a:effectLst/>
      </c:spPr>
    </c:plotArea>
    <c:legend>
      <c:legendPos val="r"/>
      <c:layout>
        <c:manualLayout>
          <c:xMode val="edge"/>
          <c:yMode val="edge"/>
          <c:x val="0.653562456510901"/>
          <c:y val="0.528260159430536"/>
          <c:w val="0.331990156058328"/>
          <c:h val="0.181890576371452"/>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rPr sz="1200">
                <a:solidFill>
                  <a:schemeClr val="tx1"/>
                </a:solidFill>
                <a:uFillTx/>
              </a:rPr>
              <a:t>一般公共预算财政拨款支出决算结构单位：万元</a:t>
            </a:r>
            <a:endParaRPr sz="1200">
              <a:solidFill>
                <a:schemeClr val="tx1"/>
              </a:solidFill>
              <a:uFillTx/>
            </a:endParaRPr>
          </a:p>
        </c:rich>
      </c:tx>
      <c:layout>
        <c:manualLayout>
          <c:xMode val="edge"/>
          <c:yMode val="edge"/>
          <c:x val="0.4279843444227"/>
          <c:y val="0.00446362148489808"/>
        </c:manualLayout>
      </c:layout>
      <c:overlay val="false"/>
    </c:title>
    <c:autoTitleDeleted val="false"/>
    <c:plotArea>
      <c:layout>
        <c:manualLayout>
          <c:layoutTarget val="inner"/>
          <c:xMode val="edge"/>
          <c:yMode val="edge"/>
          <c:x val="0.071594884195215"/>
          <c:y val="0.285362068965517"/>
          <c:w val="0.525474233529028"/>
          <c:h val="0.578701149425287"/>
        </c:manualLayout>
      </c:layout>
      <c:pieChart>
        <c:varyColors val="true"/>
        <c:ser>
          <c:idx val="0"/>
          <c:order val="0"/>
          <c:tx>
            <c:strRef>
              <c:f>Sheet1!$B$1</c:f>
              <c:strCache>
                <c:ptCount val="1"/>
                <c:pt idx="0">
                  <c:v>一般公共预算财政拨款支出决算结构
单位：万元</c:v>
                </c:pt>
              </c:strCache>
            </c:strRef>
          </c:tx>
          <c:explosion val="25"/>
          <c:dPt>
            <c:idx val="0"/>
            <c:bubble3D val="false"/>
          </c:dPt>
          <c:dPt>
            <c:idx val="1"/>
            <c:bubble3D val="false"/>
          </c:dPt>
          <c:dPt>
            <c:idx val="2"/>
            <c:bubble3D val="false"/>
          </c:dPt>
          <c:dPt>
            <c:idx val="3"/>
            <c:bubble3D val="false"/>
          </c:dPt>
          <c:dPt>
            <c:idx val="4"/>
            <c:bubble3D val="false"/>
          </c:dPt>
          <c:dPt>
            <c:idx val="5"/>
            <c:bubble3D val="false"/>
          </c:dPt>
          <c:dLbls>
            <c:dLbl>
              <c:idx val="0"/>
              <c:layout>
                <c:manualLayout>
                  <c:x val="0.261060221972836"/>
                  <c:y val="0.103741319895314"/>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一般公共服务支出
</a:t>
                    </a:r>
                    <a:r>
                      <a:rPr lang="en-US" altLang="zh-CN"/>
                      <a:t>0.34</a:t>
                    </a:r>
                    <a:r>
                      <a:rPr lang="zh-CN" altLang="en-US"/>
                      <a:t>万元</a:t>
                    </a:r>
                    <a:r>
                      <a:rPr lang="en-US" altLang="zh-CN"/>
                      <a:t>
0.0%</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1"/>
              <c:layout>
                <c:manualLayout>
                  <c:x val="0.244618395303327"/>
                  <c:y val="-0.0697226013165118"/>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教育支出
</a:t>
                    </a:r>
                    <a:r>
                      <a:rPr lang="en-US" altLang="zh-CN"/>
                      <a:t>1955.03</a:t>
                    </a:r>
                    <a:r>
                      <a:rPr lang="zh-CN" altLang="en-US"/>
                      <a:t>万元</a:t>
                    </a:r>
                    <a:r>
                      <a:rPr lang="en-US" altLang="zh-CN"/>
                      <a:t>
77.58%</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2"/>
              <c:layout>
                <c:manualLayout>
                  <c:x val="-0.0182000717317154"/>
                  <c:y val="-0.184053531876243"/>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社会保障和就业
</a:t>
                    </a:r>
                    <a:r>
                      <a:rPr lang="en-US" altLang="zh-CN"/>
                      <a:t>406.25</a:t>
                    </a:r>
                    <a:r>
                      <a:rPr lang="zh-CN" altLang="en-US"/>
                      <a:t>万元</a:t>
                    </a:r>
                    <a:r>
                      <a:rPr lang="en-US" altLang="zh-CN"/>
                      <a:t>
16.12%</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3"/>
              <c:layout>
                <c:manualLayout>
                  <c:x val="-0.114951824446335"/>
                  <c:y val="-0.00031111922467021"/>
                </c:manualLayout>
              </c:layout>
              <c:tx>
                <c:rich>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r>
                      <a:rPr lang="zh-CN" altLang="en-US"/>
                      <a:t>住房保障支出
</a:t>
                    </a:r>
                    <a:r>
                      <a:rPr lang="en-US" altLang="zh-CN"/>
                      <a:t>116.08</a:t>
                    </a:r>
                    <a:r>
                      <a:rPr lang="zh-CN" altLang="en-US"/>
                      <a:t>万元</a:t>
                    </a:r>
                    <a:r>
                      <a:rPr lang="en-US" altLang="zh-CN"/>
                      <a:t>
4.61%</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4"/>
              <c:layout>
                <c:manualLayout>
                  <c:x val="-0.024661249011461"/>
                  <c:y val="-0.0799570124572578"/>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文化旅游体育与传媒支出41.4万元，</a:t>
                    </a:r>
                    <a:r>
                      <a:rPr lang="en-US" altLang="zh-CN"/>
                      <a:t>1.64</a:t>
                    </a:r>
                    <a:r>
                      <a:t>%</a:t>
                    </a:r>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5"/>
              <c:layout>
                <c:manualLayout>
                  <c:x val="0.175189393657268"/>
                  <c:y val="-0.0663358296372791"/>
                </c:manualLayout>
              </c:layout>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Sheet1!$A$2:$A$7</c:f>
              <c:strCache>
                <c:ptCount val="6"/>
                <c:pt idx="0">
                  <c:v>一般公共服务支出</c:v>
                </c:pt>
                <c:pt idx="1">
                  <c:v>教育支出</c:v>
                </c:pt>
                <c:pt idx="2">
                  <c:v>社会保障和就业</c:v>
                </c:pt>
                <c:pt idx="3">
                  <c:v>住房保障支出</c:v>
                </c:pt>
                <c:pt idx="4">
                  <c:v>文化旅游体育与传媒支出</c:v>
                </c:pt>
                <c:pt idx="5">
                  <c:v>卫生健康支出</c:v>
                </c:pt>
              </c:strCache>
            </c:strRef>
          </c:cat>
          <c:val>
            <c:numRef>
              <c:f>Sheet1!$B$2:$B$7</c:f>
              <c:numCache>
                <c:formatCode>General</c:formatCode>
                <c:ptCount val="6"/>
                <c:pt idx="0">
                  <c:v>0.34</c:v>
                </c:pt>
                <c:pt idx="1">
                  <c:v>1955.03</c:v>
                </c:pt>
                <c:pt idx="2">
                  <c:v>406.25</c:v>
                </c:pt>
                <c:pt idx="3">
                  <c:v>116.07</c:v>
                </c:pt>
                <c:pt idx="4">
                  <c:v>41.4</c:v>
                </c:pt>
                <c:pt idx="5">
                  <c:v>0.89</c:v>
                </c:pt>
              </c:numCache>
            </c:numRef>
          </c:val>
        </c:ser>
        <c:dLbls>
          <c:showLegendKey val="false"/>
          <c:showVal val="true"/>
          <c:showCatName val="true"/>
          <c:showSerName val="false"/>
          <c:showPercent val="true"/>
          <c:showBubbleSize val="false"/>
          <c:showLeaderLines val="true"/>
        </c:dLbls>
        <c:firstSliceAng val="15"/>
      </c:pieChart>
      <c:spPr>
        <a:noFill/>
        <a:ln>
          <a:noFill/>
        </a:ln>
        <a:effectLst/>
      </c:spPr>
    </c:plotArea>
    <c:legend>
      <c:legendPos val="r"/>
      <c:layout>
        <c:manualLayout>
          <c:xMode val="edge"/>
          <c:yMode val="edge"/>
          <c:x val="0.664318330071755"/>
          <c:y val="0.45140273794437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0747565432826"/>
          <c:y val="0.0390070921985816"/>
        </c:manualLayout>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
单位：万元</c:v>
                </c:pt>
              </c:strCache>
            </c:strRef>
          </c:tx>
          <c:explosion val="0"/>
          <c:dPt>
            <c:idx val="0"/>
            <c:bubble3D val="false"/>
          </c:dPt>
          <c:dPt>
            <c:idx val="1"/>
            <c:bubble3D val="false"/>
          </c:dPt>
          <c:dPt>
            <c:idx val="2"/>
            <c:bubble3D val="false"/>
          </c:dPt>
          <c:dLbls>
            <c:dLbl>
              <c:idx val="1"/>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公务用车购置及运行维护费, 1.62, 57</a:t>
                    </a:r>
                    <a:r>
                      <a:rPr lang="en-US" altLang="zh-CN"/>
                      <a:t>.04</a:t>
                    </a:r>
                    <a:r>
                      <a:t>%</a:t>
                    </a:r>
                  </a:p>
                </c:rich>
              </c:tx>
              <c:dLblPos val="bestFit"/>
              <c:showLegendKey val="false"/>
              <c:showVal val="true"/>
              <c:showCatName val="true"/>
              <c:showSerName val="false"/>
              <c:showPercent val="true"/>
              <c:showBubbleSize val="false"/>
              <c:extLst>
                <c:ext xmlns:c15="http://schemas.microsoft.com/office/drawing/2012/chart" uri="{CE6537A1-D6FC-4f65-9D91-7224C49458BB}"/>
              </c:extLst>
            </c:dLbl>
            <c:dLbl>
              <c:idx val="2"/>
              <c:layout>
                <c:manualLayout>
                  <c:x val="0.0216944096941153"/>
                  <c:y val="0.214737253587983"/>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公务接待费, 1.22, 43</a:t>
                    </a:r>
                    <a:r>
                      <a:rPr lang="en-US" altLang="zh-CN"/>
                      <a:t>.96</a:t>
                    </a:r>
                    <a:r>
                      <a:t>%</a:t>
                    </a:r>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1.62</c:v>
                </c:pt>
                <c:pt idx="2">
                  <c:v>1.22</c:v>
                </c:pt>
              </c:numCache>
            </c:numRef>
          </c:val>
        </c:ser>
        <c:dLbls>
          <c:showLegendKey val="false"/>
          <c:showVal val="true"/>
          <c:showCatName val="true"/>
          <c:showSerName val="false"/>
          <c:showPercent val="tru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1076</TotalTime>
  <ScaleCrop>false</ScaleCrop>
  <LinksUpToDate>false</LinksUpToDate>
  <CharactersWithSpaces>5901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2023-07-31T18:35:00Z</cp:lastPrinted>
  <dcterms:modified xsi:type="dcterms:W3CDTF">2023-09-15T09:10:28Z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