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8441"/>
      <w:bookmarkStart w:id="2" w:name="_Toc15377425"/>
      <w:bookmarkStart w:id="3" w:name="_Toc1539647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7194"/>
      <w:bookmarkStart w:id="8" w:name="_Toc15396476"/>
      <w:bookmarkStart w:id="9" w:name="_Toc15396598"/>
      <w:bookmarkStart w:id="10" w:name="_Toc15378442"/>
      <w:bookmarkStart w:id="11" w:name="_Toc15306268"/>
      <w:r>
        <w:rPr>
          <w:rFonts w:hint="eastAsia" w:ascii="方正小标宋简体" w:hAnsi="方正小标宋简体" w:eastAsia="方正小标宋简体" w:cs="方正小标宋简体"/>
          <w:sz w:val="72"/>
          <w:szCs w:val="72"/>
          <w:lang w:eastAsia="zh-CN"/>
        </w:rPr>
        <w:t>四川省</w:t>
      </w:r>
      <w:r>
        <w:rPr>
          <w:rFonts w:hint="eastAsia" w:ascii="方正小标宋简体" w:hAnsi="方正小标宋简体" w:eastAsia="方正小标宋简体" w:cs="方正小标宋简体"/>
          <w:sz w:val="72"/>
          <w:szCs w:val="72"/>
        </w:rPr>
        <w:t>攀枝花市</w:t>
      </w:r>
      <w:r>
        <w:rPr>
          <w:rFonts w:hint="eastAsia" w:ascii="方正小标宋简体" w:hAnsi="方正小标宋简体" w:eastAsia="方正小标宋简体" w:cs="方正小标宋简体"/>
          <w:sz w:val="72"/>
          <w:szCs w:val="72"/>
          <w:lang w:eastAsia="zh-CN"/>
        </w:rPr>
        <w:t>教育和体育局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公开时间：2023年9月</w:t>
      </w:r>
      <w:r>
        <w:t>1</w:t>
      </w:r>
      <w:r>
        <w:rPr>
          <w:rFonts w:hint="eastAsia"/>
          <w:lang w:val="en-US" w:eastAsia="zh-CN"/>
        </w:rPr>
        <w:t>5</w:t>
      </w:r>
      <w:bookmarkStart w:id="71" w:name="_GoBack"/>
      <w:bookmarkEnd w:id="71"/>
      <w:r>
        <w:rPr>
          <w:rFonts w:hint="eastAsia"/>
        </w:rPr>
        <w:t>日</w:t>
      </w:r>
    </w:p>
    <w:p/>
    <w:p>
      <w:pPr>
        <w:pStyle w:val="13"/>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lang w:val="en-US" w:eastAsia="zh-CN"/>
        </w:rPr>
        <w:t>4</w:t>
      </w:r>
    </w:p>
    <w:p>
      <w:pPr>
        <w:pStyle w:val="14"/>
        <w:adjustRightInd w:val="0"/>
        <w:snapToGrid w:val="0"/>
        <w:spacing w:line="440" w:lineRule="exact"/>
        <w:jc w:val="left"/>
        <w:rPr>
          <w:rFonts w:hint="eastAsia" w:ascii="仿宋" w:hAnsi="仿宋" w:eastAsia="宋体"/>
          <w:sz w:val="24"/>
          <w:lang w:val="en-US" w:eastAsia="zh-CN"/>
        </w:rPr>
      </w:pPr>
      <w:r>
        <w:rPr>
          <w:rFonts w:hint="eastAsia"/>
          <w:sz w:val="24"/>
        </w:rPr>
        <w:t>一、部门职责</w:t>
      </w:r>
      <w:r>
        <w:rPr>
          <w:rFonts w:cstheme="minorBidi"/>
          <w:sz w:val="24"/>
        </w:rPr>
        <w:tab/>
      </w:r>
      <w:r>
        <w:rPr>
          <w:rFonts w:hint="eastAsia" w:cstheme="minorBidi"/>
          <w:sz w:val="24"/>
          <w:lang w:val="en-US" w:eastAsia="zh-CN"/>
        </w:rPr>
        <w:t>4</w:t>
      </w:r>
    </w:p>
    <w:p>
      <w:pPr>
        <w:pStyle w:val="14"/>
        <w:adjustRightInd w:val="0"/>
        <w:snapToGrid w:val="0"/>
        <w:spacing w:line="440" w:lineRule="exact"/>
        <w:jc w:val="left"/>
        <w:rPr>
          <w:rFonts w:hint="eastAsia" w:eastAsia="宋体" w:cstheme="minorBidi"/>
          <w:sz w:val="24"/>
          <w:lang w:val="en-US" w:eastAsia="zh-CN"/>
        </w:rPr>
      </w:pPr>
      <w:r>
        <w:rPr>
          <w:rFonts w:hint="eastAsia"/>
          <w:sz w:val="24"/>
        </w:rPr>
        <w:t>二、机构设置</w:t>
      </w:r>
      <w:r>
        <w:rPr>
          <w:rFonts w:cstheme="minorBidi"/>
          <w:sz w:val="24"/>
        </w:rPr>
        <w:tab/>
      </w:r>
      <w:r>
        <w:rPr>
          <w:rFonts w:hint="eastAsia" w:cstheme="minorBidi"/>
          <w:sz w:val="24"/>
          <w:lang w:val="en-US" w:eastAsia="zh-CN"/>
        </w:rPr>
        <w:t>7</w:t>
      </w:r>
    </w:p>
    <w:p>
      <w:pPr>
        <w:pStyle w:val="14"/>
        <w:adjustRightInd w:val="0"/>
        <w:snapToGrid w:val="0"/>
        <w:spacing w:line="440" w:lineRule="exact"/>
        <w:jc w:val="left"/>
        <w:rPr>
          <w:rFonts w:hint="eastAsia" w:eastAsia="宋体"/>
          <w:sz w:val="24"/>
          <w:szCs w:val="24"/>
          <w:lang w:val="en-US" w:eastAsia="zh-CN"/>
        </w:rPr>
      </w:pPr>
      <w:r>
        <w:rPr>
          <w:rFonts w:hint="eastAsia"/>
          <w:sz w:val="24"/>
        </w:rPr>
        <w:t>第二部分 2022年度部门决算情况说明</w:t>
      </w:r>
      <w:r>
        <w:rPr>
          <w:rFonts w:cstheme="minorBidi"/>
          <w:sz w:val="24"/>
        </w:rPr>
        <w:tab/>
      </w:r>
      <w:r>
        <w:rPr>
          <w:rFonts w:hint="eastAsia" w:cstheme="minorBidi"/>
          <w:sz w:val="24"/>
          <w:lang w:val="en-US" w:eastAsia="zh-CN"/>
        </w:rPr>
        <w:t>8</w:t>
      </w:r>
    </w:p>
    <w:p>
      <w:pPr>
        <w:pStyle w:val="13"/>
        <w:adjustRightInd w:val="0"/>
        <w:snapToGrid w:val="0"/>
        <w:spacing w:before="0" w:line="440" w:lineRule="exact"/>
        <w:ind w:firstLine="480" w:firstLineChars="200"/>
        <w:jc w:val="left"/>
        <w:rPr>
          <w:rFonts w:hint="default" w:ascii="仿宋" w:hAnsi="仿宋" w:eastAsia="仿宋" w:cstheme="minorBidi"/>
          <w:sz w:val="24"/>
          <w:lang w:val="en-US" w:eastAsia="zh-CN"/>
        </w:rPr>
      </w:pPr>
      <w:r>
        <w:rPr>
          <w:rFonts w:hint="eastAsia"/>
          <w:sz w:val="24"/>
        </w:rPr>
        <w:t>一、收入支出决算总体情况说明</w:t>
      </w:r>
      <w:r>
        <w:rPr>
          <w:rFonts w:cstheme="minorBidi"/>
          <w:sz w:val="24"/>
          <w:szCs w:val="24"/>
        </w:rPr>
        <w:tab/>
      </w:r>
      <w:r>
        <w:rPr>
          <w:rFonts w:hint="eastAsia" w:cstheme="minorBidi"/>
          <w:sz w:val="24"/>
          <w:szCs w:val="24"/>
          <w:lang w:val="en-US" w:eastAsia="zh-CN"/>
        </w:rPr>
        <w:t>8</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szCs w:val="24"/>
        </w:rPr>
        <w:tab/>
      </w:r>
      <w:r>
        <w:rPr>
          <w:rFonts w:hint="eastAsia" w:cstheme="minorBidi"/>
          <w:sz w:val="24"/>
          <w:szCs w:val="24"/>
          <w:lang w:val="en-US" w:eastAsia="zh-CN"/>
        </w:rPr>
        <w:t>8</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szCs w:val="24"/>
        </w:rPr>
        <w:tab/>
      </w:r>
      <w:r>
        <w:rPr>
          <w:rFonts w:hint="eastAsia" w:cstheme="minorBidi"/>
          <w:sz w:val="24"/>
          <w:szCs w:val="24"/>
          <w:lang w:val="en-US" w:eastAsia="zh-CN"/>
        </w:rPr>
        <w:t>9</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cstheme="minorBidi"/>
          <w:sz w:val="24"/>
          <w:szCs w:val="24"/>
        </w:rPr>
        <w:tab/>
      </w:r>
      <w:r>
        <w:rPr>
          <w:rFonts w:hint="eastAsia" w:cstheme="minorBidi"/>
          <w:sz w:val="24"/>
          <w:szCs w:val="24"/>
          <w:lang w:val="en-US" w:eastAsia="zh-CN"/>
        </w:rPr>
        <w:t>10</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cstheme="minorBidi"/>
          <w:sz w:val="24"/>
          <w:szCs w:val="24"/>
        </w:rPr>
        <w:tab/>
      </w:r>
      <w:r>
        <w:rPr>
          <w:rFonts w:hint="eastAsia" w:cstheme="minorBidi"/>
          <w:sz w:val="24"/>
          <w:szCs w:val="24"/>
          <w:lang w:val="en-US" w:eastAsia="zh-CN"/>
        </w:rPr>
        <w:t>11</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szCs w:val="24"/>
        </w:rPr>
        <w:tab/>
      </w:r>
      <w:r>
        <w:rPr>
          <w:rFonts w:hint="eastAsia" w:cstheme="minorBidi"/>
          <w:sz w:val="24"/>
          <w:szCs w:val="24"/>
          <w:lang w:val="en-US" w:eastAsia="zh-CN"/>
        </w:rPr>
        <w:t>15</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szCs w:val="24"/>
        </w:rPr>
        <w:tab/>
      </w:r>
      <w:r>
        <w:rPr>
          <w:rFonts w:hint="eastAsia" w:cstheme="minorBidi"/>
          <w:sz w:val="24"/>
          <w:szCs w:val="24"/>
          <w:lang w:val="en-US" w:eastAsia="zh-CN"/>
        </w:rPr>
        <w:t>16</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szCs w:val="24"/>
        </w:rPr>
        <w:tab/>
      </w:r>
      <w:r>
        <w:rPr>
          <w:rFonts w:hint="eastAsia" w:cstheme="minorBidi"/>
          <w:sz w:val="24"/>
          <w:szCs w:val="24"/>
          <w:lang w:val="en-US" w:eastAsia="zh-CN"/>
        </w:rPr>
        <w:t>19</w:t>
      </w:r>
    </w:p>
    <w:p>
      <w:pPr>
        <w:pStyle w:val="14"/>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szCs w:val="24"/>
        </w:rPr>
        <w:tab/>
      </w:r>
      <w:r>
        <w:rPr>
          <w:rFonts w:hint="eastAsia" w:cstheme="minorBidi"/>
          <w:sz w:val="24"/>
          <w:szCs w:val="24"/>
          <w:lang w:val="en-US" w:eastAsia="zh-CN"/>
        </w:rPr>
        <w:t>19</w:t>
      </w:r>
    </w:p>
    <w:p>
      <w:pPr>
        <w:pStyle w:val="14"/>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szCs w:val="24"/>
        </w:rPr>
        <w:tab/>
      </w:r>
      <w:r>
        <w:rPr>
          <w:rFonts w:hint="eastAsia" w:cstheme="minorBidi"/>
          <w:sz w:val="24"/>
          <w:szCs w:val="24"/>
          <w:lang w:val="en-US" w:eastAsia="zh-CN"/>
        </w:rPr>
        <w:t>21</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lang w:val="en-US" w:eastAsia="zh-CN"/>
        </w:rPr>
        <w:t>28</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lang w:val="en-US" w:eastAsia="zh-CN"/>
        </w:rPr>
        <w:t>33</w:t>
      </w:r>
    </w:p>
    <w:p>
      <w:pPr>
        <w:pStyle w:val="14"/>
        <w:adjustRightInd w:val="0"/>
        <w:snapToGrid w:val="0"/>
        <w:spacing w:line="440" w:lineRule="exact"/>
        <w:ind w:left="0" w:leftChars="0" w:firstLine="0" w:firstLineChars="0"/>
        <w:jc w:val="left"/>
        <w:rPr>
          <w:rFonts w:hint="default" w:eastAsia="宋体"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szCs w:val="24"/>
        </w:rPr>
        <w:tab/>
      </w:r>
      <w:r>
        <w:rPr>
          <w:rFonts w:hint="eastAsia" w:cstheme="minorBidi"/>
          <w:sz w:val="24"/>
          <w:szCs w:val="24"/>
          <w:lang w:val="en-US" w:eastAsia="zh-CN"/>
        </w:rPr>
        <w:t>50</w:t>
      </w:r>
    </w:p>
    <w:p>
      <w:pPr>
        <w:pStyle w:val="14"/>
        <w:adjustRightInd w:val="0"/>
        <w:snapToGrid w:val="0"/>
        <w:spacing w:line="440" w:lineRule="exact"/>
        <w:jc w:val="left"/>
        <w:rPr>
          <w:sz w:val="24"/>
        </w:rPr>
      </w:pPr>
      <w:r>
        <w:rPr>
          <w:rFonts w:hint="eastAsia"/>
          <w:sz w:val="24"/>
        </w:rPr>
        <w:t>一、收入支出决算总表</w:t>
      </w:r>
    </w:p>
    <w:p>
      <w:pPr>
        <w:pStyle w:val="14"/>
        <w:adjustRightInd w:val="0"/>
        <w:snapToGrid w:val="0"/>
        <w:spacing w:line="440" w:lineRule="exact"/>
        <w:jc w:val="left"/>
        <w:rPr>
          <w:sz w:val="24"/>
        </w:rPr>
      </w:pPr>
      <w:r>
        <w:rPr>
          <w:rFonts w:hint="eastAsia"/>
          <w:sz w:val="24"/>
        </w:rPr>
        <w:t>二、收入决算表</w:t>
      </w:r>
    </w:p>
    <w:p>
      <w:pPr>
        <w:pStyle w:val="14"/>
        <w:adjustRightInd w:val="0"/>
        <w:snapToGrid w:val="0"/>
        <w:spacing w:line="440" w:lineRule="exact"/>
        <w:jc w:val="left"/>
        <w:rPr>
          <w:sz w:val="24"/>
        </w:rPr>
      </w:pPr>
      <w:r>
        <w:rPr>
          <w:rFonts w:hint="eastAsia"/>
          <w:sz w:val="24"/>
        </w:rPr>
        <w:t>三、支出决算表</w:t>
      </w:r>
    </w:p>
    <w:p>
      <w:pPr>
        <w:pStyle w:val="14"/>
        <w:adjustRightInd w:val="0"/>
        <w:snapToGrid w:val="0"/>
        <w:spacing w:line="440" w:lineRule="exact"/>
        <w:jc w:val="left"/>
        <w:rPr>
          <w:sz w:val="24"/>
        </w:rPr>
      </w:pPr>
      <w:r>
        <w:rPr>
          <w:rFonts w:hint="eastAsia"/>
          <w:sz w:val="24"/>
        </w:rPr>
        <w:t>四、财政拨款收入支出决算总表</w:t>
      </w:r>
    </w:p>
    <w:p>
      <w:pPr>
        <w:pStyle w:val="14"/>
        <w:adjustRightInd w:val="0"/>
        <w:snapToGrid w:val="0"/>
        <w:spacing w:line="440" w:lineRule="exact"/>
        <w:jc w:val="left"/>
        <w:rPr>
          <w:sz w:val="24"/>
        </w:rPr>
      </w:pPr>
      <w:r>
        <w:rPr>
          <w:rFonts w:hint="eastAsia"/>
          <w:sz w:val="24"/>
        </w:rPr>
        <w:t>五、财政拨款支出决算明细表</w:t>
      </w:r>
    </w:p>
    <w:p>
      <w:pPr>
        <w:pStyle w:val="14"/>
        <w:adjustRightInd w:val="0"/>
        <w:snapToGrid w:val="0"/>
        <w:spacing w:line="440" w:lineRule="exact"/>
        <w:jc w:val="left"/>
        <w:rPr>
          <w:sz w:val="24"/>
        </w:rPr>
      </w:pPr>
      <w:r>
        <w:rPr>
          <w:rFonts w:hint="eastAsia"/>
          <w:sz w:val="24"/>
        </w:rPr>
        <w:t>六、一般公共预算财政拨款支出决算表</w:t>
      </w:r>
    </w:p>
    <w:p>
      <w:pPr>
        <w:pStyle w:val="14"/>
        <w:adjustRightInd w:val="0"/>
        <w:snapToGrid w:val="0"/>
        <w:spacing w:line="440" w:lineRule="exact"/>
        <w:jc w:val="left"/>
        <w:rPr>
          <w:sz w:val="24"/>
        </w:rPr>
      </w:pPr>
      <w:r>
        <w:rPr>
          <w:rFonts w:hint="eastAsia"/>
          <w:sz w:val="24"/>
        </w:rPr>
        <w:t>七、一般公共预算财政拨款支出决算明细表</w:t>
      </w:r>
    </w:p>
    <w:p>
      <w:pPr>
        <w:pStyle w:val="14"/>
        <w:adjustRightInd w:val="0"/>
        <w:snapToGrid w:val="0"/>
        <w:spacing w:line="440" w:lineRule="exact"/>
        <w:jc w:val="left"/>
        <w:rPr>
          <w:sz w:val="24"/>
        </w:rPr>
      </w:pPr>
      <w:r>
        <w:rPr>
          <w:rFonts w:hint="eastAsia"/>
          <w:sz w:val="24"/>
        </w:rPr>
        <w:t>八、一般公共预算财政拨款基本支出决算明细表</w:t>
      </w:r>
    </w:p>
    <w:p>
      <w:pPr>
        <w:pStyle w:val="14"/>
        <w:adjustRightInd w:val="0"/>
        <w:snapToGrid w:val="0"/>
        <w:spacing w:line="440" w:lineRule="exact"/>
        <w:jc w:val="left"/>
        <w:rPr>
          <w:sz w:val="24"/>
        </w:rPr>
      </w:pPr>
      <w:r>
        <w:rPr>
          <w:rFonts w:hint="eastAsia"/>
          <w:sz w:val="24"/>
        </w:rPr>
        <w:t>九、一般公共预算财政拨款项目支出决算表</w:t>
      </w:r>
    </w:p>
    <w:p>
      <w:pPr>
        <w:pStyle w:val="14"/>
        <w:adjustRightInd w:val="0"/>
        <w:snapToGrid w:val="0"/>
        <w:spacing w:line="440" w:lineRule="exact"/>
        <w:jc w:val="left"/>
        <w:rPr>
          <w:sz w:val="24"/>
        </w:rPr>
      </w:pPr>
      <w:r>
        <w:rPr>
          <w:rFonts w:hint="eastAsia"/>
          <w:sz w:val="24"/>
        </w:rPr>
        <w:t>十、政府性基金预算财政拨款收入支出决算表</w:t>
      </w:r>
    </w:p>
    <w:p>
      <w:pPr>
        <w:pStyle w:val="14"/>
        <w:adjustRightInd w:val="0"/>
        <w:snapToGrid w:val="0"/>
        <w:spacing w:line="440" w:lineRule="exact"/>
        <w:jc w:val="left"/>
        <w:rPr>
          <w:sz w:val="24"/>
        </w:rPr>
      </w:pPr>
      <w:r>
        <w:rPr>
          <w:rFonts w:hint="eastAsia"/>
          <w:sz w:val="24"/>
        </w:rPr>
        <w:t>十一、国有资本经营预算财政拨款收入支出决算表</w:t>
      </w:r>
    </w:p>
    <w:p>
      <w:pPr>
        <w:pStyle w:val="14"/>
        <w:adjustRightInd w:val="0"/>
        <w:snapToGrid w:val="0"/>
        <w:spacing w:line="440" w:lineRule="exact"/>
        <w:jc w:val="left"/>
        <w:rPr>
          <w:sz w:val="24"/>
        </w:rPr>
      </w:pPr>
      <w:r>
        <w:rPr>
          <w:rFonts w:hint="eastAsia"/>
          <w:sz w:val="24"/>
        </w:rPr>
        <w:t>十二、国有资本经营预算财政拨款支出决算表</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4"/>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5"/>
        <w:numPr>
          <w:ilvl w:val="0"/>
          <w:numId w:val="1"/>
        </w:numPr>
        <w:rPr>
          <w:rFonts w:ascii="黑体" w:hAnsi="黑体" w:eastAsia="黑体"/>
          <w:b w:val="0"/>
        </w:rPr>
      </w:pPr>
      <w:r>
        <w:rPr>
          <w:rFonts w:hint="eastAsia" w:ascii="黑体" w:hAnsi="黑体" w:eastAsia="黑体"/>
          <w:b w:val="0"/>
        </w:rPr>
        <w:t>部门职责</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攀枝花市教育</w:t>
      </w:r>
      <w:r>
        <w:rPr>
          <w:rFonts w:hint="eastAsia" w:ascii="仿宋_GB2312" w:eastAsia="仿宋_GB2312" w:cs="仿宋_GB2312"/>
          <w:sz w:val="32"/>
          <w:szCs w:val="32"/>
          <w:lang w:eastAsia="zh-CN"/>
        </w:rPr>
        <w:t>和</w:t>
      </w:r>
      <w:r>
        <w:rPr>
          <w:rFonts w:hint="eastAsia" w:ascii="仿宋_GB2312" w:eastAsia="仿宋_GB2312" w:cs="仿宋_GB2312"/>
          <w:sz w:val="32"/>
          <w:szCs w:val="32"/>
        </w:rPr>
        <w:t>体育局是2014年由原攀枝花市教育局和原攀枝花市体育局合并成立的，为市政府工作部门。</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主要职责：</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（1）贯彻执行国家和省有关教育体育工作的方针、政策和法律、法规，研究制定有关贯彻意见并组织实施。</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（3）负责义务教育的指导与协调，推进全市义务教育均衡发展和促进教育公平。指导普通高中教育、学前教育和特殊教育工作。推进基础教育教学改革，全面实施素质教育。</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（4）指导基础教育、中等职业教育和成人教育学校开展思想政治、德育、体育卫生与艺术教育、国防教育、心理健康教育、安全和稳定工作。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（5）指导职业教育发展与改革，组织实施民族地区免费中等职业教育工作。完成省里下达的藏（彝）区学生“9+3”免费职业教育任务。</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（6）综合管理全市成人教育和广播电视教育及扫除青壮年文盲工作，协调普通高等教育发展。</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(7)负责全市教育督导工作。负责组织对中等及以下各级各类教育、广播电视教育以及扫除青壮年文盲工作的督导检查和评估考核工作；开展基础教育发展水平和质量监测工作。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(8)负责本部门教育体育经费的统筹管理。会同有关部门制定筹措教育体育经费、拨款、基建投资的政策和措施，协助有关部门做好教育体育拨款的筹集、拨付工作；监督全市教育体育经费的筹措和使用情况；指导国(境)外教育体育援助、贷款和合作项目的执行。负责普通高校生源地信用助学贷款工作，完善贫困学生资助管理体系。</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(9)指导少数民族教育工作，协调对少数民族地区的教育援助。</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(10)统筹规划、综合管理全市民办教育，规范民办教育办学秩序，促进民办教育事业健康发展。</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(11)负责全市中小学校教师队伍建设和教育体育系统干部队伍建设工作；组织和指导县(区)域内义务教育学校校长教师交流轮岗工作，推进义务教育教师“县管校用”管理制度改革。</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(12)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(13)贯彻执行国家语言文字的方针政策，拟订语言文字工作中长期规划和工作计划，指导普通话推广和普通话师资培训工作，承担市语言文字工作委员会的具体工作。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(14)指导教育体育系统对外交流与合作，负责全市中小学出国留学人员和教育体育系统来攀外籍教师、教练、专家及留学人员的有关管理工作。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(15)管理、指导大中专招生和自学考试工作；制定中小学和中等职业学校招生计划并组织实施。</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(16)统筹规划全市群众体育发展。负责推行全民健身计划，监督实施国家体育锻炼标准，承担全市国民体质监测和社会体育指导工作队伍制度建设；指导公共体育设施的建设，负责对公共体育设施的管理。</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(17)统筹规划全市竞技体育发展。指导体育训练、体育竞赛和运动员队伍建设；组织和统筹参加省级以上综合运动会，负责组织协调市级综合性运动会的竞赛工作，协调运动员社会保障工作。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(18)统筹规划全市青少年体育发展。指导和管理学校体育工作；制定全市学校体育、青少年业余训练的规划和工作意见，并负责组织实施、督促和检查。</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(19)指导全市学校后勤改革和体育产业发展，负责全市学校后勤和体育产业管理。拟定全市体育产业发展政策、措施，规范体育服务管理，推动体育标准化建设；协助管理全市体育彩票市场。</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(20)指导教育体育科研、技术攻关及成果推广工作；负责组织、监督全市体育运动中的反兴奋剂工作。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(21)负责指导、检查、督促全市学校安全管理工作。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(22)承担市政府公布的有关行政审批事项。</w:t>
      </w:r>
    </w:p>
    <w:p>
      <w:pPr>
        <w:ind w:firstLine="640" w:firstLineChars="200"/>
      </w:pPr>
      <w:r>
        <w:rPr>
          <w:rFonts w:hint="eastAsia" w:ascii="仿宋_GB2312" w:eastAsia="仿宋_GB2312" w:cs="仿宋_GB2312"/>
          <w:sz w:val="32"/>
          <w:szCs w:val="32"/>
        </w:rPr>
        <w:t>(23)承办市政府交办的其他事项。</w:t>
      </w:r>
    </w:p>
    <w:p>
      <w:pPr>
        <w:pStyle w:val="5"/>
        <w:rPr>
          <w:rStyle w:val="31"/>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cs="Times New Roman"/>
          <w:sz w:val="32"/>
          <w:szCs w:val="32"/>
        </w:rPr>
        <w:t>攀枝花市教育和体育局</w:t>
      </w:r>
      <w:r>
        <w:rPr>
          <w:rFonts w:hint="eastAsia" w:ascii="仿宋" w:hAnsi="仿宋" w:eastAsia="仿宋" w:cs="Times New Roman"/>
          <w:sz w:val="32"/>
          <w:szCs w:val="32"/>
          <w:lang w:eastAsia="zh-CN"/>
        </w:rPr>
        <w:t>及</w:t>
      </w:r>
      <w:r>
        <w:rPr>
          <w:rFonts w:hint="eastAsia" w:ascii="仿宋" w:hAnsi="仿宋" w:eastAsia="仿宋"/>
          <w:sz w:val="32"/>
          <w:szCs w:val="32"/>
        </w:rPr>
        <w:t>下属二级预算单位</w:t>
      </w:r>
      <w:r>
        <w:rPr>
          <w:rFonts w:hint="eastAsia" w:ascii="仿宋" w:hAnsi="仿宋" w:eastAsia="仿宋"/>
          <w:sz w:val="32"/>
          <w:szCs w:val="32"/>
          <w:lang w:val="en-US" w:eastAsia="zh-CN"/>
        </w:rPr>
        <w:t>18</w:t>
      </w:r>
      <w:r>
        <w:rPr>
          <w:rFonts w:hint="eastAsia" w:ascii="仿宋" w:hAnsi="仿宋" w:eastAsia="仿宋"/>
          <w:sz w:val="32"/>
          <w:szCs w:val="32"/>
        </w:rPr>
        <w:t>个，其中行政单位</w:t>
      </w:r>
      <w:r>
        <w:rPr>
          <w:rFonts w:hint="eastAsia" w:ascii="仿宋" w:hAnsi="仿宋" w:eastAsia="仿宋"/>
          <w:sz w:val="32"/>
          <w:szCs w:val="32"/>
          <w:lang w:val="en-US" w:eastAsia="zh-CN"/>
        </w:rPr>
        <w:t>1</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17</w:t>
      </w:r>
      <w:r>
        <w:rPr>
          <w:rFonts w:hint="eastAsia" w:ascii="仿宋" w:hAnsi="仿宋" w:eastAsia="仿宋"/>
          <w:sz w:val="32"/>
          <w:szCs w:val="32"/>
        </w:rPr>
        <w:t>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cs="Times New Roman"/>
          <w:sz w:val="32"/>
          <w:szCs w:val="32"/>
        </w:rPr>
        <w:t>攀枝花市教育和体育局</w:t>
      </w:r>
      <w:r>
        <w:rPr>
          <w:rFonts w:hint="eastAsia" w:ascii="仿宋" w:hAnsi="仿宋" w:eastAsia="仿宋"/>
          <w:sz w:val="32"/>
          <w:szCs w:val="32"/>
        </w:rPr>
        <w:t>2022年度部门决算编制范围的二级预算单位包括：</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1.攀枝花市教育和体育局</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2.攀枝花市外国语学校</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bookmarkStart w:id="16" w:name="_Toc15377434"/>
      <w:bookmarkStart w:id="17" w:name="_Toc15378450"/>
      <w:bookmarkStart w:id="18" w:name="_Toc15377203"/>
      <w:bookmarkStart w:id="19" w:name="_Toc15306277"/>
      <w:r>
        <w:rPr>
          <w:rFonts w:hint="eastAsia" w:ascii="仿宋" w:hAnsi="仿宋" w:eastAsia="仿宋" w:cs="Times New Roman"/>
          <w:kern w:val="0"/>
          <w:sz w:val="32"/>
          <w:szCs w:val="32"/>
          <w:lang w:val="en-US" w:eastAsia="zh-CN" w:bidi="ar-SA"/>
        </w:rPr>
        <w:t>3.攀枝花市第二初级中学校</w:t>
      </w:r>
      <w:bookmarkEnd w:id="16"/>
      <w:bookmarkEnd w:id="17"/>
      <w:bookmarkEnd w:id="18"/>
      <w:bookmarkEnd w:id="19"/>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4.攀枝花市实验学校</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5.攀枝花市特殊教育学校</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6.攀枝花市体育中学</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7.攀枝花市第三高级中学校</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8.攀枝花市第七高级中学校</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9.攀枝花市经贸旅游学校</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10.攀枝花市建筑工程学校</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11.攀枝花市实验幼儿园</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12.攀枝花开放大学</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13.攀枝花市教育考试院</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14.攀枝花市教育科学研究所</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15.攀枝花市电化教育技术装备中心</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16.攀枝花市学校后勤保障服务中心</w:t>
      </w:r>
    </w:p>
    <w:p>
      <w:pPr>
        <w:snapToGrid w:val="0"/>
        <w:spacing w:line="520" w:lineRule="exact"/>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17.攀枝花市体育场馆中心</w:t>
      </w:r>
    </w:p>
    <w:p>
      <w:pPr>
        <w:widowControl/>
        <w:ind w:firstLine="640" w:firstLineChars="200"/>
        <w:jc w:val="left"/>
        <w:rPr>
          <w:rFonts w:ascii="仿宋" w:hAnsi="仿宋" w:eastAsia="仿宋"/>
          <w:kern w:val="0"/>
          <w:sz w:val="32"/>
          <w:szCs w:val="32"/>
        </w:rPr>
      </w:pPr>
      <w:r>
        <w:rPr>
          <w:rFonts w:hint="eastAsia" w:ascii="仿宋" w:hAnsi="仿宋" w:eastAsia="仿宋" w:cs="Times New Roman"/>
          <w:kern w:val="0"/>
          <w:sz w:val="32"/>
          <w:szCs w:val="32"/>
          <w:lang w:val="en-US" w:eastAsia="zh-CN" w:bidi="ar-SA"/>
        </w:rPr>
        <w:t>18.攀枝花市社会体育指导中心</w:t>
      </w:r>
      <w:r>
        <w:rPr>
          <w:rFonts w:ascii="仿宋" w:hAnsi="仿宋" w:eastAsia="仿宋"/>
          <w:sz w:val="32"/>
          <w:szCs w:val="32"/>
        </w:rPr>
        <w:br w:type="page"/>
      </w:r>
    </w:p>
    <w:p>
      <w:pPr>
        <w:pStyle w:val="4"/>
        <w:ind w:right="440"/>
        <w:jc w:val="center"/>
        <w:rPr>
          <w:rStyle w:val="30"/>
          <w:rFonts w:ascii="黑体" w:hAnsi="黑体" w:eastAsia="黑体"/>
          <w:b w:val="0"/>
          <w:bCs/>
        </w:rPr>
      </w:pPr>
      <w:bookmarkStart w:id="20" w:name="_Toc15377204"/>
      <w:bookmarkStart w:id="21" w:name="_Toc15396602"/>
      <w:r>
        <w:rPr>
          <w:rFonts w:hint="eastAsia" w:ascii="黑体" w:hAnsi="黑体" w:eastAsia="黑体"/>
          <w:b w:val="0"/>
        </w:rPr>
        <w:t>第二部分 2022年度</w:t>
      </w:r>
      <w:r>
        <w:rPr>
          <w:rStyle w:val="30"/>
          <w:rFonts w:hint="eastAsia" w:ascii="黑体" w:hAnsi="黑体" w:eastAsia="黑体"/>
          <w:b w:val="0"/>
          <w:bCs/>
        </w:rPr>
        <w:t>部门决算情况说明</w:t>
      </w:r>
      <w:bookmarkEnd w:id="20"/>
      <w:bookmarkEnd w:id="21"/>
    </w:p>
    <w:p/>
    <w:p>
      <w:pPr>
        <w:pStyle w:val="29"/>
        <w:numPr>
          <w:ilvl w:val="0"/>
          <w:numId w:val="2"/>
        </w:numPr>
        <w:spacing w:line="600" w:lineRule="exact"/>
        <w:ind w:firstLineChars="0"/>
        <w:outlineLvl w:val="1"/>
        <w:rPr>
          <w:rStyle w:val="31"/>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2022年度收、支总计70948.2万元。与2021年相比，收、支总计各增加</w:t>
      </w:r>
      <w:r>
        <w:rPr>
          <w:rFonts w:hint="eastAsia" w:ascii="仿宋" w:hAnsi="仿宋" w:eastAsia="仿宋"/>
          <w:sz w:val="32"/>
          <w:szCs w:val="32"/>
          <w:lang w:val="en-US" w:eastAsia="zh-CN"/>
        </w:rPr>
        <w:t>4910.3</w:t>
      </w:r>
      <w:r>
        <w:rPr>
          <w:rFonts w:hint="eastAsia" w:ascii="仿宋" w:hAnsi="仿宋" w:eastAsia="仿宋"/>
          <w:sz w:val="32"/>
          <w:szCs w:val="32"/>
        </w:rPr>
        <w:t>万元，增长</w:t>
      </w:r>
      <w:r>
        <w:rPr>
          <w:rFonts w:hint="eastAsia" w:ascii="仿宋" w:hAnsi="仿宋" w:eastAsia="仿宋"/>
          <w:sz w:val="32"/>
          <w:szCs w:val="32"/>
          <w:lang w:val="en-US" w:eastAsia="zh-CN"/>
        </w:rPr>
        <w:t>6.92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Times New Roman"/>
          <w:sz w:val="32"/>
          <w:szCs w:val="32"/>
        </w:rPr>
        <w:t>教育投入增加</w:t>
      </w:r>
      <w:r>
        <w:rPr>
          <w:rFonts w:hint="eastAsia" w:ascii="仿宋" w:hAnsi="仿宋" w:eastAsia="仿宋" w:cs="Times New Roman"/>
          <w:sz w:val="32"/>
          <w:szCs w:val="32"/>
          <w:lang w:eastAsia="zh-CN"/>
        </w:rPr>
        <w:t>以及偿还以往年度欠款</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rPr>
          <w:rFonts w:hint="eastAsia"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56192" behindDoc="1" locked="0" layoutInCell="1" allowOverlap="1">
            <wp:simplePos x="0" y="0"/>
            <wp:positionH relativeFrom="column">
              <wp:posOffset>-47625</wp:posOffset>
            </wp:positionH>
            <wp:positionV relativeFrom="paragraph">
              <wp:posOffset>163195</wp:posOffset>
            </wp:positionV>
            <wp:extent cx="5080000" cy="3810000"/>
            <wp:effectExtent l="4445" t="4445" r="2095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firstLineChars="200"/>
        <w:jc w:val="left"/>
        <w:rPr>
          <w:rFonts w:ascii="仿宋_GB2312" w:eastAsia="仿宋_GB2312"/>
          <w:sz w:val="32"/>
          <w:szCs w:val="32"/>
        </w:rPr>
      </w:pPr>
    </w:p>
    <w:p>
      <w:pPr>
        <w:pStyle w:val="29"/>
        <w:numPr>
          <w:ilvl w:val="0"/>
          <w:numId w:val="2"/>
        </w:numPr>
        <w:spacing w:line="600" w:lineRule="exact"/>
        <w:ind w:firstLineChars="0"/>
        <w:outlineLvl w:val="1"/>
        <w:rPr>
          <w:rStyle w:val="31"/>
          <w:rFonts w:ascii="黑体" w:hAnsi="黑体" w:eastAsia="黑体"/>
          <w:b w:val="0"/>
        </w:rPr>
      </w:pPr>
      <w:bookmarkStart w:id="24" w:name="_Toc15396604"/>
      <w:bookmarkStart w:id="25" w:name="_Toc15377206"/>
      <w:r>
        <w:rPr>
          <w:rFonts w:hint="eastAsia" w:ascii="黑体" w:hAnsi="黑体" w:eastAsia="黑体"/>
          <w:sz w:val="32"/>
          <w:szCs w:val="32"/>
        </w:rPr>
        <w:t>收</w:t>
      </w:r>
      <w:r>
        <w:rPr>
          <w:rStyle w:val="31"/>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22年本年收入合计70157.02万元，其中：一般公共预算财政拨款收入64741.58万元，占</w:t>
      </w:r>
      <w:r>
        <w:rPr>
          <w:rFonts w:hint="eastAsia" w:ascii="仿宋" w:hAnsi="仿宋" w:eastAsia="仿宋"/>
          <w:sz w:val="32"/>
          <w:szCs w:val="32"/>
          <w:lang w:val="en-US" w:eastAsia="zh-CN"/>
        </w:rPr>
        <w:t>92.28</w:t>
      </w:r>
      <w:r>
        <w:rPr>
          <w:rFonts w:ascii="仿宋" w:hAnsi="仿宋" w:eastAsia="仿宋"/>
          <w:sz w:val="32"/>
          <w:szCs w:val="32"/>
        </w:rPr>
        <w:t>%</w:t>
      </w:r>
      <w:r>
        <w:rPr>
          <w:rFonts w:hint="eastAsia" w:ascii="仿宋" w:hAnsi="仿宋" w:eastAsia="仿宋"/>
          <w:sz w:val="32"/>
          <w:szCs w:val="32"/>
        </w:rPr>
        <w:t>；政府性基金预算财政拨款收入596.67万元，占</w:t>
      </w:r>
      <w:r>
        <w:rPr>
          <w:rFonts w:hint="eastAsia" w:ascii="仿宋" w:hAnsi="仿宋" w:eastAsia="仿宋"/>
          <w:sz w:val="32"/>
          <w:szCs w:val="32"/>
          <w:lang w:val="en-US" w:eastAsia="zh-CN"/>
        </w:rPr>
        <w:t>0.85</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；事业收入3059.71万元，占</w:t>
      </w:r>
      <w:r>
        <w:rPr>
          <w:rFonts w:hint="eastAsia" w:ascii="仿宋" w:hAnsi="仿宋" w:eastAsia="仿宋"/>
          <w:sz w:val="32"/>
          <w:szCs w:val="32"/>
          <w:lang w:val="en-US" w:eastAsia="zh-CN"/>
        </w:rPr>
        <w:t>4.36</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；其他收入1759.06万元，占</w:t>
      </w:r>
      <w:r>
        <w:rPr>
          <w:rFonts w:hint="eastAsia" w:ascii="仿宋" w:hAnsi="仿宋" w:eastAsia="仿宋"/>
          <w:sz w:val="32"/>
          <w:szCs w:val="32"/>
          <w:lang w:val="en-US" w:eastAsia="zh-CN"/>
        </w:rPr>
        <w:t>2.51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
        <w:rPr>
          <w:rFonts w:ascii="仿宋_GB2312" w:eastAsia="仿宋_GB2312"/>
          <w:sz w:val="32"/>
          <w:szCs w:val="32"/>
        </w:rPr>
      </w:pPr>
      <w:r>
        <w:rPr>
          <w:rFonts w:hint="eastAsia" w:ascii="仿宋" w:hAnsi="仿宋" w:eastAsia="仿宋"/>
          <w:color w:val="000000"/>
          <w:sz w:val="32"/>
          <w:szCs w:val="32"/>
        </w:rPr>
        <w:drawing>
          <wp:anchor distT="0" distB="0" distL="114300" distR="114300" simplePos="0" relativeHeight="251658240" behindDoc="1" locked="0" layoutInCell="1" allowOverlap="1">
            <wp:simplePos x="0" y="0"/>
            <wp:positionH relativeFrom="column">
              <wp:posOffset>194945</wp:posOffset>
            </wp:positionH>
            <wp:positionV relativeFrom="paragraph">
              <wp:posOffset>433070</wp:posOffset>
            </wp:positionV>
            <wp:extent cx="4505325" cy="2895600"/>
            <wp:effectExtent l="4445" t="4445" r="5080" b="14605"/>
            <wp:wrapTight wrapText="bothSides">
              <wp:wrapPolygon>
                <wp:start x="-21" y="-33"/>
                <wp:lineTo x="-21" y="21567"/>
                <wp:lineTo x="21533" y="21567"/>
                <wp:lineTo x="21533" y="-33"/>
                <wp:lineTo x="-21" y="-33"/>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9"/>
        <w:numPr>
          <w:ilvl w:val="0"/>
          <w:numId w:val="2"/>
        </w:numPr>
        <w:spacing w:line="600" w:lineRule="exact"/>
        <w:ind w:firstLineChars="0"/>
        <w:outlineLvl w:val="1"/>
        <w:rPr>
          <w:rStyle w:val="31"/>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31"/>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22年本年支出合计70677.77万元，其中：基本支出59289.02万元，占</w:t>
      </w:r>
      <w:r>
        <w:rPr>
          <w:rFonts w:hint="eastAsia" w:ascii="仿宋" w:hAnsi="仿宋" w:eastAsia="仿宋"/>
          <w:sz w:val="32"/>
          <w:szCs w:val="32"/>
          <w:lang w:val="en-US" w:eastAsia="zh-CN"/>
        </w:rPr>
        <w:t>83.89</w:t>
      </w:r>
      <w:r>
        <w:rPr>
          <w:rFonts w:ascii="仿宋" w:hAnsi="仿宋" w:eastAsia="仿宋"/>
          <w:sz w:val="32"/>
          <w:szCs w:val="32"/>
        </w:rPr>
        <w:t>%</w:t>
      </w:r>
      <w:r>
        <w:rPr>
          <w:rFonts w:hint="eastAsia" w:ascii="仿宋" w:hAnsi="仿宋" w:eastAsia="仿宋"/>
          <w:sz w:val="32"/>
          <w:szCs w:val="32"/>
        </w:rPr>
        <w:t>；项目支出11388.75万元，占</w:t>
      </w:r>
      <w:r>
        <w:rPr>
          <w:rFonts w:hint="eastAsia" w:ascii="仿宋" w:hAnsi="仿宋" w:eastAsia="仿宋"/>
          <w:sz w:val="32"/>
          <w:szCs w:val="32"/>
          <w:lang w:val="en-US" w:eastAsia="zh-CN"/>
        </w:rPr>
        <w:t>16.11</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ascii="仿宋" w:hAnsi="仿宋" w:eastAsia="仿宋"/>
          <w:color w:val="000000"/>
          <w:sz w:val="32"/>
          <w:szCs w:val="32"/>
        </w:rPr>
        <w:drawing>
          <wp:anchor distT="0" distB="0" distL="114300" distR="114300" simplePos="0" relativeHeight="251656192" behindDoc="0" locked="0" layoutInCell="1" allowOverlap="1">
            <wp:simplePos x="0" y="0"/>
            <wp:positionH relativeFrom="column">
              <wp:posOffset>95250</wp:posOffset>
            </wp:positionH>
            <wp:positionV relativeFrom="paragraph">
              <wp:posOffset>266700</wp:posOffset>
            </wp:positionV>
            <wp:extent cx="4267200" cy="3038475"/>
            <wp:effectExtent l="4445" t="4445" r="14605" b="508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spacing w:line="600" w:lineRule="exact"/>
        <w:ind w:firstLine="640" w:firstLineChars="200"/>
        <w:outlineLvl w:val="1"/>
        <w:rPr>
          <w:rStyle w:val="31"/>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22年财政拨款收、支总计65900.24万元。与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hint="eastAsia" w:ascii="仿宋" w:hAnsi="仿宋" w:eastAsia="仿宋"/>
          <w:sz w:val="32"/>
          <w:szCs w:val="32"/>
          <w:lang w:val="en-US" w:eastAsia="zh-CN"/>
        </w:rPr>
        <w:t>137.66</w:t>
      </w:r>
      <w:r>
        <w:rPr>
          <w:rFonts w:hint="eastAsia" w:ascii="仿宋" w:hAnsi="仿宋" w:eastAsia="仿宋"/>
          <w:sz w:val="32"/>
          <w:szCs w:val="32"/>
        </w:rPr>
        <w:t>万元，下降</w:t>
      </w:r>
      <w:r>
        <w:rPr>
          <w:rFonts w:hint="eastAsia" w:ascii="仿宋" w:hAnsi="仿宋" w:eastAsia="仿宋"/>
          <w:sz w:val="32"/>
          <w:szCs w:val="32"/>
          <w:lang w:val="en-US" w:eastAsia="zh-CN"/>
        </w:rPr>
        <w:t>0.21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受经济下行</w:t>
      </w:r>
      <w:r>
        <w:rPr>
          <w:rFonts w:hint="eastAsia" w:ascii="仿宋" w:hAnsi="仿宋" w:eastAsia="仿宋"/>
          <w:color w:val="000000"/>
          <w:sz w:val="32"/>
          <w:szCs w:val="32"/>
        </w:rPr>
        <w:t>影响，各项财政收入减少，相应的</w:t>
      </w:r>
      <w:r>
        <w:rPr>
          <w:rFonts w:hint="eastAsia" w:ascii="仿宋" w:hAnsi="仿宋" w:eastAsia="仿宋"/>
          <w:color w:val="000000"/>
          <w:sz w:val="32"/>
          <w:szCs w:val="32"/>
          <w:lang w:eastAsia="zh-CN"/>
        </w:rPr>
        <w:t>收支</w:t>
      </w:r>
      <w:r>
        <w:rPr>
          <w:rFonts w:hint="eastAsia" w:ascii="仿宋" w:hAnsi="仿宋" w:eastAsia="仿宋"/>
          <w:color w:val="000000"/>
          <w:sz w:val="32"/>
          <w:szCs w:val="32"/>
        </w:rPr>
        <w:t>减少</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w:t>
      </w:r>
    </w:p>
    <w:p>
      <w:pPr>
        <w:pStyle w:val="2"/>
        <w:rPr>
          <w:rFonts w:ascii="仿宋" w:hAnsi="仿宋" w:eastAsia="仿宋"/>
          <w:b/>
          <w:sz w:val="32"/>
          <w:szCs w:val="32"/>
        </w:rPr>
      </w:pPr>
      <w:r>
        <w:rPr>
          <w:rFonts w:hint="eastAsia" w:ascii="仿宋" w:hAnsi="仿宋" w:eastAsia="仿宋"/>
          <w:color w:val="000000"/>
          <w:sz w:val="32"/>
          <w:szCs w:val="32"/>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111125</wp:posOffset>
            </wp:positionV>
            <wp:extent cx="5080000" cy="3714750"/>
            <wp:effectExtent l="4445" t="4445" r="2095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spacing w:line="600" w:lineRule="exact"/>
        <w:ind w:firstLine="640" w:firstLineChars="200"/>
        <w:outlineLvl w:val="1"/>
        <w:rPr>
          <w:rStyle w:val="31"/>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22年一般公共预算财政拨款支出65020.2万元，占本年支出合计的</w:t>
      </w:r>
      <w:r>
        <w:rPr>
          <w:rFonts w:hint="eastAsia" w:ascii="仿宋" w:hAnsi="仿宋" w:eastAsia="仿宋"/>
          <w:sz w:val="32"/>
          <w:szCs w:val="32"/>
          <w:lang w:val="en-US" w:eastAsia="zh-CN"/>
        </w:rPr>
        <w:t>98.7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1058.05</w:t>
      </w:r>
      <w:r>
        <w:rPr>
          <w:rFonts w:hint="eastAsia" w:ascii="仿宋" w:hAnsi="仿宋" w:eastAsia="仿宋"/>
          <w:sz w:val="32"/>
          <w:szCs w:val="32"/>
        </w:rPr>
        <w:t>万元，增长</w:t>
      </w:r>
      <w:r>
        <w:rPr>
          <w:rFonts w:hint="eastAsia" w:ascii="仿宋" w:hAnsi="仿宋" w:eastAsia="仿宋"/>
          <w:sz w:val="32"/>
          <w:szCs w:val="32"/>
          <w:lang w:val="en-US" w:eastAsia="zh-CN"/>
        </w:rPr>
        <w:t>1.63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人员职级职称变动，工资薪金略有增加。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-57150</wp:posOffset>
            </wp:positionH>
            <wp:positionV relativeFrom="paragraph">
              <wp:posOffset>257175</wp:posOffset>
            </wp:positionV>
            <wp:extent cx="5080000" cy="3810000"/>
            <wp:effectExtent l="4445" t="4445" r="20955"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22年一般公共预算财政拨款支出65020.2万元，主要用于以下方面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8.04</w:t>
      </w:r>
      <w:r>
        <w:rPr>
          <w:rFonts w:hint="eastAsia" w:ascii="仿宋" w:hAnsi="仿宋" w:eastAsia="仿宋"/>
          <w:sz w:val="32"/>
          <w:szCs w:val="32"/>
        </w:rPr>
        <w:t>万元，占</w:t>
      </w:r>
      <w:r>
        <w:rPr>
          <w:rFonts w:hint="eastAsia" w:ascii="仿宋" w:hAnsi="仿宋" w:eastAsia="仿宋"/>
          <w:sz w:val="32"/>
          <w:szCs w:val="32"/>
          <w:lang w:val="en-US" w:eastAsia="zh-CN"/>
        </w:rPr>
        <w:t>0.01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52948.47万元，占</w:t>
      </w:r>
      <w:r>
        <w:rPr>
          <w:rFonts w:hint="eastAsia" w:ascii="仿宋" w:hAnsi="仿宋" w:eastAsia="仿宋"/>
          <w:sz w:val="32"/>
          <w:szCs w:val="32"/>
          <w:lang w:val="en-US" w:eastAsia="zh-CN"/>
        </w:rPr>
        <w:t>81.44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sz w:val="32"/>
          <w:szCs w:val="32"/>
        </w:rPr>
        <w:t>2401.81万元，占</w:t>
      </w:r>
      <w:r>
        <w:rPr>
          <w:rFonts w:hint="eastAsia" w:ascii="仿宋" w:hAnsi="仿宋" w:eastAsia="仿宋"/>
          <w:sz w:val="32"/>
          <w:szCs w:val="32"/>
          <w:lang w:val="en-US" w:eastAsia="zh-CN"/>
        </w:rPr>
        <w:t>3.69</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5458.74万元，占</w:t>
      </w:r>
      <w:r>
        <w:rPr>
          <w:rFonts w:hint="eastAsia" w:ascii="仿宋" w:hAnsi="仿宋" w:eastAsia="仿宋"/>
          <w:sz w:val="32"/>
          <w:szCs w:val="32"/>
          <w:lang w:val="en-US" w:eastAsia="zh-CN"/>
        </w:rPr>
        <w:t>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16.73万元，占</w:t>
      </w:r>
      <w:r>
        <w:rPr>
          <w:rFonts w:hint="eastAsia" w:ascii="仿宋" w:hAnsi="仿宋" w:eastAsia="仿宋"/>
          <w:sz w:val="32"/>
          <w:szCs w:val="32"/>
          <w:lang w:val="en-US" w:eastAsia="zh-CN"/>
        </w:rPr>
        <w:t>0.03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4182.7万元，占</w:t>
      </w:r>
      <w:r>
        <w:rPr>
          <w:rFonts w:hint="eastAsia" w:ascii="仿宋" w:hAnsi="仿宋" w:eastAsia="仿宋"/>
          <w:sz w:val="32"/>
          <w:szCs w:val="32"/>
          <w:lang w:val="en-US" w:eastAsia="zh-CN"/>
        </w:rPr>
        <w:t>6.43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2" w:firstLineChars="200"/>
        <w:rPr>
          <w:rFonts w:ascii="仿宋" w:hAnsi="仿宋" w:eastAsia="仿宋"/>
          <w:sz w:val="32"/>
          <w:szCs w:val="32"/>
        </w:rPr>
      </w:pPr>
      <w:r>
        <w:rPr>
          <w:rFonts w:ascii="仿宋" w:hAnsi="仿宋" w:eastAsia="仿宋"/>
          <w:b/>
          <w:color w:val="000000"/>
          <w:sz w:val="32"/>
          <w:szCs w:val="32"/>
        </w:rPr>
        <w:drawing>
          <wp:anchor distT="0" distB="0" distL="114300" distR="114300" simplePos="0" relativeHeight="251661312" behindDoc="0" locked="0" layoutInCell="1" allowOverlap="1">
            <wp:simplePos x="0" y="0"/>
            <wp:positionH relativeFrom="column">
              <wp:posOffset>-28575</wp:posOffset>
            </wp:positionH>
            <wp:positionV relativeFrom="paragraph">
              <wp:posOffset>304800</wp:posOffset>
            </wp:positionV>
            <wp:extent cx="5080000" cy="3810000"/>
            <wp:effectExtent l="4445" t="4445" r="20955" b="1460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2" w:firstLineChars="200"/>
        <w:outlineLvl w:val="2"/>
        <w:rPr>
          <w:rFonts w:ascii="仿宋" w:hAnsi="仿宋" w:eastAsia="仿宋"/>
          <w:sz w:val="32"/>
          <w:szCs w:val="32"/>
        </w:rPr>
      </w:pPr>
      <w:bookmarkStart w:id="35" w:name="_Toc15377213"/>
      <w:bookmarkStart w:id="36" w:name="_Toc15378460"/>
      <w:bookmarkStart w:id="37" w:name="_Toc15377444"/>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65020.2万元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5"/>
      <w:bookmarkEnd w:id="36"/>
      <w:bookmarkEnd w:id="37"/>
    </w:p>
    <w:p>
      <w:pPr>
        <w:numPr>
          <w:ilvl w:val="0"/>
          <w:numId w:val="0"/>
        </w:numPr>
        <w:spacing w:line="600" w:lineRule="exact"/>
        <w:ind w:firstLine="642" w:firstLineChars="200"/>
        <w:rPr>
          <w:rStyle w:val="18"/>
          <w:rFonts w:ascii="仿宋" w:hAnsi="仿宋" w:eastAsia="仿宋"/>
          <w:bCs/>
          <w:sz w:val="32"/>
          <w:szCs w:val="32"/>
        </w:rPr>
      </w:pPr>
      <w:r>
        <w:rPr>
          <w:rStyle w:val="18"/>
          <w:rFonts w:hint="eastAsia" w:ascii="仿宋" w:eastAsia="仿宋"/>
          <w:bCs/>
          <w:color w:val="auto"/>
          <w:sz w:val="32"/>
          <w:szCs w:val="32"/>
          <w:highlight w:val="none"/>
          <w:lang w:val="en-US" w:eastAsia="zh-CN"/>
        </w:rPr>
        <w:t>1.</w:t>
      </w:r>
      <w:r>
        <w:rPr>
          <w:rStyle w:val="18"/>
          <w:rFonts w:hint="eastAsia" w:ascii="仿宋" w:eastAsia="仿宋"/>
          <w:bCs/>
          <w:color w:val="auto"/>
          <w:sz w:val="32"/>
          <w:szCs w:val="32"/>
          <w:highlight w:val="none"/>
        </w:rPr>
        <w:t>一般公共服务（类）</w:t>
      </w:r>
      <w:r>
        <w:rPr>
          <w:rStyle w:val="18"/>
          <w:rFonts w:hint="eastAsia" w:ascii="仿宋" w:eastAsia="仿宋"/>
          <w:bCs/>
          <w:color w:val="auto"/>
          <w:sz w:val="32"/>
          <w:szCs w:val="32"/>
          <w:highlight w:val="none"/>
          <w:lang w:eastAsia="zh-CN"/>
        </w:rPr>
        <w:t>商贸事务（</w:t>
      </w:r>
      <w:r>
        <w:rPr>
          <w:rStyle w:val="18"/>
          <w:rFonts w:hint="eastAsia" w:ascii="仿宋" w:eastAsia="仿宋"/>
          <w:bCs/>
          <w:color w:val="auto"/>
          <w:sz w:val="32"/>
          <w:szCs w:val="32"/>
          <w:highlight w:val="none"/>
        </w:rPr>
        <w:t>款）</w:t>
      </w:r>
      <w:r>
        <w:rPr>
          <w:rStyle w:val="18"/>
          <w:rFonts w:hint="eastAsia" w:ascii="仿宋" w:eastAsia="仿宋"/>
          <w:bCs/>
          <w:color w:val="auto"/>
          <w:sz w:val="32"/>
          <w:szCs w:val="32"/>
          <w:highlight w:val="none"/>
          <w:lang w:eastAsia="zh-CN"/>
        </w:rPr>
        <w:t>招商引资</w:t>
      </w:r>
      <w:r>
        <w:rPr>
          <w:rStyle w:val="18"/>
          <w:rFonts w:hint="eastAsia" w:ascii="仿宋" w:eastAsia="仿宋"/>
          <w:bCs/>
          <w:color w:val="auto"/>
          <w:sz w:val="32"/>
          <w:szCs w:val="32"/>
          <w:highlight w:val="none"/>
        </w:rPr>
        <w:t>（项）</w:t>
      </w:r>
      <w:r>
        <w:rPr>
          <w:rStyle w:val="18"/>
          <w:rFonts w:ascii="仿宋" w:eastAsia="仿宋"/>
          <w:bCs/>
          <w:color w:val="auto"/>
          <w:sz w:val="32"/>
          <w:szCs w:val="32"/>
          <w:highlight w:val="none"/>
        </w:rPr>
        <w:t>:</w:t>
      </w:r>
      <w:r>
        <w:rPr>
          <w:rStyle w:val="18"/>
          <w:rFonts w:ascii="仿宋" w:eastAsia="仿宋"/>
          <w:b w:val="0"/>
          <w:bCs/>
          <w:color w:val="auto"/>
          <w:sz w:val="32"/>
          <w:szCs w:val="32"/>
          <w:highlight w:val="none"/>
        </w:rPr>
        <w:t xml:space="preserve"> </w:t>
      </w:r>
      <w:r>
        <w:rPr>
          <w:rStyle w:val="18"/>
          <w:rFonts w:hint="eastAsia" w:ascii="仿宋" w:eastAsia="仿宋"/>
          <w:b w:val="0"/>
          <w:bCs/>
          <w:color w:val="auto"/>
          <w:sz w:val="32"/>
          <w:szCs w:val="32"/>
          <w:highlight w:val="none"/>
        </w:rPr>
        <w:t>支出决算为</w:t>
      </w:r>
      <w:r>
        <w:rPr>
          <w:rStyle w:val="18"/>
          <w:rFonts w:hint="eastAsia" w:ascii="仿宋" w:eastAsia="仿宋"/>
          <w:b w:val="0"/>
          <w:bCs/>
          <w:color w:val="auto"/>
          <w:sz w:val="32"/>
          <w:szCs w:val="32"/>
          <w:highlight w:val="none"/>
          <w:lang w:val="en-US" w:eastAsia="zh-CN"/>
        </w:rPr>
        <w:t>0.34万</w:t>
      </w:r>
      <w:r>
        <w:rPr>
          <w:rStyle w:val="18"/>
          <w:rFonts w:hint="eastAsia" w:ascii="仿宋" w:eastAsia="仿宋"/>
          <w:b w:val="0"/>
          <w:bCs/>
          <w:color w:val="auto"/>
          <w:sz w:val="32"/>
          <w:szCs w:val="32"/>
          <w:highlight w:val="none"/>
        </w:rPr>
        <w:t>元，完成预算</w:t>
      </w:r>
      <w:r>
        <w:rPr>
          <w:rStyle w:val="18"/>
          <w:rFonts w:hint="eastAsia" w:ascii="仿宋" w:eastAsia="仿宋"/>
          <w:b w:val="0"/>
          <w:bCs/>
          <w:color w:val="auto"/>
          <w:sz w:val="32"/>
          <w:szCs w:val="32"/>
          <w:highlight w:val="none"/>
          <w:lang w:val="en-US" w:eastAsia="zh-CN"/>
        </w:rPr>
        <w:t>100</w:t>
      </w:r>
      <w:r>
        <w:rPr>
          <w:rStyle w:val="18"/>
          <w:rFonts w:ascii="仿宋" w:eastAsia="仿宋"/>
          <w:b w:val="0"/>
          <w:bCs/>
          <w:color w:val="auto"/>
          <w:sz w:val="32"/>
          <w:szCs w:val="32"/>
          <w:highlight w:val="none"/>
        </w:rPr>
        <w:t>%</w:t>
      </w:r>
      <w:r>
        <w:rPr>
          <w:rStyle w:val="18"/>
          <w:rFonts w:hint="eastAsia" w:ascii="仿宋" w:eastAsia="仿宋"/>
          <w:b w:val="0"/>
          <w:bCs/>
          <w:color w:val="auto"/>
          <w:sz w:val="32"/>
          <w:szCs w:val="32"/>
          <w:highlight w:val="none"/>
          <w:lang w:eastAsia="zh-CN"/>
        </w:rPr>
        <w:t>。</w:t>
      </w:r>
    </w:p>
    <w:p>
      <w:pPr>
        <w:numPr>
          <w:ilvl w:val="0"/>
          <w:numId w:val="0"/>
        </w:numPr>
        <w:spacing w:line="600" w:lineRule="exact"/>
        <w:ind w:firstLine="642" w:firstLineChars="200"/>
        <w:rPr>
          <w:rFonts w:hint="eastAsia"/>
          <w:lang w:eastAsia="zh-CN"/>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bookmarkStart w:id="38" w:name="_Toc15396608"/>
      <w:bookmarkStart w:id="39" w:name="_Toc15377214"/>
      <w:r>
        <w:rPr>
          <w:rStyle w:val="18"/>
          <w:rFonts w:hint="eastAsia" w:ascii="仿宋" w:eastAsia="仿宋"/>
          <w:bCs/>
          <w:color w:val="auto"/>
          <w:sz w:val="32"/>
          <w:szCs w:val="32"/>
          <w:highlight w:val="none"/>
        </w:rPr>
        <w:t>一般公共服务（类）</w:t>
      </w:r>
      <w:r>
        <w:rPr>
          <w:rStyle w:val="18"/>
          <w:rFonts w:hint="eastAsia" w:ascii="仿宋" w:eastAsia="仿宋"/>
          <w:bCs/>
          <w:color w:val="auto"/>
          <w:sz w:val="32"/>
          <w:szCs w:val="32"/>
          <w:highlight w:val="none"/>
          <w:lang w:eastAsia="zh-CN"/>
        </w:rPr>
        <w:t>组织事务（</w:t>
      </w:r>
      <w:r>
        <w:rPr>
          <w:rStyle w:val="18"/>
          <w:rFonts w:hint="eastAsia" w:ascii="仿宋" w:eastAsia="仿宋"/>
          <w:bCs/>
          <w:color w:val="auto"/>
          <w:sz w:val="32"/>
          <w:szCs w:val="32"/>
          <w:highlight w:val="none"/>
        </w:rPr>
        <w:t>款）</w:t>
      </w:r>
      <w:r>
        <w:rPr>
          <w:rStyle w:val="18"/>
          <w:rFonts w:hint="eastAsia" w:ascii="仿宋" w:eastAsia="仿宋"/>
          <w:bCs/>
          <w:color w:val="auto"/>
          <w:sz w:val="32"/>
          <w:szCs w:val="32"/>
          <w:highlight w:val="none"/>
          <w:lang w:eastAsia="zh-CN"/>
        </w:rPr>
        <w:t>其他组织事务支出</w:t>
      </w:r>
      <w:r>
        <w:rPr>
          <w:rStyle w:val="18"/>
          <w:rFonts w:hint="eastAsia" w:ascii="仿宋" w:eastAsia="仿宋"/>
          <w:bCs/>
          <w:color w:val="auto"/>
          <w:sz w:val="32"/>
          <w:szCs w:val="32"/>
          <w:highlight w:val="none"/>
        </w:rPr>
        <w:t>（项）</w:t>
      </w:r>
      <w:r>
        <w:rPr>
          <w:rStyle w:val="18"/>
          <w:rFonts w:ascii="仿宋" w:eastAsia="仿宋"/>
          <w:bCs/>
          <w:color w:val="auto"/>
          <w:sz w:val="32"/>
          <w:szCs w:val="32"/>
          <w:highlight w:val="none"/>
        </w:rPr>
        <w:t>:</w:t>
      </w:r>
      <w:r>
        <w:rPr>
          <w:rStyle w:val="18"/>
          <w:rFonts w:ascii="仿宋" w:eastAsia="仿宋"/>
          <w:b w:val="0"/>
          <w:bCs/>
          <w:color w:val="auto"/>
          <w:sz w:val="32"/>
          <w:szCs w:val="32"/>
          <w:highlight w:val="none"/>
        </w:rPr>
        <w:t xml:space="preserve"> </w:t>
      </w:r>
      <w:r>
        <w:rPr>
          <w:rStyle w:val="18"/>
          <w:rFonts w:hint="eastAsia" w:ascii="仿宋" w:eastAsia="仿宋"/>
          <w:b w:val="0"/>
          <w:bCs/>
          <w:color w:val="auto"/>
          <w:sz w:val="32"/>
          <w:szCs w:val="32"/>
          <w:highlight w:val="none"/>
        </w:rPr>
        <w:t>支出决算为</w:t>
      </w:r>
      <w:r>
        <w:rPr>
          <w:rStyle w:val="18"/>
          <w:rFonts w:hint="eastAsia" w:ascii="仿宋" w:eastAsia="仿宋"/>
          <w:b w:val="0"/>
          <w:bCs/>
          <w:color w:val="auto"/>
          <w:sz w:val="32"/>
          <w:szCs w:val="32"/>
          <w:highlight w:val="none"/>
          <w:lang w:val="en-US" w:eastAsia="zh-CN"/>
        </w:rPr>
        <w:t>7.7万</w:t>
      </w:r>
      <w:r>
        <w:rPr>
          <w:rStyle w:val="18"/>
          <w:rFonts w:hint="eastAsia" w:ascii="仿宋" w:eastAsia="仿宋"/>
          <w:b w:val="0"/>
          <w:bCs/>
          <w:color w:val="auto"/>
          <w:sz w:val="32"/>
          <w:szCs w:val="32"/>
          <w:highlight w:val="none"/>
        </w:rPr>
        <w:t>元，完成预算</w:t>
      </w:r>
      <w:r>
        <w:rPr>
          <w:rStyle w:val="18"/>
          <w:rFonts w:hint="eastAsia" w:ascii="仿宋" w:eastAsia="仿宋"/>
          <w:b w:val="0"/>
          <w:bCs/>
          <w:color w:val="auto"/>
          <w:sz w:val="32"/>
          <w:szCs w:val="32"/>
          <w:highlight w:val="none"/>
          <w:lang w:val="en-US" w:eastAsia="zh-CN"/>
        </w:rPr>
        <w:t>100</w:t>
      </w:r>
      <w:r>
        <w:rPr>
          <w:rStyle w:val="18"/>
          <w:rFonts w:ascii="仿宋" w:eastAsia="仿宋"/>
          <w:b w:val="0"/>
          <w:bCs/>
          <w:color w:val="auto"/>
          <w:sz w:val="32"/>
          <w:szCs w:val="32"/>
          <w:highlight w:val="none"/>
        </w:rPr>
        <w:t>%</w:t>
      </w:r>
      <w:r>
        <w:rPr>
          <w:rStyle w:val="18"/>
          <w:rFonts w:hint="eastAsia" w:ascii="仿宋" w:eastAsia="仿宋"/>
          <w:b w:val="0"/>
          <w:bCs/>
          <w:color w:val="auto"/>
          <w:sz w:val="32"/>
          <w:szCs w:val="32"/>
          <w:highlight w:val="none"/>
          <w:lang w:eastAsia="zh-CN"/>
        </w:rPr>
        <w:t>。</w:t>
      </w:r>
    </w:p>
    <w:p>
      <w:pPr>
        <w:numPr>
          <w:ilvl w:val="0"/>
          <w:numId w:val="0"/>
        </w:numPr>
        <w:spacing w:line="600" w:lineRule="exact"/>
        <w:ind w:firstLine="642" w:firstLineChars="200"/>
        <w:rPr>
          <w:rFonts w:hint="eastAsia" w:ascii="仿宋" w:eastAsia="仿宋"/>
          <w:b/>
          <w:color w:val="auto"/>
          <w:sz w:val="32"/>
          <w:szCs w:val="32"/>
          <w:highlight w:val="none"/>
          <w:lang w:eastAsia="zh-CN"/>
        </w:rPr>
      </w:pPr>
      <w:r>
        <w:rPr>
          <w:rStyle w:val="18"/>
          <w:rFonts w:hint="eastAsia" w:ascii="仿宋" w:eastAsia="仿宋"/>
          <w:bCs/>
          <w:color w:val="auto"/>
          <w:sz w:val="32"/>
          <w:szCs w:val="32"/>
          <w:highlight w:val="none"/>
          <w:lang w:val="en-US" w:eastAsia="zh-CN"/>
        </w:rPr>
        <w:t>3</w:t>
      </w:r>
      <w:r>
        <w:rPr>
          <w:rStyle w:val="18"/>
          <w:rFonts w:ascii="仿宋" w:eastAsia="仿宋"/>
          <w:bCs/>
          <w:color w:val="auto"/>
          <w:sz w:val="32"/>
          <w:szCs w:val="32"/>
          <w:highlight w:val="none"/>
        </w:rPr>
        <w:t>.</w:t>
      </w:r>
      <w:r>
        <w:rPr>
          <w:rStyle w:val="18"/>
          <w:rFonts w:hint="eastAsia" w:ascii="仿宋" w:hAnsi="仿宋" w:eastAsia="仿宋"/>
          <w:bCs/>
          <w:color w:val="000000"/>
          <w:sz w:val="32"/>
          <w:szCs w:val="32"/>
        </w:rPr>
        <w:t>教育（类）教育管理事务（款）行政运行（项）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1273.76</w:t>
      </w:r>
      <w:r>
        <w:rPr>
          <w:rStyle w:val="18"/>
          <w:rFonts w:hint="eastAsia" w:ascii="仿宋" w:hAnsi="仿宋" w:eastAsia="仿宋"/>
          <w:b w:val="0"/>
          <w:bCs/>
          <w:color w:val="000000"/>
          <w:sz w:val="32"/>
          <w:szCs w:val="32"/>
        </w:rPr>
        <w:t>万元，完成预算100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spacing w:line="600" w:lineRule="exact"/>
        <w:ind w:firstLine="642" w:firstLineChars="200"/>
        <w:rPr>
          <w:rStyle w:val="18"/>
          <w:rFonts w:hint="eastAsia" w:ascii="仿宋" w:eastAsia="仿宋"/>
          <w:b w:val="0"/>
          <w:bCs/>
          <w:color w:val="auto"/>
          <w:sz w:val="32"/>
          <w:szCs w:val="32"/>
          <w:highlight w:val="none"/>
        </w:rPr>
      </w:pPr>
      <w:r>
        <w:rPr>
          <w:rStyle w:val="18"/>
          <w:rFonts w:hint="eastAsia" w:ascii="仿宋" w:eastAsia="仿宋"/>
          <w:bCs/>
          <w:color w:val="auto"/>
          <w:sz w:val="32"/>
          <w:szCs w:val="32"/>
          <w:highlight w:val="none"/>
          <w:lang w:val="en-US" w:eastAsia="zh-CN"/>
        </w:rPr>
        <w:t>4</w:t>
      </w:r>
      <w:r>
        <w:rPr>
          <w:rStyle w:val="18"/>
          <w:rFonts w:ascii="仿宋" w:eastAsia="仿宋"/>
          <w:bCs/>
          <w:color w:val="auto"/>
          <w:sz w:val="32"/>
          <w:szCs w:val="32"/>
          <w:highlight w:val="none"/>
        </w:rPr>
        <w:t>.</w:t>
      </w:r>
      <w:r>
        <w:rPr>
          <w:rStyle w:val="18"/>
          <w:rFonts w:hint="eastAsia" w:ascii="仿宋" w:hAnsi="仿宋" w:eastAsia="仿宋"/>
          <w:bCs/>
          <w:color w:val="000000"/>
          <w:sz w:val="32"/>
          <w:szCs w:val="32"/>
        </w:rPr>
        <w:t>教育（类）教育管理事务（款）</w:t>
      </w:r>
      <w:r>
        <w:rPr>
          <w:rStyle w:val="18"/>
          <w:rFonts w:hint="eastAsia" w:ascii="仿宋" w:hAnsi="仿宋" w:eastAsia="仿宋"/>
          <w:bCs/>
          <w:color w:val="000000"/>
          <w:sz w:val="32"/>
          <w:szCs w:val="32"/>
          <w:lang w:eastAsia="zh-CN"/>
        </w:rPr>
        <w:t>一般行政管理事务</w:t>
      </w:r>
      <w:r>
        <w:rPr>
          <w:rStyle w:val="18"/>
          <w:rFonts w:hint="eastAsia" w:ascii="仿宋" w:hAnsi="仿宋" w:eastAsia="仿宋"/>
          <w:bCs/>
          <w:color w:val="000000"/>
          <w:sz w:val="32"/>
          <w:szCs w:val="32"/>
        </w:rPr>
        <w:t>（项）</w:t>
      </w:r>
      <w:r>
        <w:rPr>
          <w:rStyle w:val="18"/>
          <w:rFonts w:ascii="仿宋" w:eastAsia="仿宋"/>
          <w:bCs/>
          <w:color w:val="auto"/>
          <w:sz w:val="32"/>
          <w:szCs w:val="32"/>
          <w:highlight w:val="none"/>
        </w:rPr>
        <w:t>:</w:t>
      </w:r>
      <w:r>
        <w:rPr>
          <w:rStyle w:val="18"/>
          <w:rFonts w:ascii="仿宋" w:eastAsia="仿宋"/>
          <w:b w:val="0"/>
          <w:bCs/>
          <w:color w:val="auto"/>
          <w:sz w:val="32"/>
          <w:szCs w:val="32"/>
          <w:highlight w:val="none"/>
        </w:rPr>
        <w:t xml:space="preserve"> </w:t>
      </w:r>
      <w:r>
        <w:rPr>
          <w:rStyle w:val="18"/>
          <w:rFonts w:hint="eastAsia" w:ascii="仿宋" w:eastAsia="仿宋"/>
          <w:b w:val="0"/>
          <w:bCs/>
          <w:color w:val="auto"/>
          <w:sz w:val="32"/>
          <w:szCs w:val="32"/>
          <w:highlight w:val="none"/>
        </w:rPr>
        <w:t>支出决算为</w:t>
      </w:r>
      <w:r>
        <w:rPr>
          <w:rStyle w:val="18"/>
          <w:rFonts w:hint="eastAsia" w:ascii="仿宋" w:eastAsia="仿宋"/>
          <w:b w:val="0"/>
          <w:bCs/>
          <w:color w:val="auto"/>
          <w:sz w:val="32"/>
          <w:szCs w:val="32"/>
          <w:highlight w:val="none"/>
          <w:lang w:val="en-US" w:eastAsia="zh-CN"/>
        </w:rPr>
        <w:t>0.37</w:t>
      </w:r>
      <w:r>
        <w:rPr>
          <w:rStyle w:val="18"/>
          <w:rFonts w:hint="eastAsia" w:ascii="仿宋" w:eastAsia="仿宋"/>
          <w:b w:val="0"/>
          <w:bCs/>
          <w:color w:val="auto"/>
          <w:sz w:val="32"/>
          <w:szCs w:val="32"/>
          <w:highlight w:val="none"/>
        </w:rPr>
        <w:t>万元，完成预算</w:t>
      </w:r>
      <w:r>
        <w:rPr>
          <w:rStyle w:val="18"/>
          <w:rFonts w:hint="eastAsia" w:ascii="仿宋" w:eastAsia="仿宋"/>
          <w:b w:val="0"/>
          <w:bCs/>
          <w:color w:val="auto"/>
          <w:sz w:val="32"/>
          <w:szCs w:val="32"/>
          <w:highlight w:val="none"/>
          <w:lang w:val="en-US" w:eastAsia="zh-CN"/>
        </w:rPr>
        <w:t>100</w:t>
      </w:r>
      <w:r>
        <w:rPr>
          <w:rStyle w:val="18"/>
          <w:rFonts w:ascii="仿宋" w:eastAsia="仿宋"/>
          <w:b w:val="0"/>
          <w:bCs/>
          <w:color w:val="auto"/>
          <w:sz w:val="32"/>
          <w:szCs w:val="32"/>
          <w:highlight w:val="none"/>
        </w:rPr>
        <w:t>%</w:t>
      </w:r>
      <w:r>
        <w:rPr>
          <w:rStyle w:val="18"/>
          <w:rFonts w:hint="eastAsia" w:ascii="仿宋" w:eastAsia="仿宋"/>
          <w:b w:val="0"/>
          <w:bCs/>
          <w:color w:val="auto"/>
          <w:sz w:val="32"/>
          <w:szCs w:val="32"/>
          <w:highlight w:val="none"/>
        </w:rPr>
        <w:t>。</w:t>
      </w:r>
    </w:p>
    <w:p>
      <w:pPr>
        <w:pStyle w:val="2"/>
        <w:rPr>
          <w:rFonts w:hint="default" w:eastAsia="仿宋"/>
          <w:lang w:val="en-US" w:eastAsia="zh-CN"/>
        </w:rPr>
      </w:pPr>
      <w:r>
        <w:rPr>
          <w:rStyle w:val="18"/>
          <w:rFonts w:hint="eastAsia" w:ascii="仿宋" w:eastAsia="仿宋"/>
          <w:b w:val="0"/>
          <w:bCs/>
          <w:color w:val="auto"/>
          <w:sz w:val="32"/>
          <w:szCs w:val="32"/>
          <w:highlight w:val="none"/>
          <w:lang w:val="en-US" w:eastAsia="zh-CN"/>
        </w:rPr>
        <w:t xml:space="preserve">    </w:t>
      </w:r>
      <w:r>
        <w:rPr>
          <w:rStyle w:val="18"/>
          <w:rFonts w:hint="eastAsia" w:ascii="仿宋" w:hAnsi="仿宋" w:eastAsia="仿宋" w:cstheme="minorBidi"/>
          <w:bCs/>
          <w:color w:val="000000"/>
          <w:kern w:val="2"/>
          <w:sz w:val="32"/>
          <w:szCs w:val="32"/>
          <w:lang w:val="en-US" w:eastAsia="zh-CN" w:bidi="ar-SA"/>
        </w:rPr>
        <w:t>5</w:t>
      </w:r>
      <w:r>
        <w:rPr>
          <w:rStyle w:val="18"/>
          <w:rFonts w:hint="eastAsia" w:ascii="仿宋" w:eastAsia="仿宋"/>
          <w:b w:val="0"/>
          <w:bCs/>
          <w:color w:val="auto"/>
          <w:sz w:val="32"/>
          <w:szCs w:val="32"/>
          <w:highlight w:val="none"/>
          <w:lang w:val="en-US" w:eastAsia="zh-CN"/>
        </w:rPr>
        <w:t>.</w:t>
      </w:r>
      <w:r>
        <w:rPr>
          <w:rStyle w:val="18"/>
          <w:rFonts w:hint="eastAsia" w:ascii="仿宋" w:hAnsi="仿宋" w:eastAsia="仿宋" w:cstheme="minorBidi"/>
          <w:bCs/>
          <w:color w:val="000000"/>
          <w:sz w:val="32"/>
          <w:szCs w:val="32"/>
          <w:lang w:eastAsia="zh-CN"/>
        </w:rPr>
        <w:t>教育（类）教育管理事务（款）机关服务（项）:</w:t>
      </w:r>
      <w:r>
        <w:rPr>
          <w:rFonts w:ascii="仿宋_GB2312" w:hAnsi="仿宋" w:eastAsia="仿宋_GB2312" w:cs="仿宋_GB2312"/>
          <w:sz w:val="32"/>
          <w:szCs w:val="32"/>
        </w:rPr>
        <w:t xml:space="preserve"> </w:t>
      </w:r>
      <w:r>
        <w:rPr>
          <w:rStyle w:val="18"/>
          <w:rFonts w:hint="eastAsia" w:ascii="仿宋" w:eastAsia="仿宋" w:hAnsiTheme="minorHAnsi" w:cstheme="minorBidi"/>
          <w:b w:val="0"/>
          <w:bCs/>
          <w:color w:val="auto"/>
          <w:kern w:val="2"/>
          <w:sz w:val="32"/>
          <w:szCs w:val="32"/>
          <w:highlight w:val="none"/>
          <w:lang w:val="en-US" w:eastAsia="zh-CN" w:bidi="ar-SA"/>
        </w:rPr>
        <w:t>支出决算为7.56万元，完成预算100%。</w:t>
      </w:r>
    </w:p>
    <w:p>
      <w:pPr>
        <w:spacing w:line="600" w:lineRule="exact"/>
        <w:ind w:firstLine="642" w:firstLineChars="200"/>
        <w:rPr>
          <w:rStyle w:val="18"/>
          <w:rFonts w:hint="eastAsia" w:ascii="仿宋" w:eastAsia="仿宋"/>
          <w:b w:val="0"/>
          <w:bCs/>
          <w:color w:val="auto"/>
          <w:sz w:val="32"/>
          <w:szCs w:val="32"/>
          <w:highlight w:val="none"/>
        </w:rPr>
      </w:pPr>
      <w:r>
        <w:rPr>
          <w:rStyle w:val="18"/>
          <w:rFonts w:hint="eastAsia" w:ascii="仿宋" w:hAnsi="仿宋" w:eastAsia="仿宋"/>
          <w:bCs/>
          <w:color w:val="000000"/>
          <w:sz w:val="32"/>
          <w:szCs w:val="32"/>
          <w:lang w:val="en-US" w:eastAsia="zh-CN"/>
        </w:rPr>
        <w:t>6</w:t>
      </w:r>
      <w:r>
        <w:rPr>
          <w:rStyle w:val="18"/>
          <w:rFonts w:ascii="仿宋" w:hAnsi="仿宋" w:eastAsia="仿宋"/>
          <w:bCs/>
          <w:color w:val="000000"/>
          <w:sz w:val="32"/>
          <w:szCs w:val="32"/>
        </w:rPr>
        <w:t>.</w:t>
      </w:r>
      <w:r>
        <w:rPr>
          <w:rFonts w:ascii="仿宋_GB2312" w:hAnsi="仿宋" w:eastAsia="仿宋_GB2312" w:cs="仿宋_GB2312"/>
          <w:sz w:val="32"/>
          <w:szCs w:val="32"/>
        </w:rPr>
        <w:t xml:space="preserve"> </w:t>
      </w:r>
      <w:r>
        <w:rPr>
          <w:rStyle w:val="18"/>
          <w:rFonts w:hint="eastAsia" w:ascii="仿宋" w:hAnsi="仿宋" w:eastAsia="仿宋" w:cstheme="minorBidi"/>
          <w:bCs/>
          <w:color w:val="000000"/>
          <w:sz w:val="32"/>
          <w:szCs w:val="32"/>
          <w:lang w:eastAsia="zh-CN"/>
        </w:rPr>
        <w:t>教育（类）教育管理事务（款）其他教育管理事务支出（项）:</w:t>
      </w:r>
      <w:r>
        <w:rPr>
          <w:rFonts w:ascii="仿宋_GB2312" w:hAnsi="仿宋" w:eastAsia="仿宋_GB2312" w:cs="仿宋_GB2312"/>
          <w:sz w:val="32"/>
          <w:szCs w:val="32"/>
        </w:rPr>
        <w:t xml:space="preserve"> </w:t>
      </w:r>
      <w:r>
        <w:rPr>
          <w:rStyle w:val="18"/>
          <w:rFonts w:hint="eastAsia" w:ascii="仿宋" w:eastAsia="仿宋" w:hAnsiTheme="minorHAnsi" w:cstheme="minorBidi"/>
          <w:b w:val="0"/>
          <w:bCs/>
          <w:color w:val="auto"/>
          <w:kern w:val="2"/>
          <w:sz w:val="32"/>
          <w:szCs w:val="32"/>
          <w:highlight w:val="none"/>
          <w:lang w:val="en-US" w:eastAsia="zh-CN" w:bidi="ar-SA"/>
        </w:rPr>
        <w:t>支出决算为118.32万元，完成预算100%。</w:t>
      </w:r>
    </w:p>
    <w:p>
      <w:pPr>
        <w:spacing w:line="600" w:lineRule="exact"/>
        <w:ind w:firstLine="642"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7</w:t>
      </w:r>
      <w:r>
        <w:rPr>
          <w:rStyle w:val="18"/>
          <w:rFonts w:hint="eastAsia" w:ascii="仿宋" w:hAnsi="仿宋" w:eastAsia="仿宋"/>
          <w:bCs/>
          <w:color w:val="auto"/>
          <w:sz w:val="32"/>
          <w:szCs w:val="32"/>
          <w:highlight w:val="none"/>
        </w:rPr>
        <w:t>教育（类）</w:t>
      </w:r>
      <w:r>
        <w:rPr>
          <w:rStyle w:val="18"/>
          <w:rFonts w:hint="eastAsia" w:ascii="仿宋" w:hAnsi="仿宋" w:eastAsia="仿宋"/>
          <w:bCs/>
          <w:color w:val="auto"/>
          <w:sz w:val="32"/>
          <w:szCs w:val="32"/>
          <w:highlight w:val="none"/>
          <w:lang w:val="en-US" w:eastAsia="zh-CN"/>
        </w:rPr>
        <w:t>普通教育</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学前教育</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1970.69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8</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教育（类）</w:t>
      </w:r>
      <w:r>
        <w:rPr>
          <w:rStyle w:val="18"/>
          <w:rFonts w:hint="eastAsia" w:ascii="仿宋" w:hAnsi="仿宋" w:eastAsia="仿宋"/>
          <w:bCs/>
          <w:color w:val="auto"/>
          <w:sz w:val="32"/>
          <w:szCs w:val="32"/>
          <w:highlight w:val="none"/>
          <w:lang w:val="en-US" w:eastAsia="zh-CN"/>
        </w:rPr>
        <w:t>普通教育</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初中教育</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14529.01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9</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教育（类）</w:t>
      </w:r>
      <w:r>
        <w:rPr>
          <w:rStyle w:val="18"/>
          <w:rFonts w:hint="eastAsia" w:ascii="仿宋" w:hAnsi="仿宋" w:eastAsia="仿宋"/>
          <w:bCs/>
          <w:color w:val="auto"/>
          <w:sz w:val="32"/>
          <w:szCs w:val="32"/>
          <w:highlight w:val="none"/>
          <w:lang w:val="en-US" w:eastAsia="zh-CN"/>
        </w:rPr>
        <w:t>普通教育</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高中教育</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15495.29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Style w:val="2"/>
        <w:ind w:firstLine="642" w:firstLineChars="200"/>
        <w:rPr>
          <w:rFonts w:hint="eastAsia"/>
          <w:lang w:eastAsia="zh-CN"/>
        </w:rPr>
      </w:pPr>
      <w:r>
        <w:rPr>
          <w:rStyle w:val="18"/>
          <w:rFonts w:hint="eastAsia" w:ascii="仿宋" w:hAnsi="仿宋" w:eastAsia="仿宋"/>
          <w:bCs/>
          <w:color w:val="auto"/>
          <w:sz w:val="32"/>
          <w:szCs w:val="32"/>
          <w:highlight w:val="none"/>
          <w:lang w:val="en-US" w:eastAsia="zh-CN"/>
        </w:rPr>
        <w:t>10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教育（类）</w:t>
      </w:r>
      <w:r>
        <w:rPr>
          <w:rStyle w:val="18"/>
          <w:rFonts w:hint="eastAsia" w:ascii="仿宋" w:hAnsi="仿宋" w:eastAsia="仿宋"/>
          <w:bCs/>
          <w:color w:val="auto"/>
          <w:sz w:val="32"/>
          <w:szCs w:val="32"/>
          <w:highlight w:val="none"/>
          <w:lang w:val="en-US" w:eastAsia="zh-CN"/>
        </w:rPr>
        <w:t>普通教育</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 xml:space="preserve">  其他普通教育支出</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211.04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numPr>
          <w:ilvl w:val="0"/>
          <w:numId w:val="0"/>
        </w:numPr>
        <w:spacing w:line="600" w:lineRule="exact"/>
        <w:ind w:firstLine="642" w:firstLineChars="200"/>
        <w:rPr>
          <w:rStyle w:val="18"/>
          <w:rFonts w:hint="eastAsia" w:ascii="仿宋" w:hAnsi="仿宋" w:eastAsia="仿宋"/>
          <w:b w:val="0"/>
          <w:bCs/>
          <w:color w:val="000000"/>
          <w:sz w:val="32"/>
          <w:szCs w:val="32"/>
          <w:lang w:eastAsia="zh-CN"/>
        </w:rPr>
      </w:pPr>
      <w:r>
        <w:rPr>
          <w:rStyle w:val="18"/>
          <w:rFonts w:hint="eastAsia" w:ascii="仿宋" w:hAnsi="仿宋" w:eastAsia="仿宋"/>
          <w:bCs/>
          <w:color w:val="000000"/>
          <w:sz w:val="32"/>
          <w:szCs w:val="32"/>
          <w:lang w:val="en-US" w:eastAsia="zh-CN"/>
        </w:rPr>
        <w:t>11.</w:t>
      </w:r>
      <w:r>
        <w:rPr>
          <w:rStyle w:val="18"/>
          <w:rFonts w:hint="eastAsia" w:ascii="仿宋" w:hAnsi="仿宋" w:eastAsia="仿宋"/>
          <w:bCs/>
          <w:color w:val="000000"/>
          <w:sz w:val="32"/>
          <w:szCs w:val="32"/>
        </w:rPr>
        <w:t>教育（类）</w:t>
      </w:r>
      <w:r>
        <w:rPr>
          <w:rStyle w:val="18"/>
          <w:rFonts w:hint="eastAsia" w:ascii="仿宋" w:hAnsi="仿宋" w:eastAsia="仿宋"/>
          <w:bCs/>
          <w:color w:val="000000"/>
          <w:sz w:val="32"/>
          <w:szCs w:val="32"/>
          <w:lang w:eastAsia="zh-CN"/>
        </w:rPr>
        <w:t>职业教育</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eastAsia="zh-CN"/>
        </w:rPr>
        <w:t>中等职业教育</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15430.17</w:t>
      </w:r>
      <w:r>
        <w:rPr>
          <w:rStyle w:val="18"/>
          <w:rFonts w:hint="eastAsia" w:ascii="仿宋" w:hAnsi="仿宋" w:eastAsia="仿宋"/>
          <w:b w:val="0"/>
          <w:bCs/>
          <w:color w:val="000000"/>
          <w:sz w:val="32"/>
          <w:szCs w:val="32"/>
        </w:rPr>
        <w:t>万元，完成预算100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pStyle w:val="2"/>
        <w:numPr>
          <w:ilvl w:val="0"/>
          <w:numId w:val="0"/>
        </w:numPr>
        <w:ind w:firstLine="642" w:firstLineChars="200"/>
        <w:rPr>
          <w:rStyle w:val="18"/>
          <w:rFonts w:hint="eastAsia" w:ascii="仿宋" w:hAnsi="仿宋" w:eastAsia="仿宋"/>
          <w:b w:val="0"/>
          <w:bCs/>
          <w:sz w:val="32"/>
          <w:szCs w:val="32"/>
        </w:rPr>
      </w:pPr>
      <w:r>
        <w:rPr>
          <w:rStyle w:val="18"/>
          <w:rFonts w:hint="eastAsia" w:ascii="仿宋" w:hAnsi="仿宋" w:eastAsia="仿宋"/>
          <w:bCs/>
          <w:color w:val="000000"/>
          <w:sz w:val="32"/>
          <w:szCs w:val="32"/>
          <w:lang w:val="en-US" w:eastAsia="zh-CN"/>
        </w:rPr>
        <w:t>12.</w:t>
      </w:r>
      <w:r>
        <w:rPr>
          <w:rStyle w:val="18"/>
          <w:rFonts w:hint="eastAsia" w:ascii="仿宋" w:hAnsi="仿宋" w:eastAsia="仿宋"/>
          <w:bCs/>
          <w:color w:val="000000"/>
          <w:sz w:val="32"/>
          <w:szCs w:val="32"/>
        </w:rPr>
        <w:t>教育（类）广播电视教育（款）广播电视学校（项）</w:t>
      </w:r>
      <w:r>
        <w:rPr>
          <w:rStyle w:val="18"/>
          <w:rFonts w:ascii="仿宋" w:hAnsi="仿宋" w:eastAsia="仿宋"/>
          <w:bCs/>
          <w:color w:val="000000"/>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lang w:val="en-US" w:eastAsia="zh-CN"/>
        </w:rPr>
        <w:t>872</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p>
    <w:p>
      <w:pPr>
        <w:pStyle w:val="2"/>
        <w:numPr>
          <w:ilvl w:val="0"/>
          <w:numId w:val="0"/>
        </w:numPr>
        <w:ind w:firstLine="642" w:firstLineChars="200"/>
        <w:rPr>
          <w:rStyle w:val="18"/>
          <w:rFonts w:hint="eastAsia" w:ascii="仿宋" w:hAnsi="仿宋" w:eastAsia="仿宋"/>
          <w:b w:val="0"/>
          <w:bCs/>
          <w:sz w:val="32"/>
          <w:szCs w:val="32"/>
        </w:rPr>
      </w:pPr>
      <w:r>
        <w:rPr>
          <w:rStyle w:val="18"/>
          <w:rFonts w:hint="eastAsia" w:ascii="仿宋" w:eastAsia="仿宋"/>
          <w:bCs/>
          <w:color w:val="000000"/>
          <w:sz w:val="32"/>
          <w:szCs w:val="32"/>
          <w:lang w:val="en-US" w:eastAsia="zh-CN"/>
        </w:rPr>
        <w:t>13.</w:t>
      </w:r>
      <w:r>
        <w:rPr>
          <w:rStyle w:val="18"/>
          <w:rFonts w:hint="eastAsia" w:ascii="仿宋" w:eastAsia="仿宋"/>
          <w:bCs/>
          <w:color w:val="000000"/>
          <w:sz w:val="32"/>
          <w:szCs w:val="32"/>
        </w:rPr>
        <w:t>教育（类）特殊教育（款）特殊学校教育（项）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951.03</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pStyle w:val="2"/>
        <w:numPr>
          <w:ilvl w:val="0"/>
          <w:numId w:val="0"/>
        </w:numPr>
        <w:ind w:firstLine="642" w:firstLineChars="200"/>
        <w:rPr>
          <w:rStyle w:val="18"/>
          <w:rFonts w:hint="eastAsia" w:ascii="仿宋" w:hAnsi="仿宋" w:eastAsia="仿宋"/>
          <w:b w:val="0"/>
          <w:bCs/>
          <w:sz w:val="32"/>
          <w:szCs w:val="32"/>
        </w:rPr>
      </w:pPr>
      <w:r>
        <w:rPr>
          <w:rStyle w:val="18"/>
          <w:rFonts w:hint="eastAsia" w:ascii="仿宋" w:eastAsia="仿宋"/>
          <w:bCs/>
          <w:color w:val="000000"/>
          <w:sz w:val="32"/>
          <w:szCs w:val="32"/>
          <w:lang w:val="en-US" w:eastAsia="zh-CN"/>
        </w:rPr>
        <w:t>14.</w:t>
      </w:r>
      <w:r>
        <w:rPr>
          <w:rStyle w:val="18"/>
          <w:rFonts w:hint="eastAsia" w:ascii="仿宋" w:eastAsia="仿宋"/>
          <w:bCs/>
          <w:color w:val="000000"/>
          <w:sz w:val="32"/>
          <w:szCs w:val="32"/>
        </w:rPr>
        <w:t>教育（类）</w:t>
      </w:r>
      <w:r>
        <w:rPr>
          <w:rStyle w:val="18"/>
          <w:rFonts w:hint="eastAsia" w:ascii="仿宋" w:eastAsia="仿宋" w:hAnsiTheme="minorHAnsi" w:cstheme="minorBidi"/>
          <w:bCs/>
          <w:color w:val="000000"/>
          <w:sz w:val="32"/>
          <w:szCs w:val="32"/>
        </w:rPr>
        <w:t>进修及培训</w:t>
      </w:r>
      <w:r>
        <w:rPr>
          <w:rStyle w:val="18"/>
          <w:rFonts w:hint="eastAsia" w:ascii="仿宋" w:eastAsia="仿宋"/>
          <w:bCs/>
          <w:color w:val="000000"/>
          <w:sz w:val="32"/>
          <w:szCs w:val="32"/>
        </w:rPr>
        <w:t>（款）</w:t>
      </w:r>
      <w:r>
        <w:rPr>
          <w:rStyle w:val="18"/>
          <w:rFonts w:hint="eastAsia" w:ascii="仿宋" w:eastAsia="仿宋"/>
          <w:bCs/>
          <w:color w:val="000000"/>
          <w:sz w:val="32"/>
          <w:szCs w:val="32"/>
          <w:lang w:eastAsia="zh-CN"/>
        </w:rPr>
        <w:t>教师进修</w:t>
      </w:r>
      <w:r>
        <w:rPr>
          <w:rStyle w:val="18"/>
          <w:rFonts w:hint="eastAsia" w:ascii="仿宋" w:eastAsia="仿宋"/>
          <w:bCs/>
          <w:color w:val="000000"/>
          <w:sz w:val="32"/>
          <w:szCs w:val="32"/>
        </w:rPr>
        <w:t>（项）</w:t>
      </w:r>
      <w:r>
        <w:rPr>
          <w:rStyle w:val="18"/>
          <w:rFonts w:hint="eastAsia" w:ascii="仿宋" w:eastAsia="仿宋"/>
          <w:bCs/>
          <w:color w:val="000000"/>
          <w:sz w:val="32"/>
          <w:szCs w:val="32"/>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18.15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pStyle w:val="2"/>
        <w:numPr>
          <w:ilvl w:val="0"/>
          <w:numId w:val="0"/>
        </w:numPr>
        <w:ind w:firstLine="642" w:firstLineChars="200"/>
        <w:rPr>
          <w:rStyle w:val="18"/>
          <w:rFonts w:hint="eastAsia" w:ascii="仿宋" w:hAnsi="仿宋" w:eastAsia="仿宋"/>
          <w:b w:val="0"/>
          <w:bCs/>
          <w:sz w:val="32"/>
          <w:szCs w:val="32"/>
        </w:rPr>
      </w:pPr>
      <w:r>
        <w:rPr>
          <w:rStyle w:val="18"/>
          <w:rFonts w:hint="eastAsia" w:ascii="仿宋" w:eastAsia="仿宋"/>
          <w:bCs/>
          <w:color w:val="000000"/>
          <w:sz w:val="32"/>
          <w:szCs w:val="32"/>
          <w:lang w:val="en-US" w:eastAsia="zh-CN"/>
        </w:rPr>
        <w:t>15.</w:t>
      </w:r>
      <w:r>
        <w:rPr>
          <w:rStyle w:val="18"/>
          <w:rFonts w:hint="eastAsia" w:ascii="仿宋" w:eastAsia="仿宋"/>
          <w:bCs/>
          <w:color w:val="000000"/>
          <w:sz w:val="32"/>
          <w:szCs w:val="32"/>
        </w:rPr>
        <w:t>教育（类）</w:t>
      </w:r>
      <w:r>
        <w:rPr>
          <w:rStyle w:val="18"/>
          <w:rFonts w:hint="eastAsia" w:ascii="仿宋" w:eastAsia="仿宋" w:hAnsiTheme="minorHAnsi" w:cstheme="minorBidi"/>
          <w:bCs/>
          <w:color w:val="000000"/>
          <w:sz w:val="32"/>
          <w:szCs w:val="32"/>
        </w:rPr>
        <w:t>教育费附加安排的支出</w:t>
      </w:r>
      <w:r>
        <w:rPr>
          <w:rStyle w:val="18"/>
          <w:rFonts w:hint="eastAsia" w:ascii="仿宋" w:eastAsia="仿宋"/>
          <w:bCs/>
          <w:color w:val="000000"/>
          <w:sz w:val="32"/>
          <w:szCs w:val="32"/>
        </w:rPr>
        <w:t>（款）</w:t>
      </w:r>
      <w:r>
        <w:rPr>
          <w:rStyle w:val="18"/>
          <w:rFonts w:hint="eastAsia" w:ascii="仿宋" w:eastAsia="仿宋" w:hAnsiTheme="minorHAnsi" w:cstheme="minorBidi"/>
          <w:bCs/>
          <w:color w:val="000000"/>
          <w:sz w:val="32"/>
          <w:szCs w:val="32"/>
        </w:rPr>
        <w:t>其他教育费附加安排的支出</w:t>
      </w:r>
      <w:r>
        <w:rPr>
          <w:rStyle w:val="18"/>
          <w:rFonts w:hint="eastAsia" w:ascii="仿宋" w:eastAsia="仿宋"/>
          <w:bCs/>
          <w:color w:val="000000"/>
          <w:sz w:val="32"/>
          <w:szCs w:val="32"/>
        </w:rPr>
        <w:t>（项）</w:t>
      </w:r>
      <w:r>
        <w:rPr>
          <w:rStyle w:val="18"/>
          <w:rFonts w:hint="eastAsia" w:ascii="仿宋" w:eastAsia="仿宋"/>
          <w:bCs/>
          <w:color w:val="000000"/>
          <w:sz w:val="32"/>
          <w:szCs w:val="32"/>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599.61万</w:t>
      </w:r>
      <w:r>
        <w:rPr>
          <w:rStyle w:val="18"/>
          <w:rFonts w:hint="eastAsia" w:ascii="仿宋" w:hAnsi="仿宋" w:eastAsia="仿宋"/>
          <w:b w:val="0"/>
          <w:bCs/>
          <w:color w:val="auto"/>
          <w:sz w:val="32"/>
          <w:szCs w:val="32"/>
          <w:highlight w:val="none"/>
        </w:rPr>
        <w:t>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pStyle w:val="2"/>
        <w:numPr>
          <w:ilvl w:val="0"/>
          <w:numId w:val="0"/>
        </w:numPr>
        <w:ind w:firstLine="642" w:firstLineChars="200"/>
        <w:rPr>
          <w:rStyle w:val="18"/>
          <w:rFonts w:hint="eastAsia" w:ascii="仿宋" w:hAnsi="仿宋" w:eastAsia="仿宋"/>
          <w:b w:val="0"/>
          <w:bCs/>
          <w:sz w:val="32"/>
          <w:szCs w:val="32"/>
        </w:rPr>
      </w:pPr>
      <w:r>
        <w:rPr>
          <w:rStyle w:val="18"/>
          <w:rFonts w:hint="eastAsia" w:ascii="仿宋" w:eastAsia="仿宋"/>
          <w:bCs/>
          <w:color w:val="000000"/>
          <w:sz w:val="32"/>
          <w:szCs w:val="32"/>
          <w:lang w:val="en-US" w:eastAsia="zh-CN"/>
        </w:rPr>
        <w:t>16.</w:t>
      </w:r>
      <w:r>
        <w:rPr>
          <w:rStyle w:val="18"/>
          <w:rFonts w:hint="eastAsia" w:ascii="仿宋" w:eastAsia="仿宋"/>
          <w:bCs/>
          <w:color w:val="000000"/>
          <w:sz w:val="32"/>
          <w:szCs w:val="32"/>
        </w:rPr>
        <w:t>教育（类）</w:t>
      </w:r>
      <w:r>
        <w:rPr>
          <w:rStyle w:val="18"/>
          <w:rFonts w:hint="eastAsia" w:ascii="仿宋" w:eastAsia="仿宋" w:hAnsiTheme="minorHAnsi" w:cstheme="minorBidi"/>
          <w:bCs/>
          <w:color w:val="000000"/>
          <w:sz w:val="32"/>
          <w:szCs w:val="32"/>
        </w:rPr>
        <w:t>其他教育支出（款）其他教育支出（项）</w:t>
      </w:r>
      <w:r>
        <w:rPr>
          <w:rFonts w:hint="eastAsia" w:hAnsi="仿宋" w:cs="仿宋_GB2312"/>
          <w:b/>
          <w:sz w:val="32"/>
          <w:szCs w:val="32"/>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1471.47万</w:t>
      </w:r>
      <w:r>
        <w:rPr>
          <w:rStyle w:val="18"/>
          <w:rFonts w:hint="eastAsia" w:ascii="仿宋" w:hAnsi="仿宋" w:eastAsia="仿宋"/>
          <w:b w:val="0"/>
          <w:bCs/>
          <w:color w:val="auto"/>
          <w:sz w:val="32"/>
          <w:szCs w:val="32"/>
          <w:highlight w:val="none"/>
        </w:rPr>
        <w:t>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spacing w:line="600" w:lineRule="exact"/>
        <w:ind w:firstLine="642" w:firstLineChars="200"/>
        <w:rPr>
          <w:rStyle w:val="18"/>
          <w:rFonts w:hint="eastAsia" w:ascii="仿宋" w:hAnsi="仿宋" w:eastAsia="仿宋"/>
          <w:b w:val="0"/>
          <w:bCs/>
          <w:sz w:val="32"/>
          <w:szCs w:val="32"/>
        </w:rPr>
      </w:pPr>
      <w:r>
        <w:rPr>
          <w:rStyle w:val="18"/>
          <w:rFonts w:hint="eastAsia" w:ascii="仿宋" w:eastAsia="仿宋" w:hAnsiTheme="minorHAnsi" w:cstheme="minorBidi"/>
          <w:bCs/>
          <w:color w:val="auto"/>
          <w:sz w:val="32"/>
          <w:szCs w:val="32"/>
          <w:highlight w:val="none"/>
          <w:lang w:val="en-US" w:eastAsia="zh-CN"/>
        </w:rPr>
        <w:t>17</w:t>
      </w:r>
      <w:r>
        <w:rPr>
          <w:rStyle w:val="18"/>
          <w:rFonts w:hint="eastAsia" w:ascii="仿宋" w:hAnsi="仿宋" w:eastAsia="仿宋"/>
          <w:b w:val="0"/>
          <w:bCs/>
          <w:sz w:val="32"/>
          <w:szCs w:val="32"/>
          <w:lang w:val="en-US" w:eastAsia="zh-CN"/>
        </w:rPr>
        <w:t>.</w:t>
      </w:r>
      <w:r>
        <w:rPr>
          <w:rStyle w:val="18"/>
          <w:rFonts w:hint="eastAsia" w:ascii="仿宋" w:hAnsi="仿宋" w:eastAsia="仿宋"/>
          <w:bCs/>
          <w:sz w:val="32"/>
          <w:szCs w:val="32"/>
        </w:rPr>
        <w:t>文化旅游体育与传媒（类）体育（款）体育场馆（项）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支出决算为190.83万元，完成预算100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pPr>
      <w:r>
        <w:rPr>
          <w:rStyle w:val="18"/>
          <w:rFonts w:hint="eastAsia" w:ascii="仿宋" w:eastAsia="仿宋"/>
          <w:bCs/>
          <w:color w:val="auto"/>
          <w:sz w:val="32"/>
          <w:szCs w:val="32"/>
          <w:highlight w:val="none"/>
          <w:lang w:val="en-US" w:eastAsia="zh-CN"/>
        </w:rPr>
        <w:t>18.</w:t>
      </w:r>
      <w:r>
        <w:rPr>
          <w:rStyle w:val="18"/>
          <w:rFonts w:hint="eastAsia" w:ascii="仿宋" w:eastAsia="仿宋"/>
          <w:bCs/>
          <w:color w:val="auto"/>
          <w:sz w:val="32"/>
          <w:szCs w:val="32"/>
          <w:highlight w:val="none"/>
        </w:rPr>
        <w:t>文化旅游体育与传媒（类）</w:t>
      </w:r>
      <w:r>
        <w:rPr>
          <w:rStyle w:val="18"/>
          <w:rFonts w:hint="eastAsia" w:ascii="仿宋" w:eastAsia="仿宋"/>
          <w:bCs/>
          <w:color w:val="auto"/>
          <w:sz w:val="32"/>
          <w:szCs w:val="32"/>
          <w:highlight w:val="none"/>
          <w:lang w:eastAsia="zh-CN"/>
        </w:rPr>
        <w:t>体育</w:t>
      </w:r>
      <w:r>
        <w:rPr>
          <w:rStyle w:val="18"/>
          <w:rFonts w:hint="eastAsia" w:ascii="仿宋" w:eastAsia="仿宋"/>
          <w:bCs/>
          <w:color w:val="auto"/>
          <w:sz w:val="32"/>
          <w:szCs w:val="32"/>
          <w:highlight w:val="none"/>
        </w:rPr>
        <w:t>（款）</w:t>
      </w:r>
      <w:r>
        <w:rPr>
          <w:rStyle w:val="18"/>
          <w:rFonts w:hint="eastAsia" w:ascii="仿宋" w:hAnsi="仿宋" w:eastAsia="仿宋"/>
          <w:bCs/>
          <w:color w:val="000000"/>
          <w:sz w:val="32"/>
          <w:szCs w:val="32"/>
          <w:lang w:eastAsia="zh-CN"/>
        </w:rPr>
        <w:t>其他体育支出</w:t>
      </w:r>
      <w:r>
        <w:rPr>
          <w:rStyle w:val="18"/>
          <w:rFonts w:hint="eastAsia" w:ascii="仿宋" w:eastAsia="仿宋"/>
          <w:bCs/>
          <w:color w:val="auto"/>
          <w:sz w:val="32"/>
          <w:szCs w:val="32"/>
          <w:highlight w:val="none"/>
        </w:rPr>
        <w:t>（项）</w:t>
      </w:r>
      <w:r>
        <w:rPr>
          <w:rStyle w:val="18"/>
          <w:rFonts w:ascii="仿宋" w:eastAsia="仿宋"/>
          <w:bCs/>
          <w:color w:val="auto"/>
          <w:sz w:val="32"/>
          <w:szCs w:val="32"/>
          <w:highlight w:val="none"/>
        </w:rPr>
        <w:t>:</w:t>
      </w:r>
      <w:r>
        <w:rPr>
          <w:rStyle w:val="18"/>
          <w:rFonts w:ascii="仿宋" w:eastAsia="仿宋"/>
          <w:b w:val="0"/>
          <w:bCs/>
          <w:color w:val="auto"/>
          <w:sz w:val="32"/>
          <w:szCs w:val="32"/>
          <w:highlight w:val="none"/>
        </w:rPr>
        <w:t xml:space="preserve"> </w:t>
      </w:r>
      <w:r>
        <w:rPr>
          <w:rStyle w:val="18"/>
          <w:rFonts w:hint="eastAsia" w:ascii="仿宋" w:eastAsia="仿宋"/>
          <w:b w:val="0"/>
          <w:bCs/>
          <w:color w:val="auto"/>
          <w:sz w:val="32"/>
          <w:szCs w:val="32"/>
          <w:highlight w:val="none"/>
        </w:rPr>
        <w:t>支出决算为</w:t>
      </w:r>
      <w:r>
        <w:rPr>
          <w:rStyle w:val="18"/>
          <w:rFonts w:hint="eastAsia" w:ascii="仿宋" w:eastAsia="仿宋"/>
          <w:b w:val="0"/>
          <w:bCs/>
          <w:color w:val="auto"/>
          <w:sz w:val="32"/>
          <w:szCs w:val="32"/>
          <w:highlight w:val="none"/>
          <w:lang w:val="en-US" w:eastAsia="zh-CN"/>
        </w:rPr>
        <w:t>2210.98</w:t>
      </w:r>
      <w:r>
        <w:rPr>
          <w:rStyle w:val="18"/>
          <w:rFonts w:hint="eastAsia" w:ascii="仿宋" w:eastAsia="仿宋"/>
          <w:b w:val="0"/>
          <w:bCs/>
          <w:color w:val="auto"/>
          <w:sz w:val="32"/>
          <w:szCs w:val="32"/>
          <w:highlight w:val="none"/>
        </w:rPr>
        <w:t>万元，完成预算</w:t>
      </w:r>
      <w:r>
        <w:rPr>
          <w:rStyle w:val="18"/>
          <w:rFonts w:hint="eastAsia" w:ascii="仿宋" w:eastAsia="仿宋"/>
          <w:b w:val="0"/>
          <w:bCs/>
          <w:color w:val="auto"/>
          <w:sz w:val="32"/>
          <w:szCs w:val="32"/>
          <w:highlight w:val="none"/>
          <w:lang w:val="en-US" w:eastAsia="zh-CN"/>
        </w:rPr>
        <w:t>100</w:t>
      </w:r>
      <w:r>
        <w:rPr>
          <w:rStyle w:val="18"/>
          <w:rFonts w:ascii="仿宋" w:eastAsia="仿宋"/>
          <w:b w:val="0"/>
          <w:bCs/>
          <w:color w:val="auto"/>
          <w:sz w:val="32"/>
          <w:szCs w:val="32"/>
          <w:highlight w:val="none"/>
        </w:rPr>
        <w:t>%</w:t>
      </w:r>
      <w:r>
        <w:rPr>
          <w:rStyle w:val="18"/>
          <w:rFonts w:hint="eastAsia" w:ascii="仿宋" w:eastAsia="仿宋"/>
          <w:b w:val="0"/>
          <w:bCs/>
          <w:color w:val="auto"/>
          <w:sz w:val="32"/>
          <w:szCs w:val="32"/>
          <w:highlight w:val="none"/>
          <w:lang w:eastAsia="zh-CN"/>
        </w:rPr>
        <w:t>。</w:t>
      </w:r>
    </w:p>
    <w:p>
      <w:pPr>
        <w:pStyle w:val="2"/>
        <w:spacing w:before="93"/>
        <w:ind w:firstLine="642"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19.</w:t>
      </w:r>
      <w:r>
        <w:rPr>
          <w:rStyle w:val="18"/>
          <w:rFonts w:hint="eastAsia" w:ascii="仿宋" w:hAnsi="仿宋" w:eastAsia="仿宋"/>
          <w:bCs/>
          <w:sz w:val="32"/>
          <w:szCs w:val="32"/>
        </w:rPr>
        <w:t>文化旅游体育与传媒（类）</w:t>
      </w:r>
      <w:r>
        <w:rPr>
          <w:rStyle w:val="18"/>
          <w:rFonts w:hint="eastAsia" w:ascii="仿宋" w:hAnsi="仿宋" w:eastAsia="仿宋"/>
          <w:bCs/>
          <w:sz w:val="32"/>
          <w:szCs w:val="32"/>
          <w:lang w:val="en-US" w:eastAsia="zh-CN"/>
        </w:rPr>
        <w:t>其他文化旅游体育与传媒支出</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其他文化旅游体育与传媒支出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3.71</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Style w:val="18"/>
          <w:rFonts w:hint="eastAsia" w:ascii="仿宋" w:hAnsi="仿宋" w:eastAsia="仿宋"/>
          <w:bCs/>
          <w:color w:val="000000"/>
          <w:sz w:val="32"/>
          <w:szCs w:val="32"/>
          <w:lang w:val="en-US" w:eastAsia="zh-CN"/>
        </w:rPr>
      </w:pPr>
      <w:r>
        <w:rPr>
          <w:rStyle w:val="18"/>
          <w:rFonts w:hint="eastAsia" w:ascii="仿宋" w:hAnsi="仿宋" w:eastAsia="仿宋" w:cstheme="minorBidi"/>
          <w:bCs/>
          <w:kern w:val="0"/>
          <w:sz w:val="32"/>
          <w:szCs w:val="32"/>
          <w:lang w:val="en-US" w:eastAsia="zh-CN" w:bidi="ar-SA"/>
        </w:rPr>
        <w:t>20.</w:t>
      </w:r>
      <w:r>
        <w:rPr>
          <w:rStyle w:val="18"/>
          <w:rFonts w:hint="eastAsia" w:ascii="仿宋" w:hAnsi="仿宋" w:eastAsia="仿宋"/>
          <w:bCs/>
          <w:color w:val="000000"/>
          <w:sz w:val="32"/>
          <w:szCs w:val="32"/>
        </w:rPr>
        <w:t>社会保障和就业（类）人力资源和社会保障管理事务（款）其他人力资源和社会保障管理事务支出（项）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14.4</w:t>
      </w:r>
      <w:r>
        <w:rPr>
          <w:rStyle w:val="18"/>
          <w:rFonts w:hint="eastAsia" w:ascii="仿宋" w:hAnsi="仿宋" w:eastAsia="仿宋"/>
          <w:b w:val="0"/>
          <w:bCs/>
          <w:color w:val="000000"/>
          <w:sz w:val="32"/>
          <w:szCs w:val="32"/>
        </w:rPr>
        <w:t>万元，完成预算100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2" w:firstLineChars="200"/>
        <w:rPr>
          <w:rStyle w:val="18"/>
          <w:rFonts w:hint="eastAsia" w:ascii="仿宋" w:hAnsi="仿宋" w:eastAsia="仿宋"/>
          <w:b w:val="0"/>
          <w:bCs/>
          <w:color w:val="000000"/>
          <w:sz w:val="32"/>
          <w:szCs w:val="32"/>
        </w:rPr>
      </w:pPr>
      <w:r>
        <w:rPr>
          <w:rStyle w:val="18"/>
          <w:rFonts w:hint="eastAsia" w:ascii="仿宋" w:hAnsi="仿宋" w:eastAsia="仿宋"/>
          <w:bCs/>
          <w:color w:val="000000"/>
          <w:sz w:val="32"/>
          <w:szCs w:val="32"/>
          <w:lang w:val="en-US" w:eastAsia="zh-CN"/>
        </w:rPr>
        <w:t>21.</w:t>
      </w:r>
      <w:r>
        <w:rPr>
          <w:rStyle w:val="18"/>
          <w:rFonts w:hint="eastAsia" w:ascii="仿宋" w:hAnsi="仿宋" w:eastAsia="仿宋"/>
          <w:bCs/>
          <w:color w:val="000000"/>
          <w:sz w:val="32"/>
          <w:szCs w:val="32"/>
        </w:rPr>
        <w:t>社会保障和就业（类）行政事业单位养老保险（款）行政单位离退休（项）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354.82</w:t>
      </w:r>
      <w:r>
        <w:rPr>
          <w:rStyle w:val="18"/>
          <w:rFonts w:hint="eastAsia" w:ascii="仿宋" w:hAnsi="仿宋" w:eastAsia="仿宋"/>
          <w:b w:val="0"/>
          <w:bCs/>
          <w:color w:val="000000"/>
          <w:sz w:val="32"/>
          <w:szCs w:val="32"/>
        </w:rPr>
        <w:t>万元，完成预算100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2" w:firstLineChars="200"/>
      </w:pPr>
      <w:r>
        <w:rPr>
          <w:rStyle w:val="18"/>
          <w:rFonts w:hint="eastAsia" w:ascii="仿宋" w:hAnsi="仿宋" w:eastAsia="仿宋"/>
          <w:bCs/>
          <w:color w:val="000000"/>
          <w:sz w:val="32"/>
          <w:szCs w:val="32"/>
          <w:lang w:val="en-US" w:eastAsia="zh-CN"/>
        </w:rPr>
        <w:t>22.</w:t>
      </w:r>
      <w:r>
        <w:rPr>
          <w:rStyle w:val="18"/>
          <w:rFonts w:hint="eastAsia" w:ascii="仿宋" w:hAnsi="仿宋" w:eastAsia="仿宋"/>
          <w:bCs/>
          <w:color w:val="000000"/>
          <w:sz w:val="32"/>
          <w:szCs w:val="32"/>
        </w:rPr>
        <w:t>社会保障和就业（类）行政事业单位养老保险（款）</w:t>
      </w:r>
      <w:r>
        <w:rPr>
          <w:rStyle w:val="18"/>
          <w:rFonts w:hint="eastAsia" w:ascii="仿宋" w:hAnsi="仿宋" w:eastAsia="仿宋"/>
          <w:bCs/>
          <w:color w:val="000000"/>
          <w:sz w:val="32"/>
          <w:szCs w:val="32"/>
          <w:lang w:eastAsia="zh-CN"/>
        </w:rPr>
        <w:t>事业</w:t>
      </w:r>
      <w:r>
        <w:rPr>
          <w:rStyle w:val="18"/>
          <w:rFonts w:hint="eastAsia" w:ascii="仿宋" w:hAnsi="仿宋" w:eastAsia="仿宋"/>
          <w:bCs/>
          <w:color w:val="000000"/>
          <w:sz w:val="32"/>
          <w:szCs w:val="32"/>
        </w:rPr>
        <w:t>单位离退休（项）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1178.13</w:t>
      </w:r>
      <w:r>
        <w:rPr>
          <w:rStyle w:val="18"/>
          <w:rFonts w:hint="eastAsia" w:ascii="仿宋" w:hAnsi="仿宋" w:eastAsia="仿宋"/>
          <w:b w:val="0"/>
          <w:bCs/>
          <w:color w:val="000000"/>
          <w:sz w:val="32"/>
          <w:szCs w:val="32"/>
        </w:rPr>
        <w:t>万元，完成预算100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pStyle w:val="2"/>
        <w:ind w:firstLine="642" w:firstLineChars="200"/>
        <w:rPr>
          <w:rStyle w:val="18"/>
          <w:rFonts w:hint="eastAsia" w:ascii="仿宋" w:hAnsi="仿宋" w:eastAsia="仿宋"/>
          <w:b w:val="0"/>
          <w:bCs/>
          <w:color w:val="000000"/>
          <w:sz w:val="32"/>
          <w:szCs w:val="32"/>
          <w:lang w:eastAsia="zh-CN"/>
        </w:rPr>
      </w:pPr>
      <w:r>
        <w:rPr>
          <w:rStyle w:val="18"/>
          <w:rFonts w:hint="eastAsia" w:ascii="仿宋" w:hAnsi="仿宋" w:eastAsia="仿宋"/>
          <w:bCs/>
          <w:color w:val="000000"/>
          <w:sz w:val="32"/>
          <w:szCs w:val="32"/>
          <w:lang w:val="en-US" w:eastAsia="zh-CN"/>
        </w:rPr>
        <w:t>23.</w:t>
      </w:r>
      <w:r>
        <w:rPr>
          <w:rStyle w:val="18"/>
          <w:rFonts w:hint="eastAsia" w:ascii="仿宋" w:hAnsi="仿宋" w:eastAsia="仿宋"/>
          <w:bCs/>
          <w:color w:val="000000"/>
          <w:sz w:val="32"/>
          <w:szCs w:val="32"/>
        </w:rPr>
        <w:t>社会保障和就业（类）行政事业单位养老保险（款）机关事业单位养老保险缴费支出（项）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3795.11</w:t>
      </w:r>
      <w:r>
        <w:rPr>
          <w:rStyle w:val="18"/>
          <w:rFonts w:hint="eastAsia" w:ascii="仿宋" w:hAnsi="仿宋" w:eastAsia="仿宋"/>
          <w:b w:val="0"/>
          <w:bCs/>
          <w:color w:val="000000"/>
          <w:sz w:val="32"/>
          <w:szCs w:val="32"/>
        </w:rPr>
        <w:t>万元，完成预算100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pStyle w:val="2"/>
        <w:ind w:firstLine="642" w:firstLineChars="200"/>
        <w:rPr>
          <w:rStyle w:val="18"/>
          <w:rFonts w:hint="default" w:ascii="仿宋" w:hAnsi="仿宋" w:eastAsia="仿宋"/>
          <w:b w:val="0"/>
          <w:bCs/>
          <w:color w:val="000000"/>
          <w:sz w:val="32"/>
          <w:szCs w:val="32"/>
          <w:lang w:val="en-US" w:eastAsia="zh-CN"/>
        </w:rPr>
      </w:pPr>
      <w:r>
        <w:rPr>
          <w:rStyle w:val="18"/>
          <w:rFonts w:hint="eastAsia" w:ascii="仿宋" w:hAnsi="仿宋" w:eastAsia="仿宋" w:cstheme="minorBidi"/>
          <w:bCs/>
          <w:color w:val="000000"/>
          <w:sz w:val="32"/>
          <w:szCs w:val="32"/>
          <w:lang w:val="en-US" w:eastAsia="zh-CN"/>
        </w:rPr>
        <w:t>24.</w:t>
      </w:r>
      <w:r>
        <w:rPr>
          <w:rStyle w:val="18"/>
          <w:rFonts w:hint="eastAsia" w:ascii="仿宋" w:hAnsi="仿宋" w:eastAsia="仿宋"/>
          <w:bCs/>
          <w:color w:val="000000"/>
          <w:sz w:val="32"/>
          <w:szCs w:val="32"/>
        </w:rPr>
        <w:t>社会保障和就业（类）</w:t>
      </w:r>
      <w:r>
        <w:rPr>
          <w:rStyle w:val="18"/>
          <w:rFonts w:hint="eastAsia" w:ascii="仿宋" w:hAnsi="仿宋" w:eastAsia="仿宋"/>
          <w:bCs/>
          <w:color w:val="000000"/>
          <w:sz w:val="32"/>
          <w:szCs w:val="32"/>
          <w:lang w:eastAsia="zh-CN"/>
        </w:rPr>
        <w:t>抚恤</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eastAsia="zh-CN"/>
        </w:rPr>
        <w:t>死亡抚恤</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116.28</w:t>
      </w:r>
      <w:r>
        <w:rPr>
          <w:rStyle w:val="18"/>
          <w:rFonts w:hint="eastAsia" w:ascii="仿宋" w:hAnsi="仿宋" w:eastAsia="仿宋"/>
          <w:b w:val="0"/>
          <w:bCs/>
          <w:color w:val="000000"/>
          <w:sz w:val="32"/>
          <w:szCs w:val="32"/>
        </w:rPr>
        <w:t>万元，完成预算100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pStyle w:val="2"/>
        <w:ind w:firstLine="642" w:firstLineChars="200"/>
        <w:rPr>
          <w:rStyle w:val="18"/>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25.</w:t>
      </w:r>
      <w:r>
        <w:rPr>
          <w:rStyle w:val="18"/>
          <w:rFonts w:hint="eastAsia" w:ascii="仿宋" w:hAnsi="仿宋" w:eastAsia="仿宋"/>
          <w:bCs/>
          <w:color w:val="000000"/>
          <w:sz w:val="32"/>
          <w:szCs w:val="32"/>
        </w:rPr>
        <w:t>社会保障和就业（类）</w:t>
      </w:r>
      <w:r>
        <w:rPr>
          <w:rStyle w:val="18"/>
          <w:rFonts w:hint="eastAsia" w:ascii="仿宋" w:hAnsi="仿宋" w:eastAsia="仿宋"/>
          <w:bCs/>
          <w:color w:val="000000"/>
          <w:sz w:val="32"/>
          <w:szCs w:val="32"/>
          <w:lang w:eastAsia="zh-CN"/>
        </w:rPr>
        <w:t>行政事业单位医疗</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eastAsia="zh-CN"/>
        </w:rPr>
        <w:t>公务员医疗补助</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15.84万</w:t>
      </w:r>
      <w:r>
        <w:rPr>
          <w:rStyle w:val="18"/>
          <w:rFonts w:hint="eastAsia" w:ascii="仿宋" w:hAnsi="仿宋" w:eastAsia="仿宋"/>
          <w:b w:val="0"/>
          <w:bCs/>
          <w:color w:val="000000"/>
          <w:sz w:val="32"/>
          <w:szCs w:val="32"/>
        </w:rPr>
        <w:t>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pStyle w:val="2"/>
        <w:ind w:firstLine="642" w:firstLineChars="200"/>
        <w:rPr>
          <w:rStyle w:val="18"/>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26.</w:t>
      </w:r>
      <w:r>
        <w:rPr>
          <w:rStyle w:val="18"/>
          <w:rFonts w:hint="eastAsia" w:ascii="仿宋" w:hAnsi="仿宋" w:eastAsia="仿宋"/>
          <w:bCs/>
          <w:color w:val="000000"/>
          <w:sz w:val="32"/>
          <w:szCs w:val="32"/>
        </w:rPr>
        <w:t>社会保障和就业（类）</w:t>
      </w:r>
      <w:r>
        <w:rPr>
          <w:rStyle w:val="18"/>
          <w:rFonts w:hint="eastAsia" w:ascii="仿宋" w:hAnsi="仿宋" w:eastAsia="仿宋"/>
          <w:bCs/>
          <w:color w:val="000000"/>
          <w:sz w:val="32"/>
          <w:szCs w:val="32"/>
          <w:lang w:eastAsia="zh-CN"/>
        </w:rPr>
        <w:t>其他卫生健康支出</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eastAsia="zh-CN"/>
        </w:rPr>
        <w:t>其他卫生健康支出</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0.89万</w:t>
      </w:r>
      <w:r>
        <w:rPr>
          <w:rStyle w:val="18"/>
          <w:rFonts w:hint="eastAsia" w:ascii="仿宋" w:hAnsi="仿宋" w:eastAsia="仿宋"/>
          <w:b w:val="0"/>
          <w:bCs/>
          <w:color w:val="000000"/>
          <w:sz w:val="32"/>
          <w:szCs w:val="32"/>
        </w:rPr>
        <w:t>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pStyle w:val="2"/>
        <w:ind w:firstLine="640" w:firstLineChars="200"/>
        <w:rPr>
          <w:rStyle w:val="18"/>
          <w:rFonts w:hint="default" w:ascii="仿宋" w:hAnsi="仿宋" w:eastAsia="仿宋"/>
          <w:b w:val="0"/>
          <w:bCs/>
          <w:sz w:val="32"/>
          <w:szCs w:val="32"/>
          <w:lang w:val="en-US" w:eastAsia="zh-CN"/>
        </w:rPr>
      </w:pPr>
      <w:r>
        <w:rPr>
          <w:rStyle w:val="18"/>
          <w:rFonts w:hint="eastAsia" w:ascii="仿宋" w:hAnsi="仿宋" w:eastAsia="仿宋"/>
          <w:b w:val="0"/>
          <w:bCs/>
          <w:color w:val="000000"/>
          <w:sz w:val="32"/>
          <w:szCs w:val="32"/>
          <w:lang w:val="en-US" w:eastAsia="zh-CN"/>
        </w:rPr>
        <w:t>27.</w:t>
      </w:r>
      <w:r>
        <w:rPr>
          <w:rFonts w:hint="eastAsia" w:ascii="仿宋" w:hAnsi="仿宋" w:eastAsia="仿宋"/>
          <w:b/>
          <w:bCs/>
          <w:color w:val="000000"/>
          <w:sz w:val="32"/>
          <w:szCs w:val="32"/>
        </w:rPr>
        <w:t>住房保障支出</w:t>
      </w:r>
      <w:r>
        <w:rPr>
          <w:rStyle w:val="18"/>
          <w:rFonts w:hint="eastAsia" w:ascii="仿宋" w:hAnsi="仿宋" w:eastAsia="仿宋"/>
          <w:bCs/>
          <w:color w:val="000000"/>
          <w:sz w:val="32"/>
          <w:szCs w:val="32"/>
        </w:rPr>
        <w:t>（类）住房改革支出（款）住房公积金（项）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4182.7</w:t>
      </w:r>
      <w:r>
        <w:rPr>
          <w:rStyle w:val="18"/>
          <w:rFonts w:hint="eastAsia" w:ascii="仿宋" w:hAnsi="仿宋" w:eastAsia="仿宋"/>
          <w:b w:val="0"/>
          <w:bCs/>
          <w:color w:val="000000"/>
          <w:sz w:val="32"/>
          <w:szCs w:val="32"/>
        </w:rPr>
        <w:t>万元，完成预算100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31"/>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8"/>
      <w:bookmarkEnd w:id="39"/>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22年一般公共预算财政拨款基本支出55592.7万元，其中：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53171.88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2420.82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1"/>
          <w:rFonts w:ascii="黑体" w:hAnsi="黑体" w:eastAsia="黑体"/>
          <w:b w:val="0"/>
        </w:rPr>
      </w:pPr>
      <w:bookmarkStart w:id="40" w:name="_Toc15377215"/>
      <w:bookmarkStart w:id="41" w:name="_Toc15396609"/>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30.65</w:t>
      </w:r>
      <w:r>
        <w:rPr>
          <w:rFonts w:hint="eastAsia" w:ascii="仿宋" w:hAnsi="仿宋" w:eastAsia="仿宋"/>
          <w:sz w:val="32"/>
          <w:szCs w:val="32"/>
        </w:rPr>
        <w:t>万元，完成预算</w:t>
      </w:r>
      <w:r>
        <w:rPr>
          <w:rFonts w:hint="eastAsia" w:ascii="仿宋" w:hAnsi="仿宋" w:eastAsia="仿宋"/>
          <w:sz w:val="32"/>
          <w:szCs w:val="32"/>
          <w:lang w:val="en-US" w:eastAsia="zh-CN"/>
        </w:rPr>
        <w:t>49.01</w:t>
      </w:r>
      <w:r>
        <w:rPr>
          <w:rFonts w:ascii="仿宋" w:hAnsi="仿宋" w:eastAsia="仿宋"/>
          <w:sz w:val="32"/>
          <w:szCs w:val="32"/>
        </w:rPr>
        <w:t>%</w:t>
      </w:r>
      <w:r>
        <w:rPr>
          <w:rFonts w:hint="eastAsia" w:ascii="仿宋" w:hAnsi="仿宋" w:eastAsia="仿宋"/>
          <w:sz w:val="32"/>
          <w:szCs w:val="32"/>
        </w:rPr>
        <w:t>，较上年减少</w:t>
      </w:r>
      <w:r>
        <w:rPr>
          <w:rFonts w:hint="eastAsia" w:ascii="仿宋" w:hAnsi="仿宋" w:eastAsia="仿宋"/>
          <w:sz w:val="32"/>
          <w:szCs w:val="32"/>
          <w:lang w:val="en-US" w:eastAsia="zh-CN"/>
        </w:rPr>
        <w:t>7.53</w:t>
      </w:r>
      <w:r>
        <w:rPr>
          <w:rFonts w:hint="eastAsia" w:ascii="仿宋" w:hAnsi="仿宋" w:eastAsia="仿宋"/>
          <w:sz w:val="32"/>
          <w:szCs w:val="32"/>
        </w:rPr>
        <w:t>万元，下降</w:t>
      </w:r>
      <w:r>
        <w:rPr>
          <w:rFonts w:hint="eastAsia" w:ascii="仿宋" w:hAnsi="仿宋" w:eastAsia="仿宋"/>
          <w:sz w:val="32"/>
          <w:szCs w:val="32"/>
          <w:lang w:val="en-US" w:eastAsia="zh-CN"/>
        </w:rPr>
        <w:t>19.72</w:t>
      </w:r>
      <w:r>
        <w:rPr>
          <w:rFonts w:hint="eastAsia" w:ascii="仿宋" w:hAnsi="仿宋" w:eastAsia="仿宋"/>
          <w:sz w:val="32"/>
          <w:szCs w:val="32"/>
        </w:rPr>
        <w:t>%。决算数小于预算数的主要原因是</w:t>
      </w:r>
      <w:r>
        <w:rPr>
          <w:rFonts w:hint="eastAsia" w:ascii="仿宋" w:eastAsia="仿宋"/>
          <w:color w:val="auto"/>
          <w:sz w:val="32"/>
          <w:szCs w:val="32"/>
          <w:highlight w:val="none"/>
        </w:rPr>
        <w:t>市教育和体育局直属系统严格执行中央八项规定和省、市十项规定以及《党政机关厉行节约反对浪费条例》等相关文件要求，厉行节约，反对浪费，严格控制公务接待和公务用车</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89.36</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3.26</w:t>
      </w:r>
      <w:r>
        <w:rPr>
          <w:rFonts w:hint="eastAsia" w:ascii="仿宋" w:hAnsi="仿宋" w:eastAsia="仿宋"/>
          <w:sz w:val="32"/>
          <w:szCs w:val="32"/>
        </w:rPr>
        <w:t>万元，占</w:t>
      </w:r>
      <w:r>
        <w:rPr>
          <w:rFonts w:hint="eastAsia" w:ascii="仿宋" w:hAnsi="仿宋" w:eastAsia="仿宋"/>
          <w:sz w:val="32"/>
          <w:szCs w:val="32"/>
          <w:lang w:val="en-US" w:eastAsia="zh-CN"/>
        </w:rPr>
        <w:t>10.64</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r>
        <w:rPr>
          <w:rFonts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-19050</wp:posOffset>
            </wp:positionH>
            <wp:positionV relativeFrom="paragraph">
              <wp:posOffset>400050</wp:posOffset>
            </wp:positionV>
            <wp:extent cx="4391025" cy="3219450"/>
            <wp:effectExtent l="4445" t="4445" r="5080" b="14605"/>
            <wp:wrapNone/>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color w:val="auto"/>
          <w:sz w:val="32"/>
          <w:szCs w:val="32"/>
          <w:highlight w:val="none"/>
        </w:rPr>
        <w:t>支出决算</w:t>
      </w:r>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lang w:val="en-US" w:eastAsia="zh-CN"/>
        </w:rPr>
        <w:t>2021年持平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27.4</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55.51</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6.34</w:t>
      </w:r>
      <w:r>
        <w:rPr>
          <w:rFonts w:hint="eastAsia" w:ascii="仿宋_GB2312" w:eastAsia="仿宋_GB2312"/>
          <w:sz w:val="32"/>
          <w:szCs w:val="32"/>
        </w:rPr>
        <w:t>万元，下降</w:t>
      </w:r>
      <w:r>
        <w:rPr>
          <w:rFonts w:hint="eastAsia" w:ascii="仿宋_GB2312" w:eastAsia="仿宋_GB2312"/>
          <w:sz w:val="32"/>
          <w:szCs w:val="32"/>
          <w:lang w:val="en-US" w:eastAsia="zh-CN"/>
        </w:rPr>
        <w:t>18.79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各</w:t>
      </w:r>
      <w:r>
        <w:rPr>
          <w:rFonts w:hint="eastAsia" w:ascii="仿宋_GB2312" w:eastAsia="仿宋_GB2312"/>
          <w:sz w:val="32"/>
          <w:szCs w:val="32"/>
        </w:rPr>
        <w:t>单位坚决贯彻执行中央“八项规定”和省、市“十项规定”以及《党政机关厉行节约反对浪费条例》等相关规定，同时受疫情影响，同时单位制定了严格的公务车管理制度，因此提高了公务车的使用效率，公务车运行维护费相应减少。</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46</w:t>
      </w:r>
      <w:r>
        <w:rPr>
          <w:rFonts w:hint="eastAsia" w:ascii="仿宋_GB2312" w:eastAsia="仿宋_GB2312"/>
          <w:sz w:val="32"/>
          <w:szCs w:val="32"/>
        </w:rPr>
        <w:t>辆，其中：轿车</w:t>
      </w:r>
      <w:r>
        <w:rPr>
          <w:rFonts w:hint="eastAsia" w:ascii="仿宋_GB2312" w:eastAsia="仿宋_GB2312"/>
          <w:sz w:val="32"/>
          <w:szCs w:val="32"/>
          <w:lang w:val="en-US" w:eastAsia="zh-CN"/>
        </w:rPr>
        <w:t>15</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辆、载客汽车</w:t>
      </w:r>
      <w:r>
        <w:rPr>
          <w:rFonts w:hint="eastAsia" w:ascii="仿宋_GB2312" w:eastAsia="仿宋_GB2312"/>
          <w:sz w:val="32"/>
          <w:szCs w:val="32"/>
          <w:lang w:val="en-US" w:eastAsia="zh-CN"/>
        </w:rPr>
        <w:t>10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27.4</w:t>
      </w:r>
      <w:r>
        <w:rPr>
          <w:rFonts w:hint="eastAsia" w:ascii="仿宋_GB2312" w:eastAsia="仿宋_GB2312"/>
          <w:sz w:val="32"/>
          <w:szCs w:val="32"/>
        </w:rPr>
        <w:t>万元。主要用于教育教学管理、学校安全工作、教师培训、普通初中教育、教育督导、普通高中教育、职业教育、“9+3”工作、校安工程、学生营养改善计划、高寒山区温暖工程、农村薄弱学校改造以及单位日常公务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3.26</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24.73</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1.18</w:t>
      </w:r>
      <w:r>
        <w:rPr>
          <w:rFonts w:hint="eastAsia" w:ascii="仿宋_GB2312" w:eastAsia="仿宋_GB2312"/>
          <w:sz w:val="32"/>
          <w:szCs w:val="32"/>
        </w:rPr>
        <w:t>万元，下降</w:t>
      </w:r>
      <w:r>
        <w:rPr>
          <w:rFonts w:hint="eastAsia" w:ascii="仿宋_GB2312" w:eastAsia="仿宋_GB2312"/>
          <w:sz w:val="32"/>
          <w:szCs w:val="32"/>
          <w:lang w:val="en-US" w:eastAsia="zh-CN"/>
        </w:rPr>
        <w:t>26.58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认真贯彻落实中央厉行节约的要求，严格控制公务接待标准及次数</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3.26</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26</w:t>
      </w:r>
      <w:r>
        <w:rPr>
          <w:rFonts w:hint="eastAsia" w:ascii="仿宋_GB2312" w:eastAsia="仿宋_GB2312"/>
          <w:sz w:val="32"/>
          <w:szCs w:val="32"/>
        </w:rPr>
        <w:t>批次，</w:t>
      </w:r>
      <w:r>
        <w:rPr>
          <w:rFonts w:hint="eastAsia" w:ascii="仿宋_GB2312" w:eastAsia="仿宋_GB2312"/>
          <w:sz w:val="32"/>
          <w:szCs w:val="32"/>
          <w:lang w:val="en-US" w:eastAsia="zh-CN"/>
        </w:rPr>
        <w:t>182</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3.26</w:t>
      </w:r>
      <w:r>
        <w:rPr>
          <w:rFonts w:hint="eastAsia" w:ascii="仿宋_GB2312" w:eastAsia="仿宋_GB2312"/>
          <w:sz w:val="32"/>
          <w:szCs w:val="32"/>
        </w:rPr>
        <w:t>万元，具体内容包括：</w:t>
      </w:r>
    </w:p>
    <w:p>
      <w:pPr>
        <w:pStyle w:val="2"/>
        <w:rPr>
          <w:rFonts w:hint="eastAsia"/>
          <w:sz w:val="32"/>
          <w:szCs w:val="32"/>
          <w:lang w:val="en-US" w:eastAsia="zh-CN"/>
        </w:rPr>
      </w:pPr>
      <w:r>
        <w:rPr>
          <w:rFonts w:hint="eastAsia"/>
          <w:sz w:val="32"/>
          <w:szCs w:val="32"/>
          <w:lang w:val="en-US" w:eastAsia="zh-CN"/>
        </w:rPr>
        <w:t xml:space="preserve">   攀枝花市教育和体育局</w:t>
      </w:r>
    </w:p>
    <w:p>
      <w:pPr>
        <w:numPr>
          <w:ilvl w:val="0"/>
          <w:numId w:val="0"/>
        </w:numPr>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四川城乡建设研究院来攀调研山地健身公园规划设计工作接待费0.09万元；2.四川省人民政府教育督导委员会来攀接待费0.23万元；3.凉山州教体局来攀教育交流接待费0.15万元；4.接待驻省体育局纪检组餐费0.1万元；5.接待省厅春节前走访慰问优秀教师、生活困难党员和老党员0.07万元；6.疫情防控、校园安全稳定剂“双规范”“双减”工作专项督查接待费0.14万元；7.接待省体育局赴攀开展调研督导工作0.12万元；8.接待省体育局来攀安全、疫情专项检查0.04万元；9.接待广安考察学习规范普高收费工作餐费0.28万元。</w:t>
      </w:r>
    </w:p>
    <w:p>
      <w:pPr>
        <w:pStyle w:val="2"/>
        <w:rPr>
          <w:rFonts w:hint="eastAsia"/>
          <w:lang w:val="en-US" w:eastAsia="zh-CN"/>
        </w:rPr>
      </w:pPr>
      <w:r>
        <w:rPr>
          <w:rFonts w:hint="eastAsia"/>
          <w:lang w:val="en-US" w:eastAsia="zh-CN"/>
        </w:rPr>
        <w:t xml:space="preserve">   市建筑工程学校</w:t>
      </w:r>
    </w:p>
    <w:p>
      <w:pPr>
        <w:keepNext w:val="0"/>
        <w:keepLines w:val="0"/>
        <w:pageBreakBefore w:val="0"/>
        <w:widowControl w:val="0"/>
        <w:kinsoku/>
        <w:wordWrap/>
        <w:overflowPunct/>
        <w:topLinePunct w:val="0"/>
        <w:autoSpaceDE/>
        <w:autoSpaceDN/>
        <w:bidi w:val="0"/>
        <w:adjustRightInd/>
        <w:spacing w:line="600" w:lineRule="exact"/>
        <w:textAlignment w:val="auto"/>
      </w:pPr>
      <w:r>
        <w:rPr>
          <w:rFonts w:hint="eastAsia" w:ascii="仿宋_GB2312" w:eastAsia="仿宋_GB2312"/>
          <w:sz w:val="32"/>
          <w:szCs w:val="32"/>
          <w:lang w:val="en-US" w:eastAsia="zh-CN"/>
        </w:rPr>
        <w:t xml:space="preserve">  1.</w:t>
      </w:r>
      <w:r>
        <w:rPr>
          <w:rFonts w:hint="eastAsia" w:ascii="仿宋_GB2312" w:eastAsia="仿宋_GB2312"/>
          <w:sz w:val="32"/>
          <w:szCs w:val="32"/>
        </w:rPr>
        <w:t>接待四川省人社厅开展促就业、助力乡村振兴考察学习活动23人，费用0.3万元；</w:t>
      </w:r>
      <w:r>
        <w:rPr>
          <w:rFonts w:hint="eastAsia" w:ascii="仿宋_GB2312" w:eastAsia="仿宋_GB2312"/>
          <w:b/>
          <w:bCs/>
          <w:sz w:val="32"/>
          <w:szCs w:val="32"/>
        </w:rPr>
        <w:t>2</w:t>
      </w:r>
      <w:r>
        <w:rPr>
          <w:rFonts w:hint="eastAsia" w:ascii="仿宋_GB2312" w:eastAsia="仿宋_GB2312"/>
          <w:sz w:val="32"/>
          <w:szCs w:val="32"/>
        </w:rPr>
        <w:t>.接待四川一砖一瓦教育咨询有限公司、北京数码大方科技有限公司到校开展实训基地1+X工程造价数字化应用等级认证指导与研讨9人，费用0.12万元；</w:t>
      </w:r>
      <w:r>
        <w:rPr>
          <w:rFonts w:hint="eastAsia" w:ascii="仿宋_GB2312" w:eastAsia="仿宋_GB2312"/>
          <w:b/>
          <w:bCs/>
          <w:sz w:val="32"/>
          <w:szCs w:val="32"/>
        </w:rPr>
        <w:t>3</w:t>
      </w:r>
      <w:r>
        <w:rPr>
          <w:rFonts w:hint="eastAsia" w:ascii="仿宋_GB2312" w:eastAsia="仿宋_GB2312"/>
          <w:sz w:val="32"/>
          <w:szCs w:val="32"/>
        </w:rPr>
        <w:t>.接待内江职业技术学院到校开展中高职衔接人才培养交流6人，费用0.15万元；</w:t>
      </w:r>
      <w:r>
        <w:rPr>
          <w:rFonts w:hint="eastAsia" w:ascii="仿宋_GB2312" w:eastAsia="仿宋_GB2312"/>
          <w:b/>
          <w:bCs/>
          <w:sz w:val="32"/>
          <w:szCs w:val="32"/>
        </w:rPr>
        <w:t>4</w:t>
      </w:r>
      <w:r>
        <w:rPr>
          <w:rFonts w:hint="eastAsia" w:ascii="仿宋_GB2312" w:eastAsia="仿宋_GB2312"/>
          <w:sz w:val="32"/>
          <w:szCs w:val="32"/>
        </w:rPr>
        <w:t>.接待成都信息工程大学教师到校进行省级专项资金支出绩效评价4人，费用0.1万元；</w:t>
      </w:r>
      <w:r>
        <w:rPr>
          <w:rFonts w:hint="eastAsia" w:ascii="仿宋_GB2312" w:eastAsia="仿宋_GB2312"/>
          <w:b/>
          <w:bCs/>
          <w:sz w:val="32"/>
          <w:szCs w:val="32"/>
        </w:rPr>
        <w:t>5</w:t>
      </w:r>
      <w:r>
        <w:rPr>
          <w:rFonts w:hint="eastAsia" w:ascii="仿宋_GB2312" w:eastAsia="仿宋_GB2312"/>
          <w:sz w:val="32"/>
          <w:szCs w:val="32"/>
        </w:rPr>
        <w:t>.接待凉山州农业学校到校洽谈校校合作事宜5人，费用0.12万元。</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361" w:firstLineChars="113"/>
        <w:textAlignment w:val="auto"/>
        <w:rPr>
          <w:rFonts w:hint="eastAsia" w:ascii="仿宋_GB2312" w:eastAsia="仿宋_GB2312"/>
          <w:kern w:val="2"/>
          <w:sz w:val="32"/>
          <w:szCs w:val="32"/>
          <w:lang w:eastAsia="zh-CN" w:bidi="ar-SA"/>
        </w:rPr>
      </w:pPr>
      <w:r>
        <w:rPr>
          <w:rFonts w:hint="eastAsia" w:ascii="仿宋_GB2312" w:eastAsia="仿宋_GB2312"/>
          <w:kern w:val="2"/>
          <w:sz w:val="32"/>
          <w:szCs w:val="32"/>
          <w:lang w:eastAsia="zh-CN" w:bidi="ar-SA"/>
        </w:rPr>
        <w:t>市经贸旅游学校</w:t>
      </w:r>
    </w:p>
    <w:p>
      <w:pPr>
        <w:keepNext w:val="0"/>
        <w:keepLines w:val="0"/>
        <w:pageBreakBefore w:val="0"/>
        <w:widowControl w:val="0"/>
        <w:kinsoku/>
        <w:wordWrap/>
        <w:overflowPunct/>
        <w:topLinePunct w:val="0"/>
        <w:autoSpaceDE/>
        <w:autoSpaceDN/>
        <w:bidi w:val="0"/>
        <w:adjustRightInd/>
        <w:spacing w:line="600" w:lineRule="exact"/>
        <w:ind w:firstLine="339" w:firstLineChars="113"/>
        <w:textAlignment w:val="auto"/>
        <w:rPr>
          <w:rFonts w:ascii="仿宋_GB2312" w:eastAsia="仿宋_GB2312"/>
          <w:sz w:val="32"/>
          <w:szCs w:val="32"/>
        </w:rPr>
      </w:pPr>
      <w:r>
        <w:rPr>
          <w:rFonts w:hint="eastAsia" w:ascii="仿宋_GB2312" w:eastAsia="仿宋_GB2312" w:cs="Times New Roman"/>
          <w:kern w:val="0"/>
          <w:sz w:val="30"/>
          <w:szCs w:val="24"/>
          <w:lang w:val="en-US" w:eastAsia="zh-CN" w:bidi="ar-SA"/>
        </w:rPr>
        <w:t>1.20</w:t>
      </w:r>
      <w:r>
        <w:rPr>
          <w:rFonts w:hint="eastAsia" w:ascii="仿宋_GB2312" w:eastAsia="仿宋_GB2312" w:cs="仿宋_GB2312"/>
          <w:sz w:val="32"/>
          <w:szCs w:val="32"/>
        </w:rPr>
        <w:t>22年1月接待四川财经职业学校交流政府采购评审专家培训工作餐费 0.12万元；</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2022年4月接待天府新区信息职业学院人才培养交流活动餐费0.21万元</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kern w:val="0"/>
          <w:sz w:val="32"/>
          <w:szCs w:val="32"/>
        </w:rPr>
        <w:t>2022年6月接待天府航空旅游职业学院和成都四际餐饮公司交流实习学生工作餐费0.1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万元</w:t>
      </w:r>
      <w:r>
        <w:rPr>
          <w:rFonts w:hint="eastAsia" w:ascii="仿宋_GB2312"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361" w:firstLineChars="113"/>
        <w:textAlignment w:val="auto"/>
        <w:rPr>
          <w:rFonts w:hint="eastAsia" w:ascii="仿宋_GB2312" w:eastAsia="仿宋_GB2312" w:cs="仿宋_GB2312"/>
          <w:kern w:val="2"/>
          <w:sz w:val="32"/>
          <w:szCs w:val="32"/>
          <w:lang w:eastAsia="zh-CN" w:bidi="ar-SA"/>
        </w:rPr>
      </w:pPr>
      <w:r>
        <w:rPr>
          <w:rFonts w:hint="eastAsia" w:ascii="仿宋_GB2312" w:eastAsia="仿宋_GB2312" w:cs="仿宋_GB2312"/>
          <w:kern w:val="2"/>
          <w:sz w:val="32"/>
          <w:szCs w:val="32"/>
          <w:lang w:eastAsia="zh-CN" w:bidi="ar-SA"/>
        </w:rPr>
        <w:t>开放大学</w:t>
      </w:r>
    </w:p>
    <w:p>
      <w:pPr>
        <w:pStyle w:val="2"/>
        <w:keepNext w:val="0"/>
        <w:keepLines w:val="0"/>
        <w:pageBreakBefore w:val="0"/>
        <w:widowControl w:val="0"/>
        <w:kinsoku/>
        <w:wordWrap/>
        <w:overflowPunct/>
        <w:topLinePunct w:val="0"/>
        <w:autoSpaceDE/>
        <w:autoSpaceDN/>
        <w:bidi w:val="0"/>
        <w:adjustRightInd/>
        <w:spacing w:before="93" w:beforeLines="0" w:line="600" w:lineRule="exact"/>
        <w:ind w:firstLine="361" w:firstLineChars="113"/>
        <w:textAlignment w:val="auto"/>
        <w:rPr>
          <w:rFonts w:hint="eastAsia"/>
          <w:sz w:val="32"/>
          <w:szCs w:val="32"/>
        </w:rPr>
      </w:pPr>
      <w:r>
        <w:rPr>
          <w:rFonts w:hint="eastAsia" w:ascii="仿宋_GB2312" w:eastAsia="仿宋_GB2312" w:cs="仿宋_GB2312"/>
          <w:kern w:val="2"/>
          <w:sz w:val="32"/>
          <w:szCs w:val="32"/>
          <w:lang w:val="en-US" w:eastAsia="zh-CN" w:bidi="ar-SA"/>
        </w:rPr>
        <w:t>1.接待乐山广播电视大学社区教育考察交流人员10人，支出0.13万元；2.接待参加2022春系统工作会暨招生工作会各分校领导和工作人员共计8人，支出0.18万元；3.接待会理分校送2021秋期末考试试卷人员2人，支出0.04万</w:t>
      </w:r>
      <w:r>
        <w:rPr>
          <w:rFonts w:hint="eastAsia"/>
          <w:sz w:val="32"/>
          <w:szCs w:val="32"/>
        </w:rPr>
        <w:t>元</w:t>
      </w:r>
      <w:r>
        <w:rPr>
          <w:rFonts w:hint="eastAsia"/>
          <w:sz w:val="32"/>
          <w:szCs w:val="32"/>
          <w:lang w:eastAsia="zh-CN"/>
        </w:rPr>
        <w:t>；</w:t>
      </w:r>
      <w:r>
        <w:rPr>
          <w:rFonts w:hint="eastAsia"/>
          <w:sz w:val="32"/>
          <w:szCs w:val="32"/>
        </w:rPr>
        <w:t>4.  接待米易分校上交中专照片、领取学籍档案人员3人，支出0.04万元</w:t>
      </w:r>
      <w:r>
        <w:rPr>
          <w:rFonts w:hint="eastAsia"/>
          <w:sz w:val="32"/>
          <w:szCs w:val="32"/>
          <w:lang w:eastAsia="zh-CN"/>
        </w:rPr>
        <w:t>；</w:t>
      </w:r>
      <w:r>
        <w:rPr>
          <w:rFonts w:hint="eastAsia"/>
          <w:sz w:val="32"/>
          <w:szCs w:val="32"/>
        </w:rPr>
        <w:t>5.接待米易分校上报2022春国开新生数据人员2人，支出</w:t>
      </w:r>
      <w:r>
        <w:rPr>
          <w:sz w:val="32"/>
          <w:szCs w:val="32"/>
        </w:rPr>
        <w:t>0.0</w:t>
      </w:r>
      <w:r>
        <w:rPr>
          <w:rFonts w:hint="eastAsia"/>
          <w:sz w:val="32"/>
          <w:szCs w:val="32"/>
        </w:rPr>
        <w:t>3万元</w:t>
      </w:r>
      <w:r>
        <w:rPr>
          <w:rFonts w:hint="eastAsia"/>
          <w:sz w:val="32"/>
          <w:szCs w:val="32"/>
          <w:lang w:eastAsia="zh-CN"/>
        </w:rPr>
        <w:t>；</w:t>
      </w:r>
      <w:r>
        <w:rPr>
          <w:rFonts w:hint="eastAsia"/>
          <w:sz w:val="32"/>
          <w:szCs w:val="32"/>
        </w:rPr>
        <w:t>6.接待四川开放大学招生调研领导1人，支出</w:t>
      </w:r>
      <w:r>
        <w:rPr>
          <w:sz w:val="32"/>
          <w:szCs w:val="32"/>
        </w:rPr>
        <w:t>0.0</w:t>
      </w:r>
      <w:r>
        <w:rPr>
          <w:rFonts w:hint="eastAsia"/>
          <w:sz w:val="32"/>
          <w:szCs w:val="32"/>
        </w:rPr>
        <w:t>2万元</w:t>
      </w:r>
      <w:r>
        <w:rPr>
          <w:rFonts w:hint="eastAsia"/>
          <w:sz w:val="32"/>
          <w:szCs w:val="32"/>
          <w:lang w:eastAsia="zh-CN"/>
        </w:rPr>
        <w:t>；</w:t>
      </w:r>
      <w:r>
        <w:rPr>
          <w:rFonts w:hint="eastAsia"/>
          <w:sz w:val="32"/>
          <w:szCs w:val="32"/>
        </w:rPr>
        <w:t>7.接待会理分校领取2022春期末考试试卷人员3人，支出0.07万元。</w:t>
      </w:r>
    </w:p>
    <w:p>
      <w:pPr>
        <w:pStyle w:val="2"/>
        <w:keepNext w:val="0"/>
        <w:keepLines w:val="0"/>
        <w:pageBreakBefore w:val="0"/>
        <w:widowControl w:val="0"/>
        <w:kinsoku/>
        <w:wordWrap/>
        <w:overflowPunct/>
        <w:topLinePunct w:val="0"/>
        <w:autoSpaceDE/>
        <w:autoSpaceDN/>
        <w:bidi w:val="0"/>
        <w:adjustRightInd/>
        <w:spacing w:before="93" w:beforeLines="0" w:line="600" w:lineRule="exact"/>
        <w:ind w:firstLine="361" w:firstLineChars="113"/>
        <w:textAlignment w:val="auto"/>
        <w:rPr>
          <w:rFonts w:hint="eastAsia"/>
          <w:sz w:val="32"/>
          <w:szCs w:val="32"/>
          <w:lang w:eastAsia="zh-CN"/>
        </w:rPr>
      </w:pPr>
      <w:r>
        <w:rPr>
          <w:rFonts w:hint="eastAsia"/>
          <w:sz w:val="32"/>
          <w:szCs w:val="32"/>
          <w:lang w:eastAsia="zh-CN"/>
        </w:rPr>
        <w:t>市体育场馆中心</w:t>
      </w:r>
    </w:p>
    <w:p>
      <w:pPr>
        <w:pStyle w:val="2"/>
        <w:numPr>
          <w:ilvl w:val="0"/>
          <w:numId w:val="0"/>
        </w:numPr>
        <w:rPr>
          <w:rFonts w:hint="default"/>
          <w:lang w:val="en-US" w:eastAsia="zh-CN"/>
        </w:rPr>
      </w:pPr>
      <w:r>
        <w:rPr>
          <w:rFonts w:hint="eastAsia"/>
          <w:sz w:val="32"/>
          <w:szCs w:val="32"/>
          <w:lang w:val="en-US" w:eastAsia="zh-CN"/>
        </w:rPr>
        <w:t>1.</w:t>
      </w:r>
      <w:r>
        <w:rPr>
          <w:rFonts w:hint="eastAsia"/>
          <w:sz w:val="32"/>
          <w:szCs w:val="32"/>
        </w:rPr>
        <w:t>接待省体育局游泳振兴工作组来攀调研——游泳项目实地考察，接待金额0.15万元；</w:t>
      </w:r>
      <w:r>
        <w:rPr>
          <w:rFonts w:hint="eastAsia"/>
          <w:sz w:val="32"/>
          <w:szCs w:val="32"/>
          <w:lang w:val="en-US" w:eastAsia="zh-CN"/>
        </w:rPr>
        <w:t>2.</w:t>
      </w:r>
      <w:r>
        <w:rPr>
          <w:rFonts w:hint="eastAsia"/>
          <w:sz w:val="32"/>
          <w:szCs w:val="32"/>
        </w:rPr>
        <w:t>接待四川省体育局“关于攀枝花市、凉山州开展专项调研工作”，接待金额0.08万元。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4" w:name="_Toc15396610"/>
      <w:bookmarkStart w:id="45" w:name="_Toc15377218"/>
    </w:p>
    <w:p>
      <w:pPr>
        <w:spacing w:line="600" w:lineRule="exact"/>
        <w:ind w:firstLine="640"/>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856.67</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31"/>
          <w:rFonts w:ascii="黑体" w:hAnsi="黑体" w:eastAsia="黑体"/>
          <w:b w:val="0"/>
        </w:rPr>
      </w:pPr>
      <w:bookmarkStart w:id="46" w:name="_Toc15377219"/>
      <w:bookmarkStart w:id="47" w:name="_Toc15396611"/>
      <w:r>
        <w:rPr>
          <w:rStyle w:val="31"/>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31"/>
          <w:rFonts w:ascii="黑体" w:hAnsi="黑体" w:eastAsia="黑体"/>
          <w:b w:val="0"/>
        </w:rPr>
      </w:pPr>
      <w:bookmarkStart w:id="48" w:name="_Toc15396612"/>
      <w:bookmarkStart w:id="49" w:name="_Toc15377221"/>
      <w:r>
        <w:rPr>
          <w:rStyle w:val="31"/>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市教育和体育局直属系统</w:t>
      </w:r>
      <w:r>
        <w:rPr>
          <w:rFonts w:hint="eastAsia" w:ascii="仿宋_GB2312" w:eastAsia="仿宋_GB2312"/>
          <w:sz w:val="32"/>
          <w:szCs w:val="32"/>
        </w:rPr>
        <w:t>机关运行经费支出</w:t>
      </w:r>
      <w:r>
        <w:rPr>
          <w:rFonts w:hint="eastAsia" w:ascii="仿宋_GB2312" w:eastAsia="仿宋_GB2312"/>
          <w:sz w:val="32"/>
          <w:szCs w:val="32"/>
          <w:lang w:val="en-US" w:eastAsia="zh-CN"/>
        </w:rPr>
        <w:t>157.25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68.43</w:t>
      </w:r>
      <w:r>
        <w:rPr>
          <w:rFonts w:hint="eastAsia" w:ascii="仿宋_GB2312" w:eastAsia="仿宋_GB2312"/>
          <w:sz w:val="32"/>
          <w:szCs w:val="32"/>
        </w:rPr>
        <w:t>万元，下降</w:t>
      </w:r>
      <w:r>
        <w:rPr>
          <w:rFonts w:hint="eastAsia" w:ascii="仿宋_GB2312" w:eastAsia="仿宋_GB2312"/>
          <w:sz w:val="32"/>
          <w:szCs w:val="32"/>
          <w:lang w:val="en-US" w:eastAsia="zh-CN"/>
        </w:rPr>
        <w:t>30.32</w:t>
      </w:r>
      <w:r>
        <w:rPr>
          <w:rFonts w:ascii="仿宋_GB2312" w:eastAsia="仿宋_GB2312"/>
          <w:sz w:val="32"/>
          <w:szCs w:val="32"/>
        </w:rPr>
        <w:t>%</w:t>
      </w:r>
      <w:r>
        <w:rPr>
          <w:rFonts w:hint="eastAsia" w:ascii="仿宋_GB2312" w:eastAsia="仿宋_GB2312"/>
          <w:sz w:val="32"/>
          <w:szCs w:val="32"/>
        </w:rPr>
        <w:t>。主要原因是市教育和体育局直属系统严格执行中央八项规定和省、市十项规定以及《党政机关厉行节约反对浪费条例》等相关文件要求，厉行节约，反对浪费</w:t>
      </w:r>
      <w:r>
        <w:rPr>
          <w:rFonts w:hint="eastAsia" w:ascii="仿宋_GB2312" w:eastAsia="仿宋_GB2312"/>
          <w:sz w:val="32"/>
          <w:szCs w:val="32"/>
          <w:lang w:eastAsia="zh-CN"/>
        </w:rPr>
        <w:t>，压缩公用经费开支</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市教育和体育局直属系统</w:t>
      </w:r>
      <w:r>
        <w:rPr>
          <w:rFonts w:hint="eastAsia" w:ascii="仿宋_GB2312" w:eastAsia="仿宋_GB2312"/>
          <w:sz w:val="32"/>
          <w:szCs w:val="32"/>
        </w:rPr>
        <w:t>政府采购支出总额</w:t>
      </w:r>
      <w:r>
        <w:rPr>
          <w:rFonts w:hint="eastAsia" w:ascii="仿宋_GB2312" w:eastAsia="仿宋_GB2312"/>
          <w:sz w:val="32"/>
          <w:szCs w:val="32"/>
          <w:lang w:val="en-US" w:eastAsia="zh-CN"/>
        </w:rPr>
        <w:t>1866.4</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615.85</w:t>
      </w:r>
      <w:r>
        <w:rPr>
          <w:rFonts w:hint="eastAsia" w:ascii="仿宋_GB2312" w:eastAsia="仿宋_GB2312"/>
          <w:sz w:val="32"/>
          <w:szCs w:val="32"/>
        </w:rPr>
        <w:t>万元、政府采购工程支出</w:t>
      </w:r>
      <w:r>
        <w:rPr>
          <w:rFonts w:hint="eastAsia" w:ascii="仿宋_GB2312" w:eastAsia="仿宋_GB2312"/>
          <w:sz w:val="32"/>
          <w:szCs w:val="32"/>
          <w:lang w:val="en-US" w:eastAsia="zh-CN"/>
        </w:rPr>
        <w:t>786.07</w:t>
      </w:r>
      <w:r>
        <w:rPr>
          <w:rFonts w:hint="eastAsia" w:ascii="仿宋_GB2312" w:eastAsia="仿宋_GB2312"/>
          <w:sz w:val="32"/>
          <w:szCs w:val="32"/>
        </w:rPr>
        <w:t>万元、政府采购服务支出</w:t>
      </w:r>
      <w:r>
        <w:rPr>
          <w:rFonts w:hint="eastAsia" w:ascii="仿宋_GB2312" w:eastAsia="仿宋_GB2312"/>
          <w:sz w:val="32"/>
          <w:szCs w:val="32"/>
          <w:lang w:val="en-US" w:eastAsia="zh-CN"/>
        </w:rPr>
        <w:t>464.49</w:t>
      </w:r>
      <w:r>
        <w:rPr>
          <w:rFonts w:hint="eastAsia" w:ascii="仿宋_GB2312" w:eastAsia="仿宋_GB2312"/>
          <w:sz w:val="32"/>
          <w:szCs w:val="32"/>
        </w:rPr>
        <w:t>元。主要用于</w:t>
      </w:r>
      <w:r>
        <w:rPr>
          <w:rFonts w:hint="eastAsia" w:ascii="仿宋_GB2312" w:eastAsia="仿宋_GB2312" w:cs="仿宋_GB2312"/>
          <w:color w:val="000000" w:themeColor="text1"/>
          <w:sz w:val="32"/>
          <w:szCs w:val="32"/>
          <w14:textFill>
            <w14:solidFill>
              <w14:schemeClr w14:val="tx1"/>
            </w14:solidFill>
          </w14:textFill>
        </w:rPr>
        <w:t>电脑、桌椅、广播器材、体育用品等用品采购，校园监控系统、</w:t>
      </w:r>
      <w:r>
        <w:rPr>
          <w:rFonts w:hint="eastAsia" w:ascii="仿宋_GB2312" w:eastAsia="仿宋_GB2312"/>
          <w:color w:val="000000" w:themeColor="text1"/>
          <w:sz w:val="32"/>
          <w:szCs w:val="32"/>
          <w14:textFill>
            <w14:solidFill>
              <w14:schemeClr w14:val="tx1"/>
            </w14:solidFill>
          </w14:textFill>
        </w:rPr>
        <w:t>电力线路</w:t>
      </w:r>
      <w:r>
        <w:rPr>
          <w:rFonts w:hint="eastAsia" w:ascii="仿宋_GB2312" w:eastAsia="仿宋_GB2312" w:cs="仿宋_GB2312"/>
          <w:color w:val="000000" w:themeColor="text1"/>
          <w:sz w:val="32"/>
          <w:szCs w:val="32"/>
          <w14:textFill>
            <w14:solidFill>
              <w14:schemeClr w14:val="tx1"/>
            </w14:solidFill>
          </w14:textFill>
        </w:rPr>
        <w:t>、改造工程、楼房修缮等服务和工程</w:t>
      </w:r>
      <w:r>
        <w:rPr>
          <w:rFonts w:hint="eastAsia" w:ascii="仿宋_GB2312" w:eastAsia="仿宋_GB2312"/>
          <w:sz w:val="32"/>
          <w:szCs w:val="32"/>
        </w:rPr>
        <w:t>。授予中小企业合同金额</w:t>
      </w:r>
      <w:r>
        <w:rPr>
          <w:rFonts w:hint="eastAsia" w:ascii="仿宋_GB2312" w:eastAsia="仿宋_GB2312"/>
          <w:sz w:val="32"/>
          <w:szCs w:val="32"/>
          <w:lang w:val="en-US" w:eastAsia="zh-CN"/>
        </w:rPr>
        <w:t>1287.35</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68.98</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1287.35</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68.98</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市教育和体育局直属系统</w:t>
      </w:r>
      <w:r>
        <w:rPr>
          <w:rFonts w:hint="eastAsia" w:ascii="仿宋_GB2312" w:eastAsia="仿宋_GB2312"/>
          <w:sz w:val="32"/>
          <w:szCs w:val="32"/>
        </w:rPr>
        <w:t>共有车辆</w:t>
      </w:r>
      <w:r>
        <w:rPr>
          <w:rFonts w:hint="eastAsia" w:ascii="仿宋_GB2312" w:eastAsia="仿宋_GB2312"/>
          <w:sz w:val="32"/>
          <w:szCs w:val="32"/>
          <w:lang w:val="en-US" w:eastAsia="zh-CN"/>
        </w:rPr>
        <w:t>46</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45</w:t>
      </w:r>
      <w:r>
        <w:rPr>
          <w:rFonts w:hint="eastAsia" w:ascii="仿宋_GB2312" w:eastAsia="仿宋_GB2312"/>
          <w:sz w:val="32"/>
          <w:szCs w:val="32"/>
        </w:rPr>
        <w:t>辆，其他用车主要是用于</w:t>
      </w:r>
      <w:r>
        <w:rPr>
          <w:rFonts w:hint="eastAsia" w:ascii="仿宋_GB2312" w:eastAsia="仿宋_GB2312" w:cs="仿宋_GB2312"/>
          <w:color w:val="auto"/>
          <w:sz w:val="32"/>
          <w:szCs w:val="32"/>
        </w:rPr>
        <w:t>事业单位日常公务使用，汽车专业教育教学和通勤</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1</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根据预算绩效管理要求，本部门在2022年度预算编制阶段，组织对普通高中教育补助经费项目</w:t>
      </w:r>
      <w:r>
        <w:rPr>
          <w:rFonts w:hint="eastAsia" w:ascii="仿宋_GB2312" w:hAnsi="仿宋_GB2312" w:eastAsia="仿宋_GB2312" w:cs="仿宋_GB2312"/>
          <w:sz w:val="32"/>
          <w:szCs w:val="32"/>
          <w:lang w:eastAsia="zh-CN"/>
        </w:rPr>
        <w:t>、援藏援彝干部人才补助及“三区”人才计划教师专项补助项目、暖心工程、全民健身补短板工程</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个项目开展绩效监控。</w:t>
      </w:r>
    </w:p>
    <w:p>
      <w:pPr>
        <w:spacing w:line="560" w:lineRule="exact"/>
        <w:ind w:firstLine="640" w:firstLineChars="200"/>
        <w:rPr>
          <w:rFonts w:ascii="Times New Roman" w:hAnsi="Times New Roman" w:eastAsia="仿宋_GB2312" w:cs="Times New Roman"/>
          <w:sz w:val="32"/>
          <w:szCs w:val="32"/>
          <w:lang w:bidi="ar-SA"/>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市教育和体育局</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eastAsia="zh-CN"/>
        </w:rPr>
        <w:t>教育附加专项、体彩公益金</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市教育和体育局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分，绩效自评综述：</w:t>
      </w:r>
      <w:r>
        <w:rPr>
          <w:rFonts w:ascii="Times New Roman" w:hAnsi="Times New Roman" w:eastAsia="仿宋_GB2312" w:cs="Times New Roman"/>
          <w:sz w:val="32"/>
          <w:szCs w:val="32"/>
          <w:lang w:bidi="ar-SA"/>
        </w:rPr>
        <w:t>一是基础教育水平稳步攀升。着力推进公办及普惠性幼儿园建设，规范幼儿园办学行为，保教质量进一步提升。促进普惠性民办幼儿园发展，发放普惠性民办幼儿园专项奖补资金524万元。严格落实“双减”政策，学生作业负担和校外培训负担全面减轻；参与课后服务的学生占比 99.06%；学科类校外培训机构从113 所压减至 6 所，压减率 94.7%，居全省前列。市七中和盐边中学合作办学，迈出县中振兴计划的第一步。2022年高考取得优异成绩，高考上线水平保持全省第一方阵。各类院校本科批次共录取我市考生5637人，比2021年增加 243人，高考录取水平保持全省第三。深入推进我市高中阶段教育改革发展，提供更加公平优质的高中阶段教育。</w:t>
      </w:r>
    </w:p>
    <w:p>
      <w:pPr>
        <w:spacing w:line="560" w:lineRule="exact"/>
        <w:ind w:firstLine="640" w:firstLineChars="200"/>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二是职业教育水平持续优化。坚持“职业技能+文化素质”协同并进，学生就业质量高。2022年，全市中职毕业生4292人，参加各类高考达3091人，共上线2778人。其中，普通高考本科上线96人，专科上线2712人，其中高职单招上线1684人。中职落实直接就业1164人，就业率98.29%,“9+3”毕业生就业率达到 100%。深入实施“1+X”证书制度试点，“学历证书+职业技能等级证书”融合培养模式得以深化。持续做好5个省级示范（特色）专业建设工作，市经贸校成为省级五星中职名校立项建设单位，市建校、技师学院成为省级四星级中职名校立项建设单位。市建筑工程学校申报为中德先进职业教育合作项目（SGAVE）首批试点院校。</w:t>
      </w:r>
    </w:p>
    <w:p>
      <w:pPr>
        <w:pStyle w:val="7"/>
        <w:spacing w:line="560" w:lineRule="exact"/>
        <w:jc w:val="both"/>
        <w:rPr>
          <w:rFonts w:ascii="Times New Roman" w:hAnsi="Times New Roman" w:eastAsia="仿宋_GB2312" w:cs="Times New Roman"/>
          <w:lang w:bidi="ar-SA"/>
        </w:rPr>
      </w:pPr>
      <w:r>
        <w:rPr>
          <w:rFonts w:ascii="Times New Roman" w:hAnsi="Times New Roman" w:eastAsia="仿宋_GB2312" w:cs="Times New Roman"/>
          <w:lang w:bidi="ar-SA"/>
        </w:rPr>
        <w:t>三是教师队伍建设不断加强。全市入选四川省第三批中小学名师工作室领衔人1人、成员26人。3名教师获评首届四川省“四有”好老师，3个集体被授予四川省体育系统先进集体，8名个人被授予四川省体育系统先进个人。认定四川省骨干教师104人，评选攀枝花市市级学科带头人118人、市级骨干教师677人，县级学科带头人83人、县级骨干教师155人。评选表扬攀枝花市第十批模范校长、优秀教师20人，各类模范、优秀教师和教育工作者491人。做好木里教育帮扶，通过送培送教、巡诊课堂、高三诊断、片区教研帮扶的成果展示等活动，培训教师和学生2531人次。制定《攀枝花市教育人才集聚支持实施细则》，吸引人才服务教育，为人才心无旁骛干事创业提供政策保障。</w:t>
      </w:r>
    </w:p>
    <w:p>
      <w:pPr>
        <w:pStyle w:val="7"/>
        <w:spacing w:line="560" w:lineRule="exact"/>
        <w:jc w:val="both"/>
        <w:rPr>
          <w:rFonts w:ascii="Times New Roman" w:hAnsi="Times New Roman" w:eastAsia="仿宋_GB2312" w:cs="Times New Roman"/>
          <w:lang w:bidi="ar-SA"/>
        </w:rPr>
      </w:pPr>
      <w:r>
        <w:rPr>
          <w:rFonts w:ascii="Times New Roman" w:hAnsi="Times New Roman" w:eastAsia="仿宋_GB2312" w:cs="Times New Roman"/>
          <w:lang w:bidi="ar-SA"/>
        </w:rPr>
        <w:t>四是教育保障能力显著提高。实施基础教育学校布局调整项目，2022年改扩建学校15个，新（扩）建校舍3.8万平方米，体育运动场地2万平方米。其中，安排公办幼儿园项目3个，中小学教学楼项目1个，综合楼项目4个，学生食堂和宿舍项目6个，体育运动场项目1个。落实城乡义务教育经费保障机制，对随迁子女按标准核定公用经费补助，保障2.6万名随迁子女入学。为5.77万名义务教育学生提供膳食补助，为1.9万名义务教育阶段家庭经济困难学生提供生活费补助，为0.52万名家庭经济困难普通高中学生发放助学金，减免非民族自治地区2.39万名幼儿保教费。</w:t>
      </w:r>
    </w:p>
    <w:p>
      <w:pPr>
        <w:spacing w:line="560" w:lineRule="exact"/>
        <w:ind w:firstLine="640" w:firstLineChars="200"/>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五是竞技体育取得新成绩。在四川省第十四届运动会上我市体育代表团取得28金24银30铜全省排名第9的优异成绩，体教融合贡献奖全省排名第5，实现了运动成绩和精神文明双丰收。参加四川省“三大球”城市联赛，女子篮球取得全省第3，女子足球进入全省前八强。成功承办了四川省第十四届运动会棒球、垒球、皮划艇激流回旋比赛。举办攀枝花市第四十一届中小学校暨中等职业学校学生田径运动会。授予思源实验学校、仁和新视窗全民健身活动中心、弗尼顿幼儿园游泳项目后备人才基地称号、市三十六中小跆拳道项目后备人才基地称号。四川省田径运动管理中心命名市十五中为田径基地校。</w:t>
      </w:r>
    </w:p>
    <w:p>
      <w:pPr>
        <w:spacing w:line="560" w:lineRule="exact"/>
        <w:ind w:firstLine="640" w:firstLineChars="200"/>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六是群众体育迈上新台阶。积极推动全民健身，把体育赛事办到群众身边，举办攀枝花市“三大球”城市联赛、2022年攀枝花市“百城千乡万村•社区”系列赛事活动等全民健身赛事活动，实现市、县区、乡镇三级联动办赛，四级联动实施。全市公共体育场馆今年累计服务群众137万人次。市民健康体育公园、“山水鞠”足球公园、市板式网球场、市体育馆改扩建工程建成投入使用。市民族体育馆的升级改造启动。东华山山地体育公园已完成一期工程示范段建设，6.8公里复合绿道及“钢的亭”观景台、“城市之眼”穹顶花园、“伴山咖啡”等景观节点力争年底开放。</w:t>
      </w:r>
    </w:p>
    <w:p>
      <w:pPr>
        <w:spacing w:line="560" w:lineRule="exact"/>
        <w:ind w:firstLine="640" w:firstLineChars="200"/>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七是体育产业呈现新气象。“三大球”振兴工作走在全省前列，得到省委、省政府和国家体育总局领导充分肯定。编制《全市体育场地设施分布图》，全市各级各类体育场地共3220个，人均体育场地面积2.07平方米。其中“三大球”场地总数为1148个，足球场101个，篮球场984个，排球场63个。全市体育类个体经营户329家、法人单位140家。今年共吸引国内外各级各项目80支运动队伍近2600人次来攀冬夏训，竞训服务业带来直接消费近3000万元。全市体彩网点231个，体育彩票销售额达到2.1亿元，市场份额占65.1%。</w:t>
      </w:r>
    </w:p>
    <w:p>
      <w:pPr>
        <w:ind w:firstLine="640" w:firstLineChars="200"/>
        <w:rPr>
          <w:rFonts w:hint="eastAsia" w:ascii="仿宋_GB2312" w:hAnsi="方正仿宋_GBK" w:eastAsia="仿宋_GB2312" w:cs="方正仿宋_GBK"/>
          <w:color w:val="auto"/>
          <w:sz w:val="32"/>
          <w:szCs w:val="32"/>
        </w:rPr>
      </w:pPr>
      <w:r>
        <w:rPr>
          <w:rFonts w:hint="eastAsia" w:ascii="仿宋_GB2312" w:hAnsi="仿宋_GB2312" w:eastAsia="仿宋_GB2312" w:cs="仿宋_GB2312"/>
          <w:sz w:val="32"/>
          <w:szCs w:val="32"/>
        </w:rPr>
        <w:t>现代职业教育质量提升计划资金专项预算项目绩效自评得分为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分，绩效自评综述：</w:t>
      </w:r>
      <w:r>
        <w:rPr>
          <w:rFonts w:hint="eastAsia" w:ascii="仿宋_GB2312" w:hAnsi="方正仿宋_GBK" w:eastAsia="仿宋_GB2312" w:cs="方正仿宋_GBK"/>
          <w:color w:val="auto"/>
          <w:sz w:val="32"/>
          <w:szCs w:val="32"/>
        </w:rPr>
        <w:t>调整完善学校专业建设指导委员会，修订学校专业动态调整管理实施办法，指导专业建设，审核通过学校17个人培方案修订稿；制定修订《校企共建实训基地实施办法》《校内实训基地管理办法》《校外实训基地管理办法》《实训设备档案管理制度》等制度；规范校内实训设备管理，建立设备电子台帐和基地档案。</w:t>
      </w:r>
    </w:p>
    <w:p>
      <w:pPr>
        <w:ind w:firstLine="640" w:firstLineChars="200"/>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完善计算机应用、会计事务、中餐烹饪、汽车制造与检测等4个特色优势专业的调研报告、建设规划；建成VR虚拟体验中心和20项虚拟仿真实训项目；专业数字化教学资源达到1T，完成技能考核题库试卷100套，承接市级技能竞赛5项；对社会文化艺术专业体育、舞蹈、工艺美术专业实训基地建设开展调研报告、建设规划；开展作物生产技术，旅游服务与管理，高星级饭店运营与管理、电子技术应用等专业实训基地升级改造论证、规划，促进学校专业建设与国家战略紧密结合，专业建设与地方经济对接更加有效，多学科专业发展更加协调，产教融合更加深入。</w:t>
      </w:r>
    </w:p>
    <w:p>
      <w:pPr>
        <w:adjustRightInd w:val="0"/>
        <w:snapToGrid w:val="0"/>
        <w:spacing w:line="560" w:lineRule="exact"/>
        <w:ind w:firstLine="720"/>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制定“一贯通、三融入、四能力”课程体系实施方案；制定了学校教研活动管理办法，提高教研活动成效；推进现代学徒制试点工作，现有计算机应用专业42人次现代学徒制学生；制定《教材征订编制管理办法》，确定了10本新型教材建设计划，主编或参与编写十四五省级规划教材3本；预计年底修订完成10门专业核心课程标准；制定教学资源库完善计划，预计本年度完成20门在线课程教学资源建设。</w:t>
      </w:r>
    </w:p>
    <w:p>
      <w:pPr>
        <w:ind w:firstLine="640" w:firstLineChars="200"/>
        <w:rPr>
          <w:rFonts w:hint="eastAsia"/>
          <w:lang w:val="zh-CN"/>
        </w:rPr>
      </w:pPr>
      <w:r>
        <w:rPr>
          <w:rFonts w:hint="eastAsia" w:ascii="仿宋_GB2312" w:hAnsi="方正仿宋_GBK" w:eastAsia="仿宋_GB2312" w:cs="方正仿宋_GBK"/>
          <w:color w:val="auto"/>
          <w:sz w:val="32"/>
          <w:szCs w:val="32"/>
        </w:rPr>
        <w:t>服务区域经济发展，打造区域性技能培训中心。服务攀枝花特色农业开展攀果栽培、菌类培育等培训；结合攀枝花大力发展的阳光康养、清洁能源产业开展烹饪、酒店、康养、物联网、新能源汽车项目培训，承接农村基层干部政务礼仪培训方案；承接盐边餐饮名店名菜升级建设指导工作，指导盐边名菜评选；继续推进“1+X”证书试点和技能等级认定工作。积极开展“1+X”证书试点专业师资培养，目前具有“1+X”证书培养资质和能力的教师18名，共有8证书培养项目。本年度目前“1+X”证书考核通过率为96.67%，较上年95.93%有所提升。技能等级认定577人次。</w:t>
      </w:r>
    </w:p>
    <w:p>
      <w:pPr>
        <w:widowControl/>
        <w:jc w:val="left"/>
        <w:rPr>
          <w:rFonts w:ascii="仿宋_GB2312" w:eastAsia="仿宋_GB2312"/>
          <w:b/>
          <w:sz w:val="32"/>
          <w:szCs w:val="32"/>
        </w:rPr>
      </w:pPr>
      <w:r>
        <w:rPr>
          <w:rFonts w:hint="eastAsia" w:ascii="仿宋_GB2312" w:hAnsi="仿宋_GB2312" w:eastAsia="仿宋_GB2312" w:cs="仿宋_GB2312"/>
          <w:sz w:val="32"/>
          <w:szCs w:val="32"/>
        </w:rPr>
        <w:t>绩效自评报告详见附件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30"/>
          <w:rFonts w:ascii="黑体" w:hAnsi="黑体" w:eastAsia="黑体"/>
          <w:b w:val="0"/>
        </w:rPr>
      </w:pPr>
      <w:bookmarkStart w:id="53" w:name="_Toc15396613"/>
      <w:bookmarkStart w:id="54" w:name="_Toc15377225"/>
      <w:r>
        <w:rPr>
          <w:rFonts w:hint="eastAsia" w:ascii="黑体" w:hAnsi="黑体" w:eastAsia="黑体"/>
          <w:sz w:val="44"/>
          <w:szCs w:val="44"/>
        </w:rPr>
        <w:t>名</w:t>
      </w:r>
      <w:r>
        <w:rPr>
          <w:rStyle w:val="30"/>
          <w:rFonts w:hint="eastAsia" w:ascii="黑体" w:hAnsi="黑体" w:eastAsia="黑体"/>
          <w:b w:val="0"/>
        </w:rPr>
        <w:t>词解释</w:t>
      </w:r>
      <w:bookmarkEnd w:id="53"/>
      <w:bookmarkEnd w:id="54"/>
    </w:p>
    <w:p>
      <w:pPr>
        <w:spacing w:line="600" w:lineRule="exact"/>
        <w:jc w:val="left"/>
        <w:rPr>
          <w:rFonts w:ascii="宋体"/>
          <w:b/>
          <w:sz w:val="44"/>
          <w:szCs w:val="44"/>
        </w:rPr>
      </w:pPr>
    </w:p>
    <w:p>
      <w:pPr>
        <w:widowControl/>
        <w:spacing w:line="560" w:lineRule="exact"/>
        <w:ind w:firstLine="660"/>
        <w:rPr>
          <w:rFonts w:ascii="仿宋_GB2312" w:eastAsia="仿宋_GB2312"/>
          <w:sz w:val="32"/>
          <w:szCs w:val="32"/>
        </w:rPr>
      </w:pPr>
      <w:bookmarkStart w:id="55" w:name="_Toc15377226"/>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其他收入：指单位取得的除上述收入以外的各项收入。主要是利息收入、除财政外其他相关单位拨款等。</w:t>
      </w:r>
      <w:r>
        <w:rPr>
          <w:rFonts w:ascii="仿宋_GB2312" w:eastAsia="仿宋_GB2312" w:cs="仿宋_GB2312"/>
          <w:sz w:val="32"/>
          <w:szCs w:val="32"/>
        </w:rPr>
        <w:t xml:space="preserve"> </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年初结转和结余：指以前年度尚未完成、结转到本年按有关规定继续使用的资金。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年末结转和结余：指单位按有关规定结转到下年或以后年度继续使用的资金。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教育管理事务（款）其他教育管理事务支出（项）：指其他用于教育管理事务方面的支出。教育（类）普通教育（款）学前教育（项）：指各部门举办的学前教育支出。教育（类）普通教育（款）初中教育（项）指</w:t>
      </w:r>
      <w:r>
        <w:rPr>
          <w:rFonts w:ascii="仿宋_GB2312" w:eastAsia="仿宋_GB2312" w:cs="仿宋_GB2312"/>
          <w:sz w:val="32"/>
          <w:szCs w:val="32"/>
        </w:rPr>
        <w:t xml:space="preserve">: </w:t>
      </w:r>
      <w:r>
        <w:rPr>
          <w:rFonts w:hint="eastAsia" w:ascii="仿宋_GB2312" w:eastAsia="仿宋_GB2312" w:cs="仿宋_GB2312"/>
          <w:sz w:val="32"/>
          <w:szCs w:val="32"/>
        </w:rPr>
        <w:t>教育类普通教育款初中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等专业学校的支出。教育支出（类）职业教育（款）其他职业教育支出（项）：指其他用于职业教育方面的支出。教育支出（类）广播电视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支出（项）</w:t>
      </w:r>
      <w:r>
        <w:rPr>
          <w:rFonts w:ascii="仿宋_GB2312" w:eastAsia="仿宋_GB2312" w:cs="仿宋_GB2312"/>
          <w:sz w:val="32"/>
          <w:szCs w:val="32"/>
        </w:rPr>
        <w:t>:</w:t>
      </w:r>
      <w:r>
        <w:rPr>
          <w:rFonts w:hint="eastAsia" w:ascii="仿宋_GB2312" w:eastAsia="仿宋_GB2312" w:cs="仿宋_GB2312"/>
          <w:sz w:val="32"/>
          <w:szCs w:val="32"/>
        </w:rPr>
        <w:t>反映除农村中小学校舍建设、农村中小学教学设施、城市中小学校舍建设、城市中小学教学设施、中等职业学校教学设施以外的教育费附加支出。教育（类）其他教育支出（款）其他教育支出（项）：其他用于教育方面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文化体育与传媒（类）体育（款）行政运行（项）：指反映行政单位（包括实行公务员管理的事业单位）体育方面的基本支出。文化体育与传媒（类）体育（款）一般行政管理事务（项）：指反映行政单位（包括实行公务员管理的事业单位）未单独设置项级科目的其他项目支出。文化体育与传媒（类）体育（款）体育竞赛（项）：反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类）体育（款）其他体育支出（项）：指反映除上述项目以外的其他体育方面的支出。文化体育与传媒（类）其他文化体育与传媒支出（款）其他文化体育与传媒支出（项）：指反映除上述项目以外的其他文化体育与传媒方面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社会保障和就业（类）人力资源和社会保障管理事务（款）其他人力资源和社会保障管理事务支出（项）</w:t>
      </w:r>
      <w:r>
        <w:rPr>
          <w:rFonts w:ascii="仿宋_GB2312" w:eastAsia="仿宋_GB2312" w:cs="仿宋_GB2312"/>
          <w:sz w:val="32"/>
          <w:szCs w:val="32"/>
        </w:rPr>
        <w:t>:</w:t>
      </w:r>
      <w:r>
        <w:rPr>
          <w:rFonts w:hint="eastAsia" w:ascii="仿宋_GB2312" w:eastAsia="仿宋_GB2312" w:cs="仿宋_GB2312"/>
          <w:sz w:val="32"/>
          <w:szCs w:val="32"/>
        </w:rPr>
        <w:t>其他用于人力资源和社会保障管理事务方面的支出。社会保障和就业（类）行政事业单位离退休（款）未归口管理的行政事业单位离退休（项）</w:t>
      </w:r>
      <w:r>
        <w:rPr>
          <w:rFonts w:ascii="仿宋_GB2312" w:eastAsia="仿宋_GB2312" w:cs="仿宋_GB2312"/>
          <w:sz w:val="32"/>
          <w:szCs w:val="32"/>
        </w:rPr>
        <w:t>:</w:t>
      </w:r>
      <w:r>
        <w:rPr>
          <w:rFonts w:hint="eastAsia" w:ascii="仿宋_GB2312" w:eastAsia="仿宋_GB2312" w:cs="仿宋_GB2312"/>
          <w:sz w:val="32"/>
          <w:szCs w:val="32"/>
        </w:rPr>
        <w:t>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社会保障和就业（类）抚恤（款）死亡抚恤（项）：反映按规定用于烈士和牺牲、病故人员家属的一次性和定期抚恤金以及丧葬补助费。社会保障和就业（类）社会福利（款）儿童福利（项）：反映对儿童提供福利服务方面的支出。社会保障和就业（类）残疾人事业（款）残疾人就业和扶贫（项）：反映残疾人联合会用于残疾人就业和扶贫等方面的工作。</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医疗卫生与计划生育支出（类）公共卫生（款）重大公共卫生专项（项）：反映重大疾病预防控制等重大公共卫生服务项目支出。医疗卫生与计划生育支出（类）医疗保障（款）其他医疗保障支出（项）：其他用于医疗保障方面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城乡社区支出（类）国有土地使用权出让收入及对应专项债务收入安排的支出（款）城市建设支出（项）：反映土地出让收入用于完善国有土地使用功能的配套设施建设和城市基础设施建设支出。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比列为职工缴纳的住房公积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其他支出（类）彩票公益金及对应专项债务收入安排的支出（款）用于体育事业的彩票公益金支出（项）：反映用于体育事业的彩票公益金支出。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年末结转和结余指单位按有关规定结转到下年或以后年度继续使用的资金。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基本支出：指为保障机构正常运转、完成日常工作任务而发生的人员支出和公用支出。</w:t>
      </w:r>
    </w:p>
    <w:p>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项目支出：指在基本支出之外为完成特定行政任务和事业发展目标所发生的支出。</w:t>
      </w:r>
      <w:r>
        <w:rPr>
          <w:rFonts w:ascii="仿宋_GB2312" w:eastAsia="仿宋_GB2312" w:cs="仿宋_GB2312"/>
          <w:sz w:val="32"/>
          <w:szCs w:val="32"/>
        </w:rPr>
        <w:t xml:space="preserve"> </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16.</w:t>
      </w:r>
      <w:r>
        <w:rPr>
          <w:rFonts w:ascii="仿宋_GB2312" w:eastAsia="仿宋_GB2312"/>
          <w:sz w:val="32"/>
          <w:szCs w:val="32"/>
        </w:rPr>
        <w:t>“</w:t>
      </w:r>
      <w:r>
        <w:rPr>
          <w:rFonts w:hint="eastAsia" w:ascii="仿宋_GB2312" w:eastAsia="仿宋_GB2312" w:cs="仿宋_GB2312"/>
          <w:sz w:val="32"/>
          <w:szCs w:val="32"/>
        </w:rPr>
        <w:t>三公</w:t>
      </w:r>
      <w:r>
        <w:rPr>
          <w:rFonts w:ascii="仿宋_GB2312" w:eastAsia="仿宋_GB2312"/>
          <w:sz w:val="32"/>
          <w:szCs w:val="32"/>
        </w:rPr>
        <w:t>”</w:t>
      </w:r>
      <w:r>
        <w:rPr>
          <w:rFonts w:hint="eastAsia" w:ascii="仿宋_GB2312" w:eastAsia="仿宋_GB2312" w:cs="仿宋_GB2312"/>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line="560" w:lineRule="exact"/>
        <w:ind w:firstLine="660"/>
        <w:rPr>
          <w:rFonts w:ascii="仿宋" w:hAnsi="仿宋" w:eastAsia="仿宋"/>
          <w:b/>
          <w:sz w:val="32"/>
          <w:szCs w:val="32"/>
        </w:rPr>
      </w:pPr>
      <w:r>
        <w:rPr>
          <w:rFonts w:ascii="仿宋_GB2312" w:eastAsia="仿宋_GB2312" w:cs="仿宋_GB2312"/>
          <w:sz w:val="32"/>
          <w:szCs w:val="32"/>
        </w:rPr>
        <w:t>17.</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0"/>
          <w:rFonts w:ascii="黑体" w:hAnsi="黑体" w:eastAsia="黑体"/>
          <w:b w:val="0"/>
        </w:rPr>
      </w:pPr>
      <w:r>
        <w:rPr>
          <w:rFonts w:ascii="宋体"/>
          <w:b/>
          <w:sz w:val="44"/>
          <w:szCs w:val="44"/>
        </w:rPr>
        <w:br w:type="page"/>
      </w:r>
      <w:bookmarkStart w:id="56" w:name="_Toc15396614"/>
      <w:r>
        <w:rPr>
          <w:rFonts w:hint="eastAsia" w:ascii="黑体" w:hAnsi="黑体" w:eastAsia="黑体"/>
          <w:sz w:val="44"/>
          <w:szCs w:val="44"/>
        </w:rPr>
        <w:t>第</w:t>
      </w:r>
      <w:r>
        <w:rPr>
          <w:rStyle w:val="30"/>
          <w:rFonts w:hint="eastAsia" w:ascii="黑体" w:hAnsi="黑体" w:eastAsia="黑体"/>
          <w:b w:val="0"/>
        </w:rPr>
        <w:t>四部分 附件</w:t>
      </w:r>
      <w:bookmarkEnd w:id="56"/>
    </w:p>
    <w:p>
      <w:pPr>
        <w:spacing w:line="572" w:lineRule="exact"/>
        <w:jc w:val="left"/>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w:t>
      </w:r>
      <w:r>
        <w:rPr>
          <w:rFonts w:hint="eastAsia" w:ascii="宋体" w:hAnsi="宋体"/>
          <w:b/>
          <w:sz w:val="32"/>
          <w:szCs w:val="32"/>
          <w:shd w:val="clear" w:color="auto" w:fill="FFFFFF"/>
          <w:lang w:eastAsia="zh-CN"/>
        </w:rPr>
        <w:t>市</w:t>
      </w:r>
      <w:r>
        <w:rPr>
          <w:rFonts w:hint="eastAsia" w:ascii="宋体" w:hAnsi="宋体"/>
          <w:b/>
          <w:sz w:val="32"/>
          <w:szCs w:val="32"/>
          <w:shd w:val="clear" w:color="auto" w:fill="FFFFFF"/>
        </w:rPr>
        <w:t>级部门整体绩效评价报告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pStyle w:val="10"/>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一、部门概况</w:t>
      </w:r>
    </w:p>
    <w:p>
      <w:pPr>
        <w:pStyle w:val="1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（一）机构组成</w:t>
      </w:r>
    </w:p>
    <w:p>
      <w:pPr>
        <w:pStyle w:val="1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内设科室：办公室、政策法规与综合改革科（行政审批与民办教育科）、计划基建财务科、审计科、基础教育科（民族教育科、市语言文字工作委员会办公室）、职业成人高等教育科（民族地区免费中职教育办公室）、教育督导委员会办公室、体育产业科、学校后勤管理与学生资助科、学校思想政治教育科、学校体育卫生艺术教育科（学校国防军训办公室）、竞赛训练科、社会体育科、校外监管科、安全管理科、党工委办公室（统战科、组织干部科）、人事科（离退休人员管理科）共17个内设科室。</w:t>
      </w:r>
    </w:p>
    <w:p>
      <w:pPr>
        <w:pStyle w:val="10"/>
        <w:spacing w:line="60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（一）机构职能</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1.贯彻执行国家和省有关教育体育工作的方针、政策和法律、法规，研究制定有关贯彻意见并组织实施。</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3.负责义务教育的指导与协调，推进全市义务教育均衡发展和促进教育公平。指导普通高中教育、学前教育和特殊教育工作。推进基础教育教学改革，全面实施素质教育。</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4.指导基础教育、中等职业教育和成人教育学校开展思想政治、德育、体育卫生与艺术教育、国防教育、心理健康教育、安全和稳定工作。</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5.指导职业教育发展与改革，组织实施民族地区免费中等职业教育工作。完成省里下达的藏（彝）区学生“9+3”免费职业教育任务。</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6.综合管理全市成人教育和广播电视教育及扫除青壮年文盲工作，协调普通高等教育发展。</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7.负责全市教育督导工作。负责组织对中等及以下各级各类教育、广播电视教育以及扫除青壮年文盲工作的督导检查和评估考核工作；开展基础教育发展水平和质量监测工作。</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8.负责本部门教育体育经费的统筹管理。会同有关部门制定筹措教育体育经费、拨款、基建投资的政策和措施，协助有关部门做好教育体育拨款的筹集、拨付工作；监督全市教育体育经费的筹措和使用情况；指导国（境）外教育体育援助、贷款和合作项目的执行。负责普通高校生源地信用助学贷款工作，完善贫困学生资助管理体系。</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9.指导少数民族教育工作，协调对少数民族地区的教育援助。</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10.统筹规划、综合管理全市民办教育，规范民办教育办学秩序，促进民办教育事业健康发展。</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11.负责全市中小学校教师队伍建设和教育体育系统干部队伍建设工作；组织和指导县（区）域内义务教育学校校长教师交流轮岗工作，推进义务教育教师“县管校用”管理制度改革。</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12.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13.贯彻执行国家语言文字的方针政策，拟订语言文字工作中长期规划和工作计划，指导普通话推广和普通话师资培训工作，承担市语言文字工作委员会的具体工作。</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14.指导教育体育系统对外交流与合作，负责全市中小学出国留学人员和教育体育系统来攀外籍教师、教练、专家及留学人员的有关管理工作。</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15.管理、指导大中专招生和自学考试工作；制定中小学和中等职业学校招生计划并组织实施。</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16.统筹规划全市群众体育发展。负责推行全民健身计划，监督实施国家体育锻炼标准，承担全市国民体质监测和社会体育指导工作队伍制度建设；指导公共体育设施的建设，负责对公共体育设施的管理。</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17.统筹规划全市竞技体育发展。指导体育训练、体育竞赛和运动员队伍建设；组织和统筹参加省级以上综合运动会，负责组织协调市级综合性运动会的竞赛工作，协调运动员社会保障工作。</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18.统筹规划全市青少年体育发展。指导和管理学校体育工作；制定全市学校体育、青少年业余训练的规划和工作意见，并负责组织实施、督促和检查。</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19.指导全市学校后勤改革和体育产业发展，负责全市学校后勤和体育产业管理。拟定全市体育产业发展政策、措施，规范体育服务管理，推动体育标准化建设；协助管理全市体育彩票市场。</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20.指导教育体育科研、技术攻关及成果推广工作；负责组织、监督全市体育运动中的反兴奋剂工作。</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21.负责指导、检查、督促全市学校安全管理工作。</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22.承担市政府公布的有关行政审批事项。</w:t>
      </w:r>
    </w:p>
    <w:p>
      <w:pPr>
        <w:widowControl/>
        <w:shd w:val="clear" w:color="auto" w:fill="FFFFFF"/>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23.承办市政府交办的其他事项。</w:t>
      </w:r>
    </w:p>
    <w:p>
      <w:pPr>
        <w:pStyle w:val="1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（三）人员概况</w:t>
      </w:r>
    </w:p>
    <w:p>
      <w:pPr>
        <w:pStyle w:val="1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rPr>
        <w:t>截止2022年12月31日，年末在职机关公务员45人，机关工人</w:t>
      </w:r>
      <w:r>
        <w:rPr>
          <w:rFonts w:ascii="Times New Roman" w:hAnsi="Times New Roman" w:eastAsia="仿宋_GB2312"/>
          <w:spacing w:val="-6"/>
          <w:sz w:val="32"/>
          <w:szCs w:val="32"/>
        </w:rPr>
        <w:t>4人，攀委办90号聘用人员4人。</w:t>
      </w:r>
    </w:p>
    <w:p>
      <w:pPr>
        <w:pStyle w:val="10"/>
        <w:spacing w:line="60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二、部门财政资金收支情况</w:t>
      </w:r>
    </w:p>
    <w:p>
      <w:pPr>
        <w:widowControl/>
        <w:adjustRightInd w:val="0"/>
        <w:snapToGrid w:val="0"/>
        <w:spacing w:line="580" w:lineRule="exact"/>
        <w:ind w:firstLine="640" w:firstLineChars="200"/>
        <w:contextualSpacing/>
        <w:jc w:val="left"/>
        <w:rPr>
          <w:rFonts w:ascii="Times New Roman" w:hAnsi="Times New Roman" w:eastAsia="仿宋_GB2312"/>
          <w:kern w:val="0"/>
          <w:sz w:val="32"/>
          <w:szCs w:val="32"/>
        </w:rPr>
      </w:pPr>
      <w:r>
        <w:rPr>
          <w:rFonts w:ascii="Times New Roman" w:hAnsi="Times New Roman" w:eastAsia="仿宋_GB2312"/>
          <w:kern w:val="0"/>
          <w:sz w:val="32"/>
          <w:szCs w:val="32"/>
          <w:lang w:val="zh-CN" w:eastAsia="zh-CN"/>
        </w:rPr>
        <w:t>（一）部门财政资金收入情况</w:t>
      </w:r>
    </w:p>
    <w:p>
      <w:pPr>
        <w:widowControl/>
        <w:adjustRightInd w:val="0"/>
        <w:snapToGrid w:val="0"/>
        <w:spacing w:line="580" w:lineRule="exact"/>
        <w:ind w:firstLine="640" w:firstLineChars="200"/>
        <w:contextualSpacing/>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2022年财政资金收入</w:t>
      </w:r>
      <w:r>
        <w:rPr>
          <w:rFonts w:ascii="Times New Roman" w:hAnsi="Times New Roman" w:eastAsia="仿宋_GB2312"/>
          <w:kern w:val="0"/>
          <w:sz w:val="32"/>
          <w:szCs w:val="32"/>
        </w:rPr>
        <w:t>2896.26</w:t>
      </w:r>
      <w:r>
        <w:rPr>
          <w:rFonts w:hint="eastAsia" w:ascii="Times New Roman" w:hAnsi="Times New Roman" w:eastAsia="仿宋_GB2312"/>
          <w:kern w:val="0"/>
          <w:sz w:val="32"/>
          <w:szCs w:val="32"/>
        </w:rPr>
        <w:t>万元，其中基本支出</w:t>
      </w:r>
      <w:r>
        <w:rPr>
          <w:rFonts w:ascii="Times New Roman" w:hAnsi="Times New Roman" w:eastAsia="仿宋_GB2312"/>
          <w:kern w:val="0"/>
          <w:sz w:val="32"/>
          <w:szCs w:val="32"/>
        </w:rPr>
        <w:t>收入1697.72</w:t>
      </w:r>
      <w:r>
        <w:rPr>
          <w:rFonts w:hint="eastAsia" w:ascii="Times New Roman" w:hAnsi="Times New Roman" w:eastAsia="仿宋_GB2312"/>
          <w:kern w:val="0"/>
          <w:sz w:val="32"/>
          <w:szCs w:val="32"/>
        </w:rPr>
        <w:t>万元，项目支出</w:t>
      </w:r>
      <w:r>
        <w:rPr>
          <w:rFonts w:ascii="Times New Roman" w:hAnsi="Times New Roman" w:eastAsia="仿宋_GB2312"/>
          <w:kern w:val="0"/>
          <w:sz w:val="32"/>
          <w:szCs w:val="32"/>
        </w:rPr>
        <w:t>收入1198.54</w:t>
      </w:r>
      <w:r>
        <w:rPr>
          <w:rFonts w:hint="eastAsia" w:ascii="Times New Roman" w:hAnsi="Times New Roman" w:eastAsia="仿宋_GB2312"/>
          <w:kern w:val="0"/>
          <w:sz w:val="32"/>
          <w:szCs w:val="32"/>
        </w:rPr>
        <w:t>万元。</w:t>
      </w:r>
    </w:p>
    <w:p>
      <w:pPr>
        <w:widowControl/>
        <w:adjustRightInd w:val="0"/>
        <w:snapToGrid w:val="0"/>
        <w:spacing w:line="580" w:lineRule="exact"/>
        <w:ind w:left="420" w:leftChars="200"/>
        <w:contextualSpacing/>
        <w:jc w:val="left"/>
        <w:rPr>
          <w:rFonts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w:t>
      </w:r>
      <w:r>
        <w:rPr>
          <w:rFonts w:hint="eastAsia" w:ascii="Times New Roman" w:hAnsi="Times New Roman" w:eastAsia="仿宋_GB2312"/>
          <w:kern w:val="0"/>
          <w:sz w:val="32"/>
          <w:szCs w:val="32"/>
        </w:rPr>
        <w:t>二）</w:t>
      </w:r>
      <w:r>
        <w:rPr>
          <w:rFonts w:ascii="Times New Roman" w:hAnsi="Times New Roman" w:eastAsia="仿宋_GB2312"/>
          <w:kern w:val="0"/>
          <w:sz w:val="32"/>
          <w:szCs w:val="32"/>
          <w:lang w:val="zh-CN" w:eastAsia="zh-CN"/>
        </w:rPr>
        <w:t>部门财政资金支出情况。</w:t>
      </w:r>
    </w:p>
    <w:p>
      <w:pPr>
        <w:widowControl/>
        <w:adjustRightInd w:val="0"/>
        <w:snapToGrid w:val="0"/>
        <w:spacing w:line="580" w:lineRule="exact"/>
        <w:ind w:firstLine="640" w:firstLineChars="200"/>
        <w:contextualSpacing/>
        <w:jc w:val="left"/>
        <w:rPr>
          <w:rFonts w:ascii="Times New Roman" w:hAnsi="Times New Roman" w:eastAsia="仿宋_GB2312"/>
          <w:kern w:val="0"/>
          <w:sz w:val="32"/>
          <w:szCs w:val="32"/>
          <w:lang w:val="zh-CN" w:eastAsia="zh-CN"/>
        </w:rPr>
      </w:pPr>
      <w:r>
        <w:rPr>
          <w:rFonts w:hint="eastAsia" w:ascii="Times New Roman" w:hAnsi="Times New Roman" w:eastAsia="仿宋_GB2312"/>
          <w:kern w:val="0"/>
          <w:sz w:val="32"/>
          <w:szCs w:val="32"/>
        </w:rPr>
        <w:t>2022年财政资金支出</w:t>
      </w:r>
      <w:r>
        <w:rPr>
          <w:rFonts w:ascii="Times New Roman" w:hAnsi="Times New Roman" w:eastAsia="仿宋_GB2312"/>
          <w:kern w:val="0"/>
          <w:sz w:val="32"/>
          <w:szCs w:val="32"/>
        </w:rPr>
        <w:t>2896.26</w:t>
      </w:r>
      <w:r>
        <w:rPr>
          <w:rFonts w:hint="eastAsia" w:ascii="Times New Roman" w:hAnsi="Times New Roman" w:eastAsia="仿宋_GB2312"/>
          <w:kern w:val="0"/>
          <w:sz w:val="32"/>
          <w:szCs w:val="32"/>
        </w:rPr>
        <w:t>万元，其中基本支出7647.49万元，项目支出1685.42万元。</w:t>
      </w:r>
    </w:p>
    <w:p>
      <w:pPr>
        <w:pStyle w:val="10"/>
        <w:spacing w:line="600" w:lineRule="exact"/>
        <w:ind w:firstLine="640" w:firstLineChars="200"/>
        <w:jc w:val="left"/>
        <w:rPr>
          <w:rFonts w:ascii="Times New Roman" w:hAnsi="Times New Roman" w:eastAsia="楷体"/>
          <w:sz w:val="32"/>
          <w:szCs w:val="32"/>
        </w:rPr>
      </w:pPr>
      <w:r>
        <w:rPr>
          <w:rFonts w:ascii="Times New Roman" w:hAnsi="Times New Roman" w:eastAsia="黑体"/>
          <w:sz w:val="32"/>
          <w:szCs w:val="32"/>
        </w:rPr>
        <w:t>三、部门整体预算绩效管理情况</w:t>
      </w:r>
    </w:p>
    <w:p>
      <w:pPr>
        <w:widowControl/>
        <w:adjustRightInd w:val="0"/>
        <w:snapToGrid w:val="0"/>
        <w:spacing w:line="580" w:lineRule="exact"/>
        <w:ind w:firstLine="640" w:firstLineChars="200"/>
        <w:contextualSpacing/>
        <w:jc w:val="left"/>
        <w:rPr>
          <w:rFonts w:hint="eastAsia" w:ascii="仿宋_GB2312" w:eastAsia="仿宋_GB2312" w:cs="宋体"/>
          <w:sz w:val="32"/>
          <w:szCs w:val="32"/>
          <w:lang w:bidi="ar-SA"/>
        </w:rPr>
      </w:pPr>
      <w:r>
        <w:rPr>
          <w:rFonts w:hint="eastAsia" w:ascii="仿宋_GB2312" w:eastAsia="仿宋_GB2312" w:cs="宋体"/>
          <w:sz w:val="32"/>
          <w:szCs w:val="32"/>
          <w:lang w:bidi="ar-SA"/>
        </w:rPr>
        <w:t>（一）部门预算项目绩效管理。</w:t>
      </w:r>
    </w:p>
    <w:p>
      <w:pPr>
        <w:spacing w:line="560" w:lineRule="exact"/>
        <w:ind w:firstLine="707" w:firstLineChars="221"/>
        <w:rPr>
          <w:rFonts w:hint="eastAsia" w:ascii="仿宋_GB2312" w:eastAsia="仿宋_GB2312" w:cs="宋体"/>
          <w:sz w:val="32"/>
          <w:szCs w:val="32"/>
          <w:lang w:val="zh-CN" w:eastAsia="zh-CN" w:bidi="ar-SA"/>
        </w:rPr>
      </w:pPr>
      <w:r>
        <w:rPr>
          <w:rFonts w:hint="eastAsia" w:ascii="仿宋_GB2312" w:eastAsia="仿宋_GB2312" w:cs="宋体"/>
          <w:sz w:val="32"/>
          <w:szCs w:val="32"/>
          <w:lang w:bidi="ar-SA"/>
        </w:rPr>
        <w:t>财政拨款支出主要用于保障我单位正常运转、完成日常工作任务以及承担教育体育事业发展相关工作。制定的每个绩效目标</w:t>
      </w:r>
      <w:r>
        <w:rPr>
          <w:rFonts w:hint="eastAsia" w:ascii="仿宋_GB2312" w:eastAsia="仿宋_GB2312" w:cs="宋体"/>
          <w:sz w:val="32"/>
          <w:szCs w:val="32"/>
          <w:lang w:val="zh-CN" w:eastAsia="zh-CN" w:bidi="ar-SA"/>
        </w:rPr>
        <w:t>要素完整、细化量化并集体决策。</w:t>
      </w:r>
    </w:p>
    <w:p>
      <w:pPr>
        <w:spacing w:line="560" w:lineRule="exact"/>
        <w:ind w:firstLine="707" w:firstLineChars="221"/>
        <w:rPr>
          <w:rFonts w:hint="eastAsia" w:ascii="仿宋_GB2312" w:eastAsia="仿宋_GB2312" w:cs="宋体"/>
          <w:sz w:val="32"/>
          <w:szCs w:val="32"/>
          <w:lang w:bidi="ar-SA"/>
        </w:rPr>
      </w:pPr>
      <w:r>
        <w:rPr>
          <w:rFonts w:hint="eastAsia" w:ascii="仿宋_GB2312" w:eastAsia="仿宋_GB2312" w:cs="宋体"/>
          <w:sz w:val="32"/>
          <w:szCs w:val="32"/>
          <w:lang w:bidi="ar-SA"/>
        </w:rPr>
        <w:t xml:space="preserve">预算配置科学。一是预算编制科学，部门预算按照合法合规，真实科学；综合预算，统筹安排；规划约束，讲求绩效；人员优先，确保重点的基本原则编制。二是基本支出足额保障。三是确保重点支出安排。四是严控“三公经费”支出。 </w:t>
      </w:r>
    </w:p>
    <w:p>
      <w:pPr>
        <w:spacing w:line="560" w:lineRule="exact"/>
        <w:ind w:firstLine="707" w:firstLineChars="221"/>
        <w:rPr>
          <w:rFonts w:hint="eastAsia" w:ascii="仿宋_GB2312" w:eastAsia="仿宋_GB2312" w:cs="宋体"/>
          <w:sz w:val="32"/>
          <w:szCs w:val="32"/>
          <w:lang w:bidi="ar-SA"/>
        </w:rPr>
      </w:pPr>
      <w:r>
        <w:rPr>
          <w:rFonts w:hint="eastAsia" w:ascii="仿宋_GB2312" w:eastAsia="仿宋_GB2312" w:cs="宋体"/>
          <w:sz w:val="32"/>
          <w:szCs w:val="32"/>
          <w:lang w:bidi="ar-SA"/>
        </w:rPr>
        <w:t>预算执行有效。一是严格预算执行。二是严控结转结余。三是项目组织良好，项目组织机构健全、职责明确；项目实施严格按照项目管理要求、项目质量要求、项目实施计划等有序组织开展。四是“三公经费”节支增效。</w:t>
      </w:r>
    </w:p>
    <w:p>
      <w:pPr>
        <w:pStyle w:val="2"/>
        <w:spacing w:line="560" w:lineRule="exact"/>
        <w:ind w:firstLine="640" w:firstLineChars="200"/>
        <w:rPr>
          <w:rFonts w:hint="eastAsia" w:cs="宋体"/>
          <w:kern w:val="2"/>
          <w:sz w:val="32"/>
          <w:szCs w:val="32"/>
          <w:lang w:bidi="ar-SA"/>
        </w:rPr>
      </w:pPr>
      <w:r>
        <w:rPr>
          <w:rFonts w:hint="eastAsia" w:cs="宋体"/>
          <w:kern w:val="2"/>
          <w:sz w:val="32"/>
          <w:szCs w:val="32"/>
          <w:lang w:bidi="ar-SA"/>
        </w:rPr>
        <w:t>预算管理规范。一是管理制度健全，已制定内部财务管理制度，制度合法、合规、完整，制度得到有效执行。二是信息公开及时完整，预算决算严格按照规定时限公开。</w:t>
      </w:r>
    </w:p>
    <w:p>
      <w:pPr>
        <w:spacing w:line="560" w:lineRule="exact"/>
        <w:ind w:firstLine="640" w:firstLineChars="200"/>
        <w:rPr>
          <w:rFonts w:ascii="Times New Roman" w:hAnsi="Times New Roman" w:eastAsia="仿宋_GB2312" w:cs="Times New Roman"/>
          <w:sz w:val="32"/>
          <w:szCs w:val="32"/>
          <w:lang w:bidi="ar-SA"/>
        </w:rPr>
      </w:pPr>
      <w:r>
        <w:rPr>
          <w:rFonts w:hint="eastAsia" w:ascii="仿宋_GB2312" w:eastAsia="仿宋_GB2312" w:cs="宋体"/>
          <w:sz w:val="32"/>
          <w:szCs w:val="32"/>
          <w:lang w:val="zh-CN" w:eastAsia="zh-CN" w:bidi="ar-SA"/>
        </w:rPr>
        <w:t>目标实现：</w:t>
      </w:r>
      <w:r>
        <w:rPr>
          <w:rFonts w:ascii="Times New Roman" w:hAnsi="Times New Roman" w:eastAsia="仿宋_GB2312" w:cs="Times New Roman"/>
          <w:sz w:val="32"/>
          <w:szCs w:val="32"/>
          <w:lang w:bidi="ar-SA"/>
        </w:rPr>
        <w:t>一是基础教育水平稳步攀升。着力推进公办及普惠性幼儿园建设，规范幼儿园办学行为，保教质量进一步提升。促进普惠性民办幼儿园发展，发放普惠性民办幼儿园专项奖补资金524万元。严格落实“双减”政策，学生作业负担和校外培训负担全面减轻；参与课后服务的学生占比 99.06%；学科类校外培训机构从113 所压减至 6 所，压减率 94.7%，居全省前列。市七中和盐边中学合作办学，迈出县中振兴计划的第一步。2022年高考取得优异成绩，高考上线水平保持全省第一方阵。各类院校本科批次共录取我市考生5637人，比2021年增加 243人，高考录取水平保持全省第三。深入推进我市高中阶段教育改革发展，提供更加公平优质的高中阶段教育。</w:t>
      </w:r>
    </w:p>
    <w:p>
      <w:pPr>
        <w:spacing w:line="560" w:lineRule="exact"/>
        <w:ind w:firstLine="640" w:firstLineChars="200"/>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二是职业教育水平持续优化。坚持“职业技能+文化素质”协同并进，学生就业质量高。2022年，全市中职毕业生4292人，参加各类高考达3091人，共上线2778人。其中，普通高考本科上线96人，专科上线2712人，其中高职单招上线1684人。中职落实直接就业1164人，就业率98.29%,“9+3”毕业生就业率达到 100%。深入实施“1+X”证书制度试点，“学历证书+职业技能等级证书”融合培养模式得以深化。持续做好5个省级示范（特色）专业建设工作，市经贸校成为省级五星中职名校立项建设单位，市建校、技师学院成为省级四星级中职名校立项建设单位。市建筑工程学校申报为中德先进职业教育合作项目（SGAVE）首批试点院校。</w:t>
      </w:r>
    </w:p>
    <w:p>
      <w:pPr>
        <w:pStyle w:val="7"/>
        <w:spacing w:line="560" w:lineRule="exact"/>
        <w:jc w:val="both"/>
        <w:rPr>
          <w:rFonts w:ascii="Times New Roman" w:hAnsi="Times New Roman" w:eastAsia="仿宋_GB2312" w:cs="Times New Roman"/>
          <w:lang w:bidi="ar-SA"/>
        </w:rPr>
      </w:pPr>
      <w:r>
        <w:rPr>
          <w:rFonts w:ascii="Times New Roman" w:hAnsi="Times New Roman" w:eastAsia="仿宋_GB2312" w:cs="Times New Roman"/>
          <w:lang w:bidi="ar-SA"/>
        </w:rPr>
        <w:t>三是教师队伍建设不断加强。全市入选四川省第三批中小学名师工作室领衔人1人、成员26人。3名教师获评首届四川省“四有”好老师，3个集体被授予四川省体育系统先进集体，8名个人被授予四川省体育系统先进个人。认定四川省骨干教师104人，评选攀枝花市市级学科带头人118人、市级骨干教师677人，县级学科带头人83人、县级骨干教师155人。评选表扬攀枝花市第十批模范校长、优秀教师20人，各类模范、优秀教师和教育工作者491人。做好木里教育帮扶，通过送培送教、巡诊课堂、高三诊断、片区教研帮扶的成果展示等活动，培训教师和学生2531人次。制定《攀枝花市教育人才集聚支持实施细则》，吸引人才服务教育，为人才心无旁骛干事创业提供政策保障。</w:t>
      </w:r>
    </w:p>
    <w:p>
      <w:pPr>
        <w:pStyle w:val="7"/>
        <w:spacing w:line="560" w:lineRule="exact"/>
        <w:jc w:val="both"/>
        <w:rPr>
          <w:rFonts w:ascii="Times New Roman" w:hAnsi="Times New Roman" w:eastAsia="仿宋_GB2312" w:cs="Times New Roman"/>
          <w:lang w:bidi="ar-SA"/>
        </w:rPr>
      </w:pPr>
      <w:r>
        <w:rPr>
          <w:rFonts w:ascii="Times New Roman" w:hAnsi="Times New Roman" w:eastAsia="仿宋_GB2312" w:cs="Times New Roman"/>
          <w:lang w:bidi="ar-SA"/>
        </w:rPr>
        <w:t>四是教育保障能力显著提高。实施基础教育学校布局调整项目，2022年改扩建学校15个，新（扩）建校舍3.8万平方米，体育运动场地2万平方米。其中，安排公办幼儿园项目3个，中小学教学楼项目1个，综合楼项目4个，学生食堂和宿舍项目6个，体育运动场项目1个。落实城乡义务教育经费保障机制，对随迁子女按标准核定公用经费补助，保障2.6万名随迁子女入学。为5.77万名义务教育学生提供膳食补助，为1.9万名义务教育阶段家庭经济困难学生提供生活费补助，为0.52万名家庭经济困难普通高中学生发放助学金，减免非民族自治地区2.39万名幼儿保教费。</w:t>
      </w:r>
    </w:p>
    <w:p>
      <w:pPr>
        <w:spacing w:line="560" w:lineRule="exact"/>
        <w:ind w:firstLine="640" w:firstLineChars="200"/>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五是竞技体育取得新成绩。在四川省第十四届运动会上我市体育代表团取得28金24银30铜全省排名第9的优异成绩，体教融合贡献奖全省排名第5，实现了运动成绩和精神文明双丰收。参加四川省“三大球”城市联赛，女子篮球取得全省第3，女子足球进入全省前八强。成功承办了四川省第十四届运动会棒球、垒球、皮划艇激流回旋比赛。举办攀枝花市第四十一届中小学校暨中等职业学校学生田径运动会。授予思源实验学校、仁和新视窗全民健身活动中心、弗尼顿幼儿园游泳项目后备人才基地称号、市三十六中小跆拳道项目后备人才基地称号。四川省田径运动管理中心命名市十五中为田径基地校。</w:t>
      </w:r>
    </w:p>
    <w:p>
      <w:pPr>
        <w:spacing w:line="560" w:lineRule="exact"/>
        <w:ind w:firstLine="640" w:firstLineChars="200"/>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六是群众体育迈上新台阶。积极推动全民健身，把体育赛事办到群众身边，举办攀枝花市“三大球”城市联赛、2022年攀枝花市“百城千乡万村•社区”系列赛事活动等全民健身赛事活动，实现市、县区、乡镇三级联动办赛，四级联动实施。全市公共体育场馆今年累计服务群众137万人次。市民健康体育公园、“山水鞠”足球公园、市板式网球场、市体育馆改扩建工程建成投入使用。市民族体育馆的升级改造启动。东华山山地体育公园已完成一期工程示范段建设，6.8公里复合绿道及“钢的亭”观景台、“城市之眼”穹顶花园、“伴山咖啡”等景观节点力争年底开放。</w:t>
      </w:r>
    </w:p>
    <w:p>
      <w:pPr>
        <w:spacing w:line="560" w:lineRule="exact"/>
        <w:ind w:firstLine="640" w:firstLineChars="200"/>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七是体育产业呈现新气象。“三大球”振兴工作走在全省前列，得到省委、省政府和国家体育总局领导充分肯定。编制《全市体育场地设施分布图》，全市各级各类体育场地共3220个，人均体育场地面积2.07平方米。其中“三大球”场地总数为1148个，足球场101个，篮球场984个，排球场63个。全市体育类个体经营户329家、法人单位140家。今年共吸引国内外各级各项目80支运动队伍近2600人次来攀冬夏训，竞训服务业带来直接消费近3000万元。全市体彩网点231个，体育彩票销售额达到2.1亿元，市场份额占65.1%。</w:t>
      </w:r>
    </w:p>
    <w:p>
      <w:pPr>
        <w:widowControl/>
        <w:adjustRightInd w:val="0"/>
        <w:snapToGrid w:val="0"/>
        <w:spacing w:line="580" w:lineRule="exact"/>
        <w:ind w:firstLine="640" w:firstLineChars="200"/>
        <w:contextualSpacing/>
        <w:jc w:val="left"/>
        <w:rPr>
          <w:rFonts w:ascii="Times New Roman" w:hAnsi="Times New Roman" w:eastAsia="仿宋_GB2312"/>
          <w:sz w:val="32"/>
          <w:szCs w:val="32"/>
          <w:lang w:val="zh-CN" w:eastAsia="zh-CN"/>
        </w:rPr>
      </w:pPr>
      <w:r>
        <w:rPr>
          <w:rFonts w:ascii="Times New Roman" w:hAnsi="Times New Roman" w:eastAsia="仿宋_GB2312"/>
          <w:sz w:val="32"/>
          <w:szCs w:val="32"/>
          <w:lang w:val="zh-CN" w:eastAsia="zh-CN"/>
        </w:rPr>
        <w:t>（二）结果应用情况。</w:t>
      </w:r>
    </w:p>
    <w:p>
      <w:pPr>
        <w:widowControl/>
        <w:adjustRightInd w:val="0"/>
        <w:snapToGrid w:val="0"/>
        <w:spacing w:line="580" w:lineRule="exact"/>
        <w:ind w:firstLine="640" w:firstLineChars="200"/>
        <w:contextualSpacing/>
        <w:jc w:val="left"/>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按照上级部门要求，我单位定期统计总体支出情况，完成事前、事中绩效评价，及时调整资金基本支出的管理工作，绩效目标、绩效评价、绩效监控按照规定在相关网站及时准确公开，公开信息内容完整、真实有效。</w:t>
      </w:r>
    </w:p>
    <w:p>
      <w:pPr>
        <w:pStyle w:val="10"/>
        <w:spacing w:line="600" w:lineRule="exact"/>
        <w:ind w:firstLine="640" w:firstLineChars="200"/>
        <w:jc w:val="left"/>
        <w:rPr>
          <w:rFonts w:ascii="Times New Roman" w:hAnsi="Times New Roman" w:eastAsia="仿宋_GB2312"/>
          <w:sz w:val="32"/>
          <w:szCs w:val="32"/>
          <w:lang w:val="zh-CN" w:eastAsia="zh-CN"/>
        </w:rPr>
      </w:pPr>
      <w:r>
        <w:rPr>
          <w:rFonts w:ascii="Times New Roman" w:hAnsi="Times New Roman" w:eastAsia="仿宋_GB2312"/>
          <w:sz w:val="32"/>
          <w:szCs w:val="32"/>
          <w:lang w:val="zh-CN" w:eastAsia="zh-CN"/>
        </w:rPr>
        <w:t>（三）自评质量。</w:t>
      </w:r>
    </w:p>
    <w:p>
      <w:pPr>
        <w:pStyle w:val="10"/>
        <w:spacing w:line="600" w:lineRule="exact"/>
        <w:ind w:firstLine="640" w:firstLineChars="200"/>
        <w:jc w:val="left"/>
        <w:rPr>
          <w:rFonts w:ascii="Times New Roman" w:hAnsi="Times New Roman" w:eastAsia="仿宋_GB2312"/>
          <w:bCs/>
          <w:sz w:val="32"/>
          <w:szCs w:val="32"/>
        </w:rPr>
      </w:pPr>
      <w:r>
        <w:rPr>
          <w:rFonts w:ascii="Times New Roman" w:hAnsi="Times New Roman" w:eastAsia="仿宋_GB2312"/>
          <w:sz w:val="32"/>
          <w:szCs w:val="32"/>
        </w:rPr>
        <w:t>2022年我单位紧紧围绕年度目标任务，团结拼搏，锐意进取，扎实工作，全面完成了各项目标任务。一是单位预算编制准确，部门整体绩效目标编制完整、合理，项目绩效目标编制明确；二是执行预算制度到位，能够严格执行《预算法》和各项财经纪律；三是资金监管到位，资金管理制度较为完善，经费开支按用途使用合理，做到专帐专管,专款专用，支出管理规范；四是帐务核算到位，财务人员持证上岗，会计核算和账务处理规范，会计资料完整</w:t>
      </w:r>
      <w:r>
        <w:rPr>
          <w:rFonts w:ascii="Times New Roman" w:hAnsi="Times New Roman" w:eastAsia="仿宋_GB2312"/>
          <w:bCs/>
          <w:sz w:val="32"/>
          <w:szCs w:val="32"/>
        </w:rPr>
        <w:t>。</w:t>
      </w:r>
    </w:p>
    <w:p>
      <w:pPr>
        <w:widowControl/>
        <w:adjustRightInd w:val="0"/>
        <w:snapToGrid w:val="0"/>
        <w:spacing w:line="580" w:lineRule="exact"/>
        <w:ind w:firstLine="640" w:firstLineChars="200"/>
        <w:contextualSpacing/>
        <w:jc w:val="left"/>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四、评价结论及建议</w:t>
      </w:r>
    </w:p>
    <w:p>
      <w:pPr>
        <w:widowControl/>
        <w:numPr>
          <w:ilvl w:val="0"/>
          <w:numId w:val="5"/>
        </w:numPr>
        <w:adjustRightInd w:val="0"/>
        <w:snapToGrid w:val="0"/>
        <w:spacing w:line="580" w:lineRule="exact"/>
        <w:contextualSpacing/>
        <w:jc w:val="left"/>
        <w:rPr>
          <w:rFonts w:ascii="Times New Roman" w:hAnsi="Times New Roman" w:eastAsia="仿宋_GB2312"/>
          <w:sz w:val="32"/>
          <w:szCs w:val="32"/>
          <w:lang w:val="zh-CN" w:eastAsia="zh-CN"/>
        </w:rPr>
      </w:pPr>
      <w:r>
        <w:rPr>
          <w:rFonts w:ascii="Times New Roman" w:hAnsi="Times New Roman" w:eastAsia="仿宋_GB2312"/>
          <w:sz w:val="32"/>
          <w:szCs w:val="32"/>
          <w:lang w:val="zh-CN" w:eastAsia="zh-CN"/>
        </w:rPr>
        <w:t>评价结论。</w:t>
      </w:r>
    </w:p>
    <w:p>
      <w:pPr>
        <w:spacing w:line="560" w:lineRule="exact"/>
        <w:ind w:firstLine="707" w:firstLineChars="221"/>
        <w:rPr>
          <w:rFonts w:ascii="Times New Roman" w:hAnsi="Times New Roman" w:eastAsia="仿宋_GB2312"/>
          <w:sz w:val="32"/>
          <w:szCs w:val="32"/>
        </w:rPr>
      </w:pPr>
      <w:r>
        <w:rPr>
          <w:rFonts w:hint="eastAsia" w:ascii="Times New Roman" w:hAnsi="Times New Roman" w:eastAsia="仿宋_GB2312"/>
          <w:sz w:val="32"/>
          <w:szCs w:val="32"/>
        </w:rPr>
        <w:t>结合绩效指标完成情况及部门绩效目标实现的综合分析，部门整体支出绩效综合评价为各项指标项基本达到指标要求，部门整体支出绩效管理达到预期效果，自评为“</w:t>
      </w:r>
      <w:r>
        <w:rPr>
          <w:rFonts w:ascii="Times New Roman" w:hAnsi="Times New Roman" w:eastAsia="仿宋_GB2312"/>
          <w:sz w:val="32"/>
          <w:szCs w:val="32"/>
        </w:rPr>
        <w:t>优</w:t>
      </w:r>
      <w:r>
        <w:rPr>
          <w:rFonts w:hint="eastAsia" w:ascii="Times New Roman" w:hAnsi="Times New Roman" w:eastAsia="仿宋_GB2312"/>
          <w:sz w:val="32"/>
          <w:szCs w:val="32"/>
        </w:rPr>
        <w:t>级”</w:t>
      </w:r>
      <w:r>
        <w:rPr>
          <w:rFonts w:ascii="Times New Roman" w:hAnsi="Times New Roman" w:eastAsia="仿宋_GB2312"/>
          <w:sz w:val="32"/>
          <w:szCs w:val="32"/>
        </w:rPr>
        <w:t>。</w:t>
      </w:r>
    </w:p>
    <w:p>
      <w:pPr>
        <w:widowControl/>
        <w:adjustRightInd w:val="0"/>
        <w:snapToGrid w:val="0"/>
        <w:spacing w:line="560" w:lineRule="exact"/>
        <w:ind w:firstLine="640" w:firstLineChars="200"/>
        <w:contextualSpacing/>
        <w:jc w:val="left"/>
        <w:rPr>
          <w:rFonts w:ascii="Times New Roman" w:hAnsi="Times New Roman" w:eastAsia="仿宋_GB2312"/>
          <w:sz w:val="32"/>
          <w:szCs w:val="32"/>
          <w:lang w:val="zh-CN" w:eastAsia="zh-CN"/>
        </w:rPr>
      </w:pPr>
      <w:r>
        <w:rPr>
          <w:rFonts w:ascii="Times New Roman" w:hAnsi="Times New Roman" w:eastAsia="仿宋_GB2312"/>
          <w:sz w:val="32"/>
          <w:szCs w:val="32"/>
          <w:lang w:val="zh-CN" w:eastAsia="zh-CN"/>
        </w:rPr>
        <w:t>（二）存在问题。</w:t>
      </w:r>
    </w:p>
    <w:p>
      <w:pPr>
        <w:spacing w:line="560" w:lineRule="exact"/>
        <w:ind w:firstLine="707" w:firstLineChars="221"/>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五险一金</w:t>
      </w:r>
      <w:r>
        <w:rPr>
          <w:rFonts w:ascii="Times New Roman" w:hAnsi="Times New Roman" w:eastAsia="仿宋_GB2312"/>
          <w:sz w:val="32"/>
          <w:szCs w:val="32"/>
        </w:rPr>
        <w:t>”</w:t>
      </w:r>
      <w:r>
        <w:rPr>
          <w:rFonts w:hint="eastAsia" w:ascii="Times New Roman" w:hAnsi="Times New Roman" w:eastAsia="仿宋_GB2312"/>
          <w:sz w:val="32"/>
          <w:szCs w:val="32"/>
        </w:rPr>
        <w:t>因年初部门预算所采用的基础数据与社保、医保、公积金中心的缴费基数不一致，单位缴费数额大大高于部门预算核定数，垫付资金负担沉重，造成绩效目标偏差。</w:t>
      </w:r>
    </w:p>
    <w:p>
      <w:pPr>
        <w:pStyle w:val="2"/>
        <w:spacing w:line="560" w:lineRule="exact"/>
        <w:ind w:firstLine="480" w:firstLineChars="150"/>
        <w:rPr>
          <w:rFonts w:ascii="Times New Roman" w:hAnsi="Times New Roman"/>
          <w:kern w:val="2"/>
          <w:sz w:val="32"/>
          <w:szCs w:val="32"/>
        </w:rPr>
      </w:pPr>
      <w:r>
        <w:rPr>
          <w:rFonts w:ascii="Times New Roman" w:hAnsi="Times New Roman"/>
          <w:kern w:val="2"/>
          <w:sz w:val="32"/>
          <w:szCs w:val="32"/>
        </w:rPr>
        <w:t>2.由于工作安排的原因，存在部门预算执行进度不均衡，项目资金的使用有“前松后紧”现象</w:t>
      </w:r>
    </w:p>
    <w:p>
      <w:pPr>
        <w:widowControl/>
        <w:adjustRightInd w:val="0"/>
        <w:snapToGrid w:val="0"/>
        <w:spacing w:line="560" w:lineRule="exact"/>
        <w:ind w:firstLine="640" w:firstLineChars="200"/>
        <w:contextualSpacing/>
        <w:jc w:val="left"/>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（三）改进建议。</w:t>
      </w:r>
    </w:p>
    <w:p>
      <w:pPr>
        <w:pStyle w:val="1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color w:val="000000"/>
          <w:kern w:val="0"/>
          <w:sz w:val="32"/>
          <w:szCs w:val="32"/>
        </w:rPr>
        <w:t>资金及时到位</w:t>
      </w:r>
      <w:r>
        <w:rPr>
          <w:rFonts w:ascii="Times New Roman" w:hAnsi="Times New Roman" w:eastAsia="仿宋_GB2312"/>
          <w:color w:val="000000"/>
          <w:sz w:val="32"/>
          <w:szCs w:val="32"/>
        </w:rPr>
        <w:t>，</w:t>
      </w:r>
      <w:r>
        <w:rPr>
          <w:rFonts w:ascii="Times New Roman" w:hAnsi="Times New Roman" w:eastAsia="仿宋_GB2312"/>
          <w:sz w:val="32"/>
          <w:szCs w:val="32"/>
        </w:rPr>
        <w:t>建立长效机制，严格财务管理，加强财务监督，使项目效益达到最大化。</w:t>
      </w:r>
    </w:p>
    <w:p>
      <w:pPr>
        <w:pStyle w:val="15"/>
        <w:spacing w:line="560" w:lineRule="exact"/>
        <w:ind w:left="0" w:leftChars="0" w:firstLine="640"/>
        <w:rPr>
          <w:rFonts w:hint="eastAsia" w:hAnsi="仿宋_GB2312" w:eastAsia="仿宋_GB2312" w:cs="仿宋_GB2312"/>
          <w:sz w:val="32"/>
          <w:lang w:val="zh-CN"/>
        </w:rPr>
      </w:pPr>
    </w:p>
    <w:p>
      <w:pPr>
        <w:pStyle w:val="15"/>
        <w:spacing w:line="560" w:lineRule="exact"/>
        <w:ind w:left="0" w:leftChars="0" w:firstLine="640"/>
        <w:rPr>
          <w:rFonts w:hint="eastAsia" w:hAnsi="仿宋_GB2312" w:eastAsia="仿宋_GB2312" w:cs="仿宋_GB2312"/>
          <w:sz w:val="32"/>
          <w:lang w:val="en-US" w:eastAsia="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r>
        <w:rPr>
          <w:rFonts w:hint="eastAsia" w:hAnsi="仿宋_GB2312" w:eastAsia="仿宋_GB2312" w:cs="仿宋_GB2312"/>
          <w:sz w:val="32"/>
          <w:lang w:val="en-US" w:eastAsia="zh-CN"/>
        </w:rPr>
        <w:t>3</w:t>
      </w:r>
    </w:p>
    <w:p>
      <w:pPr>
        <w:pStyle w:val="2"/>
        <w:spacing w:before="93"/>
        <w:rPr>
          <w:rFonts w:hAnsi="宋体" w:cs="宋体"/>
          <w:sz w:val="32"/>
          <w:szCs w:val="32"/>
          <w:shd w:val="clear" w:color="auto" w:fill="FFFFFF"/>
          <w:lang w:val="zh-CN"/>
        </w:rPr>
      </w:pP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2"/>
        <w:rPr>
          <w:rFonts w:hint="eastAsia" w:ascii="Times New Roman" w:hAnsi="Times New Roman" w:eastAsia="仿宋_GB2312"/>
          <w:sz w:val="32"/>
          <w:szCs w:val="32"/>
        </w:rPr>
      </w:pPr>
    </w:p>
    <w:p>
      <w:pPr>
        <w:pStyle w:val="10"/>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lang w:val="en"/>
        </w:rPr>
        <w:t>2</w:t>
      </w:r>
      <w:r>
        <w:rPr>
          <w:rFonts w:hint="eastAsia" w:ascii="方正小标宋_GBK" w:hAnsi="黑体" w:eastAsia="方正小标宋_GBK" w:cs="黑体"/>
          <w:sz w:val="36"/>
          <w:szCs w:val="36"/>
        </w:rPr>
        <w:t>年</w:t>
      </w:r>
      <w:r>
        <w:rPr>
          <w:rFonts w:hint="eastAsia" w:ascii="方正小标宋_GBK" w:hAnsi="黑体" w:eastAsia="方正小标宋_GBK" w:cs="黑体"/>
          <w:sz w:val="36"/>
          <w:szCs w:val="36"/>
          <w:lang w:eastAsia="zh-CN"/>
        </w:rPr>
        <w:t>市级专项资金预算项目</w:t>
      </w:r>
      <w:r>
        <w:rPr>
          <w:rFonts w:hint="eastAsia" w:ascii="方正小标宋_GBK" w:hAnsi="黑体" w:eastAsia="方正小标宋_GBK" w:cs="黑体"/>
          <w:sz w:val="36"/>
          <w:szCs w:val="36"/>
        </w:rPr>
        <w:t>绩效自评报告</w:t>
      </w:r>
    </w:p>
    <w:p>
      <w:pPr>
        <w:pStyle w:val="10"/>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（社会体育赛事活动经费）</w:t>
      </w:r>
    </w:p>
    <w:p>
      <w:pPr>
        <w:pStyle w:val="10"/>
        <w:spacing w:line="600" w:lineRule="exact"/>
        <w:ind w:firstLine="720" w:firstLineChars="200"/>
        <w:jc w:val="center"/>
        <w:rPr>
          <w:rFonts w:ascii="方正小标宋_GBK" w:hAnsi="黑体" w:eastAsia="方正小标宋_GBK" w:cs="黑体"/>
          <w:sz w:val="36"/>
          <w:szCs w:val="36"/>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widowControl/>
        <w:ind w:firstLine="640" w:firstLineChars="200"/>
        <w:outlineLvl w:val="1"/>
        <w:rPr>
          <w:rFonts w:hint="eastAsia" w:ascii="Times New Roman" w:hAnsi="Times New Roman" w:eastAsia="楷体_GB2312"/>
          <w:kern w:val="0"/>
          <w:sz w:val="32"/>
          <w:szCs w:val="32"/>
        </w:rPr>
      </w:pPr>
      <w:r>
        <w:rPr>
          <w:rFonts w:hint="eastAsia" w:ascii="Times New Roman" w:hAnsi="Times New Roman" w:eastAsia="楷体_GB2312"/>
          <w:kern w:val="0"/>
          <w:sz w:val="32"/>
          <w:szCs w:val="32"/>
        </w:rPr>
        <w:t>1、计划活动情况</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
        </w:rPr>
        <w:t>2</w:t>
      </w:r>
      <w:r>
        <w:rPr>
          <w:rFonts w:hint="eastAsia" w:ascii="Times New Roman" w:hAnsi="Times New Roman" w:eastAsia="仿宋_GB2312"/>
          <w:sz w:val="32"/>
          <w:szCs w:val="32"/>
        </w:rPr>
        <w:t>计划开展社会体育赛事活动共计</w:t>
      </w:r>
      <w:r>
        <w:rPr>
          <w:rFonts w:hint="eastAsia" w:ascii="Times New Roman" w:hAnsi="Times New Roman" w:eastAsia="仿宋_GB2312"/>
          <w:sz w:val="32"/>
          <w:szCs w:val="32"/>
          <w:lang w:val="en"/>
        </w:rPr>
        <w:t>18项</w:t>
      </w:r>
      <w:r>
        <w:rPr>
          <w:rFonts w:hint="eastAsia" w:ascii="Times New Roman" w:hAnsi="Times New Roman" w:eastAsia="仿宋_GB2312"/>
          <w:sz w:val="32"/>
          <w:szCs w:val="32"/>
        </w:rPr>
        <w:t>。即第48届元旦越野赛、第十九届元宵登山活动、2022年羽协杯羽毛球比赛、2022年网协杯网球比赛、第七届乒协杯乒乓球比赛、2022年桥牌比赛、第九届五人制足球比赛、2022年气排球比赛、2022年三人制篮球比赛、十三届棋类比赛、全民健身日开赛仪式及系列赛事活动、第三十七届钓鱼比赛、第八届羽毛球比赛、第十八届乒乓球比赛、第三十六届网球比赛、第十九届足协杯足球比赛、第十六届篮协杯篮球比赛、攀枝花市第二届“云健身”网络运动会。</w:t>
      </w:r>
    </w:p>
    <w:p>
      <w:pPr>
        <w:widowControl/>
        <w:ind w:firstLine="640" w:firstLineChars="200"/>
        <w:outlineLvl w:val="1"/>
        <w:rPr>
          <w:rFonts w:hint="eastAsia" w:ascii="Times New Roman" w:hAnsi="Times New Roman" w:eastAsia="楷体_GB2312"/>
          <w:kern w:val="0"/>
          <w:sz w:val="32"/>
          <w:szCs w:val="32"/>
        </w:rPr>
      </w:pPr>
      <w:r>
        <w:rPr>
          <w:rFonts w:hint="eastAsia" w:ascii="仿宋" w:hAnsi="仿宋" w:eastAsia="仿宋" w:cs="仿宋"/>
          <w:color w:val="222222"/>
          <w:kern w:val="0"/>
          <w:sz w:val="32"/>
          <w:szCs w:val="32"/>
          <w:lang w:bidi="ar"/>
        </w:rPr>
        <w:t>2、</w:t>
      </w:r>
      <w:r>
        <w:rPr>
          <w:rFonts w:hint="eastAsia" w:ascii="Times New Roman" w:hAnsi="Times New Roman" w:eastAsia="楷体_GB2312"/>
          <w:kern w:val="0"/>
          <w:sz w:val="32"/>
          <w:szCs w:val="32"/>
        </w:rPr>
        <w:t>完成活动情况</w:t>
      </w:r>
    </w:p>
    <w:p>
      <w:pPr>
        <w:spacing w:line="560" w:lineRule="exact"/>
        <w:ind w:firstLine="707" w:firstLineChars="221"/>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完成四川省“百城千乡万村·社区” 攀枝花分赛场系列赛事活动筹备组织和竞赛工作，承办的四川省“百城千乡万村·社区”攀枝花分赛场系列赛事活动包括：</w:t>
      </w:r>
      <w:r>
        <w:rPr>
          <w:rFonts w:hint="eastAsia" w:ascii="Times New Roman" w:hAnsi="Times New Roman" w:eastAsia="仿宋_GB2312"/>
          <w:sz w:val="32"/>
          <w:szCs w:val="32"/>
        </w:rPr>
        <w:t>足球、篮球、羽毛球、网球、乒乓球、象棋</w:t>
      </w:r>
      <w:r>
        <w:rPr>
          <w:rFonts w:hint="eastAsia" w:ascii="Times New Roman" w:hAnsi="Times New Roman" w:eastAsia="仿宋_GB2312"/>
          <w:sz w:val="32"/>
          <w:szCs w:val="32"/>
          <w:lang w:val="zh-CN"/>
        </w:rPr>
        <w:t>、广场健身舞等体育赛事活动，共计1300名运动员参加比赛。攀枝花市“三大球”城市联赛（2022-2023）比赛圆满落幕，举办了第二届“云健身”网络运动会，约600人参加。指导三区两县举办四川省《国家体育锻炼标准》达标赛攀枝花分站赛。选派人员参加全省第十四届运动会、省第十六届民运会裁判工作。</w:t>
      </w:r>
    </w:p>
    <w:p>
      <w:pPr>
        <w:widowControl/>
        <w:wordWrap w:val="0"/>
        <w:spacing w:line="600" w:lineRule="exact"/>
        <w:ind w:firstLine="472" w:firstLineChars="147"/>
        <w:rPr>
          <w:rFonts w:ascii="黑体" w:hAnsi="黑体" w:eastAsia="黑体" w:cs="黑体"/>
          <w:b/>
          <w:bCs/>
          <w:color w:val="222222"/>
          <w:kern w:val="0"/>
          <w:sz w:val="32"/>
          <w:szCs w:val="32"/>
          <w:lang w:bidi="ar"/>
        </w:rPr>
      </w:pPr>
      <w:r>
        <w:rPr>
          <w:rFonts w:hint="eastAsia" w:ascii="黑体" w:hAnsi="黑体" w:eastAsia="黑体" w:cs="黑体"/>
          <w:b/>
          <w:bCs/>
          <w:color w:val="222222"/>
          <w:kern w:val="0"/>
          <w:sz w:val="32"/>
          <w:szCs w:val="32"/>
          <w:lang w:bidi="ar"/>
        </w:rPr>
        <w:t>（二）项目实施的相关性</w:t>
      </w:r>
    </w:p>
    <w:p>
      <w:pPr>
        <w:spacing w:line="560" w:lineRule="exact"/>
        <w:ind w:firstLine="707" w:firstLineChars="221"/>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根据《全民健身计划（2021—2025）》文件精神。实施全民健身计划是国家的重要发展战略。攀枝花市社会体育赛事活动项目的实施，是对全民健康的重要体现，是攀枝花经济发展进步的重要标志。全民健身是实现全市人民健康的重要途径和手段，是全体攀枝花人民增强体魄、幸福生活的基础保障。在攀枝花市委、市政府的领导下，攀枝花市教育和体育局的努力推动下，赛事活动形成一定规模，为打造体育强市奠定坚实基础。面对人民群众日益增长的体育健身需求、全面建成小康社会的目标要求、推动健康中国建设的机遇挑战，需要更加准确把握新时期全民健身发展内涵的深刻变化，不断开拓发展新境界，为全市全力打造“三个圈层”，实施全民健身国家战略，提高全民身体素质和健康水平，制定本报告。近几年来，随着我市经济社会的快速健康发展，全民健身事业呈现出生机勃勃崭新面貌，全民健身广泛开展，群众参与锻炼和健身的热情不断高涨，社会体育赛事活动持续发展。</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spacing w:line="560" w:lineRule="exact"/>
        <w:ind w:firstLine="707" w:firstLineChars="221"/>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根据2022年赛事情况，财政下达专项资金19.19万元，均用于开展赛事活动。</w:t>
      </w:r>
    </w:p>
    <w:p>
      <w:pPr>
        <w:autoSpaceDE w:val="0"/>
        <w:autoSpaceDN w:val="0"/>
        <w:adjustRightInd w:val="0"/>
        <w:spacing w:line="600" w:lineRule="exact"/>
        <w:ind w:firstLine="640" w:firstLineChars="200"/>
        <w:jc w:val="left"/>
        <w:rPr>
          <w:rFonts w:hint="eastAsia"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spacing w:line="560" w:lineRule="exact"/>
        <w:ind w:firstLine="707" w:firstLineChars="221"/>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2022年社会体育赛事活动计划19.19万元，经费来源为财政拨款体彩公益金。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spacing w:line="560" w:lineRule="exact"/>
        <w:ind w:firstLine="707" w:firstLineChars="221"/>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2022年收到市财政局下达体育彩票公益金专项资金19.19万元，到位率100%，我单位收到此经费，按计划组织开展了相关赛事活动。</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widowControl/>
        <w:wordWrap w:val="0"/>
        <w:spacing w:line="600" w:lineRule="exact"/>
        <w:ind w:firstLine="640" w:firstLineChars="200"/>
        <w:rPr>
          <w:rFonts w:ascii="仿宋" w:hAnsi="仿宋" w:eastAsia="仿宋" w:cs="仿宋"/>
          <w:color w:val="222222"/>
          <w:kern w:val="0"/>
          <w:sz w:val="32"/>
          <w:szCs w:val="32"/>
          <w:lang w:bidi="ar"/>
        </w:rPr>
      </w:pPr>
      <w:r>
        <w:rPr>
          <w:rFonts w:hint="eastAsia" w:ascii="Times New Roman" w:hAnsi="Times New Roman" w:eastAsia="仿宋_GB2312"/>
          <w:sz w:val="32"/>
          <w:szCs w:val="32"/>
          <w:lang w:val="zh-CN"/>
        </w:rPr>
        <w:t>社会体育赛事活动经费19.19万元，单位严格按照中央“八项规定”和省、市“十项规定”以及《党政机关厉行节约反对浪费条例》等相关规定开支，同时按照项目的开支范围、标准、依据及项目进度专款专用</w:t>
      </w:r>
      <w:r>
        <w:rPr>
          <w:rFonts w:hint="eastAsia" w:ascii="仿宋" w:hAnsi="仿宋" w:eastAsia="仿宋" w:cs="仿宋"/>
          <w:color w:val="222222"/>
          <w:kern w:val="0"/>
          <w:sz w:val="32"/>
          <w:szCs w:val="32"/>
          <w:lang w:bidi="ar"/>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为保证项目经费专款专用，单位制定了社会体育赛事活动管理相关制度，强化了专项经费的规范使用，同时单位财务管理制度健全，严格执行财务管理制度，账务处理及时，会计核算规范。</w:t>
      </w:r>
    </w:p>
    <w:p>
      <w:pPr>
        <w:numPr>
          <w:ilvl w:val="0"/>
          <w:numId w:val="6"/>
        </w:numPr>
        <w:autoSpaceDE w:val="0"/>
        <w:autoSpaceDN w:val="0"/>
        <w:adjustRightInd w:val="0"/>
        <w:spacing w:line="600" w:lineRule="exact"/>
        <w:jc w:val="left"/>
        <w:rPr>
          <w:rFonts w:ascii="Times New Roman" w:hAnsi="Times New Roman" w:eastAsia="黑体"/>
          <w:kern w:val="0"/>
          <w:sz w:val="32"/>
          <w:szCs w:val="32"/>
        </w:rPr>
      </w:pPr>
      <w:r>
        <w:rPr>
          <w:rFonts w:ascii="Times New Roman" w:hAnsi="Times New Roman" w:eastAsia="黑体"/>
          <w:kern w:val="0"/>
          <w:sz w:val="32"/>
          <w:szCs w:val="32"/>
        </w:rPr>
        <w:t>项目实施及管理情况</w:t>
      </w:r>
    </w:p>
    <w:p>
      <w:pPr>
        <w:widowControl/>
        <w:wordWrap w:val="0"/>
        <w:spacing w:line="600" w:lineRule="exact"/>
        <w:ind w:left="640"/>
        <w:rPr>
          <w:rFonts w:ascii="仿宋_GB2312" w:hAnsi="黑体" w:eastAsia="仿宋_GB2312" w:cs="Segoe UI"/>
          <w:color w:val="222222"/>
          <w:kern w:val="0"/>
          <w:sz w:val="32"/>
          <w:szCs w:val="32"/>
        </w:rPr>
      </w:pPr>
      <w:r>
        <w:rPr>
          <w:rFonts w:hint="eastAsia" w:ascii="仿宋" w:hAnsi="仿宋" w:eastAsia="仿宋" w:cs="仿宋"/>
          <w:color w:val="222222"/>
          <w:kern w:val="0"/>
          <w:sz w:val="32"/>
          <w:szCs w:val="32"/>
          <w:lang w:bidi="ar"/>
        </w:rPr>
        <w:t>（一）</w:t>
      </w:r>
      <w:r>
        <w:rPr>
          <w:rFonts w:hint="eastAsia" w:ascii="仿宋_GB2312" w:hAnsi="黑体" w:eastAsia="仿宋_GB2312" w:cs="Segoe UI"/>
          <w:color w:val="222222"/>
          <w:kern w:val="0"/>
          <w:sz w:val="32"/>
          <w:szCs w:val="32"/>
        </w:rPr>
        <w:t>项目决策依据</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我中心的职能就是组织全市社会体育赛事活动，为广大体育爱好者提供体育活动平台。此次组织的9个体育赛事项目，通过了多年的组织经验及社会论证，是我市群众参与度最高、参与人数最多的9个赛事活动。</w:t>
      </w:r>
    </w:p>
    <w:p>
      <w:pPr>
        <w:widowControl/>
        <w:snapToGrid w:val="0"/>
        <w:spacing w:after="300" w:line="560" w:lineRule="exact"/>
        <w:ind w:firstLine="630"/>
        <w:contextualSpacing/>
        <w:rPr>
          <w:rFonts w:ascii="仿宋" w:hAnsi="仿宋" w:eastAsia="仿宋" w:cs="仿宋"/>
          <w:color w:val="222222"/>
          <w:kern w:val="0"/>
          <w:sz w:val="32"/>
          <w:szCs w:val="32"/>
          <w:lang w:bidi="ar"/>
        </w:rPr>
      </w:pPr>
      <w:r>
        <w:rPr>
          <w:rFonts w:hint="eastAsia" w:ascii="仿宋" w:hAnsi="仿宋" w:eastAsia="仿宋" w:cs="仿宋"/>
          <w:color w:val="222222"/>
          <w:kern w:val="0"/>
          <w:sz w:val="32"/>
          <w:szCs w:val="32"/>
          <w:lang w:bidi="ar"/>
        </w:rPr>
        <w:t>（二）项目决策程序</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社会体育赛事活动经费由上级主管单位攀枝花市教育和体育局划拨我单位进行组织开展。</w:t>
      </w:r>
    </w:p>
    <w:p>
      <w:pPr>
        <w:widowControl/>
        <w:snapToGrid w:val="0"/>
        <w:spacing w:after="300" w:line="560" w:lineRule="exact"/>
        <w:ind w:firstLine="630"/>
        <w:contextualSpacing/>
        <w:rPr>
          <w:rFonts w:ascii="仿宋" w:hAnsi="仿宋" w:eastAsia="仿宋" w:cs="仿宋"/>
          <w:color w:val="222222"/>
          <w:kern w:val="0"/>
          <w:sz w:val="32"/>
          <w:szCs w:val="32"/>
          <w:lang w:bidi="ar"/>
        </w:rPr>
      </w:pPr>
      <w:r>
        <w:rPr>
          <w:rFonts w:hint="eastAsia" w:ascii="仿宋" w:hAnsi="仿宋" w:eastAsia="仿宋" w:cs="仿宋"/>
          <w:color w:val="222222"/>
          <w:kern w:val="0"/>
          <w:sz w:val="32"/>
          <w:szCs w:val="32"/>
          <w:lang w:bidi="ar"/>
        </w:rPr>
        <w:t>（三）组织机构</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成立赛事活动竞赛组，组长为中心主任（项目总负责），副组长为中心副主任（赛事活动执行），成员为5人（场地对接、赛事安全、疫情防控、宣传报道）、财务室（负责预算的管理及档案的收集）</w:t>
      </w:r>
    </w:p>
    <w:p>
      <w:pPr>
        <w:widowControl/>
        <w:snapToGrid w:val="0"/>
        <w:spacing w:after="300" w:line="560" w:lineRule="exact"/>
        <w:ind w:firstLine="630"/>
        <w:contextualSpacing/>
        <w:rPr>
          <w:rFonts w:ascii="仿宋" w:hAnsi="仿宋" w:eastAsia="仿宋" w:cs="仿宋"/>
          <w:color w:val="222222"/>
          <w:kern w:val="0"/>
          <w:sz w:val="32"/>
          <w:szCs w:val="32"/>
          <w:lang w:bidi="ar"/>
        </w:rPr>
      </w:pPr>
      <w:r>
        <w:rPr>
          <w:rFonts w:hint="eastAsia" w:ascii="仿宋" w:hAnsi="仿宋" w:eastAsia="仿宋" w:cs="仿宋"/>
          <w:color w:val="222222"/>
          <w:kern w:val="0"/>
          <w:sz w:val="32"/>
          <w:szCs w:val="32"/>
          <w:lang w:bidi="ar"/>
        </w:rPr>
        <w:t>（四）制度建设</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为加强赛风赛纪建设，规范本单位财务工作，加强会计核算与内部监督，提高财政资金使用效益，我单位根据《体育法》以及上级主管单位攀枝花市教育和体育局财务制度为指导，结合单位业务工作特点，成立各单项竞赛委员会、仲裁委员会、大会工作机构，制订并完善了包括内部财务控制、财务公开、重点支出管理、会计报销、资产管理、现金及账户管理等财务制度。</w:t>
      </w:r>
    </w:p>
    <w:p>
      <w:pPr>
        <w:widowControl/>
        <w:snapToGrid w:val="0"/>
        <w:spacing w:after="300" w:line="560" w:lineRule="exact"/>
        <w:ind w:firstLine="630"/>
        <w:contextualSpacing/>
        <w:rPr>
          <w:rFonts w:ascii="仿宋" w:hAnsi="仿宋" w:eastAsia="仿宋" w:cs="仿宋"/>
          <w:color w:val="222222"/>
          <w:kern w:val="0"/>
          <w:sz w:val="32"/>
          <w:szCs w:val="32"/>
          <w:lang w:bidi="ar"/>
        </w:rPr>
      </w:pPr>
      <w:r>
        <w:rPr>
          <w:rFonts w:hint="eastAsia" w:ascii="仿宋" w:hAnsi="仿宋" w:eastAsia="仿宋" w:cs="仿宋"/>
          <w:color w:val="222222"/>
          <w:kern w:val="0"/>
          <w:sz w:val="32"/>
          <w:szCs w:val="32"/>
          <w:lang w:bidi="ar"/>
        </w:rPr>
        <w:t>（五）过程控制</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在预算管理上：执行事前预算评审，事后进行结算评审，保证预算支出的有效性；在项目实施上，严格遵循财务相关手续；在日常管理上，制定《赛事活动突发事件应急预案》《疫情防控方案》，做到有规有矩、有章有程。如遇突发事件或不可抗力因素引起的突然情况，立即启动应急预案，上报上级单位，妥善处理。</w:t>
      </w:r>
    </w:p>
    <w:p>
      <w:pPr>
        <w:widowControl/>
        <w:wordWrap w:val="0"/>
        <w:spacing w:line="600" w:lineRule="exact"/>
        <w:ind w:left="640"/>
        <w:rPr>
          <w:rFonts w:ascii="Times New Roman" w:hAnsi="Times New Roman" w:eastAsia="黑体"/>
          <w:kern w:val="0"/>
          <w:sz w:val="32"/>
          <w:szCs w:val="32"/>
        </w:rPr>
      </w:pPr>
      <w:r>
        <w:rPr>
          <w:rFonts w:ascii="Times New Roman" w:hAnsi="Times New Roman" w:eastAsia="黑体"/>
          <w:kern w:val="0"/>
          <w:sz w:val="32"/>
          <w:szCs w:val="32"/>
        </w:rPr>
        <w:t>四、项目绩效情况</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总绩效目标：全年计划开展社会体育赛事活动18项，预计参与人数1.2万人，计划日期2022年1月1日开始，2022年11月结束。通过项目实施，培养群众体育健身意识，提高全民身体素质和健康水平，不断满足大众多层次多样化的健身休闲需求，提升幸福感和获得感，为经济发展新常态下扩大消费需求、拉动经济增长。</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产出指标</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1.产出数量指标：2022年初计划组织全市社会体育赛事活动18项，预计参与人数1.2万人。项目分别是：第四十八届元旦越野赛3000人、第十九届元宵登山活动3000人、攀枝花市第二届“云健身”网络运动会2000人、2022年羽协杯羽毛球比赛300人、2022年网协杯网球比赛100人、第七届乒协杯乒乓球比赛250人、2022年桥牌比赛100人、第九届五人制足球比赛400人、2022年气排球比赛200人、2022年三人制篮球比赛300人、全民健身日开赛仪式及系列赛事活动800人、十三届棋类比赛50人、第三十七届钓鱼比赛200人、第八届羽毛球比赛300人、第十八届乒乓球比赛200人、第三十六届网球比赛100人、第十九届足协杯足球比赛400人、第十六届篮协杯篮球比赛300人。由于疫情影响，部分赛事活动项目取消，参加人员受限等，实际完成9项，参与人数约6000人次。</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2.产出质量指标：市民参与社会体育赛事活动较2021年增长10%。</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3.产出进度指标：计划每月组织一场及以上社会体育赛事活动，11月30日完成全年项目进度。</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4.产出成本指标：社会体育赛事活动成本控制在20万元以内，合理安排预算支出，2022年赛事活动实际安排支出19.19万元。</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效果指标</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1.社会效益指标：培养群众体育健身意识，提高全民身体素质和健康水平，吸引广大市民参与群众体育健身活动，不断满足大众多层次多样化的健身休闲需求，提升幸福感和获得感。</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2.经济效益指标：为经济发展新常态下扩大健身人群消费意识、拉动经济增长，助力康养+运动。</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3.可持续影响指标：参与健身人数逐年增加，助力社会体育健康发展。</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4.服务对象满意度指标：通过体育赛事活动培训，使成年、老年体育爱好者满意度达到95%以上。</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1、项目决策</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2022年在攀枝花市委、市政府的领导下，攀枝花市教育和体育局的努力推动下，赛事活动形成一定规模，为打造体育强市奠定坚实基础。</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仿宋" w:hAnsi="仿宋" w:eastAsia="仿宋" w:cs="仿宋"/>
          <w:color w:val="222222"/>
          <w:kern w:val="0"/>
          <w:sz w:val="32"/>
          <w:szCs w:val="32"/>
          <w:lang w:bidi="ar"/>
        </w:rPr>
        <w:t>2、</w:t>
      </w:r>
      <w:r>
        <w:rPr>
          <w:rFonts w:ascii="Times New Roman" w:hAnsi="Times New Roman" w:eastAsia="仿宋_GB2312"/>
          <w:kern w:val="0"/>
          <w:sz w:val="32"/>
          <w:szCs w:val="32"/>
        </w:rPr>
        <w:t>项目管理</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 xml:space="preserve">所有项目实行过程控制，首先，在预算管理上，执行事前预算评审，事后进行结算评审，保证预算支出的有效性；其次，在项目实施上，严格遵循财务相关手续；再有，在日常管理上，制定《赛事活动突发事件应急预案》《疫情防控方案》，做到有规有矩、有章有程；最后，如遇突发事件或不可抗力因素引起的突然情况，立即启动应急预案，上报上级单位，妥善处理。 </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仿宋" w:hAnsi="仿宋" w:eastAsia="仿宋" w:cs="仿宋"/>
          <w:sz w:val="32"/>
          <w:szCs w:val="32"/>
        </w:rPr>
        <w:t>3、</w:t>
      </w:r>
      <w:r>
        <w:rPr>
          <w:rFonts w:ascii="Times New Roman" w:hAnsi="Times New Roman" w:eastAsia="仿宋_GB2312"/>
          <w:kern w:val="0"/>
          <w:sz w:val="32"/>
          <w:szCs w:val="32"/>
        </w:rPr>
        <w:t>项目绩效</w:t>
      </w:r>
    </w:p>
    <w:p>
      <w:pPr>
        <w:widowControl/>
        <w:wordWrap w:val="0"/>
        <w:spacing w:line="600" w:lineRule="exact"/>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为保证专项经费使用效率，单位应对项目的总体目标、产出指标、效果指标进行有效的设置，充分的论证，同时对指标进行事前、事中的执行进度进行跟踪并及时调整，以达到指标设置的科学性和有效性，保证财政资金的绩效性。</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ascii="仿宋" w:hAnsi="仿宋" w:eastAsia="仿宋" w:cs="仿宋"/>
          <w:color w:val="222222"/>
          <w:kern w:val="0"/>
          <w:sz w:val="32"/>
          <w:szCs w:val="32"/>
          <w:lang w:bidi="ar"/>
        </w:rPr>
      </w:pPr>
      <w:r>
        <w:rPr>
          <w:rFonts w:hint="eastAsia" w:ascii="Times New Roman" w:hAnsi="Times New Roman" w:eastAsia="仿宋_GB2312"/>
          <w:sz w:val="32"/>
          <w:szCs w:val="32"/>
          <w:lang w:val="zh-CN"/>
        </w:rPr>
        <w:t>项目的事前评估与项目的绩效评估未能事前、事中衔接，指标设置还不够科学，具有片面性。</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600" w:lineRule="exact"/>
        <w:ind w:firstLine="640" w:firstLineChars="200"/>
        <w:jc w:val="left"/>
        <w:rPr>
          <w:rFonts w:hint="eastAsia" w:ascii="仿宋" w:hAnsi="仿宋" w:eastAsia="仿宋" w:cs="仿宋"/>
          <w:color w:val="222222"/>
          <w:kern w:val="0"/>
          <w:sz w:val="32"/>
          <w:szCs w:val="32"/>
          <w:lang w:bidi="ar"/>
        </w:rPr>
      </w:pPr>
      <w:r>
        <w:rPr>
          <w:rFonts w:hint="eastAsia" w:ascii="Times New Roman" w:hAnsi="Times New Roman" w:eastAsia="仿宋_GB2312"/>
          <w:sz w:val="32"/>
          <w:szCs w:val="32"/>
          <w:lang w:val="zh-CN"/>
        </w:rPr>
        <w:t>为保证财政资金的使用效率，建议财政的绩效事前评估与预算协调推进，加强财政预算的事前绩效评估，同时针对单位的具体情况，保证单位的运转经费（含基本和项目），这样才能保证单位绩效评估的有效性。</w:t>
      </w:r>
    </w:p>
    <w:p>
      <w:pPr>
        <w:pStyle w:val="3"/>
        <w:rPr>
          <w:rFonts w:hint="eastAsia"/>
        </w:rPr>
      </w:pP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spacing w:line="600" w:lineRule="exact"/>
        <w:jc w:val="center"/>
        <w:outlineLvl w:val="0"/>
        <w:rPr>
          <w:rFonts w:ascii="仿宋" w:hAnsi="仿宋" w:eastAsia="仿宋"/>
        </w:rPr>
      </w:pPr>
      <w:bookmarkStart w:id="57" w:name="_Toc15396618"/>
      <w:r>
        <w:rPr>
          <w:rFonts w:hint="eastAsia" w:ascii="黑体" w:hAnsi="黑体" w:eastAsia="黑体"/>
          <w:sz w:val="44"/>
          <w:szCs w:val="44"/>
        </w:rPr>
        <w:t>第</w:t>
      </w:r>
      <w:r>
        <w:rPr>
          <w:rStyle w:val="30"/>
          <w:rFonts w:hint="eastAsia" w:ascii="黑体" w:hAnsi="黑体" w:eastAsia="黑体"/>
          <w:b w:val="0"/>
        </w:rPr>
        <w:t>五部分 附表</w:t>
      </w:r>
      <w:bookmarkEnd w:id="55"/>
      <w:bookmarkEnd w:id="57"/>
      <w:bookmarkStart w:id="58" w:name="_Toc15396619"/>
    </w:p>
    <w:p>
      <w:pPr>
        <w:pStyle w:val="5"/>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8"/>
    </w:p>
    <w:p>
      <w:pPr>
        <w:pStyle w:val="5"/>
        <w:rPr>
          <w:rFonts w:ascii="仿宋" w:hAnsi="仿宋" w:eastAsia="仿宋"/>
        </w:rPr>
      </w:pPr>
      <w:bookmarkStart w:id="59" w:name="_Toc15396620"/>
      <w:r>
        <w:rPr>
          <w:rFonts w:hint="eastAsia" w:ascii="仿宋" w:hAnsi="仿宋" w:eastAsia="仿宋"/>
          <w:b w:val="0"/>
        </w:rPr>
        <w:t>二、收</w:t>
      </w:r>
      <w:r>
        <w:rPr>
          <w:rStyle w:val="31"/>
          <w:rFonts w:hint="eastAsia" w:ascii="仿宋" w:hAnsi="仿宋" w:eastAsia="仿宋"/>
          <w:b w:val="0"/>
          <w:bCs w:val="0"/>
        </w:rPr>
        <w:t>入决算表</w:t>
      </w:r>
      <w:bookmarkEnd w:id="59"/>
    </w:p>
    <w:p>
      <w:pPr>
        <w:pStyle w:val="5"/>
        <w:rPr>
          <w:rFonts w:ascii="仿宋" w:hAnsi="仿宋" w:eastAsia="仿宋"/>
        </w:rPr>
      </w:pPr>
      <w:bookmarkStart w:id="60"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60"/>
    </w:p>
    <w:p>
      <w:pPr>
        <w:pStyle w:val="5"/>
        <w:rPr>
          <w:rFonts w:ascii="仿宋" w:hAnsi="仿宋" w:eastAsia="仿宋"/>
          <w:b w:val="0"/>
        </w:rPr>
      </w:pPr>
      <w:bookmarkStart w:id="61"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61"/>
    </w:p>
    <w:p>
      <w:pPr>
        <w:pStyle w:val="5"/>
        <w:rPr>
          <w:rStyle w:val="31"/>
          <w:rFonts w:ascii="仿宋" w:hAnsi="仿宋" w:eastAsia="仿宋"/>
          <w:b w:val="0"/>
          <w:bCs w:val="0"/>
        </w:rPr>
      </w:pPr>
      <w:bookmarkStart w:id="62"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62"/>
      <w:bookmarkStart w:id="63" w:name="_Toc15396624"/>
    </w:p>
    <w:p>
      <w:pPr>
        <w:pStyle w:val="5"/>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63"/>
    </w:p>
    <w:p>
      <w:pPr>
        <w:pStyle w:val="5"/>
        <w:rPr>
          <w:rFonts w:ascii="仿宋" w:hAnsi="仿宋" w:eastAsia="仿宋"/>
        </w:rPr>
      </w:pPr>
      <w:bookmarkStart w:id="64"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4"/>
    </w:p>
    <w:p>
      <w:pPr>
        <w:pStyle w:val="5"/>
        <w:rPr>
          <w:rFonts w:ascii="仿宋" w:hAnsi="仿宋" w:eastAsia="仿宋"/>
        </w:rPr>
      </w:pPr>
      <w:bookmarkStart w:id="65"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5"/>
    </w:p>
    <w:p>
      <w:pPr>
        <w:pStyle w:val="5"/>
        <w:rPr>
          <w:rFonts w:ascii="仿宋" w:hAnsi="仿宋" w:eastAsia="仿宋"/>
        </w:rPr>
      </w:pPr>
      <w:bookmarkStart w:id="66"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6"/>
    </w:p>
    <w:p>
      <w:pPr>
        <w:pStyle w:val="5"/>
        <w:rPr>
          <w:rFonts w:ascii="仿宋" w:hAnsi="仿宋" w:eastAsia="仿宋"/>
        </w:rPr>
      </w:pPr>
      <w:bookmarkStart w:id="67" w:name="_Toc15396628"/>
      <w:r>
        <w:rPr>
          <w:rStyle w:val="31"/>
          <w:rFonts w:hint="eastAsia" w:ascii="仿宋" w:hAnsi="仿宋" w:eastAsia="仿宋"/>
          <w:b w:val="0"/>
          <w:bCs w:val="0"/>
        </w:rPr>
        <w:t>十、</w:t>
      </w:r>
      <w:bookmarkEnd w:id="67"/>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5"/>
        <w:rPr>
          <w:rFonts w:hint="eastAsia" w:ascii="仿宋" w:hAnsi="仿宋" w:eastAsia="仿宋"/>
          <w:lang w:eastAsia="zh-CN"/>
        </w:rPr>
      </w:pPr>
      <w:bookmarkStart w:id="68" w:name="_Toc15396629"/>
      <w:r>
        <w:rPr>
          <w:rStyle w:val="31"/>
          <w:rFonts w:hint="eastAsia" w:ascii="仿宋" w:hAnsi="仿宋" w:eastAsia="仿宋"/>
          <w:b w:val="0"/>
          <w:bCs w:val="0"/>
        </w:rPr>
        <w:t>十一、</w:t>
      </w:r>
      <w:bookmarkEnd w:id="68"/>
      <w:r>
        <w:rPr>
          <w:rFonts w:hint="eastAsia" w:ascii="仿宋" w:hAnsi="仿宋" w:eastAsia="仿宋"/>
          <w:b w:val="0"/>
        </w:rPr>
        <w:t>国</w:t>
      </w:r>
      <w:r>
        <w:rPr>
          <w:rStyle w:val="31"/>
          <w:rFonts w:hint="eastAsia" w:ascii="仿宋" w:hAnsi="仿宋" w:eastAsia="仿宋"/>
          <w:b w:val="0"/>
          <w:bCs w:val="0"/>
        </w:rPr>
        <w:t>有资本经营预算财政拨款收入支出决算表</w:t>
      </w:r>
      <w:r>
        <w:rPr>
          <w:rStyle w:val="31"/>
          <w:rFonts w:hint="eastAsia" w:ascii="仿宋" w:hAnsi="仿宋" w:eastAsia="仿宋"/>
          <w:b w:val="0"/>
          <w:bCs w:val="0"/>
          <w:lang w:eastAsia="zh-CN"/>
        </w:rPr>
        <w:t>（此表无数据）</w:t>
      </w:r>
    </w:p>
    <w:p>
      <w:pPr>
        <w:pStyle w:val="5"/>
        <w:rPr>
          <w:rFonts w:ascii="仿宋" w:hAnsi="仿宋" w:eastAsia="仿宋"/>
        </w:rPr>
      </w:pPr>
      <w:bookmarkStart w:id="69" w:name="_Toc15396630"/>
      <w:r>
        <w:rPr>
          <w:rStyle w:val="31"/>
          <w:rFonts w:hint="eastAsia" w:ascii="仿宋" w:hAnsi="仿宋" w:eastAsia="仿宋"/>
          <w:b w:val="0"/>
          <w:bCs w:val="0"/>
        </w:rPr>
        <w:t>十二、</w:t>
      </w:r>
      <w:bookmarkEnd w:id="69"/>
      <w:r>
        <w:rPr>
          <w:rStyle w:val="31"/>
          <w:rFonts w:hint="eastAsia" w:ascii="仿宋" w:hAnsi="仿宋" w:eastAsia="仿宋"/>
          <w:b w:val="0"/>
          <w:bCs w:val="0"/>
        </w:rPr>
        <w:t>国有资本经营预算财政拨款支出决算表</w:t>
      </w:r>
      <w:r>
        <w:rPr>
          <w:rStyle w:val="31"/>
          <w:rFonts w:hint="eastAsia" w:ascii="仿宋" w:hAnsi="仿宋" w:eastAsia="仿宋"/>
          <w:b w:val="0"/>
          <w:bCs w:val="0"/>
          <w:lang w:eastAsia="zh-CN"/>
        </w:rPr>
        <w:t>（此表无数据）</w:t>
      </w:r>
    </w:p>
    <w:p>
      <w:pPr>
        <w:pStyle w:val="5"/>
        <w:rPr>
          <w:rFonts w:eastAsia="仿宋"/>
        </w:rPr>
      </w:pPr>
      <w:bookmarkStart w:id="70" w:name="_Toc15396631"/>
      <w:r>
        <w:rPr>
          <w:rStyle w:val="31"/>
          <w:rFonts w:hint="eastAsia" w:ascii="仿宋" w:hAnsi="仿宋" w:eastAsia="仿宋"/>
          <w:b w:val="0"/>
          <w:bCs w:val="0"/>
        </w:rPr>
        <w:t>十三、</w:t>
      </w:r>
      <w:bookmarkEnd w:id="70"/>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兰亭黑_GBK">
    <w:panose1 w:val="02000000000000000000"/>
    <w:charset w:val="86"/>
    <w:family w:val="script"/>
    <w:pitch w:val="default"/>
    <w:sig w:usb0="A00002BF" w:usb1="3ACF7CFA" w:usb2="00080016" w:usb3="00000000" w:csb0="00040001"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B1CAA44"/>
    <w:multiLevelType w:val="multilevel"/>
    <w:tmpl w:val="EB1CAA44"/>
    <w:lvl w:ilvl="0" w:tentative="0">
      <w:start w:val="1"/>
      <w:numFmt w:val="chineseCountingThousand"/>
      <w:lvlText w:val="（%1）"/>
      <w:legacy w:legacy="1" w:legacySpace="0" w:legacyIndent="630"/>
      <w:lvlJc w:val="left"/>
      <w:pPr>
        <w:ind w:left="1050" w:hanging="630"/>
      </w:pPr>
      <w:rPr>
        <w:color w:val="000000"/>
        <w:szCs w:val="32"/>
      </w:rPr>
    </w:lvl>
    <w:lvl w:ilvl="1" w:tentative="0">
      <w:start w:val="1"/>
      <w:numFmt w:val="lowerLetter"/>
      <w:lvlText w:val="%2)"/>
      <w:legacy w:legacy="1" w:legacySpace="0" w:legacyIndent="420"/>
      <w:lvlJc w:val="left"/>
      <w:pPr>
        <w:ind w:left="1260" w:hanging="420"/>
      </w:pPr>
    </w:lvl>
    <w:lvl w:ilvl="2" w:tentative="0">
      <w:start w:val="1"/>
      <w:numFmt w:val="lowerRoman"/>
      <w:lvlText w:val="%3."/>
      <w:legacy w:legacy="1" w:legacySpace="0" w:legacyIndent="420"/>
      <w:lvlJc w:val="right"/>
      <w:pPr>
        <w:ind w:left="1680" w:hanging="420"/>
      </w:pPr>
    </w:lvl>
    <w:lvl w:ilvl="3" w:tentative="0">
      <w:start w:val="1"/>
      <w:numFmt w:val="decimal"/>
      <w:lvlText w:val="%4."/>
      <w:legacy w:legacy="1" w:legacySpace="0" w:legacyIndent="420"/>
      <w:lvlJc w:val="left"/>
      <w:pPr>
        <w:ind w:left="2100" w:hanging="420"/>
      </w:pPr>
    </w:lvl>
    <w:lvl w:ilvl="4" w:tentative="0">
      <w:start w:val="1"/>
      <w:numFmt w:val="lowerLetter"/>
      <w:lvlText w:val="%5)"/>
      <w:legacy w:legacy="1" w:legacySpace="0" w:legacyIndent="420"/>
      <w:lvlJc w:val="left"/>
      <w:pPr>
        <w:ind w:left="2520" w:hanging="420"/>
      </w:pPr>
    </w:lvl>
    <w:lvl w:ilvl="5" w:tentative="0">
      <w:start w:val="1"/>
      <w:numFmt w:val="lowerRoman"/>
      <w:lvlText w:val="%6."/>
      <w:legacy w:legacy="1" w:legacySpace="0" w:legacyIndent="420"/>
      <w:lvlJc w:val="right"/>
      <w:pPr>
        <w:ind w:left="2940" w:hanging="420"/>
      </w:pPr>
    </w:lvl>
    <w:lvl w:ilvl="6" w:tentative="0">
      <w:start w:val="1"/>
      <w:numFmt w:val="decimal"/>
      <w:lvlText w:val="%7."/>
      <w:legacy w:legacy="1" w:legacySpace="0" w:legacyIndent="420"/>
      <w:lvlJc w:val="left"/>
      <w:pPr>
        <w:ind w:left="3360" w:hanging="420"/>
      </w:pPr>
    </w:lvl>
    <w:lvl w:ilvl="7" w:tentative="0">
      <w:start w:val="1"/>
      <w:numFmt w:val="lowerLetter"/>
      <w:lvlText w:val="%8)"/>
      <w:legacy w:legacy="1" w:legacySpace="0" w:legacyIndent="420"/>
      <w:lvlJc w:val="left"/>
      <w:pPr>
        <w:ind w:left="3780" w:hanging="420"/>
      </w:pPr>
    </w:lvl>
    <w:lvl w:ilvl="8" w:tentative="0">
      <w:start w:val="1"/>
      <w:numFmt w:val="lowerRoman"/>
      <w:lvlText w:val="%9."/>
      <w:legacy w:legacy="1" w:legacySpace="0" w:legacyIndent="420"/>
      <w:lvlJc w:val="right"/>
      <w:pPr>
        <w:ind w:left="4200" w:hanging="420"/>
      </w:pPr>
    </w:lvl>
  </w:abstractNum>
  <w:abstractNum w:abstractNumId="3">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674E2C"/>
    <w:multiLevelType w:val="multilevel"/>
    <w:tmpl w:val="11674E2C"/>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55CB0"/>
    <w:rsid w:val="07996F6E"/>
    <w:rsid w:val="09551AE3"/>
    <w:rsid w:val="0A2032A3"/>
    <w:rsid w:val="0F98263C"/>
    <w:rsid w:val="0FBF416E"/>
    <w:rsid w:val="101860EC"/>
    <w:rsid w:val="10C055FF"/>
    <w:rsid w:val="10FC4EDD"/>
    <w:rsid w:val="113546AC"/>
    <w:rsid w:val="118107EC"/>
    <w:rsid w:val="134D0A06"/>
    <w:rsid w:val="13591622"/>
    <w:rsid w:val="13B04BE4"/>
    <w:rsid w:val="13D50BC4"/>
    <w:rsid w:val="16BB723D"/>
    <w:rsid w:val="1BE8440E"/>
    <w:rsid w:val="1C6B39E3"/>
    <w:rsid w:val="1D155CEE"/>
    <w:rsid w:val="1FF35744"/>
    <w:rsid w:val="23860B96"/>
    <w:rsid w:val="240371BF"/>
    <w:rsid w:val="26AE07C1"/>
    <w:rsid w:val="27F61EC9"/>
    <w:rsid w:val="29FD04D3"/>
    <w:rsid w:val="2C8A61B5"/>
    <w:rsid w:val="2DF04E50"/>
    <w:rsid w:val="2E983ECA"/>
    <w:rsid w:val="2F040D46"/>
    <w:rsid w:val="2F4E7A84"/>
    <w:rsid w:val="2F940229"/>
    <w:rsid w:val="2F9D0437"/>
    <w:rsid w:val="2FDB2273"/>
    <w:rsid w:val="3021208D"/>
    <w:rsid w:val="30D33D9C"/>
    <w:rsid w:val="319F7F4E"/>
    <w:rsid w:val="3304709D"/>
    <w:rsid w:val="36AA5135"/>
    <w:rsid w:val="376D39B2"/>
    <w:rsid w:val="37E16F03"/>
    <w:rsid w:val="38D469F0"/>
    <w:rsid w:val="3D98207C"/>
    <w:rsid w:val="3E78745D"/>
    <w:rsid w:val="44E268DA"/>
    <w:rsid w:val="47814DFD"/>
    <w:rsid w:val="47F164E1"/>
    <w:rsid w:val="4A627F82"/>
    <w:rsid w:val="4B0E749A"/>
    <w:rsid w:val="4B4F25DA"/>
    <w:rsid w:val="4B6A6246"/>
    <w:rsid w:val="4BE068DB"/>
    <w:rsid w:val="4C7803EF"/>
    <w:rsid w:val="4D577224"/>
    <w:rsid w:val="4EAB630A"/>
    <w:rsid w:val="4ECE2238"/>
    <w:rsid w:val="537E6D0A"/>
    <w:rsid w:val="54A037A9"/>
    <w:rsid w:val="568127FA"/>
    <w:rsid w:val="58D00434"/>
    <w:rsid w:val="58E40641"/>
    <w:rsid w:val="5AF92295"/>
    <w:rsid w:val="5CD71FC4"/>
    <w:rsid w:val="5D085E51"/>
    <w:rsid w:val="5FAC6333"/>
    <w:rsid w:val="5FEFEFA3"/>
    <w:rsid w:val="6C4A05C8"/>
    <w:rsid w:val="6E7E3605"/>
    <w:rsid w:val="6FD462F8"/>
    <w:rsid w:val="6FF5CC65"/>
    <w:rsid w:val="715C0E4B"/>
    <w:rsid w:val="72734D90"/>
    <w:rsid w:val="7328650E"/>
    <w:rsid w:val="73AD73D5"/>
    <w:rsid w:val="73B6EB34"/>
    <w:rsid w:val="73C42F1A"/>
    <w:rsid w:val="744731E5"/>
    <w:rsid w:val="76E3355F"/>
    <w:rsid w:val="778769C8"/>
    <w:rsid w:val="79E13990"/>
    <w:rsid w:val="79EE5BA4"/>
    <w:rsid w:val="7A894339"/>
    <w:rsid w:val="7DEEFEAF"/>
    <w:rsid w:val="7EEF11D3"/>
    <w:rsid w:val="7FA30C79"/>
    <w:rsid w:val="7FB7269E"/>
    <w:rsid w:val="7FC96657"/>
    <w:rsid w:val="BFEB2CEE"/>
    <w:rsid w:val="D8D6DB89"/>
    <w:rsid w:val="DB6F4CAB"/>
    <w:rsid w:val="DF6F9789"/>
    <w:rsid w:val="EF355B6A"/>
    <w:rsid w:val="F5B700F1"/>
    <w:rsid w:val="FFB6F1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styleId="3">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7">
    <w:name w:val="index 5"/>
    <w:next w:val="1"/>
    <w:qFormat/>
    <w:uiPriority w:val="0"/>
    <w:pPr>
      <w:widowControl w:val="0"/>
      <w:ind w:firstLine="200" w:firstLineChars="200"/>
      <w:jc w:val="left"/>
    </w:pPr>
    <w:rPr>
      <w:rFonts w:ascii="楷体_GB2312" w:hAnsi="方正兰亭黑_GBK" w:eastAsia="楷体_GB2312" w:cs="Arial"/>
      <w:kern w:val="2"/>
      <w:sz w:val="32"/>
      <w:szCs w:val="32"/>
      <w:lang w:val="en-US" w:eastAsia="zh-CN" w:bidi="ar-SA"/>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rPr>
  </w:style>
  <w:style w:type="paragraph" w:styleId="11">
    <w:name w:val="Balloon Text"/>
    <w:basedOn w:val="1"/>
    <w:link w:val="33"/>
    <w:semiHidden/>
    <w:unhideWhenUsed/>
    <w:qFormat/>
    <w:uiPriority w:val="99"/>
    <w:rPr>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字符"/>
    <w:link w:val="12"/>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字符"/>
    <w:link w:val="3"/>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7"/>
    <w:link w:val="4"/>
    <w:qFormat/>
    <w:uiPriority w:val="9"/>
    <w:rPr>
      <w:rFonts w:ascii="Times New Roman" w:hAnsi="Times New Roman"/>
      <w:b/>
      <w:bCs/>
      <w:kern w:val="44"/>
      <w:sz w:val="44"/>
      <w:szCs w:val="44"/>
    </w:rPr>
  </w:style>
  <w:style w:type="character" w:customStyle="1" w:styleId="31">
    <w:name w:val="标题 2 字符"/>
    <w:basedOn w:val="17"/>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7"/>
    <w:link w:val="11"/>
    <w:semiHidden/>
    <w:qFormat/>
    <w:uiPriority w:val="99"/>
    <w:rPr>
      <w:rFonts w:ascii="Times New Roman" w:hAnsi="Times New Roman"/>
      <w:kern w:val="2"/>
      <w:sz w:val="18"/>
      <w:szCs w:val="18"/>
    </w:rPr>
  </w:style>
  <w:style w:type="character" w:customStyle="1" w:styleId="34">
    <w:name w:val="标题 3 字符"/>
    <w:basedOn w:val="17"/>
    <w:link w:val="6"/>
    <w:qFormat/>
    <w:uiPriority w:val="9"/>
    <w:rPr>
      <w:rFonts w:ascii="Times New Roman" w:hAnsi="Times New Roman"/>
      <w:b/>
      <w:bCs/>
      <w:kern w:val="2"/>
      <w:sz w:val="32"/>
      <w:szCs w:val="32"/>
    </w:rPr>
  </w:style>
  <w:style w:type="paragraph" w:customStyle="1" w:styleId="35">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
        <c:rich>
          <a:bodyPr/>
          <a:lstStyle/>
          <a:p>
            <a:pPr>
              <a:defRPr/>
            </a:pPr>
          </a:p>
        </c:rich>
      </c:tx>
    </c:title>
    <c:autoTitleDeleted val="false"/>
    <c:plotArea>
      <c:layout>
        <c:manualLayout>
          <c:layoutTarget val="inner"/>
          <c:xMode val="edge"/>
          <c:yMode val="edge"/>
          <c:x val="0.063325"/>
          <c:y val="0.2205"/>
          <c:w val="0.92605"/>
          <c:h val="0.7084"/>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2021年收、支总计</c:v>
                </c:pt>
                <c:pt idx="1">
                  <c:v>2022年收、支总计</c:v>
                </c:pt>
              </c:strCache>
            </c:strRef>
          </c:cat>
          <c:val>
            <c:numRef>
              <c:f>Sheet1!$B$2:$B$3</c:f>
              <c:numCache>
                <c:formatCode>General</c:formatCode>
                <c:ptCount val="2"/>
                <c:pt idx="0">
                  <c:v>66037.9</c:v>
                </c:pt>
                <c:pt idx="1">
                  <c:v>70948.2</c:v>
                </c:pt>
              </c:numCache>
            </c:numRef>
          </c:val>
        </c:ser>
        <c:ser>
          <c:idx val="1"/>
          <c:order val="1"/>
          <c:tx>
            <c:strRef>
              <c:f>Sheet1!#REF!</c:f>
              <c:strCache>
                <c:ptCount val="1"/>
                <c:pt idx="0">
                  <c:v/>
                </c:pt>
              </c:strCache>
            </c:strRef>
          </c:tx>
          <c:spPr>
            <a:solidFill>
              <a:schemeClr val="accent2"/>
            </a:solidFill>
            <a:ln>
              <a:noFill/>
            </a:ln>
            <a:effectLst/>
          </c:spPr>
          <c:invertIfNegative val="false"/>
          <c:dLbls>
            <c:delete val="true"/>
          </c:dLbls>
          <c:cat>
            <c:strRef>
              <c:f>Sheet1!$A$2:$A$3</c:f>
              <c:strCache>
                <c:ptCount val="2"/>
                <c:pt idx="0">
                  <c:v>2021年收、支总计</c:v>
                </c:pt>
                <c:pt idx="1">
                  <c:v>2022年收、支总计</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2021年收、支总计</c:v>
                </c:pt>
                <c:pt idx="1">
                  <c:v>2022年收、支总计</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146627200"/>
        <c:axId val="146633088"/>
      </c:barChart>
      <c:catAx>
        <c:axId val="14662720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6633088"/>
        <c:crosses val="autoZero"/>
        <c:auto val="true"/>
        <c:lblAlgn val="ctr"/>
        <c:lblOffset val="100"/>
        <c:noMultiLvlLbl val="false"/>
      </c:catAx>
      <c:valAx>
        <c:axId val="14663308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662720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explosion val="0"/>
          <c:dPt>
            <c:idx val="0"/>
            <c:bubble3D val="false"/>
            <c:spPr>
              <a:solidFill>
                <a:schemeClr val="accent1"/>
              </a:solidFill>
              <a:ln w="19050">
                <a:solidFill>
                  <a:schemeClr val="lt1"/>
                </a:solidFill>
              </a:ln>
              <a:effectLst/>
            </c:spPr>
          </c:dPt>
          <c:dPt>
            <c:idx val="1"/>
            <c:bubble3D val="false"/>
          </c:dPt>
          <c:dPt>
            <c:idx val="2"/>
            <c:bubble3D val="false"/>
          </c:dPt>
          <c:dPt>
            <c:idx val="3"/>
            <c:bubble3D val="false"/>
          </c:dPt>
          <c:dLbls>
            <c:dLbl>
              <c:idx val="0"/>
              <c:layout>
                <c:manualLayout>
                  <c:x val="0.127828412852114"/>
                  <c:y val="-0.018853802092675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915239467876843"/>
                  <c:y val="-0.065945187598405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200820066148181"/>
                  <c:y val="-0.028447643939919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942936638161844"/>
                  <c:y val="0.10181075019329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1129.44</c:v>
                </c:pt>
                <c:pt idx="1">
                  <c:v>596.67</c:v>
                </c:pt>
                <c:pt idx="2">
                  <c:v>3059.71</c:v>
                </c:pt>
                <c:pt idx="3">
                  <c:v>1759.06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34226190476191"/>
          <c:y val="0.174085684430512"/>
          <c:w val="0.579166666666667"/>
          <c:h val="0.81337513061651"/>
        </c:manualLayout>
      </c:layout>
      <c:pieChart>
        <c:varyColors val="true"/>
        <c:ser>
          <c:idx val="0"/>
          <c:order val="0"/>
          <c:tx>
            <c:strRef>
              <c:f>Sheet1!$B$1</c:f>
              <c:strCache>
                <c:ptCount val="1"/>
                <c:pt idx="0">
                  <c:v>列1</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185310596947785"/>
                  <c:y val="-0.17840197173111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16296039131571"/>
                  <c:y val="0.022230278824120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59289.02</c:v>
                </c:pt>
                <c:pt idx="1">
                  <c:v>11388.75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0194196428571429"/>
          <c:y val="0.92413793103448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1075"/>
          <c:y val="0.130916666666667"/>
          <c:w val="0.89155"/>
          <c:h val="0.743150000000001"/>
        </c:manualLayout>
      </c:layout>
      <c:barChart>
        <c:barDir val="col"/>
        <c:grouping val="clustered"/>
        <c:varyColors val="false"/>
        <c:ser>
          <c:idx val="0"/>
          <c:order val="0"/>
          <c:tx>
            <c:strRef>
              <c:f>Sheet1!$B$1</c:f>
              <c:strCache>
                <c:ptCount val="1"/>
                <c:pt idx="0">
                  <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2021年财政拨款收、支</c:v>
                </c:pt>
                <c:pt idx="1">
                  <c:v>2022年财政拨款收、支</c:v>
                </c:pt>
              </c:strCache>
            </c:strRef>
          </c:cat>
          <c:val>
            <c:numRef>
              <c:f>Sheet1!$B$2:$B$3</c:f>
              <c:numCache>
                <c:formatCode>General</c:formatCode>
                <c:ptCount val="2"/>
                <c:pt idx="0">
                  <c:v>66037.9</c:v>
                </c:pt>
                <c:pt idx="1">
                  <c:v>65900.24</c:v>
                </c:pt>
              </c:numCache>
            </c:numRef>
          </c:val>
        </c:ser>
        <c:ser>
          <c:idx val="1"/>
          <c:order val="1"/>
          <c:tx>
            <c:strRef>
              <c:f>Sheet1!#REF!</c:f>
              <c:strCache>
                <c:ptCount val="1"/>
                <c:pt idx="0">
                  <c:v/>
                </c:pt>
              </c:strCache>
            </c:strRef>
          </c:tx>
          <c:spPr>
            <a:solidFill>
              <a:schemeClr val="accent2"/>
            </a:solidFill>
            <a:ln>
              <a:noFill/>
            </a:ln>
            <a:effectLst/>
          </c:spPr>
          <c:invertIfNegative val="false"/>
          <c:dLbls>
            <c:delete val="true"/>
          </c:dLbls>
          <c:cat>
            <c:strRef>
              <c:f>Sheet1!$A$2:$A$3</c:f>
              <c:strCache>
                <c:ptCount val="2"/>
                <c:pt idx="0">
                  <c:v>2021年财政拨款收、支</c:v>
                </c:pt>
                <c:pt idx="1">
                  <c:v>2022年财政拨款收、支</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2021年财政拨款收、支</c:v>
                </c:pt>
                <c:pt idx="1">
                  <c:v>2022年财政拨款收、支</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53216768"/>
        <c:axId val="53218304"/>
      </c:barChart>
      <c:catAx>
        <c:axId val="5321676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218304"/>
        <c:crosses val="autoZero"/>
        <c:auto val="true"/>
        <c:lblAlgn val="ctr"/>
        <c:lblOffset val="100"/>
        <c:noMultiLvlLbl val="false"/>
      </c:catAx>
      <c:valAx>
        <c:axId val="5321830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21676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0445"/>
          <c:y val="0.0346666666666667"/>
          <c:w val="0.86805"/>
          <c:h val="0.845166666666667"/>
        </c:manualLayout>
      </c:layout>
      <c:barChart>
        <c:barDir val="col"/>
        <c:grouping val="clustered"/>
        <c:varyColors val="false"/>
        <c:ser>
          <c:idx val="0"/>
          <c:order val="0"/>
          <c:tx>
            <c:strRef>
              <c:f>Sheet1!$A$1</c:f>
              <c:strCache>
                <c:ptCount val="1"/>
                <c:pt idx="0">
                  <c:v>2021年一般公共预算财政拨款支出</c:v>
                </c:pt>
              </c:strCache>
            </c:strRef>
          </c:tx>
          <c:spPr>
            <a:solidFill>
              <a:schemeClr val="accent1"/>
            </a:solidFill>
            <a:ln>
              <a:noFill/>
            </a:ln>
            <a:effectLst/>
          </c:spPr>
          <c:invertIfNegative val="false"/>
          <c:dLbls>
            <c:dLbl>
              <c:idx val="0"/>
              <c:layout>
                <c:manualLayout>
                  <c:x val="-0.035625"/>
                  <c:y val="0.00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val>
            <c:numRef>
              <c:f>Sheet1!$A$2:$A$3</c:f>
              <c:numCache>
                <c:formatCode>General</c:formatCode>
                <c:ptCount val="2"/>
                <c:pt idx="0">
                  <c:v>63962.15</c:v>
                </c:pt>
              </c:numCache>
            </c:numRef>
          </c:val>
          <c:extLst>
            <c:ext xmlns:c15="http://schemas.microsoft.com/office/drawing/2012/chart" uri="{02D57815-91ED-43cb-92C2-25804820EDAC}">
              <c15:filteredCategoryTitle>
                <c15:cat>
                  <c:numRef>
                    <c:extLst>
                      <c:ext uri="{02D57815-91ED-43cb-92C2-25804820EDAC}">
                        <c15:formulaRef>
                          <c15:sqref>Sheet1!#REF!</c15:sqref>
                        </c15:formulaRef>
                      </c:ext>
                    </c:extLst>
                    <c:numCache>
                      <c:ptCount val="0"/>
                    </c:numCache>
                  </c:numRef>
                </c15:cat>
              </c15:filteredCategoryTitle>
            </c:ext>
          </c:extLst>
        </c:ser>
        <c:ser>
          <c:idx val="1"/>
          <c:order val="1"/>
          <c:tx>
            <c:strRef>
              <c:f>Sheet1!$B$1</c:f>
              <c:strCache>
                <c:ptCount val="1"/>
                <c:pt idx="0">
                  <c:v>2022年一般公共预算财政拨款支出</c:v>
                </c:pt>
              </c:strCache>
            </c:strRef>
          </c:tx>
          <c:spPr>
            <a:solidFill>
              <a:schemeClr val="accent2"/>
            </a:solidFill>
            <a:ln>
              <a:noFill/>
            </a:ln>
            <a:effectLst/>
          </c:spPr>
          <c:invertIfNegative val="false"/>
          <c:dLbls>
            <c:dLbl>
              <c:idx val="0"/>
              <c:layout>
                <c:manualLayout>
                  <c:x val="0.028125"/>
                  <c:y val="0.002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val>
            <c:numRef>
              <c:f>Sheet1!$B$2:$B$3</c:f>
              <c:numCache>
                <c:formatCode>General</c:formatCode>
                <c:ptCount val="2"/>
                <c:pt idx="0">
                  <c:v>65020.2</c:v>
                </c:pt>
              </c:numCache>
            </c:numRef>
          </c:val>
          <c:extLst>
            <c:ext xmlns:c15="http://schemas.microsoft.com/office/drawing/2012/chart" uri="{02D57815-91ED-43cb-92C2-25804820EDAC}">
              <c15:filteredCategoryTitle>
                <c15:cat>
                  <c:numRef>
                    <c:extLst>
                      <c:ext uri="{02D57815-91ED-43cb-92C2-25804820EDAC}">
                        <c15:formulaRef>
                          <c15:sqref>Sheet1!#REF!</c15:sqref>
                        </c15:formulaRef>
                      </c:ext>
                    </c:extLst>
                    <c:numCache>
                      <c:ptCount val="0"/>
                    </c:numCache>
                  </c:numRef>
                </c15:cat>
              </c15:filteredCategoryTitle>
            </c:ext>
          </c:extLst>
        </c:ser>
        <c:ser>
          <c:idx val="2"/>
          <c:order val="2"/>
          <c:tx>
            <c:strRef>
              <c:f>Sheet1!#REF!</c:f>
              <c:strCache>
                <c:ptCount val="1"/>
                <c:pt idx="0">
                  <c:v/>
                </c:pt>
              </c:strCache>
            </c:strRef>
          </c:tx>
          <c:spPr>
            <a:solidFill>
              <a:schemeClr val="accent3"/>
            </a:solidFill>
            <a:ln>
              <a:noFill/>
            </a:ln>
            <a:effectLst/>
          </c:spPr>
          <c:invertIfNegative val="false"/>
          <c:dLbls>
            <c:delete val="true"/>
          </c:dLbls>
          <c:val>
            <c:numRef>
              <c:f>Sheet1!#REF!</c:f>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Sheet1!#REF!</c15:sqref>
                        </c15:formulaRef>
                      </c:ext>
                    </c:extLst>
                    <c:numCache>
                      <c:ptCount val="0"/>
                    </c:numCache>
                  </c:numRef>
                </c15:cat>
              </c15:filteredCategoryTitle>
            </c:ext>
          </c:extLst>
        </c:ser>
        <c:dLbls>
          <c:showLegendKey val="false"/>
          <c:showVal val="true"/>
          <c:showCatName val="false"/>
          <c:showSerName val="false"/>
          <c:showPercent val="false"/>
          <c:showBubbleSize val="false"/>
        </c:dLbls>
        <c:gapWidth val="219"/>
        <c:overlap val="-27"/>
        <c:axId val="183446912"/>
        <c:axId val="183452800"/>
      </c:barChart>
      <c:catAx>
        <c:axId val="183446912"/>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3452800"/>
        <c:crosses val="autoZero"/>
        <c:auto val="true"/>
        <c:lblAlgn val="ctr"/>
        <c:lblOffset val="100"/>
        <c:noMultiLvlLbl val="false"/>
      </c:catAx>
      <c:valAx>
        <c:axId val="18345280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3446912"/>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dPt>
          <c:dPt>
            <c:idx val="4"/>
            <c:bubble3D val="false"/>
          </c:dPt>
          <c:dPt>
            <c:idx val="5"/>
            <c:bubble3D val="false"/>
          </c:dPt>
          <c:dLbls>
            <c:dLbl>
              <c:idx val="0"/>
              <c:layout>
                <c:manualLayout>
                  <c:x val="0.0622666046543792"/>
                  <c:y val="0.038142866656368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61793779865685"/>
                  <c:y val="-0.04341592398379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713227398763513"/>
                  <c:y val="-0.0012133098751060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174591689405145"/>
                  <c:y val="0.068658001617539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84365881715242"/>
                  <c:y val="-0.13215484555620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520202165313729"/>
                  <c:y val="-0.0052547066517901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Sheet1!$A$2:$A$7</c:f>
              <c:strCache>
                <c:ptCount val="6"/>
                <c:pt idx="0">
                  <c:v>教育支出类</c:v>
                </c:pt>
                <c:pt idx="1">
                  <c:v>社会保障和就业类</c:v>
                </c:pt>
                <c:pt idx="2">
                  <c:v>住房保障支出类</c:v>
                </c:pt>
                <c:pt idx="3">
                  <c:v>一般公共服务支出</c:v>
                </c:pt>
                <c:pt idx="4">
                  <c:v>文化旅游体育与传媒支出</c:v>
                </c:pt>
                <c:pt idx="5">
                  <c:v>卫生健康支出</c:v>
                </c:pt>
              </c:strCache>
            </c:strRef>
          </c:cat>
          <c:val>
            <c:numRef>
              <c:f>Sheet1!$B$2:$B$7</c:f>
              <c:numCache>
                <c:formatCode>General</c:formatCode>
                <c:ptCount val="6"/>
                <c:pt idx="0">
                  <c:v>973.17</c:v>
                </c:pt>
                <c:pt idx="1">
                  <c:v>96.85</c:v>
                </c:pt>
                <c:pt idx="2">
                  <c:v>64.41</c:v>
                </c:pt>
                <c:pt idx="3">
                  <c:v>8.04</c:v>
                </c:pt>
                <c:pt idx="4">
                  <c:v>2401.81</c:v>
                </c:pt>
                <c:pt idx="5">
                  <c:v>16.73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列1</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manualLayout>
                  <c:x val="0.130740520123204"/>
                  <c:y val="-0.027295134252077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25198733602344"/>
                  <c:y val="0.018239885086124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delete val="true"/>
            </c:dLbl>
            <c:dLbl>
              <c:idx val="3"/>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公务用车购置及运行维护费支出</c:v>
                </c:pt>
                <c:pt idx="1">
                  <c:v>公务接待费支出</c:v>
                </c:pt>
              </c:strCache>
            </c:strRef>
          </c:cat>
          <c:val>
            <c:numRef>
              <c:f>Sheet1!$B$2:$B$5</c:f>
              <c:numCache>
                <c:formatCode>General</c:formatCode>
                <c:ptCount val="4"/>
                <c:pt idx="0">
                  <c:v>27.4</c:v>
                </c:pt>
                <c:pt idx="1">
                  <c:v>3.26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63</TotalTime>
  <ScaleCrop>false</ScaleCrop>
  <LinksUpToDate>false</LinksUpToDate>
  <CharactersWithSpaces>8241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user</cp:lastModifiedBy>
  <cp:lastPrinted>2023-08-01T18:35:00Z</cp:lastPrinted>
  <dcterms:modified xsi:type="dcterms:W3CDTF">2023-09-15T09:10:36Z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