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96597"/>
      <w:bookmarkStart w:id="1" w:name="_Toc15378441"/>
      <w:bookmarkStart w:id="2" w:name="_Toc15377425"/>
      <w:bookmarkStart w:id="3" w:name="_Toc15396475"/>
      <w:bookmarkStart w:id="4" w:name="_Toc15377193"/>
      <w:bookmarkStart w:id="5"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2022年度</w:t>
      </w:r>
      <w:bookmarkEnd w:id="0"/>
      <w:bookmarkEnd w:id="1"/>
      <w:bookmarkEnd w:id="2"/>
      <w:bookmarkEnd w:id="3"/>
      <w:bookmarkEnd w:id="4"/>
    </w:p>
    <w:bookmarkEnd w:id="5"/>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77426"/>
      <w:bookmarkStart w:id="7" w:name="_Toc15377194"/>
      <w:bookmarkStart w:id="8" w:name="_Toc15396476"/>
      <w:bookmarkStart w:id="9" w:name="_Toc15396598"/>
      <w:bookmarkStart w:id="10" w:name="_Toc15378442"/>
      <w:bookmarkStart w:id="11" w:name="_Toc15306268"/>
      <w:r>
        <w:rPr>
          <w:rFonts w:hint="eastAsia" w:ascii="方正小标宋简体" w:hAnsi="方正小标宋简体" w:eastAsia="方正小标宋简体" w:cs="方正小标宋简体"/>
          <w:sz w:val="72"/>
          <w:szCs w:val="72"/>
          <w:lang w:eastAsia="zh-CN"/>
        </w:rPr>
        <w:t>四川省</w:t>
      </w:r>
      <w:r>
        <w:rPr>
          <w:rFonts w:hint="eastAsia" w:ascii="方正小标宋简体" w:hAnsi="方正小标宋简体" w:eastAsia="方正小标宋简体" w:cs="方正小标宋简体"/>
          <w:sz w:val="72"/>
          <w:szCs w:val="72"/>
        </w:rPr>
        <w:t>攀枝花市</w:t>
      </w:r>
      <w:r>
        <w:rPr>
          <w:rFonts w:hint="eastAsia" w:ascii="方正小标宋简体" w:hAnsi="方正小标宋简体" w:eastAsia="方正小标宋简体" w:cs="方正小标宋简体"/>
          <w:sz w:val="72"/>
          <w:szCs w:val="72"/>
          <w:lang w:eastAsia="zh-CN"/>
        </w:rPr>
        <w:t>教育和体育局</w:t>
      </w:r>
      <w:r>
        <w:rPr>
          <w:rFonts w:hint="eastAsia" w:ascii="方正小标宋简体" w:hAnsi="方正小标宋简体" w:eastAsia="方正小标宋简体" w:cs="方正小标宋简体"/>
          <w:sz w:val="72"/>
          <w:szCs w:val="72"/>
        </w:rPr>
        <w:t>部门决算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sz w:val="52"/>
          <w:szCs w:val="52"/>
        </w:rPr>
      </w:pPr>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3"/>
      </w:pPr>
      <w:r>
        <w:rPr>
          <w:rFonts w:hint="eastAsia"/>
        </w:rPr>
        <w:t>公开时间：2023年9月</w:t>
      </w:r>
      <w:r>
        <w:t>1</w:t>
      </w:r>
      <w:r>
        <w:rPr>
          <w:rFonts w:hint="eastAsia"/>
          <w:lang w:val="en-US" w:eastAsia="zh-CN"/>
        </w:rPr>
        <w:t>5</w:t>
      </w:r>
      <w:bookmarkStart w:id="71" w:name="_GoBack"/>
      <w:bookmarkEnd w:id="71"/>
      <w:r>
        <w:rPr>
          <w:rFonts w:hint="eastAsia"/>
        </w:rPr>
        <w:t>日</w:t>
      </w:r>
    </w:p>
    <w:p/>
    <w:p>
      <w:pPr>
        <w:pStyle w:val="13"/>
        <w:adjustRightInd w:val="0"/>
        <w:snapToGrid w:val="0"/>
        <w:spacing w:before="0" w:line="440" w:lineRule="exact"/>
        <w:jc w:val="left"/>
        <w:rPr>
          <w:rFonts w:hint="eastAsia" w:eastAsia="仿宋" w:cstheme="minorBidi"/>
          <w:sz w:val="24"/>
          <w:szCs w:val="24"/>
          <w:lang w:val="en-US" w:eastAsia="zh-CN"/>
        </w:rPr>
      </w:pPr>
      <w:r>
        <w:rPr>
          <w:rFonts w:hint="eastAsia"/>
          <w:sz w:val="24"/>
        </w:rPr>
        <w:t>第一部分</w:t>
      </w:r>
      <w:r>
        <w:rPr>
          <w:sz w:val="24"/>
        </w:rPr>
        <w:t xml:space="preserve"> </w:t>
      </w:r>
      <w:r>
        <w:rPr>
          <w:rFonts w:hint="eastAsia"/>
          <w:sz w:val="24"/>
        </w:rPr>
        <w:t>部门概况</w:t>
      </w:r>
      <w:r>
        <w:rPr>
          <w:rFonts w:cstheme="minorBidi"/>
          <w:sz w:val="24"/>
          <w:szCs w:val="24"/>
        </w:rPr>
        <w:tab/>
      </w:r>
      <w:r>
        <w:rPr>
          <w:rFonts w:hint="eastAsia" w:cstheme="minorBidi"/>
          <w:sz w:val="24"/>
          <w:szCs w:val="24"/>
          <w:lang w:val="en-US" w:eastAsia="zh-CN"/>
        </w:rPr>
        <w:t>4</w:t>
      </w:r>
    </w:p>
    <w:p>
      <w:pPr>
        <w:pStyle w:val="14"/>
        <w:adjustRightInd w:val="0"/>
        <w:snapToGrid w:val="0"/>
        <w:spacing w:line="440" w:lineRule="exact"/>
        <w:jc w:val="left"/>
        <w:rPr>
          <w:rFonts w:hint="eastAsia" w:ascii="仿宋" w:hAnsi="仿宋" w:eastAsia="宋体"/>
          <w:sz w:val="24"/>
          <w:lang w:val="en-US" w:eastAsia="zh-CN"/>
        </w:rPr>
      </w:pPr>
      <w:r>
        <w:rPr>
          <w:rFonts w:hint="eastAsia"/>
          <w:sz w:val="24"/>
        </w:rPr>
        <w:t>一、部门职责</w:t>
      </w:r>
      <w:r>
        <w:rPr>
          <w:rFonts w:cstheme="minorBidi"/>
          <w:sz w:val="24"/>
        </w:rPr>
        <w:tab/>
      </w:r>
      <w:r>
        <w:rPr>
          <w:rFonts w:hint="eastAsia" w:cstheme="minorBidi"/>
          <w:sz w:val="24"/>
          <w:lang w:val="en-US" w:eastAsia="zh-CN"/>
        </w:rPr>
        <w:t>4</w:t>
      </w:r>
    </w:p>
    <w:p>
      <w:pPr>
        <w:pStyle w:val="14"/>
        <w:adjustRightInd w:val="0"/>
        <w:snapToGrid w:val="0"/>
        <w:spacing w:line="440" w:lineRule="exact"/>
        <w:jc w:val="left"/>
        <w:rPr>
          <w:rFonts w:hint="eastAsia" w:eastAsia="宋体" w:cstheme="minorBidi"/>
          <w:sz w:val="24"/>
          <w:lang w:val="en-US" w:eastAsia="zh-CN"/>
        </w:rPr>
      </w:pPr>
      <w:r>
        <w:rPr>
          <w:rFonts w:hint="eastAsia"/>
          <w:sz w:val="24"/>
        </w:rPr>
        <w:t>二、机构设置</w:t>
      </w:r>
      <w:r>
        <w:rPr>
          <w:rFonts w:cstheme="minorBidi"/>
          <w:sz w:val="24"/>
        </w:rPr>
        <w:tab/>
      </w:r>
      <w:r>
        <w:rPr>
          <w:rFonts w:hint="eastAsia" w:cstheme="minorBidi"/>
          <w:sz w:val="24"/>
          <w:lang w:val="en-US" w:eastAsia="zh-CN"/>
        </w:rPr>
        <w:t>7</w:t>
      </w:r>
    </w:p>
    <w:p>
      <w:pPr>
        <w:pStyle w:val="14"/>
        <w:adjustRightInd w:val="0"/>
        <w:snapToGrid w:val="0"/>
        <w:spacing w:line="440" w:lineRule="exact"/>
        <w:jc w:val="left"/>
        <w:rPr>
          <w:rFonts w:hint="eastAsia" w:eastAsia="宋体"/>
          <w:sz w:val="24"/>
          <w:szCs w:val="24"/>
          <w:lang w:val="en-US" w:eastAsia="zh-CN"/>
        </w:rPr>
      </w:pPr>
      <w:r>
        <w:rPr>
          <w:rFonts w:hint="eastAsia"/>
          <w:sz w:val="24"/>
        </w:rPr>
        <w:t>第二部分 2022年度部门决算情况说明</w:t>
      </w:r>
      <w:r>
        <w:rPr>
          <w:rFonts w:cstheme="minorBidi"/>
          <w:sz w:val="24"/>
        </w:rPr>
        <w:tab/>
      </w:r>
      <w:r>
        <w:rPr>
          <w:rFonts w:hint="eastAsia" w:cstheme="minorBidi"/>
          <w:sz w:val="24"/>
          <w:lang w:val="en-US" w:eastAsia="zh-CN"/>
        </w:rPr>
        <w:t>8</w:t>
      </w:r>
    </w:p>
    <w:p>
      <w:pPr>
        <w:pStyle w:val="13"/>
        <w:adjustRightInd w:val="0"/>
        <w:snapToGrid w:val="0"/>
        <w:spacing w:before="0" w:line="440" w:lineRule="exact"/>
        <w:ind w:firstLine="480" w:firstLineChars="200"/>
        <w:jc w:val="left"/>
        <w:rPr>
          <w:rFonts w:hint="default" w:ascii="仿宋" w:hAnsi="仿宋" w:eastAsia="仿宋" w:cstheme="minorBidi"/>
          <w:sz w:val="24"/>
          <w:lang w:val="en-US" w:eastAsia="zh-CN"/>
        </w:rPr>
      </w:pPr>
      <w:r>
        <w:rPr>
          <w:rFonts w:hint="eastAsia"/>
          <w:sz w:val="24"/>
        </w:rPr>
        <w:t>一、收入支出决算总体情况说明</w:t>
      </w:r>
      <w:r>
        <w:rPr>
          <w:rFonts w:cstheme="minorBidi"/>
          <w:sz w:val="24"/>
          <w:szCs w:val="24"/>
        </w:rPr>
        <w:tab/>
      </w:r>
      <w:r>
        <w:rPr>
          <w:rFonts w:hint="eastAsia" w:cstheme="minorBidi"/>
          <w:sz w:val="24"/>
          <w:szCs w:val="24"/>
          <w:lang w:val="en-US" w:eastAsia="zh-CN"/>
        </w:rPr>
        <w:t>8</w:t>
      </w:r>
    </w:p>
    <w:p>
      <w:pPr>
        <w:pStyle w:val="14"/>
        <w:adjustRightInd w:val="0"/>
        <w:snapToGrid w:val="0"/>
        <w:spacing w:line="440" w:lineRule="exact"/>
        <w:jc w:val="left"/>
        <w:rPr>
          <w:rFonts w:hint="eastAsia" w:ascii="仿宋" w:hAnsi="仿宋" w:eastAsia="宋体" w:cstheme="minorBidi"/>
          <w:sz w:val="24"/>
          <w:lang w:val="en-US" w:eastAsia="zh-CN"/>
        </w:rPr>
      </w:pPr>
      <w:r>
        <w:rPr>
          <w:rFonts w:hint="eastAsia"/>
          <w:sz w:val="24"/>
        </w:rPr>
        <w:t>二、收入决算情况说明</w:t>
      </w:r>
      <w:r>
        <w:rPr>
          <w:rFonts w:cstheme="minorBidi"/>
          <w:sz w:val="24"/>
          <w:szCs w:val="24"/>
        </w:rPr>
        <w:tab/>
      </w:r>
      <w:r>
        <w:rPr>
          <w:rFonts w:hint="eastAsia" w:cstheme="minorBidi"/>
          <w:sz w:val="24"/>
          <w:szCs w:val="24"/>
          <w:lang w:val="en-US" w:eastAsia="zh-CN"/>
        </w:rPr>
        <w:t>8</w:t>
      </w:r>
    </w:p>
    <w:p>
      <w:pPr>
        <w:pStyle w:val="14"/>
        <w:adjustRightInd w:val="0"/>
        <w:snapToGrid w:val="0"/>
        <w:spacing w:line="440" w:lineRule="exact"/>
        <w:jc w:val="left"/>
        <w:rPr>
          <w:rFonts w:hint="eastAsia" w:ascii="仿宋" w:hAnsi="仿宋" w:eastAsia="宋体" w:cstheme="minorBidi"/>
          <w:sz w:val="24"/>
          <w:lang w:val="en-US" w:eastAsia="zh-CN"/>
        </w:rPr>
      </w:pPr>
      <w:r>
        <w:rPr>
          <w:rFonts w:hint="eastAsia"/>
          <w:sz w:val="24"/>
        </w:rPr>
        <w:t>三、支出决算情况说明</w:t>
      </w:r>
      <w:r>
        <w:rPr>
          <w:rFonts w:cstheme="minorBidi"/>
          <w:sz w:val="24"/>
          <w:szCs w:val="24"/>
        </w:rPr>
        <w:tab/>
      </w:r>
      <w:r>
        <w:rPr>
          <w:rFonts w:hint="eastAsia" w:cstheme="minorBidi"/>
          <w:sz w:val="24"/>
          <w:szCs w:val="24"/>
          <w:lang w:val="en-US" w:eastAsia="zh-CN"/>
        </w:rPr>
        <w:t>9</w:t>
      </w:r>
    </w:p>
    <w:p>
      <w:pPr>
        <w:pStyle w:val="14"/>
        <w:adjustRightInd w:val="0"/>
        <w:snapToGrid w:val="0"/>
        <w:spacing w:line="440" w:lineRule="exact"/>
        <w:jc w:val="left"/>
        <w:rPr>
          <w:rFonts w:hint="default" w:ascii="仿宋" w:hAnsi="仿宋" w:eastAsia="宋体" w:cstheme="minorBidi"/>
          <w:sz w:val="24"/>
          <w:lang w:val="en-US" w:eastAsia="zh-CN"/>
        </w:rPr>
      </w:pPr>
      <w:r>
        <w:rPr>
          <w:rFonts w:hint="eastAsia"/>
          <w:sz w:val="24"/>
        </w:rPr>
        <w:t>四、财政拨款收入支出决算总体情况说明</w:t>
      </w:r>
      <w:r>
        <w:rPr>
          <w:rFonts w:cstheme="minorBidi"/>
          <w:sz w:val="24"/>
          <w:szCs w:val="24"/>
        </w:rPr>
        <w:tab/>
      </w:r>
      <w:r>
        <w:rPr>
          <w:rFonts w:hint="eastAsia" w:cstheme="minorBidi"/>
          <w:sz w:val="24"/>
          <w:szCs w:val="24"/>
          <w:lang w:val="en-US" w:eastAsia="zh-CN"/>
        </w:rPr>
        <w:t>10</w:t>
      </w:r>
    </w:p>
    <w:p>
      <w:pPr>
        <w:pStyle w:val="14"/>
        <w:adjustRightInd w:val="0"/>
        <w:snapToGrid w:val="0"/>
        <w:spacing w:line="440" w:lineRule="exact"/>
        <w:jc w:val="left"/>
        <w:rPr>
          <w:rFonts w:hint="default" w:ascii="仿宋" w:hAnsi="仿宋" w:eastAsia="宋体" w:cstheme="minorBidi"/>
          <w:sz w:val="24"/>
          <w:lang w:val="en-US" w:eastAsia="zh-CN"/>
        </w:rPr>
      </w:pPr>
      <w:r>
        <w:rPr>
          <w:rFonts w:hint="eastAsia"/>
          <w:sz w:val="24"/>
        </w:rPr>
        <w:t>五、一般公共预算财政拨款支出决算情况说明</w:t>
      </w:r>
      <w:r>
        <w:rPr>
          <w:rFonts w:cstheme="minorBidi"/>
          <w:sz w:val="24"/>
          <w:szCs w:val="24"/>
        </w:rPr>
        <w:tab/>
      </w:r>
      <w:r>
        <w:rPr>
          <w:rFonts w:hint="eastAsia" w:cstheme="minorBidi"/>
          <w:sz w:val="24"/>
          <w:szCs w:val="24"/>
          <w:lang w:val="en-US" w:eastAsia="zh-CN"/>
        </w:rPr>
        <w:t>11</w:t>
      </w:r>
    </w:p>
    <w:p>
      <w:pPr>
        <w:pStyle w:val="14"/>
        <w:adjustRightInd w:val="0"/>
        <w:snapToGrid w:val="0"/>
        <w:spacing w:line="440" w:lineRule="exact"/>
        <w:jc w:val="left"/>
        <w:rPr>
          <w:rFonts w:hint="default" w:ascii="仿宋" w:hAnsi="仿宋" w:eastAsia="宋体" w:cstheme="minorBidi"/>
          <w:sz w:val="24"/>
          <w:lang w:val="en-US" w:eastAsia="zh-CN"/>
        </w:rPr>
      </w:pPr>
      <w:r>
        <w:rPr>
          <w:rFonts w:hint="eastAsia"/>
          <w:sz w:val="24"/>
        </w:rPr>
        <w:t>六、一般公共预算财政拨款基本支出决算情况说明</w:t>
      </w:r>
      <w:r>
        <w:rPr>
          <w:rFonts w:cstheme="minorBidi"/>
          <w:sz w:val="24"/>
          <w:szCs w:val="24"/>
        </w:rPr>
        <w:tab/>
      </w:r>
      <w:r>
        <w:rPr>
          <w:rFonts w:hint="eastAsia" w:cstheme="minorBidi"/>
          <w:sz w:val="24"/>
          <w:szCs w:val="24"/>
          <w:lang w:val="en-US" w:eastAsia="zh-CN"/>
        </w:rPr>
        <w:t>15</w:t>
      </w:r>
    </w:p>
    <w:p>
      <w:pPr>
        <w:pStyle w:val="14"/>
        <w:adjustRightInd w:val="0"/>
        <w:snapToGrid w:val="0"/>
        <w:spacing w:line="440" w:lineRule="exact"/>
        <w:jc w:val="left"/>
        <w:rPr>
          <w:rFonts w:hint="default" w:ascii="仿宋" w:hAnsi="仿宋" w:eastAsia="宋体" w:cstheme="minorBidi"/>
          <w:sz w:val="24"/>
          <w:lang w:val="en-US" w:eastAsia="zh-CN"/>
        </w:rPr>
      </w:pPr>
      <w:r>
        <w:rPr>
          <w:rFonts w:hint="eastAsia"/>
          <w:sz w:val="24"/>
        </w:rPr>
        <w:t>七、财政拨款“三公”经费支出决算情况说明</w:t>
      </w:r>
      <w:r>
        <w:rPr>
          <w:rFonts w:cstheme="minorBidi"/>
          <w:sz w:val="24"/>
          <w:szCs w:val="24"/>
        </w:rPr>
        <w:tab/>
      </w:r>
      <w:r>
        <w:rPr>
          <w:rFonts w:hint="eastAsia" w:cstheme="minorBidi"/>
          <w:sz w:val="24"/>
          <w:szCs w:val="24"/>
          <w:lang w:val="en-US" w:eastAsia="zh-CN"/>
        </w:rPr>
        <w:t>16</w:t>
      </w:r>
    </w:p>
    <w:p>
      <w:pPr>
        <w:pStyle w:val="14"/>
        <w:adjustRightInd w:val="0"/>
        <w:snapToGrid w:val="0"/>
        <w:spacing w:line="440" w:lineRule="exact"/>
        <w:jc w:val="left"/>
        <w:rPr>
          <w:rFonts w:hint="default" w:ascii="仿宋" w:hAnsi="仿宋" w:eastAsia="宋体" w:cstheme="minorBidi"/>
          <w:sz w:val="24"/>
          <w:lang w:val="en-US" w:eastAsia="zh-CN"/>
        </w:rPr>
      </w:pPr>
      <w:r>
        <w:rPr>
          <w:rFonts w:hint="eastAsia"/>
          <w:sz w:val="24"/>
        </w:rPr>
        <w:t>八、政府性基金预算支出决算情况说明</w:t>
      </w:r>
      <w:r>
        <w:rPr>
          <w:rFonts w:cstheme="minorBidi"/>
          <w:sz w:val="24"/>
          <w:szCs w:val="24"/>
        </w:rPr>
        <w:tab/>
      </w:r>
      <w:r>
        <w:rPr>
          <w:rFonts w:hint="eastAsia" w:cstheme="minorBidi"/>
          <w:sz w:val="24"/>
          <w:szCs w:val="24"/>
          <w:lang w:val="en-US" w:eastAsia="zh-CN"/>
        </w:rPr>
        <w:t>19</w:t>
      </w:r>
    </w:p>
    <w:p>
      <w:pPr>
        <w:pStyle w:val="14"/>
        <w:adjustRightInd w:val="0"/>
        <w:snapToGrid w:val="0"/>
        <w:spacing w:line="440" w:lineRule="exact"/>
        <w:jc w:val="left"/>
        <w:rPr>
          <w:rFonts w:hint="default" w:eastAsia="宋体"/>
          <w:sz w:val="24"/>
          <w:lang w:val="en-US" w:eastAsia="zh-CN"/>
        </w:rPr>
      </w:pPr>
      <w:r>
        <w:rPr>
          <w:rFonts w:hint="eastAsia"/>
          <w:sz w:val="24"/>
        </w:rPr>
        <w:t>九、国有资本经营预算支出决算情况说明</w:t>
      </w:r>
      <w:r>
        <w:rPr>
          <w:rFonts w:cstheme="minorBidi"/>
          <w:sz w:val="24"/>
          <w:szCs w:val="24"/>
        </w:rPr>
        <w:tab/>
      </w:r>
      <w:r>
        <w:rPr>
          <w:rFonts w:hint="eastAsia" w:cstheme="minorBidi"/>
          <w:sz w:val="24"/>
          <w:szCs w:val="24"/>
          <w:lang w:val="en-US" w:eastAsia="zh-CN"/>
        </w:rPr>
        <w:t>19</w:t>
      </w:r>
    </w:p>
    <w:p>
      <w:pPr>
        <w:pStyle w:val="14"/>
        <w:adjustRightInd w:val="0"/>
        <w:snapToGrid w:val="0"/>
        <w:spacing w:line="440" w:lineRule="exact"/>
        <w:jc w:val="left"/>
        <w:rPr>
          <w:rFonts w:hint="default" w:eastAsia="宋体"/>
          <w:sz w:val="24"/>
          <w:lang w:val="en-US" w:eastAsia="zh-CN"/>
        </w:rPr>
      </w:pPr>
      <w:r>
        <w:rPr>
          <w:rFonts w:hint="eastAsia"/>
          <w:sz w:val="24"/>
        </w:rPr>
        <w:t>十、其他重要事项的情况说明</w:t>
      </w:r>
      <w:r>
        <w:rPr>
          <w:rFonts w:cstheme="minorBidi"/>
          <w:sz w:val="24"/>
          <w:szCs w:val="24"/>
        </w:rPr>
        <w:tab/>
      </w:r>
      <w:r>
        <w:rPr>
          <w:rFonts w:hint="eastAsia" w:cstheme="minorBidi"/>
          <w:sz w:val="24"/>
          <w:szCs w:val="24"/>
          <w:lang w:val="en-US" w:eastAsia="zh-CN"/>
        </w:rPr>
        <w:t>21</w:t>
      </w:r>
    </w:p>
    <w:p>
      <w:pPr>
        <w:pStyle w:val="13"/>
        <w:adjustRightInd w:val="0"/>
        <w:snapToGrid w:val="0"/>
        <w:spacing w:before="0" w:line="440" w:lineRule="exact"/>
        <w:jc w:val="left"/>
        <w:rPr>
          <w:rFonts w:hint="default" w:eastAsia="仿宋" w:cstheme="minorBidi"/>
          <w:sz w:val="24"/>
          <w:szCs w:val="24"/>
          <w:lang w:val="en-US" w:eastAsia="zh-CN"/>
        </w:rPr>
      </w:pPr>
      <w:r>
        <w:rPr>
          <w:rFonts w:hint="eastAsia"/>
          <w:sz w:val="24"/>
        </w:rPr>
        <w:t>第三部分</w:t>
      </w:r>
      <w:r>
        <w:rPr>
          <w:sz w:val="24"/>
        </w:rPr>
        <w:t xml:space="preserve"> </w:t>
      </w:r>
      <w:r>
        <w:rPr>
          <w:rFonts w:hint="eastAsia"/>
          <w:sz w:val="24"/>
        </w:rPr>
        <w:t>名词解释</w:t>
      </w:r>
      <w:r>
        <w:rPr>
          <w:rFonts w:cstheme="minorBidi"/>
          <w:sz w:val="24"/>
          <w:szCs w:val="24"/>
        </w:rPr>
        <w:tab/>
      </w:r>
      <w:r>
        <w:rPr>
          <w:rFonts w:hint="eastAsia" w:cstheme="minorBidi"/>
          <w:sz w:val="24"/>
          <w:szCs w:val="24"/>
          <w:lang w:val="en-US" w:eastAsia="zh-CN"/>
        </w:rPr>
        <w:t>28</w:t>
      </w:r>
    </w:p>
    <w:p>
      <w:pPr>
        <w:pStyle w:val="13"/>
        <w:adjustRightInd w:val="0"/>
        <w:snapToGrid w:val="0"/>
        <w:spacing w:before="0" w:line="440" w:lineRule="exact"/>
        <w:jc w:val="left"/>
        <w:rPr>
          <w:rFonts w:hint="default" w:eastAsia="仿宋" w:cstheme="minorBidi"/>
          <w:sz w:val="24"/>
          <w:szCs w:val="24"/>
          <w:lang w:val="en-US" w:eastAsia="zh-CN"/>
        </w:rPr>
      </w:pPr>
      <w:r>
        <w:rPr>
          <w:rFonts w:hint="eastAsia"/>
          <w:sz w:val="24"/>
        </w:rPr>
        <w:t>第四部分</w:t>
      </w:r>
      <w:r>
        <w:rPr>
          <w:sz w:val="24"/>
        </w:rPr>
        <w:t xml:space="preserve"> </w:t>
      </w:r>
      <w:r>
        <w:rPr>
          <w:rFonts w:hint="eastAsia"/>
          <w:sz w:val="24"/>
        </w:rPr>
        <w:t>附件</w:t>
      </w:r>
      <w:r>
        <w:rPr>
          <w:rFonts w:cstheme="minorBidi"/>
          <w:sz w:val="24"/>
          <w:szCs w:val="24"/>
        </w:rPr>
        <w:tab/>
      </w:r>
      <w:r>
        <w:rPr>
          <w:rFonts w:hint="eastAsia" w:cstheme="minorBidi"/>
          <w:sz w:val="24"/>
          <w:szCs w:val="24"/>
          <w:lang w:val="en-US" w:eastAsia="zh-CN"/>
        </w:rPr>
        <w:t>33</w:t>
      </w:r>
    </w:p>
    <w:p>
      <w:pPr>
        <w:pStyle w:val="14"/>
        <w:adjustRightInd w:val="0"/>
        <w:snapToGrid w:val="0"/>
        <w:spacing w:line="440" w:lineRule="exact"/>
        <w:ind w:left="0" w:leftChars="0" w:firstLine="0" w:firstLineChars="0"/>
        <w:jc w:val="left"/>
        <w:rPr>
          <w:rFonts w:hint="default" w:eastAsia="宋体" w:cstheme="minorBidi"/>
          <w:sz w:val="24"/>
          <w:szCs w:val="24"/>
          <w:lang w:val="en-US" w:eastAsia="zh-CN"/>
        </w:rPr>
      </w:pPr>
      <w:r>
        <w:rPr>
          <w:rFonts w:hint="eastAsia"/>
          <w:sz w:val="24"/>
        </w:rPr>
        <w:t>第五部分</w:t>
      </w:r>
      <w:r>
        <w:rPr>
          <w:sz w:val="24"/>
        </w:rPr>
        <w:t xml:space="preserve"> </w:t>
      </w:r>
      <w:r>
        <w:rPr>
          <w:rFonts w:hint="eastAsia"/>
          <w:sz w:val="24"/>
        </w:rPr>
        <w:t>附表</w:t>
      </w:r>
      <w:r>
        <w:rPr>
          <w:rFonts w:cstheme="minorBidi"/>
          <w:sz w:val="24"/>
          <w:szCs w:val="24"/>
        </w:rPr>
        <w:tab/>
      </w:r>
      <w:r>
        <w:rPr>
          <w:rFonts w:hint="eastAsia" w:cstheme="minorBidi"/>
          <w:sz w:val="24"/>
          <w:szCs w:val="24"/>
          <w:lang w:val="en-US" w:eastAsia="zh-CN"/>
        </w:rPr>
        <w:t>50</w:t>
      </w:r>
    </w:p>
    <w:p>
      <w:pPr>
        <w:pStyle w:val="14"/>
        <w:adjustRightInd w:val="0"/>
        <w:snapToGrid w:val="0"/>
        <w:spacing w:line="440" w:lineRule="exact"/>
        <w:jc w:val="left"/>
        <w:rPr>
          <w:sz w:val="24"/>
        </w:rPr>
      </w:pPr>
      <w:r>
        <w:rPr>
          <w:rFonts w:hint="eastAsia"/>
          <w:sz w:val="24"/>
        </w:rPr>
        <w:t>一、收入支出决算总表</w:t>
      </w:r>
    </w:p>
    <w:p>
      <w:pPr>
        <w:pStyle w:val="14"/>
        <w:adjustRightInd w:val="0"/>
        <w:snapToGrid w:val="0"/>
        <w:spacing w:line="440" w:lineRule="exact"/>
        <w:jc w:val="left"/>
        <w:rPr>
          <w:sz w:val="24"/>
        </w:rPr>
      </w:pPr>
      <w:r>
        <w:rPr>
          <w:rFonts w:hint="eastAsia"/>
          <w:sz w:val="24"/>
        </w:rPr>
        <w:t>二、收入决算表</w:t>
      </w:r>
    </w:p>
    <w:p>
      <w:pPr>
        <w:pStyle w:val="14"/>
        <w:adjustRightInd w:val="0"/>
        <w:snapToGrid w:val="0"/>
        <w:spacing w:line="440" w:lineRule="exact"/>
        <w:jc w:val="left"/>
        <w:rPr>
          <w:sz w:val="24"/>
        </w:rPr>
      </w:pPr>
      <w:r>
        <w:rPr>
          <w:rFonts w:hint="eastAsia"/>
          <w:sz w:val="24"/>
        </w:rPr>
        <w:t>三、支出决算表</w:t>
      </w:r>
    </w:p>
    <w:p>
      <w:pPr>
        <w:pStyle w:val="14"/>
        <w:adjustRightInd w:val="0"/>
        <w:snapToGrid w:val="0"/>
        <w:spacing w:line="440" w:lineRule="exact"/>
        <w:jc w:val="left"/>
        <w:rPr>
          <w:sz w:val="24"/>
        </w:rPr>
      </w:pPr>
      <w:r>
        <w:rPr>
          <w:rFonts w:hint="eastAsia"/>
          <w:sz w:val="24"/>
        </w:rPr>
        <w:t>四、财政拨款收入支出决算总表</w:t>
      </w:r>
    </w:p>
    <w:p>
      <w:pPr>
        <w:pStyle w:val="14"/>
        <w:adjustRightInd w:val="0"/>
        <w:snapToGrid w:val="0"/>
        <w:spacing w:line="440" w:lineRule="exact"/>
        <w:jc w:val="left"/>
        <w:rPr>
          <w:sz w:val="24"/>
        </w:rPr>
      </w:pPr>
      <w:r>
        <w:rPr>
          <w:rFonts w:hint="eastAsia"/>
          <w:sz w:val="24"/>
        </w:rPr>
        <w:t>五、财政拨款支出决算明细表</w:t>
      </w:r>
    </w:p>
    <w:p>
      <w:pPr>
        <w:pStyle w:val="14"/>
        <w:adjustRightInd w:val="0"/>
        <w:snapToGrid w:val="0"/>
        <w:spacing w:line="440" w:lineRule="exact"/>
        <w:jc w:val="left"/>
        <w:rPr>
          <w:sz w:val="24"/>
        </w:rPr>
      </w:pPr>
      <w:r>
        <w:rPr>
          <w:rFonts w:hint="eastAsia"/>
          <w:sz w:val="24"/>
        </w:rPr>
        <w:t>六、一般公共预算财政拨款支出决算表</w:t>
      </w:r>
    </w:p>
    <w:p>
      <w:pPr>
        <w:pStyle w:val="14"/>
        <w:adjustRightInd w:val="0"/>
        <w:snapToGrid w:val="0"/>
        <w:spacing w:line="440" w:lineRule="exact"/>
        <w:jc w:val="left"/>
        <w:rPr>
          <w:sz w:val="24"/>
        </w:rPr>
      </w:pPr>
      <w:r>
        <w:rPr>
          <w:rFonts w:hint="eastAsia"/>
          <w:sz w:val="24"/>
        </w:rPr>
        <w:t>七、一般公共预算财政拨款支出决算明细表</w:t>
      </w:r>
    </w:p>
    <w:p>
      <w:pPr>
        <w:pStyle w:val="14"/>
        <w:adjustRightInd w:val="0"/>
        <w:snapToGrid w:val="0"/>
        <w:spacing w:line="440" w:lineRule="exact"/>
        <w:jc w:val="left"/>
        <w:rPr>
          <w:sz w:val="24"/>
        </w:rPr>
      </w:pPr>
      <w:r>
        <w:rPr>
          <w:rFonts w:hint="eastAsia"/>
          <w:sz w:val="24"/>
        </w:rPr>
        <w:t>八、一般公共预算财政拨款基本支出决算明细表</w:t>
      </w:r>
    </w:p>
    <w:p>
      <w:pPr>
        <w:pStyle w:val="14"/>
        <w:adjustRightInd w:val="0"/>
        <w:snapToGrid w:val="0"/>
        <w:spacing w:line="440" w:lineRule="exact"/>
        <w:jc w:val="left"/>
        <w:rPr>
          <w:sz w:val="24"/>
        </w:rPr>
      </w:pPr>
      <w:r>
        <w:rPr>
          <w:rFonts w:hint="eastAsia"/>
          <w:sz w:val="24"/>
        </w:rPr>
        <w:t>九、一般公共预算财政拨款项目支出决算表</w:t>
      </w:r>
    </w:p>
    <w:p>
      <w:pPr>
        <w:pStyle w:val="14"/>
        <w:adjustRightInd w:val="0"/>
        <w:snapToGrid w:val="0"/>
        <w:spacing w:line="440" w:lineRule="exact"/>
        <w:jc w:val="left"/>
        <w:rPr>
          <w:sz w:val="24"/>
        </w:rPr>
      </w:pPr>
      <w:r>
        <w:rPr>
          <w:rFonts w:hint="eastAsia"/>
          <w:sz w:val="24"/>
        </w:rPr>
        <w:t>十、政府性基金预算财政拨款收入支出决算表</w:t>
      </w:r>
    </w:p>
    <w:p>
      <w:pPr>
        <w:pStyle w:val="14"/>
        <w:adjustRightInd w:val="0"/>
        <w:snapToGrid w:val="0"/>
        <w:spacing w:line="440" w:lineRule="exact"/>
        <w:jc w:val="left"/>
        <w:rPr>
          <w:sz w:val="24"/>
        </w:rPr>
      </w:pPr>
      <w:r>
        <w:rPr>
          <w:rFonts w:hint="eastAsia"/>
          <w:sz w:val="24"/>
        </w:rPr>
        <w:t>十一、国有资本经营预算财政拨款收入支出决算表</w:t>
      </w:r>
    </w:p>
    <w:p>
      <w:pPr>
        <w:pStyle w:val="14"/>
        <w:adjustRightInd w:val="0"/>
        <w:snapToGrid w:val="0"/>
        <w:spacing w:line="440" w:lineRule="exact"/>
        <w:jc w:val="left"/>
        <w:rPr>
          <w:sz w:val="24"/>
        </w:rPr>
      </w:pPr>
      <w:r>
        <w:rPr>
          <w:rFonts w:hint="eastAsia"/>
          <w:sz w:val="24"/>
        </w:rPr>
        <w:t>十二、国有资本经营预算财政拨款支出决算表</w:t>
      </w:r>
    </w:p>
    <w:p>
      <w:pPr>
        <w:pStyle w:val="14"/>
        <w:adjustRightInd w:val="0"/>
        <w:snapToGrid w:val="0"/>
        <w:spacing w:line="440" w:lineRule="exact"/>
        <w:jc w:val="left"/>
        <w:rPr>
          <w:rFonts w:asciiTheme="minorEastAsia" w:hAnsiTheme="minorEastAsia" w:eastAsiaTheme="minorEastAsia" w:cstheme="minorEastAsia"/>
          <w:sz w:val="24"/>
        </w:rPr>
      </w:pPr>
      <w:r>
        <w:rPr>
          <w:rFonts w:hint="eastAsia"/>
          <w:sz w:val="24"/>
        </w:rPr>
        <w:t>十三、财政拨款“三公”经费支出决算表</w:t>
      </w:r>
    </w:p>
    <w:p>
      <w:pPr>
        <w:widowControl/>
        <w:adjustRightInd w:val="0"/>
        <w:snapToGrid w:val="0"/>
        <w:spacing w:line="440" w:lineRule="exact"/>
        <w:ind w:firstLine="1320" w:firstLineChars="550"/>
        <w:jc w:val="left"/>
        <w:rPr>
          <w:rFonts w:ascii="仿宋" w:hAnsi="仿宋" w:eastAsia="仿宋"/>
          <w:sz w:val="24"/>
        </w:rPr>
      </w:pP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4"/>
        <w:jc w:val="center"/>
        <w:rPr>
          <w:rStyle w:val="30"/>
          <w:rFonts w:ascii="黑体" w:hAnsi="黑体" w:eastAsia="黑体"/>
          <w:b/>
          <w:bCs w:val="0"/>
        </w:rPr>
      </w:pPr>
      <w:r>
        <w:rPr>
          <w:rFonts w:hint="eastAsia" w:ascii="黑体" w:hAnsi="黑体" w:eastAsia="黑体"/>
          <w:b w:val="0"/>
        </w:rPr>
        <w:t xml:space="preserve">第一部分 </w:t>
      </w:r>
      <w:r>
        <w:rPr>
          <w:rStyle w:val="30"/>
          <w:rFonts w:hint="eastAsia" w:ascii="黑体" w:hAnsi="黑体" w:eastAsia="黑体"/>
          <w:b w:val="0"/>
          <w:bCs w:val="0"/>
        </w:rPr>
        <w:t>部门概况</w:t>
      </w:r>
      <w:bookmarkEnd w:id="12"/>
      <w:bookmarkEnd w:id="13"/>
    </w:p>
    <w:p>
      <w:pPr>
        <w:widowControl/>
        <w:jc w:val="left"/>
        <w:rPr>
          <w:rFonts w:ascii="黑体" w:eastAsia="黑体"/>
          <w:sz w:val="32"/>
          <w:szCs w:val="32"/>
        </w:rPr>
      </w:pPr>
    </w:p>
    <w:p>
      <w:pPr>
        <w:pStyle w:val="5"/>
        <w:numPr>
          <w:ilvl w:val="0"/>
          <w:numId w:val="1"/>
        </w:numPr>
        <w:rPr>
          <w:rFonts w:ascii="黑体" w:hAnsi="黑体" w:eastAsia="黑体"/>
          <w:b w:val="0"/>
        </w:rPr>
      </w:pPr>
      <w:r>
        <w:rPr>
          <w:rFonts w:hint="eastAsia" w:ascii="黑体" w:hAnsi="黑体" w:eastAsia="黑体"/>
          <w:b w:val="0"/>
        </w:rPr>
        <w:t>部门职责</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攀枝花市教育</w:t>
      </w:r>
      <w:r>
        <w:rPr>
          <w:rFonts w:hint="eastAsia" w:ascii="仿宋_GB2312" w:eastAsia="仿宋_GB2312" w:cs="仿宋_GB2312"/>
          <w:sz w:val="32"/>
          <w:szCs w:val="32"/>
          <w:lang w:eastAsia="zh-CN"/>
        </w:rPr>
        <w:t>和</w:t>
      </w:r>
      <w:r>
        <w:rPr>
          <w:rFonts w:hint="eastAsia" w:ascii="仿宋_GB2312" w:eastAsia="仿宋_GB2312" w:cs="仿宋_GB2312"/>
          <w:sz w:val="32"/>
          <w:szCs w:val="32"/>
        </w:rPr>
        <w:t>体育局是2014年由原攀枝花市教育局和原攀枝花市体育局合并成立的，为市政府工作部门。</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 xml:space="preserve"> 主要职责：</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（1）贯彻执行国家和省有关教育体育工作的方针、政策和法律、法规，研究制定有关贯彻意见并组织实施。</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2）拟订全市教育体育体制改革政策和教育体育事业发展规划；负责各级各类教育体育的统筹规划和协调管理；指导各级各类学校教育教学改革；负责中小学布局结构调整；负责多元化体育服务体系建设，推进体育公共服务和体育体制改革；负责全市教育体育系统基本信息的统计、分析、发布工作；负责组织和指导全市教育体育信息化建设工作。</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（3）负责义务教育的指导与协调，推进全市义务教育均衡发展和促进教育公平。指导普通高中教育、学前教育和特殊教育工作。推进基础教育教学改革，全面实施素质教育。</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（4）指导基础教育、中等职业教育和成人教育学校开展思想政治、德育、体育卫生与艺术教育、国防教育、心理健康教育、安全和稳定工作。</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（5）指导职业教育发展与改革，组织实施民族地区免费中等职业教育工作。完成省里下达的藏（彝）区学生“9+3”免费职业教育任务。</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（6）综合管理全市成人教育和广播电视教育及扫除青壮年文盲工作，协调普通高等教育发展。</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 xml:space="preserve"> (7)负责全市教育督导工作。负责组织对中等及以下各级各类教育、广播电视教育以及扫除青壮年文盲工作的督导检查和评估考核工作；开展基础教育发展水平和质量监测工作。</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(8)负责本部门教育体育经费的统筹管理。会同有关部门制定筹措教育体育经费、拨款、基建投资的政策和措施，协助有关部门做好教育体育拨款的筹集、拨付工作；监督全市教育体育经费的筹措和使用情况；指导国(境)外教育体育援助、贷款和合作项目的执行。负责普通高校生源地信用助学贷款工作，完善贫困学生资助管理体系。</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(9)指导少数民族教育工作，协调对少数民族地区的教育援助。</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(10)统筹规划、综合管理全市民办教育，规范民办教育办学秩序，促进民办教育事业健康发展。</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(11)负责全市中小学校教师队伍建设和教育体育系统干部队伍建设工作；组织和指导县(区)域内义务教育学校校长教师交流轮岗工作，推进义务教育教师“县管校用”管理制度改革。</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(12)负责并指导教育基础设施建设，完善中小学校校舍维修改造长效机制，负责并指导学校现代信息技术教育和推进现代教育信息化建设，进一步改善学校办学条件。负责推进农村薄弱学校建设，加强项目建设管理，推动校舍档案和信息系统建设，促进校舍安全管理的规范化、信息化。</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(13)贯彻执行国家语言文字的方针政策，拟订语言文字工作中长期规划和工作计划，指导普通话推广和普通话师资培训工作，承担市语言文字工作委员会的具体工作。</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(14)指导教育体育系统对外交流与合作，负责全市中小学出国留学人员和教育体育系统来攀外籍教师、教练、专家及留学人员的有关管理工作。</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(15)管理、指导大中专招生和自学考试工作；制定中小学和中等职业学校招生计划并组织实施。</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(16)统筹规划全市群众体育发展。负责推行全民健身计划，监督实施国家体育锻炼标准，承担全市国民体质监测和社会体育指导工作队伍制度建设；指导公共体育设施的建设，负责对公共体育设施的管理。</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(17)统筹规划全市竞技体育发展。指导体育训练、体育竞赛和运动员队伍建设；组织和统筹参加省级以上综合运动会，负责组织协调市级综合性运动会的竞赛工作，协调运动员社会保障工作。</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(18)统筹规划全市青少年体育发展。指导和管理学校体育工作；制定全市学校体育、青少年业余训练的规划和工作意见，并负责组织实施、督促和检查。</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(19)指导全市学校后勤改革和体育产业发展，负责全市学校后勤和体育产业管理。拟定全市体育产业发展政策、措施，规范体育服务管理，推动体育标准化建设；协助管理全市体育彩票市场。</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(20)指导教育体育科研、技术攻关及成果推广工作；负责组织、监督全市体育运动中的反兴奋剂工作。</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(21)负责指导、检查、督促全市学校安全管理工作。</w:t>
      </w:r>
    </w:p>
    <w:p>
      <w:pPr>
        <w:snapToGrid w:val="0"/>
        <w:spacing w:line="52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(22)承担市政府公布的有关行政审批事项。</w:t>
      </w:r>
    </w:p>
    <w:p>
      <w:pPr>
        <w:ind w:firstLine="640" w:firstLineChars="200"/>
      </w:pPr>
      <w:r>
        <w:rPr>
          <w:rFonts w:hint="eastAsia" w:ascii="仿宋_GB2312" w:eastAsia="仿宋_GB2312" w:cs="仿宋_GB2312"/>
          <w:sz w:val="32"/>
          <w:szCs w:val="32"/>
        </w:rPr>
        <w:t>(23)承办市政府交办的其他事项。</w:t>
      </w:r>
    </w:p>
    <w:p>
      <w:pPr>
        <w:pStyle w:val="5"/>
        <w:rPr>
          <w:rStyle w:val="31"/>
          <w:b w:val="0"/>
          <w:bCs w:val="0"/>
        </w:rPr>
      </w:pPr>
      <w:bookmarkStart w:id="14" w:name="_Toc15377200"/>
      <w:bookmarkStart w:id="15" w:name="_Toc15396601"/>
      <w:r>
        <w:rPr>
          <w:rFonts w:hint="eastAsia" w:ascii="黑体" w:eastAsia="黑体"/>
          <w:b w:val="0"/>
        </w:rPr>
        <w:t>二、</w:t>
      </w:r>
      <w:r>
        <w:rPr>
          <w:rFonts w:hint="eastAsia" w:ascii="黑体" w:hAnsi="黑体" w:eastAsia="黑体"/>
          <w:b w:val="0"/>
        </w:rPr>
        <w:t>机</w:t>
      </w:r>
      <w:r>
        <w:rPr>
          <w:rStyle w:val="31"/>
          <w:rFonts w:hint="eastAsia" w:ascii="黑体" w:hAnsi="黑体" w:eastAsia="黑体"/>
          <w:b w:val="0"/>
          <w:bCs w:val="0"/>
        </w:rPr>
        <w:t>构设置</w:t>
      </w:r>
      <w:bookmarkEnd w:id="14"/>
      <w:bookmarkEnd w:id="15"/>
    </w:p>
    <w:p>
      <w:pPr>
        <w:ind w:firstLine="800" w:firstLineChars="250"/>
        <w:rPr>
          <w:rFonts w:ascii="仿宋" w:hAnsi="仿宋" w:eastAsia="仿宋"/>
          <w:sz w:val="32"/>
          <w:szCs w:val="32"/>
        </w:rPr>
      </w:pPr>
      <w:r>
        <w:rPr>
          <w:rFonts w:hint="eastAsia" w:ascii="仿宋" w:hAnsi="仿宋" w:eastAsia="仿宋" w:cs="Times New Roman"/>
          <w:sz w:val="32"/>
          <w:szCs w:val="32"/>
        </w:rPr>
        <w:t>攀枝花市教育和体育局</w:t>
      </w:r>
      <w:r>
        <w:rPr>
          <w:rFonts w:hint="eastAsia" w:ascii="仿宋" w:hAnsi="仿宋" w:eastAsia="仿宋" w:cs="Times New Roman"/>
          <w:sz w:val="32"/>
          <w:szCs w:val="32"/>
          <w:lang w:eastAsia="zh-CN"/>
        </w:rPr>
        <w:t>及</w:t>
      </w:r>
      <w:r>
        <w:rPr>
          <w:rFonts w:hint="eastAsia" w:ascii="仿宋" w:hAnsi="仿宋" w:eastAsia="仿宋"/>
          <w:sz w:val="32"/>
          <w:szCs w:val="32"/>
        </w:rPr>
        <w:t>下属二级预算单位</w:t>
      </w:r>
      <w:r>
        <w:rPr>
          <w:rFonts w:hint="eastAsia" w:ascii="仿宋" w:hAnsi="仿宋" w:eastAsia="仿宋"/>
          <w:sz w:val="32"/>
          <w:szCs w:val="32"/>
          <w:lang w:val="en-US" w:eastAsia="zh-CN"/>
        </w:rPr>
        <w:t>18</w:t>
      </w:r>
      <w:r>
        <w:rPr>
          <w:rFonts w:hint="eastAsia" w:ascii="仿宋" w:hAnsi="仿宋" w:eastAsia="仿宋"/>
          <w:sz w:val="32"/>
          <w:szCs w:val="32"/>
        </w:rPr>
        <w:t>个，其中行政单位</w:t>
      </w:r>
      <w:r>
        <w:rPr>
          <w:rFonts w:hint="eastAsia" w:ascii="仿宋" w:hAnsi="仿宋" w:eastAsia="仿宋"/>
          <w:sz w:val="32"/>
          <w:szCs w:val="32"/>
          <w:lang w:val="en-US" w:eastAsia="zh-CN"/>
        </w:rPr>
        <w:t>1</w:t>
      </w:r>
      <w:r>
        <w:rPr>
          <w:rFonts w:hint="eastAsia" w:ascii="仿宋" w:hAnsi="仿宋" w:eastAsia="仿宋"/>
          <w:sz w:val="32"/>
          <w:szCs w:val="32"/>
        </w:rPr>
        <w:t>个，参照公务员法管理的事业单位</w:t>
      </w:r>
      <w:r>
        <w:rPr>
          <w:rFonts w:hint="eastAsia" w:ascii="仿宋" w:hAnsi="仿宋" w:eastAsia="仿宋"/>
          <w:bCs/>
          <w:sz w:val="32"/>
          <w:szCs w:val="32"/>
          <w:lang w:val="en-US" w:eastAsia="zh-CN"/>
        </w:rPr>
        <w:t>0</w:t>
      </w:r>
      <w:r>
        <w:rPr>
          <w:rFonts w:hint="eastAsia" w:ascii="仿宋" w:hAnsi="仿宋" w:eastAsia="仿宋"/>
          <w:sz w:val="32"/>
          <w:szCs w:val="32"/>
        </w:rPr>
        <w:t>个，其他事业单位</w:t>
      </w:r>
      <w:r>
        <w:rPr>
          <w:rFonts w:hint="eastAsia" w:ascii="仿宋" w:hAnsi="仿宋" w:eastAsia="仿宋"/>
          <w:sz w:val="32"/>
          <w:szCs w:val="32"/>
          <w:lang w:val="en-US" w:eastAsia="zh-CN"/>
        </w:rPr>
        <w:t>17</w:t>
      </w:r>
      <w:r>
        <w:rPr>
          <w:rFonts w:hint="eastAsia" w:ascii="仿宋" w:hAnsi="仿宋" w:eastAsia="仿宋"/>
          <w:sz w:val="32"/>
          <w:szCs w:val="32"/>
        </w:rPr>
        <w:t>个。</w:t>
      </w:r>
    </w:p>
    <w:p>
      <w:pPr>
        <w:pStyle w:val="2"/>
        <w:adjustRightInd w:val="0"/>
        <w:snapToGrid w:val="0"/>
        <w:spacing w:before="93" w:line="600" w:lineRule="exact"/>
        <w:ind w:firstLine="672" w:firstLineChars="210"/>
        <w:rPr>
          <w:rFonts w:ascii="仿宋" w:hAnsi="仿宋" w:eastAsia="仿宋"/>
          <w:sz w:val="32"/>
          <w:szCs w:val="32"/>
        </w:rPr>
      </w:pPr>
      <w:r>
        <w:rPr>
          <w:rFonts w:hint="eastAsia" w:ascii="仿宋" w:hAnsi="仿宋" w:eastAsia="仿宋"/>
          <w:sz w:val="32"/>
          <w:szCs w:val="32"/>
        </w:rPr>
        <w:t>纳入</w:t>
      </w:r>
      <w:r>
        <w:rPr>
          <w:rFonts w:hint="eastAsia" w:ascii="仿宋" w:hAnsi="仿宋" w:eastAsia="仿宋" w:cs="Times New Roman"/>
          <w:sz w:val="32"/>
          <w:szCs w:val="32"/>
        </w:rPr>
        <w:t>攀枝花市教育和体育局</w:t>
      </w:r>
      <w:r>
        <w:rPr>
          <w:rFonts w:hint="eastAsia" w:ascii="仿宋" w:hAnsi="仿宋" w:eastAsia="仿宋"/>
          <w:sz w:val="32"/>
          <w:szCs w:val="32"/>
        </w:rPr>
        <w:t>2022年度部门决算编制范围的二级预算单位包括：</w:t>
      </w:r>
    </w:p>
    <w:p>
      <w:pPr>
        <w:snapToGrid w:val="0"/>
        <w:spacing w:line="520" w:lineRule="exact"/>
        <w:ind w:firstLine="640" w:firstLineChars="200"/>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1.攀枝花市教育和体育局</w:t>
      </w:r>
    </w:p>
    <w:p>
      <w:pPr>
        <w:snapToGrid w:val="0"/>
        <w:spacing w:line="520" w:lineRule="exact"/>
        <w:ind w:firstLine="640" w:firstLineChars="200"/>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2.攀枝花市外国语学校</w:t>
      </w:r>
    </w:p>
    <w:p>
      <w:pPr>
        <w:snapToGrid w:val="0"/>
        <w:spacing w:line="520" w:lineRule="exact"/>
        <w:ind w:firstLine="640" w:firstLineChars="200"/>
        <w:rPr>
          <w:rFonts w:hint="eastAsia" w:ascii="仿宋" w:hAnsi="仿宋" w:eastAsia="仿宋" w:cs="Times New Roman"/>
          <w:kern w:val="0"/>
          <w:sz w:val="32"/>
          <w:szCs w:val="32"/>
          <w:lang w:val="en-US" w:eastAsia="zh-CN" w:bidi="ar-SA"/>
        </w:rPr>
      </w:pPr>
      <w:bookmarkStart w:id="16" w:name="_Toc15377434"/>
      <w:bookmarkStart w:id="17" w:name="_Toc15378450"/>
      <w:bookmarkStart w:id="18" w:name="_Toc15377203"/>
      <w:bookmarkStart w:id="19" w:name="_Toc15306277"/>
      <w:r>
        <w:rPr>
          <w:rFonts w:hint="eastAsia" w:ascii="仿宋" w:hAnsi="仿宋" w:eastAsia="仿宋" w:cs="Times New Roman"/>
          <w:kern w:val="0"/>
          <w:sz w:val="32"/>
          <w:szCs w:val="32"/>
          <w:lang w:val="en-US" w:eastAsia="zh-CN" w:bidi="ar-SA"/>
        </w:rPr>
        <w:t>3.攀枝花市第二初级中学校</w:t>
      </w:r>
      <w:bookmarkEnd w:id="16"/>
      <w:bookmarkEnd w:id="17"/>
      <w:bookmarkEnd w:id="18"/>
      <w:bookmarkEnd w:id="19"/>
    </w:p>
    <w:p>
      <w:pPr>
        <w:snapToGrid w:val="0"/>
        <w:spacing w:line="520" w:lineRule="exact"/>
        <w:ind w:firstLine="640" w:firstLineChars="200"/>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4.攀枝花市实验学校</w:t>
      </w:r>
    </w:p>
    <w:p>
      <w:pPr>
        <w:snapToGrid w:val="0"/>
        <w:spacing w:line="520" w:lineRule="exact"/>
        <w:ind w:firstLine="640" w:firstLineChars="200"/>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5.攀枝花市特殊教育学校</w:t>
      </w:r>
    </w:p>
    <w:p>
      <w:pPr>
        <w:snapToGrid w:val="0"/>
        <w:spacing w:line="520" w:lineRule="exact"/>
        <w:ind w:firstLine="640" w:firstLineChars="200"/>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6.攀枝花市体育中学</w:t>
      </w:r>
    </w:p>
    <w:p>
      <w:pPr>
        <w:snapToGrid w:val="0"/>
        <w:spacing w:line="520" w:lineRule="exact"/>
        <w:ind w:firstLine="640" w:firstLineChars="200"/>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7.攀枝花市第三高级中学校</w:t>
      </w:r>
    </w:p>
    <w:p>
      <w:pPr>
        <w:snapToGrid w:val="0"/>
        <w:spacing w:line="520" w:lineRule="exact"/>
        <w:ind w:firstLine="640" w:firstLineChars="200"/>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8.攀枝花市第七高级中学校</w:t>
      </w:r>
    </w:p>
    <w:p>
      <w:pPr>
        <w:snapToGrid w:val="0"/>
        <w:spacing w:line="520" w:lineRule="exact"/>
        <w:ind w:firstLine="640" w:firstLineChars="200"/>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9.攀枝花市经贸旅游学校</w:t>
      </w:r>
    </w:p>
    <w:p>
      <w:pPr>
        <w:snapToGrid w:val="0"/>
        <w:spacing w:line="520" w:lineRule="exact"/>
        <w:ind w:firstLine="640" w:firstLineChars="200"/>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10.攀枝花市建筑工程学校</w:t>
      </w:r>
    </w:p>
    <w:p>
      <w:pPr>
        <w:snapToGrid w:val="0"/>
        <w:spacing w:line="520" w:lineRule="exact"/>
        <w:ind w:firstLine="640" w:firstLineChars="200"/>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11.攀枝花市实验幼儿园</w:t>
      </w:r>
    </w:p>
    <w:p>
      <w:pPr>
        <w:snapToGrid w:val="0"/>
        <w:spacing w:line="520" w:lineRule="exact"/>
        <w:ind w:firstLine="640" w:firstLineChars="200"/>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12.攀枝花开放大学</w:t>
      </w:r>
    </w:p>
    <w:p>
      <w:pPr>
        <w:snapToGrid w:val="0"/>
        <w:spacing w:line="520" w:lineRule="exact"/>
        <w:ind w:firstLine="640" w:firstLineChars="200"/>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13.攀枝花市教育考试院</w:t>
      </w:r>
    </w:p>
    <w:p>
      <w:pPr>
        <w:snapToGrid w:val="0"/>
        <w:spacing w:line="520" w:lineRule="exact"/>
        <w:ind w:firstLine="640" w:firstLineChars="200"/>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14.攀枝花市教育科学研究所</w:t>
      </w:r>
    </w:p>
    <w:p>
      <w:pPr>
        <w:snapToGrid w:val="0"/>
        <w:spacing w:line="520" w:lineRule="exact"/>
        <w:ind w:firstLine="640" w:firstLineChars="200"/>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15.攀枝花市电化教育技术装备中心</w:t>
      </w:r>
    </w:p>
    <w:p>
      <w:pPr>
        <w:snapToGrid w:val="0"/>
        <w:spacing w:line="520" w:lineRule="exact"/>
        <w:ind w:firstLine="640" w:firstLineChars="200"/>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16.攀枝花市学校后勤保障服务中心</w:t>
      </w:r>
    </w:p>
    <w:p>
      <w:pPr>
        <w:snapToGrid w:val="0"/>
        <w:spacing w:line="520" w:lineRule="exact"/>
        <w:ind w:firstLine="640" w:firstLineChars="200"/>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17.攀枝花市体育场馆中心</w:t>
      </w:r>
    </w:p>
    <w:p>
      <w:pPr>
        <w:widowControl/>
        <w:ind w:firstLine="640" w:firstLineChars="200"/>
        <w:jc w:val="left"/>
        <w:rPr>
          <w:rFonts w:ascii="仿宋" w:hAnsi="仿宋" w:eastAsia="仿宋"/>
          <w:kern w:val="0"/>
          <w:sz w:val="32"/>
          <w:szCs w:val="32"/>
        </w:rPr>
      </w:pPr>
      <w:r>
        <w:rPr>
          <w:rFonts w:hint="eastAsia" w:ascii="仿宋" w:hAnsi="仿宋" w:eastAsia="仿宋" w:cs="Times New Roman"/>
          <w:kern w:val="0"/>
          <w:sz w:val="32"/>
          <w:szCs w:val="32"/>
          <w:lang w:val="en-US" w:eastAsia="zh-CN" w:bidi="ar-SA"/>
        </w:rPr>
        <w:t>18.攀枝花市社会体育指导中心</w:t>
      </w:r>
      <w:r>
        <w:rPr>
          <w:rFonts w:ascii="仿宋" w:hAnsi="仿宋" w:eastAsia="仿宋"/>
          <w:sz w:val="32"/>
          <w:szCs w:val="32"/>
        </w:rPr>
        <w:br w:type="page"/>
      </w:r>
    </w:p>
    <w:p>
      <w:pPr>
        <w:pStyle w:val="4"/>
        <w:ind w:right="440"/>
        <w:jc w:val="center"/>
        <w:rPr>
          <w:rStyle w:val="30"/>
          <w:rFonts w:ascii="黑体" w:hAnsi="黑体" w:eastAsia="黑体"/>
          <w:b w:val="0"/>
          <w:bCs/>
        </w:rPr>
      </w:pPr>
      <w:bookmarkStart w:id="20" w:name="_Toc15377204"/>
      <w:bookmarkStart w:id="21" w:name="_Toc15396602"/>
      <w:r>
        <w:rPr>
          <w:rFonts w:hint="eastAsia" w:ascii="黑体" w:hAnsi="黑体" w:eastAsia="黑体"/>
          <w:b w:val="0"/>
        </w:rPr>
        <w:t>第二部分 2022年度</w:t>
      </w:r>
      <w:r>
        <w:rPr>
          <w:rStyle w:val="30"/>
          <w:rFonts w:hint="eastAsia" w:ascii="黑体" w:hAnsi="黑体" w:eastAsia="黑体"/>
          <w:b w:val="0"/>
          <w:bCs/>
        </w:rPr>
        <w:t>部门决算情况说明</w:t>
      </w:r>
      <w:bookmarkEnd w:id="20"/>
      <w:bookmarkEnd w:id="21"/>
    </w:p>
    <w:p/>
    <w:p>
      <w:pPr>
        <w:pStyle w:val="29"/>
        <w:numPr>
          <w:ilvl w:val="0"/>
          <w:numId w:val="2"/>
        </w:numPr>
        <w:spacing w:line="600" w:lineRule="exact"/>
        <w:ind w:firstLineChars="0"/>
        <w:outlineLvl w:val="1"/>
        <w:rPr>
          <w:rStyle w:val="31"/>
          <w:rFonts w:ascii="黑体" w:hAnsi="黑体" w:eastAsia="黑体"/>
          <w:b w:val="0"/>
        </w:rPr>
      </w:pPr>
      <w:bookmarkStart w:id="22" w:name="_Toc15396603"/>
      <w:bookmarkStart w:id="23" w:name="_Toc15377205"/>
      <w:r>
        <w:rPr>
          <w:rFonts w:hint="eastAsia" w:ascii="黑体" w:hAnsi="黑体" w:eastAsia="黑体"/>
          <w:sz w:val="32"/>
          <w:szCs w:val="32"/>
        </w:rPr>
        <w:t>收</w:t>
      </w:r>
      <w:r>
        <w:rPr>
          <w:rStyle w:val="31"/>
          <w:rFonts w:hint="eastAsia" w:ascii="黑体" w:hAnsi="黑体" w:eastAsia="黑体"/>
          <w:b w:val="0"/>
        </w:rPr>
        <w:t>入支出决算总体情况说明</w:t>
      </w:r>
      <w:bookmarkEnd w:id="22"/>
      <w:bookmarkEnd w:id="23"/>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2022年度收、支总计70948.2万元。与2021年相比，收、支总计各增加</w:t>
      </w:r>
      <w:r>
        <w:rPr>
          <w:rFonts w:hint="eastAsia" w:ascii="仿宋" w:hAnsi="仿宋" w:eastAsia="仿宋"/>
          <w:sz w:val="32"/>
          <w:szCs w:val="32"/>
          <w:lang w:val="en-US" w:eastAsia="zh-CN"/>
        </w:rPr>
        <w:t>4910.3</w:t>
      </w:r>
      <w:r>
        <w:rPr>
          <w:rFonts w:hint="eastAsia" w:ascii="仿宋" w:hAnsi="仿宋" w:eastAsia="仿宋"/>
          <w:sz w:val="32"/>
          <w:szCs w:val="32"/>
        </w:rPr>
        <w:t>万元，增长</w:t>
      </w:r>
      <w:r>
        <w:rPr>
          <w:rFonts w:hint="eastAsia" w:ascii="仿宋" w:hAnsi="仿宋" w:eastAsia="仿宋"/>
          <w:sz w:val="32"/>
          <w:szCs w:val="32"/>
          <w:lang w:val="en-US" w:eastAsia="zh-CN"/>
        </w:rPr>
        <w:t>6.92</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cs="Times New Roman"/>
          <w:sz w:val="32"/>
          <w:szCs w:val="32"/>
        </w:rPr>
        <w:t>教育投入增加</w:t>
      </w:r>
      <w:r>
        <w:rPr>
          <w:rFonts w:hint="eastAsia" w:ascii="仿宋" w:hAnsi="仿宋" w:eastAsia="仿宋" w:cs="Times New Roman"/>
          <w:sz w:val="32"/>
          <w:szCs w:val="32"/>
          <w:lang w:eastAsia="zh-CN"/>
        </w:rPr>
        <w:t>以及偿还以往年度欠款</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pStyle w:val="2"/>
        <w:rPr>
          <w:rFonts w:hint="eastAsia" w:ascii="仿宋" w:hAnsi="仿宋" w:eastAsia="仿宋"/>
          <w:sz w:val="32"/>
          <w:szCs w:val="32"/>
        </w:rPr>
      </w:pPr>
      <w:r>
        <w:rPr>
          <w:rFonts w:hint="eastAsia" w:ascii="仿宋" w:hAnsi="仿宋" w:eastAsia="仿宋"/>
          <w:color w:val="000000"/>
          <w:sz w:val="32"/>
          <w:szCs w:val="32"/>
        </w:rPr>
        <w:drawing>
          <wp:anchor distT="0" distB="0" distL="114300" distR="114300" simplePos="0" relativeHeight="251656192" behindDoc="1" locked="0" layoutInCell="1" allowOverlap="1">
            <wp:simplePos x="0" y="0"/>
            <wp:positionH relativeFrom="column">
              <wp:posOffset>-47625</wp:posOffset>
            </wp:positionH>
            <wp:positionV relativeFrom="paragraph">
              <wp:posOffset>163195</wp:posOffset>
            </wp:positionV>
            <wp:extent cx="5080000" cy="3810000"/>
            <wp:effectExtent l="4445" t="4445" r="20955" b="14605"/>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Style w:val="2"/>
        <w:rPr>
          <w:rFonts w:hint="eastAsia" w:ascii="仿宋" w:hAnsi="仿宋" w:eastAsia="仿宋"/>
          <w:sz w:val="32"/>
          <w:szCs w:val="32"/>
        </w:rPr>
      </w:pPr>
    </w:p>
    <w:p>
      <w:pPr>
        <w:pStyle w:val="2"/>
        <w:rPr>
          <w:rFonts w:hint="eastAsia" w:ascii="仿宋" w:hAnsi="仿宋" w:eastAsia="仿宋"/>
          <w:sz w:val="32"/>
          <w:szCs w:val="32"/>
        </w:rPr>
      </w:pPr>
    </w:p>
    <w:p>
      <w:pPr>
        <w:pStyle w:val="2"/>
        <w:rPr>
          <w:rFonts w:hint="eastAsia" w:ascii="仿宋" w:hAnsi="仿宋" w:eastAsia="仿宋"/>
          <w:sz w:val="32"/>
          <w:szCs w:val="32"/>
        </w:rPr>
      </w:pPr>
    </w:p>
    <w:p>
      <w:pPr>
        <w:pStyle w:val="2"/>
        <w:rPr>
          <w:rFonts w:hint="eastAsia" w:ascii="仿宋" w:hAnsi="仿宋" w:eastAsia="仿宋"/>
          <w:sz w:val="32"/>
          <w:szCs w:val="32"/>
        </w:rPr>
      </w:pPr>
    </w:p>
    <w:p>
      <w:pPr>
        <w:pStyle w:val="2"/>
        <w:rPr>
          <w:rFonts w:hint="eastAsia" w:ascii="仿宋" w:hAnsi="仿宋" w:eastAsia="仿宋"/>
          <w:sz w:val="32"/>
          <w:szCs w:val="32"/>
        </w:rPr>
      </w:pPr>
    </w:p>
    <w:p>
      <w:pPr>
        <w:pStyle w:val="2"/>
        <w:rPr>
          <w:rFonts w:hint="eastAsia" w:ascii="仿宋" w:hAnsi="仿宋" w:eastAsia="仿宋"/>
          <w:sz w:val="32"/>
          <w:szCs w:val="32"/>
        </w:rPr>
      </w:pPr>
    </w:p>
    <w:p>
      <w:pPr>
        <w:pStyle w:val="2"/>
        <w:rPr>
          <w:rFonts w:hint="eastAsia" w:ascii="仿宋" w:hAnsi="仿宋" w:eastAsia="仿宋"/>
          <w:sz w:val="32"/>
          <w:szCs w:val="32"/>
        </w:rPr>
      </w:pPr>
    </w:p>
    <w:p>
      <w:pPr>
        <w:pStyle w:val="2"/>
        <w:rPr>
          <w:rFonts w:hint="eastAsia" w:ascii="仿宋" w:hAnsi="仿宋" w:eastAsia="仿宋"/>
          <w:sz w:val="32"/>
          <w:szCs w:val="32"/>
        </w:rPr>
      </w:pPr>
    </w:p>
    <w:p>
      <w:pPr>
        <w:spacing w:line="600" w:lineRule="exact"/>
        <w:ind w:firstLine="640" w:firstLineChars="200"/>
        <w:jc w:val="left"/>
        <w:rPr>
          <w:rFonts w:ascii="仿宋_GB2312" w:eastAsia="仿宋_GB2312"/>
          <w:sz w:val="32"/>
          <w:szCs w:val="32"/>
        </w:rPr>
      </w:pPr>
    </w:p>
    <w:p>
      <w:pPr>
        <w:pStyle w:val="29"/>
        <w:numPr>
          <w:ilvl w:val="0"/>
          <w:numId w:val="2"/>
        </w:numPr>
        <w:spacing w:line="600" w:lineRule="exact"/>
        <w:ind w:firstLineChars="0"/>
        <w:outlineLvl w:val="1"/>
        <w:rPr>
          <w:rStyle w:val="31"/>
          <w:rFonts w:ascii="黑体" w:hAnsi="黑体" w:eastAsia="黑体"/>
          <w:b w:val="0"/>
        </w:rPr>
      </w:pPr>
      <w:bookmarkStart w:id="24" w:name="_Toc15396604"/>
      <w:bookmarkStart w:id="25" w:name="_Toc15377206"/>
      <w:r>
        <w:rPr>
          <w:rFonts w:hint="eastAsia" w:ascii="黑体" w:hAnsi="黑体" w:eastAsia="黑体"/>
          <w:sz w:val="32"/>
          <w:szCs w:val="32"/>
        </w:rPr>
        <w:t>收</w:t>
      </w:r>
      <w:r>
        <w:rPr>
          <w:rStyle w:val="31"/>
          <w:rFonts w:hint="eastAsia" w:ascii="黑体" w:hAnsi="黑体" w:eastAsia="黑体"/>
          <w:b w:val="0"/>
        </w:rPr>
        <w:t>入决算情况说明</w:t>
      </w:r>
      <w:bookmarkEnd w:id="24"/>
      <w:bookmarkEnd w:id="25"/>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22年本年收入合计70157.02万元，其中：一般公共预算财政拨款收入64741.58万元，占</w:t>
      </w:r>
      <w:r>
        <w:rPr>
          <w:rFonts w:hint="eastAsia" w:ascii="仿宋" w:hAnsi="仿宋" w:eastAsia="仿宋"/>
          <w:sz w:val="32"/>
          <w:szCs w:val="32"/>
          <w:lang w:val="en-US" w:eastAsia="zh-CN"/>
        </w:rPr>
        <w:t>92.28</w:t>
      </w:r>
      <w:r>
        <w:rPr>
          <w:rFonts w:ascii="仿宋" w:hAnsi="仿宋" w:eastAsia="仿宋"/>
          <w:sz w:val="32"/>
          <w:szCs w:val="32"/>
        </w:rPr>
        <w:t>%</w:t>
      </w:r>
      <w:r>
        <w:rPr>
          <w:rFonts w:hint="eastAsia" w:ascii="仿宋" w:hAnsi="仿宋" w:eastAsia="仿宋"/>
          <w:sz w:val="32"/>
          <w:szCs w:val="32"/>
        </w:rPr>
        <w:t>；政府性基金预算财政拨款收入596.67万元，占</w:t>
      </w:r>
      <w:r>
        <w:rPr>
          <w:rFonts w:hint="eastAsia" w:ascii="仿宋" w:hAnsi="仿宋" w:eastAsia="仿宋"/>
          <w:sz w:val="32"/>
          <w:szCs w:val="32"/>
          <w:lang w:val="en-US" w:eastAsia="zh-CN"/>
        </w:rPr>
        <w:t>0.85</w:t>
      </w:r>
      <w:r>
        <w:rPr>
          <w:rFonts w:ascii="仿宋" w:hAnsi="仿宋" w:eastAsia="仿宋"/>
          <w:sz w:val="32"/>
          <w:szCs w:val="32"/>
        </w:rPr>
        <w:t>%</w:t>
      </w:r>
      <w:r>
        <w:rPr>
          <w:rFonts w:hint="eastAsia" w:ascii="仿宋" w:hAnsi="仿宋" w:eastAsia="仿宋"/>
          <w:sz w:val="32"/>
          <w:szCs w:val="32"/>
        </w:rPr>
        <w:t>；国有资本经营预算财政拨款收入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；上级补助收入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；事业收入3059.71万元，占</w:t>
      </w:r>
      <w:r>
        <w:rPr>
          <w:rFonts w:hint="eastAsia" w:ascii="仿宋" w:hAnsi="仿宋" w:eastAsia="仿宋"/>
          <w:sz w:val="32"/>
          <w:szCs w:val="32"/>
          <w:lang w:val="en-US" w:eastAsia="zh-CN"/>
        </w:rPr>
        <w:t>4.36</w:t>
      </w:r>
      <w:r>
        <w:rPr>
          <w:rFonts w:ascii="仿宋" w:hAnsi="仿宋" w:eastAsia="仿宋"/>
          <w:sz w:val="32"/>
          <w:szCs w:val="32"/>
        </w:rPr>
        <w:t>%</w:t>
      </w:r>
      <w:r>
        <w:rPr>
          <w:rFonts w:hint="eastAsia" w:ascii="仿宋" w:hAnsi="仿宋" w:eastAsia="仿宋"/>
          <w:sz w:val="32"/>
          <w:szCs w:val="32"/>
        </w:rPr>
        <w:t>；经营收入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；附属单位上缴收入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；其他收入1759.06万元，占</w:t>
      </w:r>
      <w:r>
        <w:rPr>
          <w:rFonts w:hint="eastAsia" w:ascii="仿宋" w:hAnsi="仿宋" w:eastAsia="仿宋"/>
          <w:sz w:val="32"/>
          <w:szCs w:val="32"/>
          <w:lang w:val="en-US" w:eastAsia="zh-CN"/>
        </w:rPr>
        <w:t>2.51</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（图2：收入决算结构图）</w:t>
      </w:r>
    </w:p>
    <w:p>
      <w:pPr>
        <w:spacing w:line="600" w:lineRule="exact"/>
        <w:ind w:firstLine="640" w:firstLineChars="200"/>
        <w:rPr>
          <w:rFonts w:ascii="仿宋_GB2312" w:eastAsia="仿宋_GB2312"/>
          <w:sz w:val="32"/>
          <w:szCs w:val="32"/>
        </w:rPr>
      </w:pPr>
    </w:p>
    <w:p>
      <w:pPr>
        <w:pStyle w:val="2"/>
        <w:rPr>
          <w:rFonts w:ascii="仿宋_GB2312" w:eastAsia="仿宋_GB2312"/>
          <w:sz w:val="32"/>
          <w:szCs w:val="32"/>
        </w:rPr>
      </w:pPr>
      <w:r>
        <w:rPr>
          <w:rFonts w:hint="eastAsia" w:ascii="仿宋" w:hAnsi="仿宋" w:eastAsia="仿宋"/>
          <w:color w:val="000000"/>
          <w:sz w:val="32"/>
          <w:szCs w:val="32"/>
        </w:rPr>
        <w:drawing>
          <wp:anchor distT="0" distB="0" distL="114300" distR="114300" simplePos="0" relativeHeight="251658240" behindDoc="1" locked="0" layoutInCell="1" allowOverlap="1">
            <wp:simplePos x="0" y="0"/>
            <wp:positionH relativeFrom="column">
              <wp:posOffset>194945</wp:posOffset>
            </wp:positionH>
            <wp:positionV relativeFrom="paragraph">
              <wp:posOffset>433070</wp:posOffset>
            </wp:positionV>
            <wp:extent cx="4505325" cy="2895600"/>
            <wp:effectExtent l="4445" t="4445" r="5080" b="14605"/>
            <wp:wrapTight wrapText="bothSides">
              <wp:wrapPolygon>
                <wp:start x="-21" y="-33"/>
                <wp:lineTo x="-21" y="21567"/>
                <wp:lineTo x="21533" y="21567"/>
                <wp:lineTo x="21533" y="-33"/>
                <wp:lineTo x="-21" y="-33"/>
              </wp:wrapPolygon>
            </wp:wrapTight>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
        <w:rPr>
          <w:rFonts w:ascii="仿宋_GB2312" w:eastAsia="仿宋_GB2312"/>
          <w:sz w:val="32"/>
          <w:szCs w:val="32"/>
        </w:rPr>
      </w:pPr>
    </w:p>
    <w:p>
      <w:pPr>
        <w:pStyle w:val="2"/>
        <w:rPr>
          <w:rFonts w:ascii="仿宋_GB2312" w:eastAsia="仿宋_GB2312"/>
          <w:sz w:val="32"/>
          <w:szCs w:val="32"/>
        </w:rPr>
      </w:pPr>
    </w:p>
    <w:p>
      <w:pPr>
        <w:pStyle w:val="2"/>
        <w:rPr>
          <w:rFonts w:ascii="仿宋_GB2312" w:eastAsia="仿宋_GB2312"/>
          <w:sz w:val="32"/>
          <w:szCs w:val="32"/>
        </w:rPr>
      </w:pPr>
    </w:p>
    <w:p>
      <w:pPr>
        <w:pStyle w:val="2"/>
        <w:rPr>
          <w:rFonts w:ascii="仿宋_GB2312" w:eastAsia="仿宋_GB2312"/>
          <w:sz w:val="32"/>
          <w:szCs w:val="32"/>
        </w:rPr>
      </w:pPr>
    </w:p>
    <w:p>
      <w:pPr>
        <w:pStyle w:val="2"/>
        <w:rPr>
          <w:rFonts w:ascii="仿宋_GB2312" w:eastAsia="仿宋_GB2312"/>
          <w:sz w:val="32"/>
          <w:szCs w:val="32"/>
        </w:rPr>
      </w:pPr>
    </w:p>
    <w:p>
      <w:pPr>
        <w:pStyle w:val="2"/>
        <w:rPr>
          <w:rFonts w:ascii="仿宋_GB2312" w:eastAsia="仿宋_GB2312"/>
          <w:sz w:val="32"/>
          <w:szCs w:val="32"/>
        </w:rPr>
      </w:pPr>
    </w:p>
    <w:p>
      <w:pPr>
        <w:pStyle w:val="2"/>
        <w:rPr>
          <w:rFonts w:ascii="仿宋_GB2312" w:eastAsia="仿宋_GB2312"/>
          <w:sz w:val="32"/>
          <w:szCs w:val="32"/>
        </w:rPr>
      </w:pPr>
    </w:p>
    <w:p>
      <w:pPr>
        <w:pStyle w:val="29"/>
        <w:numPr>
          <w:ilvl w:val="0"/>
          <w:numId w:val="2"/>
        </w:numPr>
        <w:spacing w:line="600" w:lineRule="exact"/>
        <w:ind w:firstLineChars="0"/>
        <w:outlineLvl w:val="1"/>
        <w:rPr>
          <w:rStyle w:val="31"/>
          <w:rFonts w:ascii="黑体" w:hAnsi="黑体" w:eastAsia="黑体"/>
          <w:b w:val="0"/>
        </w:rPr>
      </w:pPr>
      <w:bookmarkStart w:id="26" w:name="_Toc15377207"/>
      <w:bookmarkStart w:id="27" w:name="_Toc15396605"/>
      <w:r>
        <w:rPr>
          <w:rFonts w:hint="eastAsia" w:ascii="黑体" w:hAnsi="黑体" w:eastAsia="黑体"/>
          <w:sz w:val="32"/>
          <w:szCs w:val="32"/>
        </w:rPr>
        <w:t>支</w:t>
      </w:r>
      <w:r>
        <w:rPr>
          <w:rStyle w:val="31"/>
          <w:rFonts w:hint="eastAsia" w:ascii="黑体" w:hAnsi="黑体" w:eastAsia="黑体"/>
          <w:b w:val="0"/>
        </w:rPr>
        <w:t>出决算情况说明</w:t>
      </w:r>
      <w:bookmarkEnd w:id="26"/>
      <w:bookmarkEnd w:id="27"/>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22年本年支出合计70677.77万元，其中：基本支出59289.02万元，占</w:t>
      </w:r>
      <w:r>
        <w:rPr>
          <w:rFonts w:hint="eastAsia" w:ascii="仿宋" w:hAnsi="仿宋" w:eastAsia="仿宋"/>
          <w:sz w:val="32"/>
          <w:szCs w:val="32"/>
          <w:lang w:val="en-US" w:eastAsia="zh-CN"/>
        </w:rPr>
        <w:t>83.89</w:t>
      </w:r>
      <w:r>
        <w:rPr>
          <w:rFonts w:ascii="仿宋" w:hAnsi="仿宋" w:eastAsia="仿宋"/>
          <w:sz w:val="32"/>
          <w:szCs w:val="32"/>
        </w:rPr>
        <w:t>%</w:t>
      </w:r>
      <w:r>
        <w:rPr>
          <w:rFonts w:hint="eastAsia" w:ascii="仿宋" w:hAnsi="仿宋" w:eastAsia="仿宋"/>
          <w:sz w:val="32"/>
          <w:szCs w:val="32"/>
        </w:rPr>
        <w:t>；项目支出11388.75万元，占</w:t>
      </w:r>
      <w:r>
        <w:rPr>
          <w:rFonts w:hint="eastAsia" w:ascii="仿宋" w:hAnsi="仿宋" w:eastAsia="仿宋"/>
          <w:sz w:val="32"/>
          <w:szCs w:val="32"/>
          <w:lang w:val="en-US" w:eastAsia="zh-CN"/>
        </w:rPr>
        <w:t>16.11</w:t>
      </w:r>
      <w:r>
        <w:rPr>
          <w:rFonts w:ascii="仿宋" w:hAnsi="仿宋" w:eastAsia="仿宋"/>
          <w:sz w:val="32"/>
          <w:szCs w:val="32"/>
        </w:rPr>
        <w:t>%</w:t>
      </w:r>
      <w:r>
        <w:rPr>
          <w:rFonts w:hint="eastAsia" w:ascii="仿宋" w:hAnsi="仿宋" w:eastAsia="仿宋"/>
          <w:sz w:val="32"/>
          <w:szCs w:val="32"/>
        </w:rPr>
        <w:t>；上缴上级支出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（图3：支出决算结构图）</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ascii="仿宋" w:hAnsi="仿宋" w:eastAsia="仿宋"/>
          <w:color w:val="000000"/>
          <w:sz w:val="32"/>
          <w:szCs w:val="32"/>
        </w:rPr>
        <w:drawing>
          <wp:anchor distT="0" distB="0" distL="114300" distR="114300" simplePos="0" relativeHeight="251656192" behindDoc="0" locked="0" layoutInCell="1" allowOverlap="1">
            <wp:simplePos x="0" y="0"/>
            <wp:positionH relativeFrom="column">
              <wp:posOffset>95250</wp:posOffset>
            </wp:positionH>
            <wp:positionV relativeFrom="paragraph">
              <wp:posOffset>266700</wp:posOffset>
            </wp:positionV>
            <wp:extent cx="4267200" cy="3038475"/>
            <wp:effectExtent l="4445" t="4445" r="14605" b="5080"/>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pStyle w:val="2"/>
        <w:rPr>
          <w:rFonts w:ascii="仿宋_GB2312" w:eastAsia="仿宋_GB2312"/>
          <w:sz w:val="32"/>
          <w:szCs w:val="32"/>
        </w:rPr>
      </w:pPr>
    </w:p>
    <w:p>
      <w:pPr>
        <w:pStyle w:val="2"/>
        <w:rPr>
          <w:rFonts w:ascii="仿宋_GB2312" w:eastAsia="仿宋_GB2312"/>
          <w:sz w:val="32"/>
          <w:szCs w:val="32"/>
        </w:rPr>
      </w:pPr>
    </w:p>
    <w:p>
      <w:pPr>
        <w:pStyle w:val="2"/>
        <w:rPr>
          <w:rFonts w:ascii="仿宋_GB2312" w:eastAsia="仿宋_GB2312"/>
          <w:sz w:val="32"/>
          <w:szCs w:val="32"/>
        </w:rPr>
      </w:pPr>
    </w:p>
    <w:p>
      <w:pPr>
        <w:pStyle w:val="2"/>
        <w:rPr>
          <w:rFonts w:ascii="仿宋_GB2312" w:eastAsia="仿宋_GB2312"/>
          <w:sz w:val="32"/>
          <w:szCs w:val="32"/>
        </w:rPr>
      </w:pPr>
    </w:p>
    <w:p>
      <w:pPr>
        <w:pStyle w:val="2"/>
        <w:rPr>
          <w:rFonts w:ascii="仿宋_GB2312" w:eastAsia="仿宋_GB2312"/>
          <w:sz w:val="32"/>
          <w:szCs w:val="32"/>
        </w:rPr>
      </w:pPr>
    </w:p>
    <w:p>
      <w:pPr>
        <w:pStyle w:val="2"/>
        <w:rPr>
          <w:rFonts w:ascii="仿宋_GB2312" w:eastAsia="仿宋_GB2312"/>
          <w:sz w:val="32"/>
          <w:szCs w:val="32"/>
        </w:rPr>
      </w:pPr>
    </w:p>
    <w:p>
      <w:pPr>
        <w:pStyle w:val="2"/>
        <w:rPr>
          <w:rFonts w:ascii="仿宋_GB2312" w:eastAsia="仿宋_GB2312"/>
          <w:sz w:val="32"/>
          <w:szCs w:val="32"/>
        </w:rPr>
      </w:pPr>
    </w:p>
    <w:p>
      <w:pPr>
        <w:spacing w:line="600" w:lineRule="exact"/>
        <w:ind w:firstLine="640" w:firstLineChars="200"/>
        <w:outlineLvl w:val="1"/>
        <w:rPr>
          <w:rStyle w:val="31"/>
          <w:rFonts w:ascii="黑体" w:hAnsi="黑体" w:eastAsia="黑体"/>
          <w:b w:val="0"/>
        </w:rPr>
      </w:pPr>
      <w:bookmarkStart w:id="28" w:name="_Toc15377208"/>
      <w:bookmarkStart w:id="29" w:name="_Toc15396606"/>
      <w:r>
        <w:rPr>
          <w:rFonts w:hint="eastAsia" w:ascii="黑体" w:hAnsi="黑体" w:eastAsia="黑体"/>
          <w:sz w:val="32"/>
          <w:szCs w:val="32"/>
        </w:rPr>
        <w:t>四、财</w:t>
      </w:r>
      <w:r>
        <w:rPr>
          <w:rStyle w:val="31"/>
          <w:rFonts w:hint="eastAsia" w:ascii="黑体" w:hAnsi="黑体" w:eastAsia="黑体"/>
          <w:b w:val="0"/>
        </w:rPr>
        <w:t>政拨款收入支出决算总体情况说明</w:t>
      </w:r>
      <w:bookmarkEnd w:id="28"/>
      <w:bookmarkEnd w:id="2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22年财政拨款收、支总计65900.24万元。与</w:t>
      </w:r>
      <w:r>
        <w:rPr>
          <w:rFonts w:ascii="仿宋" w:hAnsi="仿宋" w:eastAsia="仿宋"/>
          <w:sz w:val="32"/>
          <w:szCs w:val="32"/>
        </w:rPr>
        <w:t>20</w:t>
      </w:r>
      <w:r>
        <w:rPr>
          <w:rFonts w:hint="eastAsia" w:ascii="仿宋" w:hAnsi="仿宋" w:eastAsia="仿宋"/>
          <w:sz w:val="32"/>
          <w:szCs w:val="32"/>
        </w:rPr>
        <w:t>21年相比，财政拨款收、支总计各减少</w:t>
      </w:r>
      <w:r>
        <w:rPr>
          <w:rFonts w:hint="eastAsia" w:ascii="仿宋" w:hAnsi="仿宋" w:eastAsia="仿宋"/>
          <w:sz w:val="32"/>
          <w:szCs w:val="32"/>
          <w:lang w:val="en-US" w:eastAsia="zh-CN"/>
        </w:rPr>
        <w:t>137.66</w:t>
      </w:r>
      <w:r>
        <w:rPr>
          <w:rFonts w:hint="eastAsia" w:ascii="仿宋" w:hAnsi="仿宋" w:eastAsia="仿宋"/>
          <w:sz w:val="32"/>
          <w:szCs w:val="32"/>
        </w:rPr>
        <w:t>万元，下降</w:t>
      </w:r>
      <w:r>
        <w:rPr>
          <w:rFonts w:hint="eastAsia" w:ascii="仿宋" w:hAnsi="仿宋" w:eastAsia="仿宋"/>
          <w:sz w:val="32"/>
          <w:szCs w:val="32"/>
          <w:lang w:val="en-US" w:eastAsia="zh-CN"/>
        </w:rPr>
        <w:t>0.21</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受经济下行</w:t>
      </w:r>
      <w:r>
        <w:rPr>
          <w:rFonts w:hint="eastAsia" w:ascii="仿宋" w:hAnsi="仿宋" w:eastAsia="仿宋"/>
          <w:color w:val="000000"/>
          <w:sz w:val="32"/>
          <w:szCs w:val="32"/>
        </w:rPr>
        <w:t>影响，各项财政收入减少，相应的</w:t>
      </w:r>
      <w:r>
        <w:rPr>
          <w:rFonts w:hint="eastAsia" w:ascii="仿宋" w:hAnsi="仿宋" w:eastAsia="仿宋"/>
          <w:color w:val="000000"/>
          <w:sz w:val="32"/>
          <w:szCs w:val="32"/>
          <w:lang w:eastAsia="zh-CN"/>
        </w:rPr>
        <w:t>收支</w:t>
      </w:r>
      <w:r>
        <w:rPr>
          <w:rFonts w:hint="eastAsia" w:ascii="仿宋" w:hAnsi="仿宋" w:eastAsia="仿宋"/>
          <w:color w:val="000000"/>
          <w:sz w:val="32"/>
          <w:szCs w:val="32"/>
        </w:rPr>
        <w:t>减少</w:t>
      </w:r>
      <w:r>
        <w:rPr>
          <w:rFonts w:hint="eastAsia" w:ascii="仿宋" w:hAnsi="仿宋" w:eastAsia="仿宋"/>
          <w:color w:val="000000"/>
          <w:sz w:val="32"/>
          <w:szCs w:val="32"/>
          <w:lang w:eastAsia="zh-CN"/>
        </w:rPr>
        <w:t>。</w:t>
      </w:r>
    </w:p>
    <w:p>
      <w:pPr>
        <w:spacing w:line="600" w:lineRule="exact"/>
        <w:ind w:firstLine="640" w:firstLineChars="200"/>
        <w:rPr>
          <w:rFonts w:ascii="仿宋" w:hAnsi="仿宋" w:eastAsia="仿宋"/>
          <w:b/>
          <w:sz w:val="32"/>
          <w:szCs w:val="32"/>
        </w:rPr>
      </w:pPr>
      <w:r>
        <w:rPr>
          <w:rFonts w:hint="eastAsia" w:ascii="仿宋" w:hAnsi="仿宋" w:eastAsia="仿宋"/>
          <w:sz w:val="32"/>
          <w:szCs w:val="32"/>
        </w:rPr>
        <w:t>（图4：财政拨款收、支决算总计变动情况）</w:t>
      </w:r>
    </w:p>
    <w:p>
      <w:pPr>
        <w:pStyle w:val="2"/>
        <w:rPr>
          <w:rFonts w:ascii="仿宋" w:hAnsi="仿宋" w:eastAsia="仿宋"/>
          <w:b/>
          <w:sz w:val="32"/>
          <w:szCs w:val="32"/>
        </w:rPr>
      </w:pPr>
      <w:r>
        <w:rPr>
          <w:rFonts w:hint="eastAsia" w:ascii="仿宋" w:hAnsi="仿宋" w:eastAsia="仿宋"/>
          <w:color w:val="000000"/>
          <w:sz w:val="32"/>
          <w:szCs w:val="32"/>
        </w:rPr>
        <w:drawing>
          <wp:anchor distT="0" distB="0" distL="114300" distR="114300" simplePos="0" relativeHeight="251658240" behindDoc="0" locked="0" layoutInCell="1" allowOverlap="1">
            <wp:simplePos x="0" y="0"/>
            <wp:positionH relativeFrom="column">
              <wp:posOffset>-123825</wp:posOffset>
            </wp:positionH>
            <wp:positionV relativeFrom="paragraph">
              <wp:posOffset>111125</wp:posOffset>
            </wp:positionV>
            <wp:extent cx="5080000" cy="3714750"/>
            <wp:effectExtent l="4445" t="4445" r="20955" b="14605"/>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pStyle w:val="2"/>
        <w:rPr>
          <w:rFonts w:ascii="仿宋" w:hAnsi="仿宋" w:eastAsia="仿宋"/>
          <w:b/>
          <w:sz w:val="32"/>
          <w:szCs w:val="32"/>
        </w:rPr>
      </w:pPr>
    </w:p>
    <w:p>
      <w:pPr>
        <w:pStyle w:val="2"/>
        <w:rPr>
          <w:rFonts w:ascii="仿宋" w:hAnsi="仿宋" w:eastAsia="仿宋"/>
          <w:b/>
          <w:sz w:val="32"/>
          <w:szCs w:val="32"/>
        </w:rPr>
      </w:pPr>
    </w:p>
    <w:p>
      <w:pPr>
        <w:pStyle w:val="2"/>
        <w:rPr>
          <w:rFonts w:ascii="仿宋" w:hAnsi="仿宋" w:eastAsia="仿宋"/>
          <w:b/>
          <w:sz w:val="32"/>
          <w:szCs w:val="32"/>
        </w:rPr>
      </w:pPr>
    </w:p>
    <w:p>
      <w:pPr>
        <w:pStyle w:val="2"/>
        <w:rPr>
          <w:rFonts w:ascii="仿宋" w:hAnsi="仿宋" w:eastAsia="仿宋"/>
          <w:b/>
          <w:sz w:val="32"/>
          <w:szCs w:val="32"/>
        </w:rPr>
      </w:pPr>
    </w:p>
    <w:p>
      <w:pPr>
        <w:pStyle w:val="2"/>
        <w:rPr>
          <w:rFonts w:ascii="仿宋" w:hAnsi="仿宋" w:eastAsia="仿宋"/>
          <w:b/>
          <w:sz w:val="32"/>
          <w:szCs w:val="32"/>
        </w:rPr>
      </w:pPr>
    </w:p>
    <w:p>
      <w:pPr>
        <w:spacing w:line="600" w:lineRule="exact"/>
        <w:ind w:firstLine="640" w:firstLineChars="200"/>
        <w:outlineLvl w:val="1"/>
        <w:rPr>
          <w:rStyle w:val="31"/>
          <w:rFonts w:ascii="黑体" w:hAnsi="黑体" w:eastAsia="黑体"/>
          <w:b w:val="0"/>
        </w:rPr>
      </w:pPr>
      <w:bookmarkStart w:id="30" w:name="_Toc15396607"/>
      <w:bookmarkStart w:id="31" w:name="_Toc15377209"/>
      <w:r>
        <w:rPr>
          <w:rFonts w:hint="eastAsia" w:ascii="黑体" w:hAnsi="黑体" w:eastAsia="黑体"/>
          <w:sz w:val="32"/>
          <w:szCs w:val="32"/>
        </w:rPr>
        <w:t>五、</w:t>
      </w:r>
      <w:r>
        <w:rPr>
          <w:rFonts w:hint="eastAsia" w:ascii="黑体" w:hAnsi="黑体" w:eastAsia="黑体"/>
          <w:b/>
          <w:sz w:val="32"/>
          <w:szCs w:val="32"/>
        </w:rPr>
        <w:t>一</w:t>
      </w:r>
      <w:r>
        <w:rPr>
          <w:rStyle w:val="31"/>
          <w:rFonts w:hint="eastAsia" w:ascii="黑体" w:hAnsi="黑体" w:eastAsia="黑体"/>
          <w:b w:val="0"/>
        </w:rPr>
        <w:t>般公共预算财政拨款支出决算情况说明</w:t>
      </w:r>
      <w:bookmarkEnd w:id="30"/>
      <w:bookmarkEnd w:id="31"/>
    </w:p>
    <w:p>
      <w:pPr>
        <w:spacing w:line="600" w:lineRule="exact"/>
        <w:ind w:firstLine="642" w:firstLineChars="200"/>
        <w:outlineLvl w:val="2"/>
        <w:rPr>
          <w:rFonts w:ascii="仿宋" w:hAnsi="仿宋" w:eastAsia="仿宋"/>
          <w:b/>
          <w:sz w:val="32"/>
          <w:szCs w:val="32"/>
        </w:rPr>
      </w:pPr>
      <w:bookmarkStart w:id="32" w:name="_Toc15377210"/>
      <w:r>
        <w:rPr>
          <w:rFonts w:hint="eastAsia" w:ascii="仿宋" w:hAnsi="仿宋" w:eastAsia="仿宋"/>
          <w:b/>
          <w:sz w:val="32"/>
          <w:szCs w:val="32"/>
        </w:rPr>
        <w:t>（一）一般公共预算财政拨款支出决算总体情况</w:t>
      </w:r>
      <w:bookmarkEnd w:id="32"/>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22年一般公共预算财政拨款支出65020.2万元，占本年支出合计的</w:t>
      </w:r>
      <w:r>
        <w:rPr>
          <w:rFonts w:hint="eastAsia" w:ascii="仿宋" w:hAnsi="仿宋" w:eastAsia="仿宋"/>
          <w:sz w:val="32"/>
          <w:szCs w:val="32"/>
          <w:lang w:val="en-US" w:eastAsia="zh-CN"/>
        </w:rPr>
        <w:t>98.7</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21年相比，一般公共预算财政拨款支出增加</w:t>
      </w:r>
      <w:r>
        <w:rPr>
          <w:rFonts w:hint="eastAsia" w:ascii="仿宋" w:hAnsi="仿宋" w:eastAsia="仿宋"/>
          <w:sz w:val="32"/>
          <w:szCs w:val="32"/>
          <w:lang w:val="en-US" w:eastAsia="zh-CN"/>
        </w:rPr>
        <w:t>1058.05</w:t>
      </w:r>
      <w:r>
        <w:rPr>
          <w:rFonts w:hint="eastAsia" w:ascii="仿宋" w:hAnsi="仿宋" w:eastAsia="仿宋"/>
          <w:sz w:val="32"/>
          <w:szCs w:val="32"/>
        </w:rPr>
        <w:t>万元，增长</w:t>
      </w:r>
      <w:r>
        <w:rPr>
          <w:rFonts w:hint="eastAsia" w:ascii="仿宋" w:hAnsi="仿宋" w:eastAsia="仿宋"/>
          <w:sz w:val="32"/>
          <w:szCs w:val="32"/>
          <w:lang w:val="en-US" w:eastAsia="zh-CN"/>
        </w:rPr>
        <w:t>1.63</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人员职级职称变动，工资薪金略有增加。</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w:t>
      </w:r>
    </w:p>
    <w:p>
      <w:pPr>
        <w:spacing w:line="600" w:lineRule="exact"/>
        <w:ind w:firstLine="640" w:firstLineChars="200"/>
        <w:rPr>
          <w:rFonts w:ascii="仿宋" w:hAnsi="仿宋" w:eastAsia="仿宋"/>
          <w:sz w:val="32"/>
          <w:szCs w:val="32"/>
        </w:rPr>
      </w:pPr>
      <w:r>
        <w:rPr>
          <w:rFonts w:hint="eastAsia" w:ascii="仿宋" w:hAnsi="仿宋" w:eastAsia="仿宋"/>
          <w:color w:val="000000"/>
          <w:sz w:val="32"/>
          <w:szCs w:val="32"/>
        </w:rPr>
        <w:drawing>
          <wp:anchor distT="0" distB="0" distL="114300" distR="114300" simplePos="0" relativeHeight="251659264" behindDoc="0" locked="0" layoutInCell="1" allowOverlap="1">
            <wp:simplePos x="0" y="0"/>
            <wp:positionH relativeFrom="column">
              <wp:posOffset>-57150</wp:posOffset>
            </wp:positionH>
            <wp:positionV relativeFrom="paragraph">
              <wp:posOffset>257175</wp:posOffset>
            </wp:positionV>
            <wp:extent cx="5080000" cy="3810000"/>
            <wp:effectExtent l="4445" t="4445" r="20955" b="14605"/>
            <wp:wrapNone/>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spacing w:line="600" w:lineRule="exact"/>
        <w:ind w:firstLine="642" w:firstLineChars="200"/>
        <w:outlineLvl w:val="2"/>
        <w:rPr>
          <w:rFonts w:ascii="仿宋" w:hAnsi="仿宋" w:eastAsia="仿宋"/>
          <w:b/>
          <w:sz w:val="32"/>
          <w:szCs w:val="32"/>
        </w:rPr>
      </w:pPr>
      <w:bookmarkStart w:id="33" w:name="_Toc15377211"/>
      <w:r>
        <w:rPr>
          <w:rFonts w:hint="eastAsia" w:ascii="仿宋" w:hAnsi="仿宋" w:eastAsia="仿宋"/>
          <w:b/>
          <w:sz w:val="32"/>
          <w:szCs w:val="32"/>
        </w:rPr>
        <w:t>（二）一般公共预算财政拨款支出决算结构情况</w:t>
      </w:r>
      <w:bookmarkEnd w:id="33"/>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22年一般公共预算财政拨款支出65020.2万元，主要用于以下方面</w:t>
      </w:r>
      <w:r>
        <w:rPr>
          <w:rFonts w:ascii="仿宋" w:hAnsi="仿宋" w:eastAsia="仿宋"/>
          <w:sz w:val="32"/>
          <w:szCs w:val="32"/>
        </w:rPr>
        <w:t>:</w:t>
      </w:r>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sz w:val="32"/>
          <w:szCs w:val="32"/>
          <w:lang w:val="en-US" w:eastAsia="zh-CN"/>
        </w:rPr>
        <w:t>8.04</w:t>
      </w:r>
      <w:r>
        <w:rPr>
          <w:rFonts w:hint="eastAsia" w:ascii="仿宋" w:hAnsi="仿宋" w:eastAsia="仿宋"/>
          <w:sz w:val="32"/>
          <w:szCs w:val="32"/>
        </w:rPr>
        <w:t>万元，占</w:t>
      </w:r>
      <w:r>
        <w:rPr>
          <w:rFonts w:hint="eastAsia" w:ascii="仿宋" w:hAnsi="仿宋" w:eastAsia="仿宋"/>
          <w:sz w:val="32"/>
          <w:szCs w:val="32"/>
          <w:lang w:val="en-US" w:eastAsia="zh-CN"/>
        </w:rPr>
        <w:t>0.01</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教育支出</w:t>
      </w:r>
      <w:r>
        <w:rPr>
          <w:rFonts w:hint="eastAsia" w:ascii="仿宋" w:hAnsi="仿宋" w:eastAsia="仿宋"/>
          <w:sz w:val="32"/>
          <w:szCs w:val="32"/>
        </w:rPr>
        <w:t>52948.47万元，占</w:t>
      </w:r>
      <w:r>
        <w:rPr>
          <w:rFonts w:hint="eastAsia" w:ascii="仿宋" w:hAnsi="仿宋" w:eastAsia="仿宋"/>
          <w:sz w:val="32"/>
          <w:szCs w:val="32"/>
          <w:lang w:val="en-US" w:eastAsia="zh-CN"/>
        </w:rPr>
        <w:t>81.44</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文化旅游体育与传媒支出</w:t>
      </w:r>
      <w:r>
        <w:rPr>
          <w:rFonts w:hint="eastAsia" w:ascii="仿宋" w:hAnsi="仿宋" w:eastAsia="仿宋"/>
          <w:sz w:val="32"/>
          <w:szCs w:val="32"/>
        </w:rPr>
        <w:t>2401.81万元，占</w:t>
      </w:r>
      <w:r>
        <w:rPr>
          <w:rFonts w:hint="eastAsia" w:ascii="仿宋" w:hAnsi="仿宋" w:eastAsia="仿宋"/>
          <w:sz w:val="32"/>
          <w:szCs w:val="32"/>
          <w:lang w:val="en-US" w:eastAsia="zh-CN"/>
        </w:rPr>
        <w:t>3.69</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rPr>
        <w:t>5458.74万元，占</w:t>
      </w:r>
      <w:r>
        <w:rPr>
          <w:rFonts w:hint="eastAsia" w:ascii="仿宋" w:hAnsi="仿宋" w:eastAsia="仿宋"/>
          <w:sz w:val="32"/>
          <w:szCs w:val="32"/>
          <w:lang w:val="en-US" w:eastAsia="zh-CN"/>
        </w:rPr>
        <w:t>8.4</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rPr>
        <w:t>16.73万元，占</w:t>
      </w:r>
      <w:r>
        <w:rPr>
          <w:rFonts w:hint="eastAsia" w:ascii="仿宋" w:hAnsi="仿宋" w:eastAsia="仿宋"/>
          <w:sz w:val="32"/>
          <w:szCs w:val="32"/>
          <w:lang w:val="en-US" w:eastAsia="zh-CN"/>
        </w:rPr>
        <w:t>0.03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sz w:val="32"/>
          <w:szCs w:val="32"/>
        </w:rPr>
        <w:t>4182.7万元，占</w:t>
      </w:r>
      <w:r>
        <w:rPr>
          <w:rFonts w:hint="eastAsia" w:ascii="仿宋" w:hAnsi="仿宋" w:eastAsia="仿宋"/>
          <w:sz w:val="32"/>
          <w:szCs w:val="32"/>
          <w:lang w:val="en-US" w:eastAsia="zh-CN"/>
        </w:rPr>
        <w:t>6.43</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w:t>
      </w:r>
    </w:p>
    <w:p>
      <w:pPr>
        <w:spacing w:line="600" w:lineRule="exact"/>
        <w:ind w:firstLine="642" w:firstLineChars="200"/>
        <w:rPr>
          <w:rFonts w:ascii="仿宋" w:hAnsi="仿宋" w:eastAsia="仿宋"/>
          <w:sz w:val="32"/>
          <w:szCs w:val="32"/>
        </w:rPr>
      </w:pPr>
      <w:r>
        <w:rPr>
          <w:rFonts w:ascii="仿宋" w:hAnsi="仿宋" w:eastAsia="仿宋"/>
          <w:b/>
          <w:color w:val="000000"/>
          <w:sz w:val="32"/>
          <w:szCs w:val="32"/>
        </w:rPr>
        <w:drawing>
          <wp:anchor distT="0" distB="0" distL="114300" distR="114300" simplePos="0" relativeHeight="251661312" behindDoc="0" locked="0" layoutInCell="1" allowOverlap="1">
            <wp:simplePos x="0" y="0"/>
            <wp:positionH relativeFrom="column">
              <wp:posOffset>-28575</wp:posOffset>
            </wp:positionH>
            <wp:positionV relativeFrom="paragraph">
              <wp:posOffset>304800</wp:posOffset>
            </wp:positionV>
            <wp:extent cx="5080000" cy="3810000"/>
            <wp:effectExtent l="4445" t="4445" r="20955" b="14605"/>
            <wp:wrapNone/>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spacing w:line="600" w:lineRule="exact"/>
        <w:ind w:firstLine="642" w:firstLineChars="200"/>
        <w:outlineLvl w:val="2"/>
        <w:rPr>
          <w:rFonts w:ascii="仿宋" w:hAnsi="仿宋" w:eastAsia="仿宋"/>
          <w:b/>
          <w:sz w:val="32"/>
          <w:szCs w:val="32"/>
        </w:rPr>
      </w:pPr>
      <w:bookmarkStart w:id="34" w:name="_Toc15377212"/>
      <w:r>
        <w:rPr>
          <w:rFonts w:hint="eastAsia" w:ascii="仿宋" w:hAnsi="仿宋" w:eastAsia="仿宋"/>
          <w:b/>
          <w:sz w:val="32"/>
          <w:szCs w:val="32"/>
        </w:rPr>
        <w:t>（三）一般公共预算财政拨款支出决算具体情况</w:t>
      </w:r>
      <w:bookmarkEnd w:id="34"/>
    </w:p>
    <w:p>
      <w:pPr>
        <w:spacing w:line="600" w:lineRule="exact"/>
        <w:ind w:firstLine="642" w:firstLineChars="200"/>
        <w:outlineLvl w:val="2"/>
        <w:rPr>
          <w:rFonts w:ascii="仿宋" w:hAnsi="仿宋" w:eastAsia="仿宋"/>
          <w:sz w:val="32"/>
          <w:szCs w:val="32"/>
        </w:rPr>
      </w:pPr>
      <w:bookmarkStart w:id="35" w:name="_Toc15377213"/>
      <w:bookmarkStart w:id="36" w:name="_Toc15378460"/>
      <w:bookmarkStart w:id="37" w:name="_Toc15377444"/>
      <w:r>
        <w:rPr>
          <w:rFonts w:hint="eastAsia" w:ascii="仿宋" w:hAnsi="仿宋" w:eastAsia="仿宋"/>
          <w:b/>
          <w:sz w:val="32"/>
          <w:szCs w:val="32"/>
        </w:rPr>
        <w:t>2022年一般公共预算支出决算数为</w:t>
      </w:r>
      <w:r>
        <w:rPr>
          <w:rFonts w:hint="eastAsia" w:ascii="仿宋" w:hAnsi="仿宋" w:eastAsia="仿宋"/>
          <w:b/>
          <w:sz w:val="32"/>
          <w:szCs w:val="32"/>
          <w:lang w:val="en-US" w:eastAsia="zh-CN"/>
        </w:rPr>
        <w:t>65020.2万元</w:t>
      </w:r>
      <w:r>
        <w:rPr>
          <w:rFonts w:hint="eastAsia" w:ascii="仿宋" w:hAnsi="仿宋" w:eastAsia="仿宋"/>
          <w:sz w:val="32"/>
          <w:szCs w:val="32"/>
        </w:rPr>
        <w:t>，</w:t>
      </w:r>
      <w:r>
        <w:rPr>
          <w:rStyle w:val="18"/>
          <w:rFonts w:hint="eastAsia" w:ascii="仿宋" w:hAnsi="仿宋" w:eastAsia="仿宋"/>
          <w:bCs/>
          <w:sz w:val="32"/>
          <w:szCs w:val="32"/>
        </w:rPr>
        <w:t>完成预算</w:t>
      </w:r>
      <w:r>
        <w:rPr>
          <w:rStyle w:val="18"/>
          <w:rFonts w:hint="eastAsia" w:ascii="仿宋" w:hAnsi="仿宋" w:eastAsia="仿宋"/>
          <w:bCs/>
          <w:sz w:val="32"/>
          <w:szCs w:val="32"/>
          <w:lang w:val="en-US" w:eastAsia="zh-CN"/>
        </w:rPr>
        <w:t>100</w:t>
      </w:r>
      <w:r>
        <w:rPr>
          <w:rStyle w:val="18"/>
          <w:rFonts w:ascii="仿宋" w:hAnsi="仿宋" w:eastAsia="仿宋"/>
          <w:bCs/>
          <w:sz w:val="32"/>
          <w:szCs w:val="32"/>
        </w:rPr>
        <w:t>%</w:t>
      </w:r>
      <w:r>
        <w:rPr>
          <w:rStyle w:val="18"/>
          <w:rFonts w:hint="eastAsia" w:ascii="仿宋" w:hAnsi="仿宋" w:eastAsia="仿宋"/>
          <w:bCs/>
          <w:sz w:val="32"/>
          <w:szCs w:val="32"/>
        </w:rPr>
        <w:t>。其中：</w:t>
      </w:r>
      <w:bookmarkEnd w:id="35"/>
      <w:bookmarkEnd w:id="36"/>
      <w:bookmarkEnd w:id="37"/>
    </w:p>
    <w:p>
      <w:pPr>
        <w:numPr>
          <w:ilvl w:val="0"/>
          <w:numId w:val="0"/>
        </w:numPr>
        <w:spacing w:line="600" w:lineRule="exact"/>
        <w:ind w:firstLine="642" w:firstLineChars="200"/>
        <w:rPr>
          <w:rStyle w:val="18"/>
          <w:rFonts w:ascii="仿宋" w:hAnsi="仿宋" w:eastAsia="仿宋"/>
          <w:bCs/>
          <w:sz w:val="32"/>
          <w:szCs w:val="32"/>
        </w:rPr>
      </w:pPr>
      <w:r>
        <w:rPr>
          <w:rStyle w:val="18"/>
          <w:rFonts w:hint="eastAsia" w:ascii="仿宋" w:eastAsia="仿宋"/>
          <w:bCs/>
          <w:color w:val="auto"/>
          <w:sz w:val="32"/>
          <w:szCs w:val="32"/>
          <w:highlight w:val="none"/>
          <w:lang w:val="en-US" w:eastAsia="zh-CN"/>
        </w:rPr>
        <w:t>1.</w:t>
      </w:r>
      <w:r>
        <w:rPr>
          <w:rStyle w:val="18"/>
          <w:rFonts w:hint="eastAsia" w:ascii="仿宋" w:eastAsia="仿宋"/>
          <w:bCs/>
          <w:color w:val="auto"/>
          <w:sz w:val="32"/>
          <w:szCs w:val="32"/>
          <w:highlight w:val="none"/>
        </w:rPr>
        <w:t>一般公共服务（类）</w:t>
      </w:r>
      <w:r>
        <w:rPr>
          <w:rStyle w:val="18"/>
          <w:rFonts w:hint="eastAsia" w:ascii="仿宋" w:eastAsia="仿宋"/>
          <w:bCs/>
          <w:color w:val="auto"/>
          <w:sz w:val="32"/>
          <w:szCs w:val="32"/>
          <w:highlight w:val="none"/>
          <w:lang w:eastAsia="zh-CN"/>
        </w:rPr>
        <w:t>商贸事务（</w:t>
      </w:r>
      <w:r>
        <w:rPr>
          <w:rStyle w:val="18"/>
          <w:rFonts w:hint="eastAsia" w:ascii="仿宋" w:eastAsia="仿宋"/>
          <w:bCs/>
          <w:color w:val="auto"/>
          <w:sz w:val="32"/>
          <w:szCs w:val="32"/>
          <w:highlight w:val="none"/>
        </w:rPr>
        <w:t>款）</w:t>
      </w:r>
      <w:r>
        <w:rPr>
          <w:rStyle w:val="18"/>
          <w:rFonts w:hint="eastAsia" w:ascii="仿宋" w:eastAsia="仿宋"/>
          <w:bCs/>
          <w:color w:val="auto"/>
          <w:sz w:val="32"/>
          <w:szCs w:val="32"/>
          <w:highlight w:val="none"/>
          <w:lang w:eastAsia="zh-CN"/>
        </w:rPr>
        <w:t>招商引资</w:t>
      </w:r>
      <w:r>
        <w:rPr>
          <w:rStyle w:val="18"/>
          <w:rFonts w:hint="eastAsia" w:ascii="仿宋" w:eastAsia="仿宋"/>
          <w:bCs/>
          <w:color w:val="auto"/>
          <w:sz w:val="32"/>
          <w:szCs w:val="32"/>
          <w:highlight w:val="none"/>
        </w:rPr>
        <w:t>（项）</w:t>
      </w:r>
      <w:r>
        <w:rPr>
          <w:rStyle w:val="18"/>
          <w:rFonts w:ascii="仿宋" w:eastAsia="仿宋"/>
          <w:bCs/>
          <w:color w:val="auto"/>
          <w:sz w:val="32"/>
          <w:szCs w:val="32"/>
          <w:highlight w:val="none"/>
        </w:rPr>
        <w:t>:</w:t>
      </w:r>
      <w:r>
        <w:rPr>
          <w:rStyle w:val="18"/>
          <w:rFonts w:ascii="仿宋" w:eastAsia="仿宋"/>
          <w:b w:val="0"/>
          <w:bCs/>
          <w:color w:val="auto"/>
          <w:sz w:val="32"/>
          <w:szCs w:val="32"/>
          <w:highlight w:val="none"/>
        </w:rPr>
        <w:t xml:space="preserve"> </w:t>
      </w:r>
      <w:r>
        <w:rPr>
          <w:rStyle w:val="18"/>
          <w:rFonts w:hint="eastAsia" w:ascii="仿宋" w:eastAsia="仿宋"/>
          <w:b w:val="0"/>
          <w:bCs/>
          <w:color w:val="auto"/>
          <w:sz w:val="32"/>
          <w:szCs w:val="32"/>
          <w:highlight w:val="none"/>
        </w:rPr>
        <w:t>支出决算为</w:t>
      </w:r>
      <w:r>
        <w:rPr>
          <w:rStyle w:val="18"/>
          <w:rFonts w:hint="eastAsia" w:ascii="仿宋" w:eastAsia="仿宋"/>
          <w:b w:val="0"/>
          <w:bCs/>
          <w:color w:val="auto"/>
          <w:sz w:val="32"/>
          <w:szCs w:val="32"/>
          <w:highlight w:val="none"/>
          <w:lang w:val="en-US" w:eastAsia="zh-CN"/>
        </w:rPr>
        <w:t>0.34万</w:t>
      </w:r>
      <w:r>
        <w:rPr>
          <w:rStyle w:val="18"/>
          <w:rFonts w:hint="eastAsia" w:ascii="仿宋" w:eastAsia="仿宋"/>
          <w:b w:val="0"/>
          <w:bCs/>
          <w:color w:val="auto"/>
          <w:sz w:val="32"/>
          <w:szCs w:val="32"/>
          <w:highlight w:val="none"/>
        </w:rPr>
        <w:t>元，完成预算</w:t>
      </w:r>
      <w:r>
        <w:rPr>
          <w:rStyle w:val="18"/>
          <w:rFonts w:hint="eastAsia" w:ascii="仿宋" w:eastAsia="仿宋"/>
          <w:b w:val="0"/>
          <w:bCs/>
          <w:color w:val="auto"/>
          <w:sz w:val="32"/>
          <w:szCs w:val="32"/>
          <w:highlight w:val="none"/>
          <w:lang w:val="en-US" w:eastAsia="zh-CN"/>
        </w:rPr>
        <w:t>100</w:t>
      </w:r>
      <w:r>
        <w:rPr>
          <w:rStyle w:val="18"/>
          <w:rFonts w:ascii="仿宋" w:eastAsia="仿宋"/>
          <w:b w:val="0"/>
          <w:bCs/>
          <w:color w:val="auto"/>
          <w:sz w:val="32"/>
          <w:szCs w:val="32"/>
          <w:highlight w:val="none"/>
        </w:rPr>
        <w:t>%</w:t>
      </w:r>
      <w:r>
        <w:rPr>
          <w:rStyle w:val="18"/>
          <w:rFonts w:hint="eastAsia" w:ascii="仿宋" w:eastAsia="仿宋"/>
          <w:b w:val="0"/>
          <w:bCs/>
          <w:color w:val="auto"/>
          <w:sz w:val="32"/>
          <w:szCs w:val="32"/>
          <w:highlight w:val="none"/>
          <w:lang w:eastAsia="zh-CN"/>
        </w:rPr>
        <w:t>。</w:t>
      </w:r>
    </w:p>
    <w:p>
      <w:pPr>
        <w:numPr>
          <w:ilvl w:val="0"/>
          <w:numId w:val="0"/>
        </w:numPr>
        <w:spacing w:line="600" w:lineRule="exact"/>
        <w:ind w:firstLine="642" w:firstLineChars="200"/>
        <w:rPr>
          <w:rFonts w:hint="eastAsia"/>
          <w:lang w:eastAsia="zh-CN"/>
        </w:rPr>
      </w:pPr>
      <w:r>
        <w:rPr>
          <w:rStyle w:val="18"/>
          <w:rFonts w:hint="eastAsia" w:ascii="仿宋" w:hAnsi="仿宋" w:eastAsia="仿宋"/>
          <w:bCs/>
          <w:sz w:val="32"/>
          <w:szCs w:val="32"/>
          <w:lang w:val="en-US" w:eastAsia="zh-CN"/>
        </w:rPr>
        <w:t>2</w:t>
      </w:r>
      <w:r>
        <w:rPr>
          <w:rStyle w:val="18"/>
          <w:rFonts w:ascii="仿宋" w:hAnsi="仿宋" w:eastAsia="仿宋"/>
          <w:bCs/>
          <w:sz w:val="32"/>
          <w:szCs w:val="32"/>
        </w:rPr>
        <w:t>.</w:t>
      </w:r>
      <w:bookmarkStart w:id="38" w:name="_Toc15396608"/>
      <w:bookmarkStart w:id="39" w:name="_Toc15377214"/>
      <w:r>
        <w:rPr>
          <w:rStyle w:val="18"/>
          <w:rFonts w:hint="eastAsia" w:ascii="仿宋" w:eastAsia="仿宋"/>
          <w:bCs/>
          <w:color w:val="auto"/>
          <w:sz w:val="32"/>
          <w:szCs w:val="32"/>
          <w:highlight w:val="none"/>
        </w:rPr>
        <w:t>一般公共服务（类）</w:t>
      </w:r>
      <w:r>
        <w:rPr>
          <w:rStyle w:val="18"/>
          <w:rFonts w:hint="eastAsia" w:ascii="仿宋" w:eastAsia="仿宋"/>
          <w:bCs/>
          <w:color w:val="auto"/>
          <w:sz w:val="32"/>
          <w:szCs w:val="32"/>
          <w:highlight w:val="none"/>
          <w:lang w:eastAsia="zh-CN"/>
        </w:rPr>
        <w:t>组织事务（</w:t>
      </w:r>
      <w:r>
        <w:rPr>
          <w:rStyle w:val="18"/>
          <w:rFonts w:hint="eastAsia" w:ascii="仿宋" w:eastAsia="仿宋"/>
          <w:bCs/>
          <w:color w:val="auto"/>
          <w:sz w:val="32"/>
          <w:szCs w:val="32"/>
          <w:highlight w:val="none"/>
        </w:rPr>
        <w:t>款）</w:t>
      </w:r>
      <w:r>
        <w:rPr>
          <w:rStyle w:val="18"/>
          <w:rFonts w:hint="eastAsia" w:ascii="仿宋" w:eastAsia="仿宋"/>
          <w:bCs/>
          <w:color w:val="auto"/>
          <w:sz w:val="32"/>
          <w:szCs w:val="32"/>
          <w:highlight w:val="none"/>
          <w:lang w:eastAsia="zh-CN"/>
        </w:rPr>
        <w:t>其他组织事务支出</w:t>
      </w:r>
      <w:r>
        <w:rPr>
          <w:rStyle w:val="18"/>
          <w:rFonts w:hint="eastAsia" w:ascii="仿宋" w:eastAsia="仿宋"/>
          <w:bCs/>
          <w:color w:val="auto"/>
          <w:sz w:val="32"/>
          <w:szCs w:val="32"/>
          <w:highlight w:val="none"/>
        </w:rPr>
        <w:t>（项）</w:t>
      </w:r>
      <w:r>
        <w:rPr>
          <w:rStyle w:val="18"/>
          <w:rFonts w:ascii="仿宋" w:eastAsia="仿宋"/>
          <w:bCs/>
          <w:color w:val="auto"/>
          <w:sz w:val="32"/>
          <w:szCs w:val="32"/>
          <w:highlight w:val="none"/>
        </w:rPr>
        <w:t>:</w:t>
      </w:r>
      <w:r>
        <w:rPr>
          <w:rStyle w:val="18"/>
          <w:rFonts w:ascii="仿宋" w:eastAsia="仿宋"/>
          <w:b w:val="0"/>
          <w:bCs/>
          <w:color w:val="auto"/>
          <w:sz w:val="32"/>
          <w:szCs w:val="32"/>
          <w:highlight w:val="none"/>
        </w:rPr>
        <w:t xml:space="preserve"> </w:t>
      </w:r>
      <w:r>
        <w:rPr>
          <w:rStyle w:val="18"/>
          <w:rFonts w:hint="eastAsia" w:ascii="仿宋" w:eastAsia="仿宋"/>
          <w:b w:val="0"/>
          <w:bCs/>
          <w:color w:val="auto"/>
          <w:sz w:val="32"/>
          <w:szCs w:val="32"/>
          <w:highlight w:val="none"/>
        </w:rPr>
        <w:t>支出决算为</w:t>
      </w:r>
      <w:r>
        <w:rPr>
          <w:rStyle w:val="18"/>
          <w:rFonts w:hint="eastAsia" w:ascii="仿宋" w:eastAsia="仿宋"/>
          <w:b w:val="0"/>
          <w:bCs/>
          <w:color w:val="auto"/>
          <w:sz w:val="32"/>
          <w:szCs w:val="32"/>
          <w:highlight w:val="none"/>
          <w:lang w:val="en-US" w:eastAsia="zh-CN"/>
        </w:rPr>
        <w:t>7.7万</w:t>
      </w:r>
      <w:r>
        <w:rPr>
          <w:rStyle w:val="18"/>
          <w:rFonts w:hint="eastAsia" w:ascii="仿宋" w:eastAsia="仿宋"/>
          <w:b w:val="0"/>
          <w:bCs/>
          <w:color w:val="auto"/>
          <w:sz w:val="32"/>
          <w:szCs w:val="32"/>
          <w:highlight w:val="none"/>
        </w:rPr>
        <w:t>元，完成预算</w:t>
      </w:r>
      <w:r>
        <w:rPr>
          <w:rStyle w:val="18"/>
          <w:rFonts w:hint="eastAsia" w:ascii="仿宋" w:eastAsia="仿宋"/>
          <w:b w:val="0"/>
          <w:bCs/>
          <w:color w:val="auto"/>
          <w:sz w:val="32"/>
          <w:szCs w:val="32"/>
          <w:highlight w:val="none"/>
          <w:lang w:val="en-US" w:eastAsia="zh-CN"/>
        </w:rPr>
        <w:t>100</w:t>
      </w:r>
      <w:r>
        <w:rPr>
          <w:rStyle w:val="18"/>
          <w:rFonts w:ascii="仿宋" w:eastAsia="仿宋"/>
          <w:b w:val="0"/>
          <w:bCs/>
          <w:color w:val="auto"/>
          <w:sz w:val="32"/>
          <w:szCs w:val="32"/>
          <w:highlight w:val="none"/>
        </w:rPr>
        <w:t>%</w:t>
      </w:r>
      <w:r>
        <w:rPr>
          <w:rStyle w:val="18"/>
          <w:rFonts w:hint="eastAsia" w:ascii="仿宋" w:eastAsia="仿宋"/>
          <w:b w:val="0"/>
          <w:bCs/>
          <w:color w:val="auto"/>
          <w:sz w:val="32"/>
          <w:szCs w:val="32"/>
          <w:highlight w:val="none"/>
          <w:lang w:eastAsia="zh-CN"/>
        </w:rPr>
        <w:t>。</w:t>
      </w:r>
    </w:p>
    <w:p>
      <w:pPr>
        <w:numPr>
          <w:ilvl w:val="0"/>
          <w:numId w:val="0"/>
        </w:numPr>
        <w:spacing w:line="600" w:lineRule="exact"/>
        <w:ind w:firstLine="642" w:firstLineChars="200"/>
        <w:rPr>
          <w:rFonts w:hint="eastAsia" w:ascii="仿宋" w:eastAsia="仿宋"/>
          <w:b/>
          <w:color w:val="auto"/>
          <w:sz w:val="32"/>
          <w:szCs w:val="32"/>
          <w:highlight w:val="none"/>
          <w:lang w:eastAsia="zh-CN"/>
        </w:rPr>
      </w:pPr>
      <w:r>
        <w:rPr>
          <w:rStyle w:val="18"/>
          <w:rFonts w:hint="eastAsia" w:ascii="仿宋" w:eastAsia="仿宋"/>
          <w:bCs/>
          <w:color w:val="auto"/>
          <w:sz w:val="32"/>
          <w:szCs w:val="32"/>
          <w:highlight w:val="none"/>
          <w:lang w:val="en-US" w:eastAsia="zh-CN"/>
        </w:rPr>
        <w:t>3</w:t>
      </w:r>
      <w:r>
        <w:rPr>
          <w:rStyle w:val="18"/>
          <w:rFonts w:ascii="仿宋" w:eastAsia="仿宋"/>
          <w:bCs/>
          <w:color w:val="auto"/>
          <w:sz w:val="32"/>
          <w:szCs w:val="32"/>
          <w:highlight w:val="none"/>
        </w:rPr>
        <w:t>.</w:t>
      </w:r>
      <w:r>
        <w:rPr>
          <w:rStyle w:val="18"/>
          <w:rFonts w:hint="eastAsia" w:ascii="仿宋" w:hAnsi="仿宋" w:eastAsia="仿宋"/>
          <w:bCs/>
          <w:color w:val="000000"/>
          <w:sz w:val="32"/>
          <w:szCs w:val="32"/>
        </w:rPr>
        <w:t>教育（类）教育管理事务（款）行政运行（项）</w:t>
      </w:r>
      <w:r>
        <w:rPr>
          <w:rStyle w:val="18"/>
          <w:rFonts w:ascii="仿宋" w:hAnsi="仿宋" w:eastAsia="仿宋"/>
          <w:bCs/>
          <w:color w:val="000000"/>
          <w:sz w:val="32"/>
          <w:szCs w:val="32"/>
        </w:rPr>
        <w:t>:</w:t>
      </w:r>
      <w:r>
        <w:rPr>
          <w:rStyle w:val="18"/>
          <w:rFonts w:ascii="仿宋" w:hAnsi="仿宋" w:eastAsia="仿宋"/>
          <w:b w:val="0"/>
          <w:bCs/>
          <w:color w:val="000000"/>
          <w:sz w:val="32"/>
          <w:szCs w:val="32"/>
        </w:rPr>
        <w:t xml:space="preserve"> </w:t>
      </w:r>
      <w:r>
        <w:rPr>
          <w:rStyle w:val="18"/>
          <w:rFonts w:hint="eastAsia" w:ascii="仿宋" w:hAnsi="仿宋" w:eastAsia="仿宋"/>
          <w:b w:val="0"/>
          <w:bCs/>
          <w:color w:val="000000"/>
          <w:sz w:val="32"/>
          <w:szCs w:val="32"/>
        </w:rPr>
        <w:t>支出决算为</w:t>
      </w:r>
      <w:r>
        <w:rPr>
          <w:rStyle w:val="18"/>
          <w:rFonts w:hint="eastAsia" w:ascii="仿宋" w:hAnsi="仿宋" w:eastAsia="仿宋"/>
          <w:b w:val="0"/>
          <w:bCs/>
          <w:color w:val="000000"/>
          <w:sz w:val="32"/>
          <w:szCs w:val="32"/>
          <w:lang w:val="en-US" w:eastAsia="zh-CN"/>
        </w:rPr>
        <w:t>1273.76</w:t>
      </w:r>
      <w:r>
        <w:rPr>
          <w:rStyle w:val="18"/>
          <w:rFonts w:hint="eastAsia" w:ascii="仿宋" w:hAnsi="仿宋" w:eastAsia="仿宋"/>
          <w:b w:val="0"/>
          <w:bCs/>
          <w:color w:val="000000"/>
          <w:sz w:val="32"/>
          <w:szCs w:val="32"/>
        </w:rPr>
        <w:t>万元，完成预算100</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lang w:eastAsia="zh-CN"/>
        </w:rPr>
        <w:t>。</w:t>
      </w:r>
    </w:p>
    <w:p>
      <w:pPr>
        <w:spacing w:line="600" w:lineRule="exact"/>
        <w:ind w:firstLine="642" w:firstLineChars="200"/>
        <w:rPr>
          <w:rStyle w:val="18"/>
          <w:rFonts w:hint="eastAsia" w:ascii="仿宋" w:eastAsia="仿宋"/>
          <w:b w:val="0"/>
          <w:bCs/>
          <w:color w:val="auto"/>
          <w:sz w:val="32"/>
          <w:szCs w:val="32"/>
          <w:highlight w:val="none"/>
        </w:rPr>
      </w:pPr>
      <w:r>
        <w:rPr>
          <w:rStyle w:val="18"/>
          <w:rFonts w:hint="eastAsia" w:ascii="仿宋" w:eastAsia="仿宋"/>
          <w:bCs/>
          <w:color w:val="auto"/>
          <w:sz w:val="32"/>
          <w:szCs w:val="32"/>
          <w:highlight w:val="none"/>
          <w:lang w:val="en-US" w:eastAsia="zh-CN"/>
        </w:rPr>
        <w:t>4</w:t>
      </w:r>
      <w:r>
        <w:rPr>
          <w:rStyle w:val="18"/>
          <w:rFonts w:ascii="仿宋" w:eastAsia="仿宋"/>
          <w:bCs/>
          <w:color w:val="auto"/>
          <w:sz w:val="32"/>
          <w:szCs w:val="32"/>
          <w:highlight w:val="none"/>
        </w:rPr>
        <w:t>.</w:t>
      </w:r>
      <w:r>
        <w:rPr>
          <w:rStyle w:val="18"/>
          <w:rFonts w:hint="eastAsia" w:ascii="仿宋" w:hAnsi="仿宋" w:eastAsia="仿宋"/>
          <w:bCs/>
          <w:color w:val="000000"/>
          <w:sz w:val="32"/>
          <w:szCs w:val="32"/>
        </w:rPr>
        <w:t>教育（类）教育管理事务（款）</w:t>
      </w:r>
      <w:r>
        <w:rPr>
          <w:rStyle w:val="18"/>
          <w:rFonts w:hint="eastAsia" w:ascii="仿宋" w:hAnsi="仿宋" w:eastAsia="仿宋"/>
          <w:bCs/>
          <w:color w:val="000000"/>
          <w:sz w:val="32"/>
          <w:szCs w:val="32"/>
          <w:lang w:eastAsia="zh-CN"/>
        </w:rPr>
        <w:t>一般行政管理事务</w:t>
      </w:r>
      <w:r>
        <w:rPr>
          <w:rStyle w:val="18"/>
          <w:rFonts w:hint="eastAsia" w:ascii="仿宋" w:hAnsi="仿宋" w:eastAsia="仿宋"/>
          <w:bCs/>
          <w:color w:val="000000"/>
          <w:sz w:val="32"/>
          <w:szCs w:val="32"/>
        </w:rPr>
        <w:t>（项）</w:t>
      </w:r>
      <w:r>
        <w:rPr>
          <w:rStyle w:val="18"/>
          <w:rFonts w:ascii="仿宋" w:eastAsia="仿宋"/>
          <w:bCs/>
          <w:color w:val="auto"/>
          <w:sz w:val="32"/>
          <w:szCs w:val="32"/>
          <w:highlight w:val="none"/>
        </w:rPr>
        <w:t>:</w:t>
      </w:r>
      <w:r>
        <w:rPr>
          <w:rStyle w:val="18"/>
          <w:rFonts w:ascii="仿宋" w:eastAsia="仿宋"/>
          <w:b w:val="0"/>
          <w:bCs/>
          <w:color w:val="auto"/>
          <w:sz w:val="32"/>
          <w:szCs w:val="32"/>
          <w:highlight w:val="none"/>
        </w:rPr>
        <w:t xml:space="preserve"> </w:t>
      </w:r>
      <w:r>
        <w:rPr>
          <w:rStyle w:val="18"/>
          <w:rFonts w:hint="eastAsia" w:ascii="仿宋" w:eastAsia="仿宋"/>
          <w:b w:val="0"/>
          <w:bCs/>
          <w:color w:val="auto"/>
          <w:sz w:val="32"/>
          <w:szCs w:val="32"/>
          <w:highlight w:val="none"/>
        </w:rPr>
        <w:t>支出决算为</w:t>
      </w:r>
      <w:r>
        <w:rPr>
          <w:rStyle w:val="18"/>
          <w:rFonts w:hint="eastAsia" w:ascii="仿宋" w:eastAsia="仿宋"/>
          <w:b w:val="0"/>
          <w:bCs/>
          <w:color w:val="auto"/>
          <w:sz w:val="32"/>
          <w:szCs w:val="32"/>
          <w:highlight w:val="none"/>
          <w:lang w:val="en-US" w:eastAsia="zh-CN"/>
        </w:rPr>
        <w:t>0.37</w:t>
      </w:r>
      <w:r>
        <w:rPr>
          <w:rStyle w:val="18"/>
          <w:rFonts w:hint="eastAsia" w:ascii="仿宋" w:eastAsia="仿宋"/>
          <w:b w:val="0"/>
          <w:bCs/>
          <w:color w:val="auto"/>
          <w:sz w:val="32"/>
          <w:szCs w:val="32"/>
          <w:highlight w:val="none"/>
        </w:rPr>
        <w:t>万元，完成预算</w:t>
      </w:r>
      <w:r>
        <w:rPr>
          <w:rStyle w:val="18"/>
          <w:rFonts w:hint="eastAsia" w:ascii="仿宋" w:eastAsia="仿宋"/>
          <w:b w:val="0"/>
          <w:bCs/>
          <w:color w:val="auto"/>
          <w:sz w:val="32"/>
          <w:szCs w:val="32"/>
          <w:highlight w:val="none"/>
          <w:lang w:val="en-US" w:eastAsia="zh-CN"/>
        </w:rPr>
        <w:t>100</w:t>
      </w:r>
      <w:r>
        <w:rPr>
          <w:rStyle w:val="18"/>
          <w:rFonts w:ascii="仿宋" w:eastAsia="仿宋"/>
          <w:b w:val="0"/>
          <w:bCs/>
          <w:color w:val="auto"/>
          <w:sz w:val="32"/>
          <w:szCs w:val="32"/>
          <w:highlight w:val="none"/>
        </w:rPr>
        <w:t>%</w:t>
      </w:r>
      <w:r>
        <w:rPr>
          <w:rStyle w:val="18"/>
          <w:rFonts w:hint="eastAsia" w:ascii="仿宋" w:eastAsia="仿宋"/>
          <w:b w:val="0"/>
          <w:bCs/>
          <w:color w:val="auto"/>
          <w:sz w:val="32"/>
          <w:szCs w:val="32"/>
          <w:highlight w:val="none"/>
        </w:rPr>
        <w:t>。</w:t>
      </w:r>
    </w:p>
    <w:p>
      <w:pPr>
        <w:pStyle w:val="2"/>
        <w:rPr>
          <w:rFonts w:hint="default" w:eastAsia="仿宋"/>
          <w:lang w:val="en-US" w:eastAsia="zh-CN"/>
        </w:rPr>
      </w:pPr>
      <w:r>
        <w:rPr>
          <w:rStyle w:val="18"/>
          <w:rFonts w:hint="eastAsia" w:ascii="仿宋" w:eastAsia="仿宋"/>
          <w:b w:val="0"/>
          <w:bCs/>
          <w:color w:val="auto"/>
          <w:sz w:val="32"/>
          <w:szCs w:val="32"/>
          <w:highlight w:val="none"/>
          <w:lang w:val="en-US" w:eastAsia="zh-CN"/>
        </w:rPr>
        <w:t xml:space="preserve">    </w:t>
      </w:r>
      <w:r>
        <w:rPr>
          <w:rStyle w:val="18"/>
          <w:rFonts w:hint="eastAsia" w:ascii="仿宋" w:hAnsi="仿宋" w:eastAsia="仿宋" w:cstheme="minorBidi"/>
          <w:bCs/>
          <w:color w:val="000000"/>
          <w:kern w:val="2"/>
          <w:sz w:val="32"/>
          <w:szCs w:val="32"/>
          <w:lang w:val="en-US" w:eastAsia="zh-CN" w:bidi="ar-SA"/>
        </w:rPr>
        <w:t>5</w:t>
      </w:r>
      <w:r>
        <w:rPr>
          <w:rStyle w:val="18"/>
          <w:rFonts w:hint="eastAsia" w:ascii="仿宋" w:eastAsia="仿宋"/>
          <w:b w:val="0"/>
          <w:bCs/>
          <w:color w:val="auto"/>
          <w:sz w:val="32"/>
          <w:szCs w:val="32"/>
          <w:highlight w:val="none"/>
          <w:lang w:val="en-US" w:eastAsia="zh-CN"/>
        </w:rPr>
        <w:t>.</w:t>
      </w:r>
      <w:r>
        <w:rPr>
          <w:rStyle w:val="18"/>
          <w:rFonts w:hint="eastAsia" w:ascii="仿宋" w:hAnsi="仿宋" w:eastAsia="仿宋" w:cstheme="minorBidi"/>
          <w:bCs/>
          <w:color w:val="000000"/>
          <w:sz w:val="32"/>
          <w:szCs w:val="32"/>
          <w:lang w:eastAsia="zh-CN"/>
        </w:rPr>
        <w:t>教育（类）教育管理事务（款）机关服务（项）:</w:t>
      </w:r>
      <w:r>
        <w:rPr>
          <w:rFonts w:ascii="仿宋_GB2312" w:hAnsi="仿宋" w:eastAsia="仿宋_GB2312" w:cs="仿宋_GB2312"/>
          <w:sz w:val="32"/>
          <w:szCs w:val="32"/>
        </w:rPr>
        <w:t xml:space="preserve"> </w:t>
      </w:r>
      <w:r>
        <w:rPr>
          <w:rStyle w:val="18"/>
          <w:rFonts w:hint="eastAsia" w:ascii="仿宋" w:eastAsia="仿宋" w:hAnsiTheme="minorHAnsi" w:cstheme="minorBidi"/>
          <w:b w:val="0"/>
          <w:bCs/>
          <w:color w:val="auto"/>
          <w:kern w:val="2"/>
          <w:sz w:val="32"/>
          <w:szCs w:val="32"/>
          <w:highlight w:val="none"/>
          <w:lang w:val="en-US" w:eastAsia="zh-CN" w:bidi="ar-SA"/>
        </w:rPr>
        <w:t>支出决算为7.56万元，完成预算100%。</w:t>
      </w:r>
    </w:p>
    <w:p>
      <w:pPr>
        <w:spacing w:line="600" w:lineRule="exact"/>
        <w:ind w:firstLine="642" w:firstLineChars="200"/>
        <w:rPr>
          <w:rStyle w:val="18"/>
          <w:rFonts w:hint="eastAsia" w:ascii="仿宋" w:eastAsia="仿宋"/>
          <w:b w:val="0"/>
          <w:bCs/>
          <w:color w:val="auto"/>
          <w:sz w:val="32"/>
          <w:szCs w:val="32"/>
          <w:highlight w:val="none"/>
        </w:rPr>
      </w:pPr>
      <w:r>
        <w:rPr>
          <w:rStyle w:val="18"/>
          <w:rFonts w:hint="eastAsia" w:ascii="仿宋" w:hAnsi="仿宋" w:eastAsia="仿宋"/>
          <w:bCs/>
          <w:color w:val="000000"/>
          <w:sz w:val="32"/>
          <w:szCs w:val="32"/>
          <w:lang w:val="en-US" w:eastAsia="zh-CN"/>
        </w:rPr>
        <w:t>6</w:t>
      </w:r>
      <w:r>
        <w:rPr>
          <w:rStyle w:val="18"/>
          <w:rFonts w:ascii="仿宋" w:hAnsi="仿宋" w:eastAsia="仿宋"/>
          <w:bCs/>
          <w:color w:val="000000"/>
          <w:sz w:val="32"/>
          <w:szCs w:val="32"/>
        </w:rPr>
        <w:t>.</w:t>
      </w:r>
      <w:r>
        <w:rPr>
          <w:rFonts w:ascii="仿宋_GB2312" w:hAnsi="仿宋" w:eastAsia="仿宋_GB2312" w:cs="仿宋_GB2312"/>
          <w:sz w:val="32"/>
          <w:szCs w:val="32"/>
        </w:rPr>
        <w:t xml:space="preserve"> </w:t>
      </w:r>
      <w:r>
        <w:rPr>
          <w:rStyle w:val="18"/>
          <w:rFonts w:hint="eastAsia" w:ascii="仿宋" w:hAnsi="仿宋" w:eastAsia="仿宋" w:cstheme="minorBidi"/>
          <w:bCs/>
          <w:color w:val="000000"/>
          <w:sz w:val="32"/>
          <w:szCs w:val="32"/>
          <w:lang w:eastAsia="zh-CN"/>
        </w:rPr>
        <w:t>教育（类）教育管理事务（款）其他教育管理事务支出（项）:</w:t>
      </w:r>
      <w:r>
        <w:rPr>
          <w:rFonts w:ascii="仿宋_GB2312" w:hAnsi="仿宋" w:eastAsia="仿宋_GB2312" w:cs="仿宋_GB2312"/>
          <w:sz w:val="32"/>
          <w:szCs w:val="32"/>
        </w:rPr>
        <w:t xml:space="preserve"> </w:t>
      </w:r>
      <w:r>
        <w:rPr>
          <w:rStyle w:val="18"/>
          <w:rFonts w:hint="eastAsia" w:ascii="仿宋" w:eastAsia="仿宋" w:hAnsiTheme="minorHAnsi" w:cstheme="minorBidi"/>
          <w:b w:val="0"/>
          <w:bCs/>
          <w:color w:val="auto"/>
          <w:kern w:val="2"/>
          <w:sz w:val="32"/>
          <w:szCs w:val="32"/>
          <w:highlight w:val="none"/>
          <w:lang w:val="en-US" w:eastAsia="zh-CN" w:bidi="ar-SA"/>
        </w:rPr>
        <w:t>支出决算为118.32万元，完成预算100%。</w:t>
      </w:r>
    </w:p>
    <w:p>
      <w:pPr>
        <w:spacing w:line="600" w:lineRule="exact"/>
        <w:ind w:firstLine="642" w:firstLineChars="200"/>
        <w:rPr>
          <w:rStyle w:val="18"/>
          <w:rFonts w:hint="eastAsia" w:ascii="仿宋" w:hAnsi="仿宋" w:eastAsia="仿宋"/>
          <w:b w:val="0"/>
          <w:bCs/>
          <w:color w:val="auto"/>
          <w:sz w:val="32"/>
          <w:szCs w:val="32"/>
          <w:highlight w:val="none"/>
          <w:lang w:eastAsia="zh-CN"/>
        </w:rPr>
      </w:pPr>
      <w:r>
        <w:rPr>
          <w:rStyle w:val="18"/>
          <w:rFonts w:hint="eastAsia" w:ascii="仿宋" w:hAnsi="仿宋" w:eastAsia="仿宋"/>
          <w:bCs/>
          <w:color w:val="auto"/>
          <w:sz w:val="32"/>
          <w:szCs w:val="32"/>
          <w:highlight w:val="none"/>
          <w:lang w:val="en-US" w:eastAsia="zh-CN"/>
        </w:rPr>
        <w:t>7</w:t>
      </w:r>
      <w:r>
        <w:rPr>
          <w:rStyle w:val="18"/>
          <w:rFonts w:hint="eastAsia" w:ascii="仿宋" w:hAnsi="仿宋" w:eastAsia="仿宋"/>
          <w:bCs/>
          <w:color w:val="auto"/>
          <w:sz w:val="32"/>
          <w:szCs w:val="32"/>
          <w:highlight w:val="none"/>
        </w:rPr>
        <w:t>教育（类）</w:t>
      </w:r>
      <w:r>
        <w:rPr>
          <w:rStyle w:val="18"/>
          <w:rFonts w:hint="eastAsia" w:ascii="仿宋" w:hAnsi="仿宋" w:eastAsia="仿宋"/>
          <w:bCs/>
          <w:color w:val="auto"/>
          <w:sz w:val="32"/>
          <w:szCs w:val="32"/>
          <w:highlight w:val="none"/>
          <w:lang w:val="en-US" w:eastAsia="zh-CN"/>
        </w:rPr>
        <w:t>普通教育</w:t>
      </w:r>
      <w:r>
        <w:rPr>
          <w:rStyle w:val="18"/>
          <w:rFonts w:hint="eastAsia" w:ascii="仿宋" w:hAnsi="仿宋" w:eastAsia="仿宋"/>
          <w:bCs/>
          <w:color w:val="auto"/>
          <w:sz w:val="32"/>
          <w:szCs w:val="32"/>
          <w:highlight w:val="none"/>
        </w:rPr>
        <w:t>（款）</w:t>
      </w:r>
      <w:r>
        <w:rPr>
          <w:rStyle w:val="18"/>
          <w:rFonts w:hint="eastAsia" w:ascii="仿宋" w:hAnsi="仿宋" w:eastAsia="仿宋"/>
          <w:bCs/>
          <w:color w:val="auto"/>
          <w:sz w:val="32"/>
          <w:szCs w:val="32"/>
          <w:highlight w:val="none"/>
          <w:lang w:val="en-US" w:eastAsia="zh-CN"/>
        </w:rPr>
        <w:t>学前教育</w:t>
      </w:r>
      <w:r>
        <w:rPr>
          <w:rStyle w:val="18"/>
          <w:rFonts w:hint="eastAsia" w:ascii="仿宋" w:hAnsi="仿宋" w:eastAsia="仿宋"/>
          <w:bCs/>
          <w:color w:val="auto"/>
          <w:sz w:val="32"/>
          <w:szCs w:val="32"/>
          <w:highlight w:val="none"/>
        </w:rPr>
        <w:t>（项）</w:t>
      </w:r>
      <w:r>
        <w:rPr>
          <w:rStyle w:val="18"/>
          <w:rFonts w:ascii="仿宋" w:hAnsi="仿宋" w:eastAsia="仿宋"/>
          <w:bCs/>
          <w:color w:val="auto"/>
          <w:sz w:val="32"/>
          <w:szCs w:val="32"/>
          <w:highlight w:val="none"/>
        </w:rPr>
        <w:t>:</w:t>
      </w:r>
      <w:r>
        <w:rPr>
          <w:rStyle w:val="18"/>
          <w:rFonts w:ascii="仿宋" w:hAnsi="仿宋" w:eastAsia="仿宋"/>
          <w:b w:val="0"/>
          <w:bCs/>
          <w:color w:val="auto"/>
          <w:sz w:val="32"/>
          <w:szCs w:val="32"/>
          <w:highlight w:val="none"/>
        </w:rPr>
        <w:t xml:space="preserve"> </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1970.69</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p>
    <w:p>
      <w:pPr>
        <w:spacing w:line="600" w:lineRule="exact"/>
        <w:ind w:firstLine="642" w:firstLineChars="200"/>
        <w:rPr>
          <w:rFonts w:ascii="仿宋" w:hAnsi="仿宋" w:eastAsia="仿宋"/>
          <w:b/>
          <w:color w:val="auto"/>
          <w:sz w:val="32"/>
          <w:szCs w:val="32"/>
          <w:highlight w:val="none"/>
        </w:rPr>
      </w:pPr>
      <w:r>
        <w:rPr>
          <w:rStyle w:val="18"/>
          <w:rFonts w:hint="eastAsia" w:ascii="仿宋" w:hAnsi="仿宋" w:eastAsia="仿宋"/>
          <w:bCs/>
          <w:color w:val="auto"/>
          <w:sz w:val="32"/>
          <w:szCs w:val="32"/>
          <w:highlight w:val="none"/>
          <w:lang w:val="en-US" w:eastAsia="zh-CN"/>
        </w:rPr>
        <w:t>8</w:t>
      </w:r>
      <w:r>
        <w:rPr>
          <w:rStyle w:val="18"/>
          <w:rFonts w:ascii="仿宋" w:hAnsi="仿宋" w:eastAsia="仿宋"/>
          <w:bCs/>
          <w:color w:val="auto"/>
          <w:sz w:val="32"/>
          <w:szCs w:val="32"/>
          <w:highlight w:val="none"/>
        </w:rPr>
        <w:t>.</w:t>
      </w:r>
      <w:r>
        <w:rPr>
          <w:rStyle w:val="18"/>
          <w:rFonts w:hint="eastAsia" w:ascii="仿宋" w:hAnsi="仿宋" w:eastAsia="仿宋"/>
          <w:bCs/>
          <w:color w:val="auto"/>
          <w:sz w:val="32"/>
          <w:szCs w:val="32"/>
          <w:highlight w:val="none"/>
        </w:rPr>
        <w:t>教育（类）</w:t>
      </w:r>
      <w:r>
        <w:rPr>
          <w:rStyle w:val="18"/>
          <w:rFonts w:hint="eastAsia" w:ascii="仿宋" w:hAnsi="仿宋" w:eastAsia="仿宋"/>
          <w:bCs/>
          <w:color w:val="auto"/>
          <w:sz w:val="32"/>
          <w:szCs w:val="32"/>
          <w:highlight w:val="none"/>
          <w:lang w:val="en-US" w:eastAsia="zh-CN"/>
        </w:rPr>
        <w:t>普通教育</w:t>
      </w:r>
      <w:r>
        <w:rPr>
          <w:rStyle w:val="18"/>
          <w:rFonts w:hint="eastAsia" w:ascii="仿宋" w:hAnsi="仿宋" w:eastAsia="仿宋"/>
          <w:bCs/>
          <w:color w:val="auto"/>
          <w:sz w:val="32"/>
          <w:szCs w:val="32"/>
          <w:highlight w:val="none"/>
        </w:rPr>
        <w:t>（款）</w:t>
      </w:r>
      <w:r>
        <w:rPr>
          <w:rStyle w:val="18"/>
          <w:rFonts w:hint="eastAsia" w:ascii="仿宋" w:hAnsi="仿宋" w:eastAsia="仿宋"/>
          <w:bCs/>
          <w:color w:val="auto"/>
          <w:sz w:val="32"/>
          <w:szCs w:val="32"/>
          <w:highlight w:val="none"/>
          <w:lang w:val="en-US" w:eastAsia="zh-CN"/>
        </w:rPr>
        <w:t>初中教育</w:t>
      </w:r>
      <w:r>
        <w:rPr>
          <w:rStyle w:val="18"/>
          <w:rFonts w:hint="eastAsia" w:ascii="仿宋" w:hAnsi="仿宋" w:eastAsia="仿宋"/>
          <w:bCs/>
          <w:color w:val="auto"/>
          <w:sz w:val="32"/>
          <w:szCs w:val="32"/>
          <w:highlight w:val="none"/>
        </w:rPr>
        <w:t>（项）</w:t>
      </w:r>
      <w:r>
        <w:rPr>
          <w:rStyle w:val="18"/>
          <w:rFonts w:ascii="仿宋" w:hAnsi="仿宋" w:eastAsia="仿宋"/>
          <w:bCs/>
          <w:color w:val="auto"/>
          <w:sz w:val="32"/>
          <w:szCs w:val="32"/>
          <w:highlight w:val="none"/>
        </w:rPr>
        <w:t>:</w:t>
      </w:r>
      <w:r>
        <w:rPr>
          <w:rStyle w:val="18"/>
          <w:rFonts w:ascii="仿宋" w:hAnsi="仿宋" w:eastAsia="仿宋"/>
          <w:b w:val="0"/>
          <w:bCs/>
          <w:color w:val="auto"/>
          <w:sz w:val="32"/>
          <w:szCs w:val="32"/>
          <w:highlight w:val="none"/>
        </w:rPr>
        <w:t xml:space="preserve"> </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14529.01</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p>
    <w:p>
      <w:pPr>
        <w:spacing w:line="600" w:lineRule="exact"/>
        <w:ind w:firstLine="642" w:firstLineChars="200"/>
        <w:rPr>
          <w:rFonts w:ascii="仿宋" w:hAnsi="仿宋" w:eastAsia="仿宋"/>
          <w:b/>
          <w:color w:val="auto"/>
          <w:sz w:val="32"/>
          <w:szCs w:val="32"/>
          <w:highlight w:val="none"/>
        </w:rPr>
      </w:pPr>
      <w:r>
        <w:rPr>
          <w:rStyle w:val="18"/>
          <w:rFonts w:hint="eastAsia" w:ascii="仿宋" w:hAnsi="仿宋" w:eastAsia="仿宋"/>
          <w:bCs/>
          <w:color w:val="auto"/>
          <w:sz w:val="32"/>
          <w:szCs w:val="32"/>
          <w:highlight w:val="none"/>
          <w:lang w:val="en-US" w:eastAsia="zh-CN"/>
        </w:rPr>
        <w:t>9</w:t>
      </w:r>
      <w:r>
        <w:rPr>
          <w:rStyle w:val="18"/>
          <w:rFonts w:ascii="仿宋" w:hAnsi="仿宋" w:eastAsia="仿宋"/>
          <w:bCs/>
          <w:color w:val="auto"/>
          <w:sz w:val="32"/>
          <w:szCs w:val="32"/>
          <w:highlight w:val="none"/>
        </w:rPr>
        <w:t>.</w:t>
      </w:r>
      <w:r>
        <w:rPr>
          <w:rStyle w:val="18"/>
          <w:rFonts w:hint="eastAsia" w:ascii="仿宋" w:hAnsi="仿宋" w:eastAsia="仿宋"/>
          <w:bCs/>
          <w:color w:val="auto"/>
          <w:sz w:val="32"/>
          <w:szCs w:val="32"/>
          <w:highlight w:val="none"/>
        </w:rPr>
        <w:t>教育（类）</w:t>
      </w:r>
      <w:r>
        <w:rPr>
          <w:rStyle w:val="18"/>
          <w:rFonts w:hint="eastAsia" w:ascii="仿宋" w:hAnsi="仿宋" w:eastAsia="仿宋"/>
          <w:bCs/>
          <w:color w:val="auto"/>
          <w:sz w:val="32"/>
          <w:szCs w:val="32"/>
          <w:highlight w:val="none"/>
          <w:lang w:val="en-US" w:eastAsia="zh-CN"/>
        </w:rPr>
        <w:t>普通教育</w:t>
      </w:r>
      <w:r>
        <w:rPr>
          <w:rStyle w:val="18"/>
          <w:rFonts w:hint="eastAsia" w:ascii="仿宋" w:hAnsi="仿宋" w:eastAsia="仿宋"/>
          <w:bCs/>
          <w:color w:val="auto"/>
          <w:sz w:val="32"/>
          <w:szCs w:val="32"/>
          <w:highlight w:val="none"/>
        </w:rPr>
        <w:t>（款）</w:t>
      </w:r>
      <w:r>
        <w:rPr>
          <w:rStyle w:val="18"/>
          <w:rFonts w:hint="eastAsia" w:ascii="仿宋" w:hAnsi="仿宋" w:eastAsia="仿宋"/>
          <w:bCs/>
          <w:color w:val="auto"/>
          <w:sz w:val="32"/>
          <w:szCs w:val="32"/>
          <w:highlight w:val="none"/>
          <w:lang w:val="en-US" w:eastAsia="zh-CN"/>
        </w:rPr>
        <w:t>高中教育</w:t>
      </w:r>
      <w:r>
        <w:rPr>
          <w:rStyle w:val="18"/>
          <w:rFonts w:hint="eastAsia" w:ascii="仿宋" w:hAnsi="仿宋" w:eastAsia="仿宋"/>
          <w:bCs/>
          <w:color w:val="auto"/>
          <w:sz w:val="32"/>
          <w:szCs w:val="32"/>
          <w:highlight w:val="none"/>
        </w:rPr>
        <w:t>（项）</w:t>
      </w:r>
      <w:r>
        <w:rPr>
          <w:rStyle w:val="18"/>
          <w:rFonts w:ascii="仿宋" w:hAnsi="仿宋" w:eastAsia="仿宋"/>
          <w:bCs/>
          <w:color w:val="auto"/>
          <w:sz w:val="32"/>
          <w:szCs w:val="32"/>
          <w:highlight w:val="none"/>
        </w:rPr>
        <w:t>:</w:t>
      </w:r>
      <w:r>
        <w:rPr>
          <w:rStyle w:val="18"/>
          <w:rFonts w:ascii="仿宋" w:hAnsi="仿宋" w:eastAsia="仿宋"/>
          <w:b w:val="0"/>
          <w:bCs/>
          <w:color w:val="auto"/>
          <w:sz w:val="32"/>
          <w:szCs w:val="32"/>
          <w:highlight w:val="none"/>
        </w:rPr>
        <w:t xml:space="preserve"> </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15495.29</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p>
    <w:p>
      <w:pPr>
        <w:pStyle w:val="2"/>
        <w:ind w:firstLine="642" w:firstLineChars="200"/>
        <w:rPr>
          <w:rFonts w:hint="eastAsia"/>
          <w:lang w:eastAsia="zh-CN"/>
        </w:rPr>
      </w:pPr>
      <w:r>
        <w:rPr>
          <w:rStyle w:val="18"/>
          <w:rFonts w:hint="eastAsia" w:ascii="仿宋" w:hAnsi="仿宋" w:eastAsia="仿宋"/>
          <w:bCs/>
          <w:color w:val="auto"/>
          <w:sz w:val="32"/>
          <w:szCs w:val="32"/>
          <w:highlight w:val="none"/>
          <w:lang w:val="en-US" w:eastAsia="zh-CN"/>
        </w:rPr>
        <w:t>10</w:t>
      </w:r>
      <w:r>
        <w:rPr>
          <w:rStyle w:val="18"/>
          <w:rFonts w:ascii="仿宋" w:hAnsi="仿宋" w:eastAsia="仿宋"/>
          <w:bCs/>
          <w:color w:val="auto"/>
          <w:sz w:val="32"/>
          <w:szCs w:val="32"/>
          <w:highlight w:val="none"/>
        </w:rPr>
        <w:t>.</w:t>
      </w:r>
      <w:r>
        <w:rPr>
          <w:rStyle w:val="18"/>
          <w:rFonts w:hint="eastAsia" w:ascii="仿宋" w:hAnsi="仿宋" w:eastAsia="仿宋"/>
          <w:bCs/>
          <w:color w:val="auto"/>
          <w:sz w:val="32"/>
          <w:szCs w:val="32"/>
          <w:highlight w:val="none"/>
        </w:rPr>
        <w:t>教育（类）</w:t>
      </w:r>
      <w:r>
        <w:rPr>
          <w:rStyle w:val="18"/>
          <w:rFonts w:hint="eastAsia" w:ascii="仿宋" w:hAnsi="仿宋" w:eastAsia="仿宋"/>
          <w:bCs/>
          <w:color w:val="auto"/>
          <w:sz w:val="32"/>
          <w:szCs w:val="32"/>
          <w:highlight w:val="none"/>
          <w:lang w:val="en-US" w:eastAsia="zh-CN"/>
        </w:rPr>
        <w:t>普通教育</w:t>
      </w:r>
      <w:r>
        <w:rPr>
          <w:rStyle w:val="18"/>
          <w:rFonts w:hint="eastAsia" w:ascii="仿宋" w:hAnsi="仿宋" w:eastAsia="仿宋"/>
          <w:bCs/>
          <w:color w:val="auto"/>
          <w:sz w:val="32"/>
          <w:szCs w:val="32"/>
          <w:highlight w:val="none"/>
        </w:rPr>
        <w:t>（款）</w:t>
      </w:r>
      <w:r>
        <w:rPr>
          <w:rStyle w:val="18"/>
          <w:rFonts w:hint="eastAsia" w:ascii="仿宋" w:hAnsi="仿宋" w:eastAsia="仿宋"/>
          <w:bCs/>
          <w:color w:val="auto"/>
          <w:sz w:val="32"/>
          <w:szCs w:val="32"/>
          <w:highlight w:val="none"/>
          <w:lang w:val="en-US" w:eastAsia="zh-CN"/>
        </w:rPr>
        <w:t xml:space="preserve">  其他普通教育支出</w:t>
      </w:r>
      <w:r>
        <w:rPr>
          <w:rStyle w:val="18"/>
          <w:rFonts w:hint="eastAsia" w:ascii="仿宋" w:hAnsi="仿宋" w:eastAsia="仿宋"/>
          <w:bCs/>
          <w:color w:val="auto"/>
          <w:sz w:val="32"/>
          <w:szCs w:val="32"/>
          <w:highlight w:val="none"/>
        </w:rPr>
        <w:t>（项）</w:t>
      </w:r>
      <w:r>
        <w:rPr>
          <w:rStyle w:val="18"/>
          <w:rFonts w:ascii="仿宋" w:hAnsi="仿宋" w:eastAsia="仿宋"/>
          <w:bCs/>
          <w:color w:val="auto"/>
          <w:sz w:val="32"/>
          <w:szCs w:val="32"/>
          <w:highlight w:val="none"/>
        </w:rPr>
        <w:t>:</w:t>
      </w:r>
      <w:r>
        <w:rPr>
          <w:rStyle w:val="18"/>
          <w:rFonts w:ascii="仿宋" w:hAnsi="仿宋" w:eastAsia="仿宋"/>
          <w:b w:val="0"/>
          <w:bCs/>
          <w:color w:val="auto"/>
          <w:sz w:val="32"/>
          <w:szCs w:val="32"/>
          <w:highlight w:val="none"/>
        </w:rPr>
        <w:t xml:space="preserve"> </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211.04</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lang w:eastAsia="zh-CN"/>
        </w:rPr>
        <w:t>。</w:t>
      </w:r>
    </w:p>
    <w:p>
      <w:pPr>
        <w:numPr>
          <w:ilvl w:val="0"/>
          <w:numId w:val="0"/>
        </w:numPr>
        <w:spacing w:line="600" w:lineRule="exact"/>
        <w:ind w:firstLine="642" w:firstLineChars="200"/>
        <w:rPr>
          <w:rStyle w:val="18"/>
          <w:rFonts w:hint="eastAsia" w:ascii="仿宋" w:hAnsi="仿宋" w:eastAsia="仿宋"/>
          <w:b w:val="0"/>
          <w:bCs/>
          <w:color w:val="000000"/>
          <w:sz w:val="32"/>
          <w:szCs w:val="32"/>
          <w:lang w:eastAsia="zh-CN"/>
        </w:rPr>
      </w:pPr>
      <w:r>
        <w:rPr>
          <w:rStyle w:val="18"/>
          <w:rFonts w:hint="eastAsia" w:ascii="仿宋" w:hAnsi="仿宋" w:eastAsia="仿宋"/>
          <w:bCs/>
          <w:color w:val="000000"/>
          <w:sz w:val="32"/>
          <w:szCs w:val="32"/>
          <w:lang w:val="en-US" w:eastAsia="zh-CN"/>
        </w:rPr>
        <w:t>11.</w:t>
      </w:r>
      <w:r>
        <w:rPr>
          <w:rStyle w:val="18"/>
          <w:rFonts w:hint="eastAsia" w:ascii="仿宋" w:hAnsi="仿宋" w:eastAsia="仿宋"/>
          <w:bCs/>
          <w:color w:val="000000"/>
          <w:sz w:val="32"/>
          <w:szCs w:val="32"/>
        </w:rPr>
        <w:t>教育（类）</w:t>
      </w:r>
      <w:r>
        <w:rPr>
          <w:rStyle w:val="18"/>
          <w:rFonts w:hint="eastAsia" w:ascii="仿宋" w:hAnsi="仿宋" w:eastAsia="仿宋"/>
          <w:bCs/>
          <w:color w:val="000000"/>
          <w:sz w:val="32"/>
          <w:szCs w:val="32"/>
          <w:lang w:eastAsia="zh-CN"/>
        </w:rPr>
        <w:t>职业教育</w:t>
      </w:r>
      <w:r>
        <w:rPr>
          <w:rStyle w:val="18"/>
          <w:rFonts w:hint="eastAsia" w:ascii="仿宋" w:hAnsi="仿宋" w:eastAsia="仿宋"/>
          <w:bCs/>
          <w:color w:val="000000"/>
          <w:sz w:val="32"/>
          <w:szCs w:val="32"/>
        </w:rPr>
        <w:t>（款）</w:t>
      </w:r>
      <w:r>
        <w:rPr>
          <w:rStyle w:val="18"/>
          <w:rFonts w:hint="eastAsia" w:ascii="仿宋" w:hAnsi="仿宋" w:eastAsia="仿宋"/>
          <w:bCs/>
          <w:color w:val="000000"/>
          <w:sz w:val="32"/>
          <w:szCs w:val="32"/>
          <w:lang w:eastAsia="zh-CN"/>
        </w:rPr>
        <w:t>中等职业教育</w:t>
      </w:r>
      <w:r>
        <w:rPr>
          <w:rStyle w:val="18"/>
          <w:rFonts w:hint="eastAsia" w:ascii="仿宋" w:hAnsi="仿宋" w:eastAsia="仿宋"/>
          <w:bCs/>
          <w:color w:val="000000"/>
          <w:sz w:val="32"/>
          <w:szCs w:val="32"/>
        </w:rPr>
        <w:t>（项）</w:t>
      </w:r>
      <w:r>
        <w:rPr>
          <w:rStyle w:val="18"/>
          <w:rFonts w:ascii="仿宋" w:hAnsi="仿宋" w:eastAsia="仿宋"/>
          <w:bCs/>
          <w:color w:val="000000"/>
          <w:sz w:val="32"/>
          <w:szCs w:val="32"/>
        </w:rPr>
        <w:t>:</w:t>
      </w:r>
      <w:r>
        <w:rPr>
          <w:rStyle w:val="18"/>
          <w:rFonts w:ascii="仿宋" w:hAnsi="仿宋" w:eastAsia="仿宋"/>
          <w:b w:val="0"/>
          <w:bCs/>
          <w:color w:val="000000"/>
          <w:sz w:val="32"/>
          <w:szCs w:val="32"/>
        </w:rPr>
        <w:t xml:space="preserve"> </w:t>
      </w:r>
      <w:r>
        <w:rPr>
          <w:rStyle w:val="18"/>
          <w:rFonts w:hint="eastAsia" w:ascii="仿宋" w:hAnsi="仿宋" w:eastAsia="仿宋"/>
          <w:b w:val="0"/>
          <w:bCs/>
          <w:color w:val="000000"/>
          <w:sz w:val="32"/>
          <w:szCs w:val="32"/>
        </w:rPr>
        <w:t>支出决算为</w:t>
      </w:r>
      <w:r>
        <w:rPr>
          <w:rStyle w:val="18"/>
          <w:rFonts w:hint="eastAsia" w:ascii="仿宋" w:hAnsi="仿宋" w:eastAsia="仿宋"/>
          <w:b w:val="0"/>
          <w:bCs/>
          <w:color w:val="000000"/>
          <w:sz w:val="32"/>
          <w:szCs w:val="32"/>
          <w:lang w:val="en-US" w:eastAsia="zh-CN"/>
        </w:rPr>
        <w:t>15430.17</w:t>
      </w:r>
      <w:r>
        <w:rPr>
          <w:rStyle w:val="18"/>
          <w:rFonts w:hint="eastAsia" w:ascii="仿宋" w:hAnsi="仿宋" w:eastAsia="仿宋"/>
          <w:b w:val="0"/>
          <w:bCs/>
          <w:color w:val="000000"/>
          <w:sz w:val="32"/>
          <w:szCs w:val="32"/>
        </w:rPr>
        <w:t>万元，完成预算100</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lang w:eastAsia="zh-CN"/>
        </w:rPr>
        <w:t>。</w:t>
      </w:r>
    </w:p>
    <w:p>
      <w:pPr>
        <w:pStyle w:val="2"/>
        <w:numPr>
          <w:ilvl w:val="0"/>
          <w:numId w:val="0"/>
        </w:numPr>
        <w:ind w:firstLine="642" w:firstLineChars="200"/>
        <w:rPr>
          <w:rStyle w:val="18"/>
          <w:rFonts w:hint="eastAsia" w:ascii="仿宋" w:hAnsi="仿宋" w:eastAsia="仿宋"/>
          <w:b w:val="0"/>
          <w:bCs/>
          <w:sz w:val="32"/>
          <w:szCs w:val="32"/>
        </w:rPr>
      </w:pPr>
      <w:r>
        <w:rPr>
          <w:rStyle w:val="18"/>
          <w:rFonts w:hint="eastAsia" w:ascii="仿宋" w:hAnsi="仿宋" w:eastAsia="仿宋"/>
          <w:bCs/>
          <w:color w:val="000000"/>
          <w:sz w:val="32"/>
          <w:szCs w:val="32"/>
          <w:lang w:val="en-US" w:eastAsia="zh-CN"/>
        </w:rPr>
        <w:t>12.</w:t>
      </w:r>
      <w:r>
        <w:rPr>
          <w:rStyle w:val="18"/>
          <w:rFonts w:hint="eastAsia" w:ascii="仿宋" w:hAnsi="仿宋" w:eastAsia="仿宋"/>
          <w:bCs/>
          <w:color w:val="000000"/>
          <w:sz w:val="32"/>
          <w:szCs w:val="32"/>
        </w:rPr>
        <w:t>教育（类）广播电视教育（款）广播电视学校（项）</w:t>
      </w:r>
      <w:r>
        <w:rPr>
          <w:rStyle w:val="18"/>
          <w:rFonts w:ascii="仿宋" w:hAnsi="仿宋" w:eastAsia="仿宋"/>
          <w:bCs/>
          <w:color w:val="000000"/>
          <w:sz w:val="32"/>
          <w:szCs w:val="32"/>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w:t>
      </w:r>
      <w:r>
        <w:rPr>
          <w:rFonts w:hint="eastAsia" w:ascii="仿宋" w:hAnsi="仿宋" w:eastAsia="仿宋"/>
          <w:sz w:val="32"/>
          <w:szCs w:val="32"/>
          <w:lang w:val="en-US" w:eastAsia="zh-CN"/>
        </w:rPr>
        <w:t>872</w:t>
      </w:r>
      <w:r>
        <w:rPr>
          <w:rStyle w:val="18"/>
          <w:rFonts w:hint="eastAsia" w:ascii="仿宋" w:hAnsi="仿宋" w:eastAsia="仿宋"/>
          <w:b w:val="0"/>
          <w:bCs/>
          <w:sz w:val="32"/>
          <w:szCs w:val="32"/>
        </w:rPr>
        <w:t>万元，完成预算</w:t>
      </w:r>
      <w:r>
        <w:rPr>
          <w:rStyle w:val="18"/>
          <w:rFonts w:ascii="仿宋" w:hAnsi="仿宋" w:eastAsia="仿宋"/>
          <w:b w:val="0"/>
          <w:bCs/>
          <w:sz w:val="32"/>
          <w:szCs w:val="32"/>
        </w:rPr>
        <w:t>100%</w:t>
      </w:r>
      <w:r>
        <w:rPr>
          <w:rStyle w:val="18"/>
          <w:rFonts w:hint="eastAsia" w:ascii="仿宋" w:hAnsi="仿宋" w:eastAsia="仿宋"/>
          <w:b w:val="0"/>
          <w:bCs/>
          <w:sz w:val="32"/>
          <w:szCs w:val="32"/>
        </w:rPr>
        <w:t>。</w:t>
      </w:r>
    </w:p>
    <w:p>
      <w:pPr>
        <w:pStyle w:val="2"/>
        <w:numPr>
          <w:ilvl w:val="0"/>
          <w:numId w:val="0"/>
        </w:numPr>
        <w:ind w:firstLine="642" w:firstLineChars="200"/>
        <w:rPr>
          <w:rStyle w:val="18"/>
          <w:rFonts w:hint="eastAsia" w:ascii="仿宋" w:hAnsi="仿宋" w:eastAsia="仿宋"/>
          <w:b w:val="0"/>
          <w:bCs/>
          <w:sz w:val="32"/>
          <w:szCs w:val="32"/>
        </w:rPr>
      </w:pPr>
      <w:r>
        <w:rPr>
          <w:rStyle w:val="18"/>
          <w:rFonts w:hint="eastAsia" w:ascii="仿宋" w:eastAsia="仿宋"/>
          <w:bCs/>
          <w:color w:val="000000"/>
          <w:sz w:val="32"/>
          <w:szCs w:val="32"/>
          <w:lang w:val="en-US" w:eastAsia="zh-CN"/>
        </w:rPr>
        <w:t>13.</w:t>
      </w:r>
      <w:r>
        <w:rPr>
          <w:rStyle w:val="18"/>
          <w:rFonts w:hint="eastAsia" w:ascii="仿宋" w:eastAsia="仿宋"/>
          <w:bCs/>
          <w:color w:val="000000"/>
          <w:sz w:val="32"/>
          <w:szCs w:val="32"/>
        </w:rPr>
        <w:t>教育（类）特殊教育（款）特殊学校教育（项）</w:t>
      </w:r>
      <w:r>
        <w:rPr>
          <w:rStyle w:val="18"/>
          <w:rFonts w:ascii="仿宋" w:hAnsi="仿宋" w:eastAsia="仿宋"/>
          <w:bCs/>
          <w:color w:val="auto"/>
          <w:sz w:val="32"/>
          <w:szCs w:val="32"/>
          <w:highlight w:val="none"/>
        </w:rPr>
        <w:t>:</w:t>
      </w:r>
      <w:r>
        <w:rPr>
          <w:rStyle w:val="18"/>
          <w:rFonts w:ascii="仿宋" w:hAnsi="仿宋" w:eastAsia="仿宋"/>
          <w:b w:val="0"/>
          <w:bCs/>
          <w:color w:val="auto"/>
          <w:sz w:val="32"/>
          <w:szCs w:val="32"/>
          <w:highlight w:val="none"/>
        </w:rPr>
        <w:t xml:space="preserve"> </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951.03</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lang w:eastAsia="zh-CN"/>
        </w:rPr>
        <w:t>。</w:t>
      </w:r>
    </w:p>
    <w:p>
      <w:pPr>
        <w:pStyle w:val="2"/>
        <w:numPr>
          <w:ilvl w:val="0"/>
          <w:numId w:val="0"/>
        </w:numPr>
        <w:ind w:firstLine="642" w:firstLineChars="200"/>
        <w:rPr>
          <w:rStyle w:val="18"/>
          <w:rFonts w:hint="eastAsia" w:ascii="仿宋" w:hAnsi="仿宋" w:eastAsia="仿宋"/>
          <w:b w:val="0"/>
          <w:bCs/>
          <w:sz w:val="32"/>
          <w:szCs w:val="32"/>
        </w:rPr>
      </w:pPr>
      <w:r>
        <w:rPr>
          <w:rStyle w:val="18"/>
          <w:rFonts w:hint="eastAsia" w:ascii="仿宋" w:eastAsia="仿宋"/>
          <w:bCs/>
          <w:color w:val="000000"/>
          <w:sz w:val="32"/>
          <w:szCs w:val="32"/>
          <w:lang w:val="en-US" w:eastAsia="zh-CN"/>
        </w:rPr>
        <w:t>14.</w:t>
      </w:r>
      <w:r>
        <w:rPr>
          <w:rStyle w:val="18"/>
          <w:rFonts w:hint="eastAsia" w:ascii="仿宋" w:eastAsia="仿宋"/>
          <w:bCs/>
          <w:color w:val="000000"/>
          <w:sz w:val="32"/>
          <w:szCs w:val="32"/>
        </w:rPr>
        <w:t>教育（类）</w:t>
      </w:r>
      <w:r>
        <w:rPr>
          <w:rStyle w:val="18"/>
          <w:rFonts w:hint="eastAsia" w:ascii="仿宋" w:eastAsia="仿宋" w:hAnsiTheme="minorHAnsi" w:cstheme="minorBidi"/>
          <w:bCs/>
          <w:color w:val="000000"/>
          <w:sz w:val="32"/>
          <w:szCs w:val="32"/>
        </w:rPr>
        <w:t>进修及培训</w:t>
      </w:r>
      <w:r>
        <w:rPr>
          <w:rStyle w:val="18"/>
          <w:rFonts w:hint="eastAsia" w:ascii="仿宋" w:eastAsia="仿宋"/>
          <w:bCs/>
          <w:color w:val="000000"/>
          <w:sz w:val="32"/>
          <w:szCs w:val="32"/>
        </w:rPr>
        <w:t>（款）</w:t>
      </w:r>
      <w:r>
        <w:rPr>
          <w:rStyle w:val="18"/>
          <w:rFonts w:hint="eastAsia" w:ascii="仿宋" w:eastAsia="仿宋"/>
          <w:bCs/>
          <w:color w:val="000000"/>
          <w:sz w:val="32"/>
          <w:szCs w:val="32"/>
          <w:lang w:eastAsia="zh-CN"/>
        </w:rPr>
        <w:t>教师进修</w:t>
      </w:r>
      <w:r>
        <w:rPr>
          <w:rStyle w:val="18"/>
          <w:rFonts w:hint="eastAsia" w:ascii="仿宋" w:eastAsia="仿宋"/>
          <w:bCs/>
          <w:color w:val="000000"/>
          <w:sz w:val="32"/>
          <w:szCs w:val="32"/>
        </w:rPr>
        <w:t>（项）</w:t>
      </w:r>
      <w:r>
        <w:rPr>
          <w:rStyle w:val="18"/>
          <w:rFonts w:hint="eastAsia" w:ascii="仿宋" w:eastAsia="仿宋"/>
          <w:bCs/>
          <w:color w:val="000000"/>
          <w:sz w:val="32"/>
          <w:szCs w:val="32"/>
          <w:lang w:eastAsia="zh-CN"/>
        </w:rPr>
        <w:t>：</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18.15</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lang w:eastAsia="zh-CN"/>
        </w:rPr>
        <w:t>。</w:t>
      </w:r>
    </w:p>
    <w:p>
      <w:pPr>
        <w:pStyle w:val="2"/>
        <w:numPr>
          <w:ilvl w:val="0"/>
          <w:numId w:val="0"/>
        </w:numPr>
        <w:ind w:firstLine="642" w:firstLineChars="200"/>
        <w:rPr>
          <w:rStyle w:val="18"/>
          <w:rFonts w:hint="eastAsia" w:ascii="仿宋" w:hAnsi="仿宋" w:eastAsia="仿宋"/>
          <w:b w:val="0"/>
          <w:bCs/>
          <w:sz w:val="32"/>
          <w:szCs w:val="32"/>
        </w:rPr>
      </w:pPr>
      <w:r>
        <w:rPr>
          <w:rStyle w:val="18"/>
          <w:rFonts w:hint="eastAsia" w:ascii="仿宋" w:eastAsia="仿宋"/>
          <w:bCs/>
          <w:color w:val="000000"/>
          <w:sz w:val="32"/>
          <w:szCs w:val="32"/>
          <w:lang w:val="en-US" w:eastAsia="zh-CN"/>
        </w:rPr>
        <w:t>15.</w:t>
      </w:r>
      <w:r>
        <w:rPr>
          <w:rStyle w:val="18"/>
          <w:rFonts w:hint="eastAsia" w:ascii="仿宋" w:eastAsia="仿宋"/>
          <w:bCs/>
          <w:color w:val="000000"/>
          <w:sz w:val="32"/>
          <w:szCs w:val="32"/>
        </w:rPr>
        <w:t>教育（类）</w:t>
      </w:r>
      <w:r>
        <w:rPr>
          <w:rStyle w:val="18"/>
          <w:rFonts w:hint="eastAsia" w:ascii="仿宋" w:eastAsia="仿宋" w:hAnsiTheme="minorHAnsi" w:cstheme="minorBidi"/>
          <w:bCs/>
          <w:color w:val="000000"/>
          <w:sz w:val="32"/>
          <w:szCs w:val="32"/>
        </w:rPr>
        <w:t>教育费附加安排的支出</w:t>
      </w:r>
      <w:r>
        <w:rPr>
          <w:rStyle w:val="18"/>
          <w:rFonts w:hint="eastAsia" w:ascii="仿宋" w:eastAsia="仿宋"/>
          <w:bCs/>
          <w:color w:val="000000"/>
          <w:sz w:val="32"/>
          <w:szCs w:val="32"/>
        </w:rPr>
        <w:t>（款）</w:t>
      </w:r>
      <w:r>
        <w:rPr>
          <w:rStyle w:val="18"/>
          <w:rFonts w:hint="eastAsia" w:ascii="仿宋" w:eastAsia="仿宋" w:hAnsiTheme="minorHAnsi" w:cstheme="minorBidi"/>
          <w:bCs/>
          <w:color w:val="000000"/>
          <w:sz w:val="32"/>
          <w:szCs w:val="32"/>
        </w:rPr>
        <w:t>其他教育费附加安排的支出</w:t>
      </w:r>
      <w:r>
        <w:rPr>
          <w:rStyle w:val="18"/>
          <w:rFonts w:hint="eastAsia" w:ascii="仿宋" w:eastAsia="仿宋"/>
          <w:bCs/>
          <w:color w:val="000000"/>
          <w:sz w:val="32"/>
          <w:szCs w:val="32"/>
        </w:rPr>
        <w:t>（项）</w:t>
      </w:r>
      <w:r>
        <w:rPr>
          <w:rStyle w:val="18"/>
          <w:rFonts w:hint="eastAsia" w:ascii="仿宋" w:eastAsia="仿宋"/>
          <w:bCs/>
          <w:color w:val="000000"/>
          <w:sz w:val="32"/>
          <w:szCs w:val="32"/>
          <w:lang w:eastAsia="zh-CN"/>
        </w:rPr>
        <w:t>：</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599.61万</w:t>
      </w:r>
      <w:r>
        <w:rPr>
          <w:rStyle w:val="18"/>
          <w:rFonts w:hint="eastAsia" w:ascii="仿宋" w:hAnsi="仿宋" w:eastAsia="仿宋"/>
          <w:b w:val="0"/>
          <w:bCs/>
          <w:color w:val="auto"/>
          <w:sz w:val="32"/>
          <w:szCs w:val="32"/>
          <w:highlight w:val="none"/>
        </w:rPr>
        <w:t>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lang w:eastAsia="zh-CN"/>
        </w:rPr>
        <w:t>。</w:t>
      </w:r>
    </w:p>
    <w:p>
      <w:pPr>
        <w:pStyle w:val="2"/>
        <w:numPr>
          <w:ilvl w:val="0"/>
          <w:numId w:val="0"/>
        </w:numPr>
        <w:ind w:firstLine="642" w:firstLineChars="200"/>
        <w:rPr>
          <w:rStyle w:val="18"/>
          <w:rFonts w:hint="eastAsia" w:ascii="仿宋" w:hAnsi="仿宋" w:eastAsia="仿宋"/>
          <w:b w:val="0"/>
          <w:bCs/>
          <w:sz w:val="32"/>
          <w:szCs w:val="32"/>
        </w:rPr>
      </w:pPr>
      <w:r>
        <w:rPr>
          <w:rStyle w:val="18"/>
          <w:rFonts w:hint="eastAsia" w:ascii="仿宋" w:eastAsia="仿宋"/>
          <w:bCs/>
          <w:color w:val="000000"/>
          <w:sz w:val="32"/>
          <w:szCs w:val="32"/>
          <w:lang w:val="en-US" w:eastAsia="zh-CN"/>
        </w:rPr>
        <w:t>16.</w:t>
      </w:r>
      <w:r>
        <w:rPr>
          <w:rStyle w:val="18"/>
          <w:rFonts w:hint="eastAsia" w:ascii="仿宋" w:eastAsia="仿宋"/>
          <w:bCs/>
          <w:color w:val="000000"/>
          <w:sz w:val="32"/>
          <w:szCs w:val="32"/>
        </w:rPr>
        <w:t>教育（类）</w:t>
      </w:r>
      <w:r>
        <w:rPr>
          <w:rStyle w:val="18"/>
          <w:rFonts w:hint="eastAsia" w:ascii="仿宋" w:eastAsia="仿宋" w:hAnsiTheme="minorHAnsi" w:cstheme="minorBidi"/>
          <w:bCs/>
          <w:color w:val="000000"/>
          <w:sz w:val="32"/>
          <w:szCs w:val="32"/>
        </w:rPr>
        <w:t>其他教育支出（款）其他教育支出（项）</w:t>
      </w:r>
      <w:r>
        <w:rPr>
          <w:rFonts w:hint="eastAsia" w:hAnsi="仿宋" w:cs="仿宋_GB2312"/>
          <w:b/>
          <w:sz w:val="32"/>
          <w:szCs w:val="32"/>
          <w:lang w:eastAsia="zh-CN"/>
        </w:rPr>
        <w:t>：</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1471.47万</w:t>
      </w:r>
      <w:r>
        <w:rPr>
          <w:rStyle w:val="18"/>
          <w:rFonts w:hint="eastAsia" w:ascii="仿宋" w:hAnsi="仿宋" w:eastAsia="仿宋"/>
          <w:b w:val="0"/>
          <w:bCs/>
          <w:color w:val="auto"/>
          <w:sz w:val="32"/>
          <w:szCs w:val="32"/>
          <w:highlight w:val="none"/>
        </w:rPr>
        <w:t>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lang w:eastAsia="zh-CN"/>
        </w:rPr>
        <w:t>。</w:t>
      </w:r>
    </w:p>
    <w:p>
      <w:pPr>
        <w:spacing w:line="600" w:lineRule="exact"/>
        <w:ind w:firstLine="642" w:firstLineChars="200"/>
        <w:rPr>
          <w:rStyle w:val="18"/>
          <w:rFonts w:hint="eastAsia" w:ascii="仿宋" w:hAnsi="仿宋" w:eastAsia="仿宋"/>
          <w:b w:val="0"/>
          <w:bCs/>
          <w:sz w:val="32"/>
          <w:szCs w:val="32"/>
        </w:rPr>
      </w:pPr>
      <w:r>
        <w:rPr>
          <w:rStyle w:val="18"/>
          <w:rFonts w:hint="eastAsia" w:ascii="仿宋" w:eastAsia="仿宋" w:hAnsiTheme="minorHAnsi" w:cstheme="minorBidi"/>
          <w:bCs/>
          <w:color w:val="auto"/>
          <w:sz w:val="32"/>
          <w:szCs w:val="32"/>
          <w:highlight w:val="none"/>
          <w:lang w:val="en-US" w:eastAsia="zh-CN"/>
        </w:rPr>
        <w:t>17</w:t>
      </w:r>
      <w:r>
        <w:rPr>
          <w:rStyle w:val="18"/>
          <w:rFonts w:hint="eastAsia" w:ascii="仿宋" w:hAnsi="仿宋" w:eastAsia="仿宋"/>
          <w:b w:val="0"/>
          <w:bCs/>
          <w:sz w:val="32"/>
          <w:szCs w:val="32"/>
          <w:lang w:val="en-US" w:eastAsia="zh-CN"/>
        </w:rPr>
        <w:t>.</w:t>
      </w:r>
      <w:r>
        <w:rPr>
          <w:rStyle w:val="18"/>
          <w:rFonts w:hint="eastAsia" w:ascii="仿宋" w:hAnsi="仿宋" w:eastAsia="仿宋"/>
          <w:bCs/>
          <w:sz w:val="32"/>
          <w:szCs w:val="32"/>
        </w:rPr>
        <w:t>文化旅游体育与传媒（类）体育（款）体育场馆（项）</w:t>
      </w:r>
      <w:r>
        <w:rPr>
          <w:rStyle w:val="18"/>
          <w:rFonts w:ascii="仿宋" w:hAnsi="仿宋" w:eastAsia="仿宋"/>
          <w:bCs/>
          <w:sz w:val="32"/>
          <w:szCs w:val="32"/>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支出决算为190.83万元，完成预算100</w:t>
      </w:r>
      <w:r>
        <w:rPr>
          <w:rStyle w:val="18"/>
          <w:rFonts w:ascii="仿宋" w:hAnsi="仿宋" w:eastAsia="仿宋"/>
          <w:b w:val="0"/>
          <w:bCs/>
          <w:sz w:val="32"/>
          <w:szCs w:val="32"/>
        </w:rPr>
        <w:t>%</w:t>
      </w:r>
      <w:r>
        <w:rPr>
          <w:rStyle w:val="18"/>
          <w:rFonts w:hint="eastAsia" w:ascii="仿宋" w:hAnsi="仿宋" w:eastAsia="仿宋"/>
          <w:b w:val="0"/>
          <w:bCs/>
          <w:sz w:val="32"/>
          <w:szCs w:val="32"/>
        </w:rPr>
        <w:t>。</w:t>
      </w:r>
    </w:p>
    <w:p>
      <w:pPr>
        <w:spacing w:line="600" w:lineRule="exact"/>
        <w:ind w:firstLine="642" w:firstLineChars="200"/>
      </w:pPr>
      <w:r>
        <w:rPr>
          <w:rStyle w:val="18"/>
          <w:rFonts w:hint="eastAsia" w:ascii="仿宋" w:eastAsia="仿宋"/>
          <w:bCs/>
          <w:color w:val="auto"/>
          <w:sz w:val="32"/>
          <w:szCs w:val="32"/>
          <w:highlight w:val="none"/>
          <w:lang w:val="en-US" w:eastAsia="zh-CN"/>
        </w:rPr>
        <w:t>18.</w:t>
      </w:r>
      <w:r>
        <w:rPr>
          <w:rStyle w:val="18"/>
          <w:rFonts w:hint="eastAsia" w:ascii="仿宋" w:eastAsia="仿宋"/>
          <w:bCs/>
          <w:color w:val="auto"/>
          <w:sz w:val="32"/>
          <w:szCs w:val="32"/>
          <w:highlight w:val="none"/>
        </w:rPr>
        <w:t>文化旅游体育与传媒（类）</w:t>
      </w:r>
      <w:r>
        <w:rPr>
          <w:rStyle w:val="18"/>
          <w:rFonts w:hint="eastAsia" w:ascii="仿宋" w:eastAsia="仿宋"/>
          <w:bCs/>
          <w:color w:val="auto"/>
          <w:sz w:val="32"/>
          <w:szCs w:val="32"/>
          <w:highlight w:val="none"/>
          <w:lang w:eastAsia="zh-CN"/>
        </w:rPr>
        <w:t>体育</w:t>
      </w:r>
      <w:r>
        <w:rPr>
          <w:rStyle w:val="18"/>
          <w:rFonts w:hint="eastAsia" w:ascii="仿宋" w:eastAsia="仿宋"/>
          <w:bCs/>
          <w:color w:val="auto"/>
          <w:sz w:val="32"/>
          <w:szCs w:val="32"/>
          <w:highlight w:val="none"/>
        </w:rPr>
        <w:t>（款）</w:t>
      </w:r>
      <w:r>
        <w:rPr>
          <w:rStyle w:val="18"/>
          <w:rFonts w:hint="eastAsia" w:ascii="仿宋" w:hAnsi="仿宋" w:eastAsia="仿宋"/>
          <w:bCs/>
          <w:color w:val="000000"/>
          <w:sz w:val="32"/>
          <w:szCs w:val="32"/>
          <w:lang w:eastAsia="zh-CN"/>
        </w:rPr>
        <w:t>其他体育支出</w:t>
      </w:r>
      <w:r>
        <w:rPr>
          <w:rStyle w:val="18"/>
          <w:rFonts w:hint="eastAsia" w:ascii="仿宋" w:eastAsia="仿宋"/>
          <w:bCs/>
          <w:color w:val="auto"/>
          <w:sz w:val="32"/>
          <w:szCs w:val="32"/>
          <w:highlight w:val="none"/>
        </w:rPr>
        <w:t>（项）</w:t>
      </w:r>
      <w:r>
        <w:rPr>
          <w:rStyle w:val="18"/>
          <w:rFonts w:ascii="仿宋" w:eastAsia="仿宋"/>
          <w:bCs/>
          <w:color w:val="auto"/>
          <w:sz w:val="32"/>
          <w:szCs w:val="32"/>
          <w:highlight w:val="none"/>
        </w:rPr>
        <w:t>:</w:t>
      </w:r>
      <w:r>
        <w:rPr>
          <w:rStyle w:val="18"/>
          <w:rFonts w:ascii="仿宋" w:eastAsia="仿宋"/>
          <w:b w:val="0"/>
          <w:bCs/>
          <w:color w:val="auto"/>
          <w:sz w:val="32"/>
          <w:szCs w:val="32"/>
          <w:highlight w:val="none"/>
        </w:rPr>
        <w:t xml:space="preserve"> </w:t>
      </w:r>
      <w:r>
        <w:rPr>
          <w:rStyle w:val="18"/>
          <w:rFonts w:hint="eastAsia" w:ascii="仿宋" w:eastAsia="仿宋"/>
          <w:b w:val="0"/>
          <w:bCs/>
          <w:color w:val="auto"/>
          <w:sz w:val="32"/>
          <w:szCs w:val="32"/>
          <w:highlight w:val="none"/>
        </w:rPr>
        <w:t>支出决算为</w:t>
      </w:r>
      <w:r>
        <w:rPr>
          <w:rStyle w:val="18"/>
          <w:rFonts w:hint="eastAsia" w:ascii="仿宋" w:eastAsia="仿宋"/>
          <w:b w:val="0"/>
          <w:bCs/>
          <w:color w:val="auto"/>
          <w:sz w:val="32"/>
          <w:szCs w:val="32"/>
          <w:highlight w:val="none"/>
          <w:lang w:val="en-US" w:eastAsia="zh-CN"/>
        </w:rPr>
        <w:t>2210.98</w:t>
      </w:r>
      <w:r>
        <w:rPr>
          <w:rStyle w:val="18"/>
          <w:rFonts w:hint="eastAsia" w:ascii="仿宋" w:eastAsia="仿宋"/>
          <w:b w:val="0"/>
          <w:bCs/>
          <w:color w:val="auto"/>
          <w:sz w:val="32"/>
          <w:szCs w:val="32"/>
          <w:highlight w:val="none"/>
        </w:rPr>
        <w:t>万元，完成预算</w:t>
      </w:r>
      <w:r>
        <w:rPr>
          <w:rStyle w:val="18"/>
          <w:rFonts w:hint="eastAsia" w:ascii="仿宋" w:eastAsia="仿宋"/>
          <w:b w:val="0"/>
          <w:bCs/>
          <w:color w:val="auto"/>
          <w:sz w:val="32"/>
          <w:szCs w:val="32"/>
          <w:highlight w:val="none"/>
          <w:lang w:val="en-US" w:eastAsia="zh-CN"/>
        </w:rPr>
        <w:t>100</w:t>
      </w:r>
      <w:r>
        <w:rPr>
          <w:rStyle w:val="18"/>
          <w:rFonts w:ascii="仿宋" w:eastAsia="仿宋"/>
          <w:b w:val="0"/>
          <w:bCs/>
          <w:color w:val="auto"/>
          <w:sz w:val="32"/>
          <w:szCs w:val="32"/>
          <w:highlight w:val="none"/>
        </w:rPr>
        <w:t>%</w:t>
      </w:r>
      <w:r>
        <w:rPr>
          <w:rStyle w:val="18"/>
          <w:rFonts w:hint="eastAsia" w:ascii="仿宋" w:eastAsia="仿宋"/>
          <w:b w:val="0"/>
          <w:bCs/>
          <w:color w:val="auto"/>
          <w:sz w:val="32"/>
          <w:szCs w:val="32"/>
          <w:highlight w:val="none"/>
          <w:lang w:eastAsia="zh-CN"/>
        </w:rPr>
        <w:t>。</w:t>
      </w:r>
    </w:p>
    <w:p>
      <w:pPr>
        <w:pStyle w:val="2"/>
        <w:spacing w:before="93"/>
        <w:ind w:firstLine="642" w:firstLineChars="200"/>
        <w:rPr>
          <w:rStyle w:val="18"/>
          <w:rFonts w:hint="eastAsia" w:ascii="仿宋" w:hAnsi="仿宋" w:eastAsia="仿宋"/>
          <w:b w:val="0"/>
          <w:bCs/>
          <w:sz w:val="32"/>
          <w:szCs w:val="32"/>
        </w:rPr>
      </w:pPr>
      <w:r>
        <w:rPr>
          <w:rStyle w:val="18"/>
          <w:rFonts w:hint="eastAsia" w:ascii="仿宋" w:hAnsi="仿宋" w:eastAsia="仿宋"/>
          <w:bCs/>
          <w:sz w:val="32"/>
          <w:szCs w:val="32"/>
          <w:lang w:val="en-US" w:eastAsia="zh-CN"/>
        </w:rPr>
        <w:t>19.</w:t>
      </w:r>
      <w:r>
        <w:rPr>
          <w:rStyle w:val="18"/>
          <w:rFonts w:hint="eastAsia" w:ascii="仿宋" w:hAnsi="仿宋" w:eastAsia="仿宋"/>
          <w:bCs/>
          <w:sz w:val="32"/>
          <w:szCs w:val="32"/>
        </w:rPr>
        <w:t>文化旅游体育与传媒（类）</w:t>
      </w:r>
      <w:r>
        <w:rPr>
          <w:rStyle w:val="18"/>
          <w:rFonts w:hint="eastAsia" w:ascii="仿宋" w:hAnsi="仿宋" w:eastAsia="仿宋"/>
          <w:bCs/>
          <w:sz w:val="32"/>
          <w:szCs w:val="32"/>
          <w:lang w:val="en-US" w:eastAsia="zh-CN"/>
        </w:rPr>
        <w:t>其他文化旅游体育与传媒支出</w:t>
      </w:r>
      <w:r>
        <w:rPr>
          <w:rStyle w:val="18"/>
          <w:rFonts w:hint="eastAsia" w:ascii="仿宋" w:hAnsi="仿宋" w:eastAsia="仿宋"/>
          <w:bCs/>
          <w:sz w:val="32"/>
          <w:szCs w:val="32"/>
        </w:rPr>
        <w:t>（款）</w:t>
      </w:r>
      <w:r>
        <w:rPr>
          <w:rStyle w:val="18"/>
          <w:rFonts w:hint="eastAsia" w:ascii="仿宋" w:hAnsi="仿宋" w:eastAsia="仿宋"/>
          <w:bCs/>
          <w:sz w:val="32"/>
          <w:szCs w:val="32"/>
          <w:lang w:val="en-US" w:eastAsia="zh-CN"/>
        </w:rPr>
        <w:t>其他文化旅游体育与传媒支出</w:t>
      </w:r>
      <w:r>
        <w:rPr>
          <w:rStyle w:val="18"/>
          <w:rFonts w:hint="eastAsia" w:ascii="仿宋" w:hAnsi="仿宋" w:eastAsia="仿宋"/>
          <w:bCs/>
          <w:sz w:val="32"/>
          <w:szCs w:val="32"/>
        </w:rPr>
        <w:t>（项）</w:t>
      </w:r>
      <w:r>
        <w:rPr>
          <w:rStyle w:val="18"/>
          <w:rFonts w:ascii="仿宋" w:hAnsi="仿宋" w:eastAsia="仿宋"/>
          <w:bCs/>
          <w:sz w:val="32"/>
          <w:szCs w:val="32"/>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3.71</w:t>
      </w:r>
      <w:r>
        <w:rPr>
          <w:rStyle w:val="18"/>
          <w:rFonts w:hint="eastAsia" w:ascii="仿宋" w:hAnsi="仿宋" w:eastAsia="仿宋"/>
          <w:b w:val="0"/>
          <w:bCs/>
          <w:sz w:val="32"/>
          <w:szCs w:val="32"/>
        </w:rPr>
        <w:t>万元，完成预算100</w:t>
      </w:r>
      <w:r>
        <w:rPr>
          <w:rStyle w:val="18"/>
          <w:rFonts w:ascii="仿宋" w:hAnsi="仿宋" w:eastAsia="仿宋"/>
          <w:b w:val="0"/>
          <w:bCs/>
          <w:sz w:val="32"/>
          <w:szCs w:val="32"/>
        </w:rPr>
        <w:t>%</w:t>
      </w:r>
      <w:r>
        <w:rPr>
          <w:rStyle w:val="18"/>
          <w:rFonts w:hint="eastAsia" w:ascii="仿宋" w:hAnsi="仿宋" w:eastAsia="仿宋"/>
          <w:b w:val="0"/>
          <w:bCs/>
          <w:sz w:val="32"/>
          <w:szCs w:val="32"/>
        </w:rPr>
        <w:t>。</w:t>
      </w:r>
    </w:p>
    <w:p>
      <w:pPr>
        <w:spacing w:line="600" w:lineRule="exact"/>
        <w:ind w:firstLine="642" w:firstLineChars="200"/>
        <w:rPr>
          <w:rStyle w:val="18"/>
          <w:rFonts w:hint="eastAsia" w:ascii="仿宋" w:hAnsi="仿宋" w:eastAsia="仿宋"/>
          <w:bCs/>
          <w:color w:val="000000"/>
          <w:sz w:val="32"/>
          <w:szCs w:val="32"/>
          <w:lang w:val="en-US" w:eastAsia="zh-CN"/>
        </w:rPr>
      </w:pPr>
      <w:r>
        <w:rPr>
          <w:rStyle w:val="18"/>
          <w:rFonts w:hint="eastAsia" w:ascii="仿宋" w:hAnsi="仿宋" w:eastAsia="仿宋" w:cstheme="minorBidi"/>
          <w:bCs/>
          <w:kern w:val="0"/>
          <w:sz w:val="32"/>
          <w:szCs w:val="32"/>
          <w:lang w:val="en-US" w:eastAsia="zh-CN" w:bidi="ar-SA"/>
        </w:rPr>
        <w:t>20.</w:t>
      </w:r>
      <w:r>
        <w:rPr>
          <w:rStyle w:val="18"/>
          <w:rFonts w:hint="eastAsia" w:ascii="仿宋" w:hAnsi="仿宋" w:eastAsia="仿宋"/>
          <w:bCs/>
          <w:color w:val="000000"/>
          <w:sz w:val="32"/>
          <w:szCs w:val="32"/>
        </w:rPr>
        <w:t>社会保障和就业（类）人力资源和社会保障管理事务（款）其他人力资源和社会保障管理事务支出（项）</w:t>
      </w:r>
      <w:r>
        <w:rPr>
          <w:rStyle w:val="18"/>
          <w:rFonts w:ascii="仿宋" w:hAnsi="仿宋" w:eastAsia="仿宋"/>
          <w:bCs/>
          <w:color w:val="000000"/>
          <w:sz w:val="32"/>
          <w:szCs w:val="32"/>
        </w:rPr>
        <w:t>:</w:t>
      </w:r>
      <w:r>
        <w:rPr>
          <w:rStyle w:val="18"/>
          <w:rFonts w:ascii="仿宋" w:hAnsi="仿宋" w:eastAsia="仿宋"/>
          <w:b w:val="0"/>
          <w:bCs/>
          <w:color w:val="000000"/>
          <w:sz w:val="32"/>
          <w:szCs w:val="32"/>
        </w:rPr>
        <w:t xml:space="preserve"> </w:t>
      </w:r>
      <w:r>
        <w:rPr>
          <w:rStyle w:val="18"/>
          <w:rFonts w:hint="eastAsia" w:ascii="仿宋" w:hAnsi="仿宋" w:eastAsia="仿宋"/>
          <w:b w:val="0"/>
          <w:bCs/>
          <w:color w:val="000000"/>
          <w:sz w:val="32"/>
          <w:szCs w:val="32"/>
        </w:rPr>
        <w:t>支出决算为</w:t>
      </w:r>
      <w:r>
        <w:rPr>
          <w:rStyle w:val="18"/>
          <w:rFonts w:hint="eastAsia" w:ascii="仿宋" w:hAnsi="仿宋" w:eastAsia="仿宋"/>
          <w:b w:val="0"/>
          <w:bCs/>
          <w:color w:val="000000"/>
          <w:sz w:val="32"/>
          <w:szCs w:val="32"/>
          <w:lang w:val="en-US" w:eastAsia="zh-CN"/>
        </w:rPr>
        <w:t>14.4</w:t>
      </w:r>
      <w:r>
        <w:rPr>
          <w:rStyle w:val="18"/>
          <w:rFonts w:hint="eastAsia" w:ascii="仿宋" w:hAnsi="仿宋" w:eastAsia="仿宋"/>
          <w:b w:val="0"/>
          <w:bCs/>
          <w:color w:val="000000"/>
          <w:sz w:val="32"/>
          <w:szCs w:val="32"/>
        </w:rPr>
        <w:t>万元，完成预算100</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rPr>
        <w:t>。</w:t>
      </w:r>
    </w:p>
    <w:p>
      <w:pPr>
        <w:spacing w:line="600" w:lineRule="exact"/>
        <w:ind w:firstLine="642" w:firstLineChars="200"/>
        <w:rPr>
          <w:rStyle w:val="18"/>
          <w:rFonts w:hint="eastAsia" w:ascii="仿宋" w:hAnsi="仿宋" w:eastAsia="仿宋"/>
          <w:b w:val="0"/>
          <w:bCs/>
          <w:color w:val="000000"/>
          <w:sz w:val="32"/>
          <w:szCs w:val="32"/>
        </w:rPr>
      </w:pPr>
      <w:r>
        <w:rPr>
          <w:rStyle w:val="18"/>
          <w:rFonts w:hint="eastAsia" w:ascii="仿宋" w:hAnsi="仿宋" w:eastAsia="仿宋"/>
          <w:bCs/>
          <w:color w:val="000000"/>
          <w:sz w:val="32"/>
          <w:szCs w:val="32"/>
          <w:lang w:val="en-US" w:eastAsia="zh-CN"/>
        </w:rPr>
        <w:t>21.</w:t>
      </w:r>
      <w:r>
        <w:rPr>
          <w:rStyle w:val="18"/>
          <w:rFonts w:hint="eastAsia" w:ascii="仿宋" w:hAnsi="仿宋" w:eastAsia="仿宋"/>
          <w:bCs/>
          <w:color w:val="000000"/>
          <w:sz w:val="32"/>
          <w:szCs w:val="32"/>
        </w:rPr>
        <w:t>社会保障和就业（类）行政事业单位养老保险（款）行政单位离退休（项）</w:t>
      </w:r>
      <w:r>
        <w:rPr>
          <w:rStyle w:val="18"/>
          <w:rFonts w:ascii="仿宋" w:hAnsi="仿宋" w:eastAsia="仿宋"/>
          <w:bCs/>
          <w:color w:val="000000"/>
          <w:sz w:val="32"/>
          <w:szCs w:val="32"/>
        </w:rPr>
        <w:t>:</w:t>
      </w:r>
      <w:r>
        <w:rPr>
          <w:rStyle w:val="18"/>
          <w:rFonts w:ascii="仿宋" w:hAnsi="仿宋" w:eastAsia="仿宋"/>
          <w:b w:val="0"/>
          <w:bCs/>
          <w:color w:val="000000"/>
          <w:sz w:val="32"/>
          <w:szCs w:val="32"/>
        </w:rPr>
        <w:t xml:space="preserve"> </w:t>
      </w:r>
      <w:r>
        <w:rPr>
          <w:rStyle w:val="18"/>
          <w:rFonts w:hint="eastAsia" w:ascii="仿宋" w:hAnsi="仿宋" w:eastAsia="仿宋"/>
          <w:b w:val="0"/>
          <w:bCs/>
          <w:color w:val="000000"/>
          <w:sz w:val="32"/>
          <w:szCs w:val="32"/>
        </w:rPr>
        <w:t>支出决算为</w:t>
      </w:r>
      <w:r>
        <w:rPr>
          <w:rStyle w:val="18"/>
          <w:rFonts w:hint="eastAsia" w:ascii="仿宋" w:hAnsi="仿宋" w:eastAsia="仿宋"/>
          <w:b w:val="0"/>
          <w:bCs/>
          <w:color w:val="000000"/>
          <w:sz w:val="32"/>
          <w:szCs w:val="32"/>
          <w:lang w:val="en-US" w:eastAsia="zh-CN"/>
        </w:rPr>
        <w:t>354.82</w:t>
      </w:r>
      <w:r>
        <w:rPr>
          <w:rStyle w:val="18"/>
          <w:rFonts w:hint="eastAsia" w:ascii="仿宋" w:hAnsi="仿宋" w:eastAsia="仿宋"/>
          <w:b w:val="0"/>
          <w:bCs/>
          <w:color w:val="000000"/>
          <w:sz w:val="32"/>
          <w:szCs w:val="32"/>
        </w:rPr>
        <w:t>万元，完成预算100</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rPr>
        <w:t>。</w:t>
      </w:r>
    </w:p>
    <w:p>
      <w:pPr>
        <w:spacing w:line="600" w:lineRule="exact"/>
        <w:ind w:firstLine="642" w:firstLineChars="200"/>
      </w:pPr>
      <w:r>
        <w:rPr>
          <w:rStyle w:val="18"/>
          <w:rFonts w:hint="eastAsia" w:ascii="仿宋" w:hAnsi="仿宋" w:eastAsia="仿宋"/>
          <w:bCs/>
          <w:color w:val="000000"/>
          <w:sz w:val="32"/>
          <w:szCs w:val="32"/>
          <w:lang w:val="en-US" w:eastAsia="zh-CN"/>
        </w:rPr>
        <w:t>22.</w:t>
      </w:r>
      <w:r>
        <w:rPr>
          <w:rStyle w:val="18"/>
          <w:rFonts w:hint="eastAsia" w:ascii="仿宋" w:hAnsi="仿宋" w:eastAsia="仿宋"/>
          <w:bCs/>
          <w:color w:val="000000"/>
          <w:sz w:val="32"/>
          <w:szCs w:val="32"/>
        </w:rPr>
        <w:t>社会保障和就业（类）行政事业单位养老保险（款）</w:t>
      </w:r>
      <w:r>
        <w:rPr>
          <w:rStyle w:val="18"/>
          <w:rFonts w:hint="eastAsia" w:ascii="仿宋" w:hAnsi="仿宋" w:eastAsia="仿宋"/>
          <w:bCs/>
          <w:color w:val="000000"/>
          <w:sz w:val="32"/>
          <w:szCs w:val="32"/>
          <w:lang w:eastAsia="zh-CN"/>
        </w:rPr>
        <w:t>事业</w:t>
      </w:r>
      <w:r>
        <w:rPr>
          <w:rStyle w:val="18"/>
          <w:rFonts w:hint="eastAsia" w:ascii="仿宋" w:hAnsi="仿宋" w:eastAsia="仿宋"/>
          <w:bCs/>
          <w:color w:val="000000"/>
          <w:sz w:val="32"/>
          <w:szCs w:val="32"/>
        </w:rPr>
        <w:t>单位离退休（项）</w:t>
      </w:r>
      <w:r>
        <w:rPr>
          <w:rStyle w:val="18"/>
          <w:rFonts w:ascii="仿宋" w:hAnsi="仿宋" w:eastAsia="仿宋"/>
          <w:bCs/>
          <w:color w:val="000000"/>
          <w:sz w:val="32"/>
          <w:szCs w:val="32"/>
        </w:rPr>
        <w:t>:</w:t>
      </w:r>
      <w:r>
        <w:rPr>
          <w:rStyle w:val="18"/>
          <w:rFonts w:ascii="仿宋" w:hAnsi="仿宋" w:eastAsia="仿宋"/>
          <w:b w:val="0"/>
          <w:bCs/>
          <w:color w:val="000000"/>
          <w:sz w:val="32"/>
          <w:szCs w:val="32"/>
        </w:rPr>
        <w:t xml:space="preserve"> </w:t>
      </w:r>
      <w:r>
        <w:rPr>
          <w:rStyle w:val="18"/>
          <w:rFonts w:hint="eastAsia" w:ascii="仿宋" w:hAnsi="仿宋" w:eastAsia="仿宋"/>
          <w:b w:val="0"/>
          <w:bCs/>
          <w:color w:val="000000"/>
          <w:sz w:val="32"/>
          <w:szCs w:val="32"/>
        </w:rPr>
        <w:t>支出决算为</w:t>
      </w:r>
      <w:r>
        <w:rPr>
          <w:rStyle w:val="18"/>
          <w:rFonts w:hint="eastAsia" w:ascii="仿宋" w:hAnsi="仿宋" w:eastAsia="仿宋"/>
          <w:b w:val="0"/>
          <w:bCs/>
          <w:color w:val="000000"/>
          <w:sz w:val="32"/>
          <w:szCs w:val="32"/>
          <w:lang w:val="en-US" w:eastAsia="zh-CN"/>
        </w:rPr>
        <w:t>1178.13</w:t>
      </w:r>
      <w:r>
        <w:rPr>
          <w:rStyle w:val="18"/>
          <w:rFonts w:hint="eastAsia" w:ascii="仿宋" w:hAnsi="仿宋" w:eastAsia="仿宋"/>
          <w:b w:val="0"/>
          <w:bCs/>
          <w:color w:val="000000"/>
          <w:sz w:val="32"/>
          <w:szCs w:val="32"/>
        </w:rPr>
        <w:t>万元，完成预算100</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rPr>
        <w:t>。</w:t>
      </w:r>
    </w:p>
    <w:p>
      <w:pPr>
        <w:pStyle w:val="2"/>
        <w:ind w:firstLine="642" w:firstLineChars="200"/>
        <w:rPr>
          <w:rStyle w:val="18"/>
          <w:rFonts w:hint="eastAsia" w:ascii="仿宋" w:hAnsi="仿宋" w:eastAsia="仿宋"/>
          <w:b w:val="0"/>
          <w:bCs/>
          <w:color w:val="000000"/>
          <w:sz w:val="32"/>
          <w:szCs w:val="32"/>
          <w:lang w:eastAsia="zh-CN"/>
        </w:rPr>
      </w:pPr>
      <w:r>
        <w:rPr>
          <w:rStyle w:val="18"/>
          <w:rFonts w:hint="eastAsia" w:ascii="仿宋" w:hAnsi="仿宋" w:eastAsia="仿宋"/>
          <w:bCs/>
          <w:color w:val="000000"/>
          <w:sz w:val="32"/>
          <w:szCs w:val="32"/>
          <w:lang w:val="en-US" w:eastAsia="zh-CN"/>
        </w:rPr>
        <w:t>23.</w:t>
      </w:r>
      <w:r>
        <w:rPr>
          <w:rStyle w:val="18"/>
          <w:rFonts w:hint="eastAsia" w:ascii="仿宋" w:hAnsi="仿宋" w:eastAsia="仿宋"/>
          <w:bCs/>
          <w:color w:val="000000"/>
          <w:sz w:val="32"/>
          <w:szCs w:val="32"/>
        </w:rPr>
        <w:t>社会保障和就业（类）行政事业单位养老保险（款）机关事业单位养老保险缴费支出（项）</w:t>
      </w:r>
      <w:r>
        <w:rPr>
          <w:rStyle w:val="18"/>
          <w:rFonts w:ascii="仿宋" w:hAnsi="仿宋" w:eastAsia="仿宋"/>
          <w:bCs/>
          <w:color w:val="000000"/>
          <w:sz w:val="32"/>
          <w:szCs w:val="32"/>
        </w:rPr>
        <w:t>:</w:t>
      </w:r>
      <w:r>
        <w:rPr>
          <w:rStyle w:val="18"/>
          <w:rFonts w:ascii="仿宋" w:hAnsi="仿宋" w:eastAsia="仿宋"/>
          <w:b w:val="0"/>
          <w:bCs/>
          <w:color w:val="000000"/>
          <w:sz w:val="32"/>
          <w:szCs w:val="32"/>
        </w:rPr>
        <w:t xml:space="preserve"> </w:t>
      </w:r>
      <w:r>
        <w:rPr>
          <w:rStyle w:val="18"/>
          <w:rFonts w:hint="eastAsia" w:ascii="仿宋" w:hAnsi="仿宋" w:eastAsia="仿宋"/>
          <w:b w:val="0"/>
          <w:bCs/>
          <w:color w:val="000000"/>
          <w:sz w:val="32"/>
          <w:szCs w:val="32"/>
        </w:rPr>
        <w:t>支出决算为</w:t>
      </w:r>
      <w:r>
        <w:rPr>
          <w:rStyle w:val="18"/>
          <w:rFonts w:hint="eastAsia" w:ascii="仿宋" w:hAnsi="仿宋" w:eastAsia="仿宋"/>
          <w:b w:val="0"/>
          <w:bCs/>
          <w:color w:val="000000"/>
          <w:sz w:val="32"/>
          <w:szCs w:val="32"/>
          <w:lang w:val="en-US" w:eastAsia="zh-CN"/>
        </w:rPr>
        <w:t>3795.11</w:t>
      </w:r>
      <w:r>
        <w:rPr>
          <w:rStyle w:val="18"/>
          <w:rFonts w:hint="eastAsia" w:ascii="仿宋" w:hAnsi="仿宋" w:eastAsia="仿宋"/>
          <w:b w:val="0"/>
          <w:bCs/>
          <w:color w:val="000000"/>
          <w:sz w:val="32"/>
          <w:szCs w:val="32"/>
        </w:rPr>
        <w:t>万元，完成预算100</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lang w:eastAsia="zh-CN"/>
        </w:rPr>
        <w:t>。</w:t>
      </w:r>
    </w:p>
    <w:p>
      <w:pPr>
        <w:pStyle w:val="2"/>
        <w:ind w:firstLine="642" w:firstLineChars="200"/>
        <w:rPr>
          <w:rStyle w:val="18"/>
          <w:rFonts w:hint="default" w:ascii="仿宋" w:hAnsi="仿宋" w:eastAsia="仿宋"/>
          <w:b w:val="0"/>
          <w:bCs/>
          <w:color w:val="000000"/>
          <w:sz w:val="32"/>
          <w:szCs w:val="32"/>
          <w:lang w:val="en-US" w:eastAsia="zh-CN"/>
        </w:rPr>
      </w:pPr>
      <w:r>
        <w:rPr>
          <w:rStyle w:val="18"/>
          <w:rFonts w:hint="eastAsia" w:ascii="仿宋" w:hAnsi="仿宋" w:eastAsia="仿宋" w:cstheme="minorBidi"/>
          <w:bCs/>
          <w:color w:val="000000"/>
          <w:sz w:val="32"/>
          <w:szCs w:val="32"/>
          <w:lang w:val="en-US" w:eastAsia="zh-CN"/>
        </w:rPr>
        <w:t>24.</w:t>
      </w:r>
      <w:r>
        <w:rPr>
          <w:rStyle w:val="18"/>
          <w:rFonts w:hint="eastAsia" w:ascii="仿宋" w:hAnsi="仿宋" w:eastAsia="仿宋"/>
          <w:bCs/>
          <w:color w:val="000000"/>
          <w:sz w:val="32"/>
          <w:szCs w:val="32"/>
        </w:rPr>
        <w:t>社会保障和就业（类）</w:t>
      </w:r>
      <w:r>
        <w:rPr>
          <w:rStyle w:val="18"/>
          <w:rFonts w:hint="eastAsia" w:ascii="仿宋" w:hAnsi="仿宋" w:eastAsia="仿宋"/>
          <w:bCs/>
          <w:color w:val="000000"/>
          <w:sz w:val="32"/>
          <w:szCs w:val="32"/>
          <w:lang w:eastAsia="zh-CN"/>
        </w:rPr>
        <w:t>抚恤</w:t>
      </w:r>
      <w:r>
        <w:rPr>
          <w:rStyle w:val="18"/>
          <w:rFonts w:hint="eastAsia" w:ascii="仿宋" w:hAnsi="仿宋" w:eastAsia="仿宋"/>
          <w:bCs/>
          <w:color w:val="000000"/>
          <w:sz w:val="32"/>
          <w:szCs w:val="32"/>
        </w:rPr>
        <w:t>（款）</w:t>
      </w:r>
      <w:r>
        <w:rPr>
          <w:rStyle w:val="18"/>
          <w:rFonts w:hint="eastAsia" w:ascii="仿宋" w:hAnsi="仿宋" w:eastAsia="仿宋"/>
          <w:bCs/>
          <w:color w:val="000000"/>
          <w:sz w:val="32"/>
          <w:szCs w:val="32"/>
          <w:lang w:eastAsia="zh-CN"/>
        </w:rPr>
        <w:t>死亡抚恤</w:t>
      </w:r>
      <w:r>
        <w:rPr>
          <w:rStyle w:val="18"/>
          <w:rFonts w:hint="eastAsia" w:ascii="仿宋" w:hAnsi="仿宋" w:eastAsia="仿宋"/>
          <w:bCs/>
          <w:color w:val="000000"/>
          <w:sz w:val="32"/>
          <w:szCs w:val="32"/>
        </w:rPr>
        <w:t>（项）</w:t>
      </w:r>
      <w:r>
        <w:rPr>
          <w:rStyle w:val="18"/>
          <w:rFonts w:ascii="仿宋" w:hAnsi="仿宋" w:eastAsia="仿宋"/>
          <w:bCs/>
          <w:color w:val="000000"/>
          <w:sz w:val="32"/>
          <w:szCs w:val="32"/>
        </w:rPr>
        <w:t>:</w:t>
      </w:r>
      <w:r>
        <w:rPr>
          <w:rStyle w:val="18"/>
          <w:rFonts w:ascii="仿宋" w:hAnsi="仿宋" w:eastAsia="仿宋"/>
          <w:b w:val="0"/>
          <w:bCs/>
          <w:color w:val="000000"/>
          <w:sz w:val="32"/>
          <w:szCs w:val="32"/>
        </w:rPr>
        <w:t xml:space="preserve"> </w:t>
      </w:r>
      <w:r>
        <w:rPr>
          <w:rStyle w:val="18"/>
          <w:rFonts w:hint="eastAsia" w:ascii="仿宋" w:hAnsi="仿宋" w:eastAsia="仿宋"/>
          <w:b w:val="0"/>
          <w:bCs/>
          <w:color w:val="000000"/>
          <w:sz w:val="32"/>
          <w:szCs w:val="32"/>
        </w:rPr>
        <w:t>支出决算为</w:t>
      </w:r>
      <w:r>
        <w:rPr>
          <w:rStyle w:val="18"/>
          <w:rFonts w:hint="eastAsia" w:ascii="仿宋" w:hAnsi="仿宋" w:eastAsia="仿宋"/>
          <w:b w:val="0"/>
          <w:bCs/>
          <w:color w:val="000000"/>
          <w:sz w:val="32"/>
          <w:szCs w:val="32"/>
          <w:lang w:val="en-US" w:eastAsia="zh-CN"/>
        </w:rPr>
        <w:t>116.28</w:t>
      </w:r>
      <w:r>
        <w:rPr>
          <w:rStyle w:val="18"/>
          <w:rFonts w:hint="eastAsia" w:ascii="仿宋" w:hAnsi="仿宋" w:eastAsia="仿宋"/>
          <w:b w:val="0"/>
          <w:bCs/>
          <w:color w:val="000000"/>
          <w:sz w:val="32"/>
          <w:szCs w:val="32"/>
        </w:rPr>
        <w:t>万元，完成预算100</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lang w:eastAsia="zh-CN"/>
        </w:rPr>
        <w:t>。</w:t>
      </w:r>
    </w:p>
    <w:p>
      <w:pPr>
        <w:pStyle w:val="2"/>
        <w:ind w:firstLine="642" w:firstLineChars="200"/>
        <w:rPr>
          <w:rStyle w:val="18"/>
          <w:rFonts w:hint="eastAsia" w:ascii="仿宋" w:hAnsi="仿宋" w:eastAsia="仿宋"/>
          <w:b w:val="0"/>
          <w:bCs/>
          <w:color w:val="000000"/>
          <w:sz w:val="32"/>
          <w:szCs w:val="32"/>
          <w:lang w:eastAsia="zh-CN"/>
        </w:rPr>
      </w:pPr>
      <w:r>
        <w:rPr>
          <w:rFonts w:hint="eastAsia" w:ascii="仿宋" w:hAnsi="仿宋" w:eastAsia="仿宋"/>
          <w:b/>
          <w:bCs/>
          <w:color w:val="000000"/>
          <w:sz w:val="32"/>
          <w:szCs w:val="32"/>
          <w:lang w:val="en-US" w:eastAsia="zh-CN"/>
        </w:rPr>
        <w:t>25.</w:t>
      </w:r>
      <w:r>
        <w:rPr>
          <w:rStyle w:val="18"/>
          <w:rFonts w:hint="eastAsia" w:ascii="仿宋" w:hAnsi="仿宋" w:eastAsia="仿宋"/>
          <w:bCs/>
          <w:color w:val="000000"/>
          <w:sz w:val="32"/>
          <w:szCs w:val="32"/>
        </w:rPr>
        <w:t>社会保障和就业（类）</w:t>
      </w:r>
      <w:r>
        <w:rPr>
          <w:rStyle w:val="18"/>
          <w:rFonts w:hint="eastAsia" w:ascii="仿宋" w:hAnsi="仿宋" w:eastAsia="仿宋"/>
          <w:bCs/>
          <w:color w:val="000000"/>
          <w:sz w:val="32"/>
          <w:szCs w:val="32"/>
          <w:lang w:eastAsia="zh-CN"/>
        </w:rPr>
        <w:t>行政事业单位医疗</w:t>
      </w:r>
      <w:r>
        <w:rPr>
          <w:rStyle w:val="18"/>
          <w:rFonts w:hint="eastAsia" w:ascii="仿宋" w:hAnsi="仿宋" w:eastAsia="仿宋"/>
          <w:bCs/>
          <w:color w:val="000000"/>
          <w:sz w:val="32"/>
          <w:szCs w:val="32"/>
        </w:rPr>
        <w:t>（款）</w:t>
      </w:r>
      <w:r>
        <w:rPr>
          <w:rStyle w:val="18"/>
          <w:rFonts w:hint="eastAsia" w:ascii="仿宋" w:hAnsi="仿宋" w:eastAsia="仿宋"/>
          <w:bCs/>
          <w:color w:val="000000"/>
          <w:sz w:val="32"/>
          <w:szCs w:val="32"/>
          <w:lang w:eastAsia="zh-CN"/>
        </w:rPr>
        <w:t>公务员医疗补助</w:t>
      </w:r>
      <w:r>
        <w:rPr>
          <w:rStyle w:val="18"/>
          <w:rFonts w:hint="eastAsia" w:ascii="仿宋" w:hAnsi="仿宋" w:eastAsia="仿宋"/>
          <w:bCs/>
          <w:color w:val="000000"/>
          <w:sz w:val="32"/>
          <w:szCs w:val="32"/>
        </w:rPr>
        <w:t>（项）</w:t>
      </w:r>
      <w:r>
        <w:rPr>
          <w:rStyle w:val="18"/>
          <w:rFonts w:ascii="仿宋" w:hAnsi="仿宋" w:eastAsia="仿宋"/>
          <w:bCs/>
          <w:color w:val="000000"/>
          <w:sz w:val="32"/>
          <w:szCs w:val="32"/>
        </w:rPr>
        <w:t>:</w:t>
      </w:r>
      <w:r>
        <w:rPr>
          <w:rStyle w:val="18"/>
          <w:rFonts w:hint="eastAsia" w:ascii="仿宋" w:hAnsi="仿宋" w:eastAsia="仿宋"/>
          <w:b w:val="0"/>
          <w:bCs/>
          <w:color w:val="000000"/>
          <w:sz w:val="32"/>
          <w:szCs w:val="32"/>
        </w:rPr>
        <w:t>支出决算为</w:t>
      </w:r>
      <w:r>
        <w:rPr>
          <w:rStyle w:val="18"/>
          <w:rFonts w:hint="eastAsia" w:ascii="仿宋" w:hAnsi="仿宋" w:eastAsia="仿宋"/>
          <w:b w:val="0"/>
          <w:bCs/>
          <w:color w:val="000000"/>
          <w:sz w:val="32"/>
          <w:szCs w:val="32"/>
          <w:lang w:val="en-US" w:eastAsia="zh-CN"/>
        </w:rPr>
        <w:t>15.84万</w:t>
      </w:r>
      <w:r>
        <w:rPr>
          <w:rStyle w:val="18"/>
          <w:rFonts w:hint="eastAsia" w:ascii="仿宋" w:hAnsi="仿宋" w:eastAsia="仿宋"/>
          <w:b w:val="0"/>
          <w:bCs/>
          <w:color w:val="000000"/>
          <w:sz w:val="32"/>
          <w:szCs w:val="32"/>
        </w:rPr>
        <w:t>元，完成预算100</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lang w:eastAsia="zh-CN"/>
        </w:rPr>
        <w:t>。</w:t>
      </w:r>
    </w:p>
    <w:p>
      <w:pPr>
        <w:pStyle w:val="2"/>
        <w:ind w:firstLine="642" w:firstLineChars="200"/>
        <w:rPr>
          <w:rStyle w:val="18"/>
          <w:rFonts w:hint="eastAsia" w:ascii="仿宋" w:hAnsi="仿宋" w:eastAsia="仿宋"/>
          <w:b w:val="0"/>
          <w:bCs/>
          <w:color w:val="000000"/>
          <w:sz w:val="32"/>
          <w:szCs w:val="32"/>
          <w:lang w:eastAsia="zh-CN"/>
        </w:rPr>
      </w:pPr>
      <w:r>
        <w:rPr>
          <w:rFonts w:hint="eastAsia" w:ascii="仿宋" w:hAnsi="仿宋" w:eastAsia="仿宋"/>
          <w:b/>
          <w:bCs/>
          <w:color w:val="000000"/>
          <w:sz w:val="32"/>
          <w:szCs w:val="32"/>
          <w:lang w:val="en-US" w:eastAsia="zh-CN"/>
        </w:rPr>
        <w:t>26.</w:t>
      </w:r>
      <w:r>
        <w:rPr>
          <w:rStyle w:val="18"/>
          <w:rFonts w:hint="eastAsia" w:ascii="仿宋" w:hAnsi="仿宋" w:eastAsia="仿宋"/>
          <w:bCs/>
          <w:color w:val="000000"/>
          <w:sz w:val="32"/>
          <w:szCs w:val="32"/>
        </w:rPr>
        <w:t>社会保障和就业（类）</w:t>
      </w:r>
      <w:r>
        <w:rPr>
          <w:rStyle w:val="18"/>
          <w:rFonts w:hint="eastAsia" w:ascii="仿宋" w:hAnsi="仿宋" w:eastAsia="仿宋"/>
          <w:bCs/>
          <w:color w:val="000000"/>
          <w:sz w:val="32"/>
          <w:szCs w:val="32"/>
          <w:lang w:eastAsia="zh-CN"/>
        </w:rPr>
        <w:t>其他卫生健康支出</w:t>
      </w:r>
      <w:r>
        <w:rPr>
          <w:rStyle w:val="18"/>
          <w:rFonts w:hint="eastAsia" w:ascii="仿宋" w:hAnsi="仿宋" w:eastAsia="仿宋"/>
          <w:bCs/>
          <w:color w:val="000000"/>
          <w:sz w:val="32"/>
          <w:szCs w:val="32"/>
        </w:rPr>
        <w:t>（款）</w:t>
      </w:r>
      <w:r>
        <w:rPr>
          <w:rStyle w:val="18"/>
          <w:rFonts w:hint="eastAsia" w:ascii="仿宋" w:hAnsi="仿宋" w:eastAsia="仿宋"/>
          <w:bCs/>
          <w:color w:val="000000"/>
          <w:sz w:val="32"/>
          <w:szCs w:val="32"/>
          <w:lang w:eastAsia="zh-CN"/>
        </w:rPr>
        <w:t>其他卫生健康支出</w:t>
      </w:r>
      <w:r>
        <w:rPr>
          <w:rStyle w:val="18"/>
          <w:rFonts w:hint="eastAsia" w:ascii="仿宋" w:hAnsi="仿宋" w:eastAsia="仿宋"/>
          <w:bCs/>
          <w:color w:val="000000"/>
          <w:sz w:val="32"/>
          <w:szCs w:val="32"/>
        </w:rPr>
        <w:t>（项）</w:t>
      </w:r>
      <w:r>
        <w:rPr>
          <w:rStyle w:val="18"/>
          <w:rFonts w:ascii="仿宋" w:hAnsi="仿宋" w:eastAsia="仿宋"/>
          <w:bCs/>
          <w:color w:val="000000"/>
          <w:sz w:val="32"/>
          <w:szCs w:val="32"/>
        </w:rPr>
        <w:t>:</w:t>
      </w:r>
      <w:r>
        <w:rPr>
          <w:rStyle w:val="18"/>
          <w:rFonts w:hint="eastAsia" w:ascii="仿宋" w:hAnsi="仿宋" w:eastAsia="仿宋"/>
          <w:b w:val="0"/>
          <w:bCs/>
          <w:color w:val="000000"/>
          <w:sz w:val="32"/>
          <w:szCs w:val="32"/>
        </w:rPr>
        <w:t>支出决算为</w:t>
      </w:r>
      <w:r>
        <w:rPr>
          <w:rStyle w:val="18"/>
          <w:rFonts w:hint="eastAsia" w:ascii="仿宋" w:hAnsi="仿宋" w:eastAsia="仿宋"/>
          <w:b w:val="0"/>
          <w:bCs/>
          <w:color w:val="000000"/>
          <w:sz w:val="32"/>
          <w:szCs w:val="32"/>
          <w:lang w:val="en-US" w:eastAsia="zh-CN"/>
        </w:rPr>
        <w:t>0.89万</w:t>
      </w:r>
      <w:r>
        <w:rPr>
          <w:rStyle w:val="18"/>
          <w:rFonts w:hint="eastAsia" w:ascii="仿宋" w:hAnsi="仿宋" w:eastAsia="仿宋"/>
          <w:b w:val="0"/>
          <w:bCs/>
          <w:color w:val="000000"/>
          <w:sz w:val="32"/>
          <w:szCs w:val="32"/>
        </w:rPr>
        <w:t>元，完成预算100</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lang w:eastAsia="zh-CN"/>
        </w:rPr>
        <w:t>。</w:t>
      </w:r>
    </w:p>
    <w:p>
      <w:pPr>
        <w:pStyle w:val="2"/>
        <w:ind w:firstLine="640" w:firstLineChars="200"/>
        <w:rPr>
          <w:rStyle w:val="18"/>
          <w:rFonts w:hint="default" w:ascii="仿宋" w:hAnsi="仿宋" w:eastAsia="仿宋"/>
          <w:b w:val="0"/>
          <w:bCs/>
          <w:sz w:val="32"/>
          <w:szCs w:val="32"/>
          <w:lang w:val="en-US" w:eastAsia="zh-CN"/>
        </w:rPr>
      </w:pPr>
      <w:r>
        <w:rPr>
          <w:rStyle w:val="18"/>
          <w:rFonts w:hint="eastAsia" w:ascii="仿宋" w:hAnsi="仿宋" w:eastAsia="仿宋"/>
          <w:b w:val="0"/>
          <w:bCs/>
          <w:color w:val="000000"/>
          <w:sz w:val="32"/>
          <w:szCs w:val="32"/>
          <w:lang w:val="en-US" w:eastAsia="zh-CN"/>
        </w:rPr>
        <w:t>27.</w:t>
      </w:r>
      <w:r>
        <w:rPr>
          <w:rFonts w:hint="eastAsia" w:ascii="仿宋" w:hAnsi="仿宋" w:eastAsia="仿宋"/>
          <w:b/>
          <w:bCs/>
          <w:color w:val="000000"/>
          <w:sz w:val="32"/>
          <w:szCs w:val="32"/>
        </w:rPr>
        <w:t>住房保障支出</w:t>
      </w:r>
      <w:r>
        <w:rPr>
          <w:rStyle w:val="18"/>
          <w:rFonts w:hint="eastAsia" w:ascii="仿宋" w:hAnsi="仿宋" w:eastAsia="仿宋"/>
          <w:bCs/>
          <w:color w:val="000000"/>
          <w:sz w:val="32"/>
          <w:szCs w:val="32"/>
        </w:rPr>
        <w:t>（类）住房改革支出（款）住房公积金（项）</w:t>
      </w:r>
      <w:r>
        <w:rPr>
          <w:rStyle w:val="18"/>
          <w:rFonts w:ascii="仿宋" w:hAnsi="仿宋" w:eastAsia="仿宋"/>
          <w:bCs/>
          <w:color w:val="000000"/>
          <w:sz w:val="32"/>
          <w:szCs w:val="32"/>
        </w:rPr>
        <w:t>:</w:t>
      </w:r>
      <w:r>
        <w:rPr>
          <w:rStyle w:val="18"/>
          <w:rFonts w:hint="eastAsia" w:ascii="仿宋" w:hAnsi="仿宋" w:eastAsia="仿宋"/>
          <w:b w:val="0"/>
          <w:bCs/>
          <w:color w:val="000000"/>
          <w:sz w:val="32"/>
          <w:szCs w:val="32"/>
        </w:rPr>
        <w:t>支出决算为</w:t>
      </w:r>
      <w:r>
        <w:rPr>
          <w:rStyle w:val="18"/>
          <w:rFonts w:hint="eastAsia" w:ascii="仿宋" w:hAnsi="仿宋" w:eastAsia="仿宋"/>
          <w:b w:val="0"/>
          <w:bCs/>
          <w:color w:val="000000"/>
          <w:sz w:val="32"/>
          <w:szCs w:val="32"/>
          <w:lang w:val="en-US" w:eastAsia="zh-CN"/>
        </w:rPr>
        <w:t>4182.7</w:t>
      </w:r>
      <w:r>
        <w:rPr>
          <w:rStyle w:val="18"/>
          <w:rFonts w:hint="eastAsia" w:ascii="仿宋" w:hAnsi="仿宋" w:eastAsia="仿宋"/>
          <w:b w:val="0"/>
          <w:bCs/>
          <w:color w:val="000000"/>
          <w:sz w:val="32"/>
          <w:szCs w:val="32"/>
        </w:rPr>
        <w:t>万元，完成预算100</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lang w:eastAsia="zh-CN"/>
        </w:rPr>
        <w:t>。</w:t>
      </w:r>
    </w:p>
    <w:p>
      <w:pPr>
        <w:tabs>
          <w:tab w:val="right" w:pos="8306"/>
        </w:tabs>
        <w:spacing w:line="600" w:lineRule="exact"/>
        <w:ind w:firstLine="640"/>
        <w:outlineLvl w:val="1"/>
        <w:rPr>
          <w:rStyle w:val="31"/>
        </w:rPr>
      </w:pPr>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1"/>
          <w:rFonts w:hint="eastAsia" w:ascii="黑体" w:hAnsi="黑体" w:eastAsia="黑体"/>
          <w:b w:val="0"/>
        </w:rPr>
        <w:t>般公共预算财政拨款基本支出决算情况说明</w:t>
      </w:r>
      <w:bookmarkEnd w:id="38"/>
      <w:bookmarkEnd w:id="39"/>
      <w:r>
        <w:rPr>
          <w:rStyle w:val="31"/>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22年一般公共预算财政拨款基本支出55592.7万元，其中：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53171.88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w:t>
      </w:r>
      <w:r>
        <w:rPr>
          <w:rFonts w:hint="eastAsia" w:ascii="仿宋" w:hAnsi="仿宋" w:eastAsia="仿宋"/>
          <w:sz w:val="32"/>
          <w:szCs w:val="32"/>
          <w:lang w:val="en-US" w:eastAsia="zh-CN"/>
        </w:rPr>
        <w:t>2420.82</w:t>
      </w:r>
      <w:r>
        <w:rPr>
          <w:rFonts w:hint="eastAsia" w:ascii="仿宋" w:hAnsi="仿宋" w:eastAsia="仿宋"/>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31"/>
          <w:rFonts w:ascii="黑体" w:hAnsi="黑体" w:eastAsia="黑体"/>
          <w:b w:val="0"/>
        </w:rPr>
      </w:pPr>
      <w:bookmarkStart w:id="40" w:name="_Toc15377215"/>
      <w:bookmarkStart w:id="41" w:name="_Toc15396609"/>
      <w:r>
        <w:rPr>
          <w:rFonts w:hint="eastAsia" w:ascii="黑体" w:eastAsia="黑体"/>
          <w:sz w:val="32"/>
          <w:szCs w:val="32"/>
        </w:rPr>
        <w:t>七、</w:t>
      </w:r>
      <w:r>
        <w:rPr>
          <w:rStyle w:val="31"/>
          <w:rFonts w:hint="eastAsia" w:ascii="黑体" w:hAnsi="黑体" w:eastAsia="黑体"/>
          <w:b w:val="0"/>
        </w:rPr>
        <w:t>财政拨款</w:t>
      </w:r>
      <w:r>
        <w:rPr>
          <w:rStyle w:val="31"/>
          <w:rFonts w:hint="eastAsia" w:ascii="黑体" w:hAnsi="黑体" w:eastAsia="黑体"/>
        </w:rPr>
        <w:t>“</w:t>
      </w:r>
      <w:r>
        <w:rPr>
          <w:rStyle w:val="31"/>
          <w:rFonts w:hint="eastAsia" w:ascii="黑体" w:hAnsi="黑体" w:eastAsia="黑体"/>
          <w:b w:val="0"/>
        </w:rPr>
        <w:t>三公”经费支出决算情况说明</w:t>
      </w:r>
      <w:bookmarkEnd w:id="40"/>
      <w:bookmarkEnd w:id="41"/>
    </w:p>
    <w:p>
      <w:pPr>
        <w:spacing w:line="600" w:lineRule="exact"/>
        <w:ind w:firstLine="640"/>
        <w:outlineLvl w:val="2"/>
        <w:rPr>
          <w:rFonts w:ascii="仿宋" w:hAnsi="仿宋" w:eastAsia="仿宋"/>
          <w:b/>
          <w:sz w:val="32"/>
          <w:szCs w:val="32"/>
        </w:rPr>
      </w:pPr>
      <w:bookmarkStart w:id="42" w:name="_Toc15377216"/>
      <w:r>
        <w:rPr>
          <w:rFonts w:hint="eastAsia" w:ascii="仿宋" w:hAnsi="仿宋" w:eastAsia="仿宋"/>
          <w:b/>
          <w:sz w:val="32"/>
          <w:szCs w:val="32"/>
        </w:rPr>
        <w:t>（一）“三公”经费财政拨款支出决算总体情况说明</w:t>
      </w:r>
      <w:bookmarkEnd w:id="42"/>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w:t>
      </w:r>
      <w:r>
        <w:rPr>
          <w:rFonts w:hint="eastAsia" w:ascii="仿宋" w:hAnsi="仿宋" w:eastAsia="仿宋"/>
          <w:sz w:val="32"/>
          <w:szCs w:val="32"/>
          <w:lang w:val="en-US" w:eastAsia="zh-CN"/>
        </w:rPr>
        <w:t>30.65</w:t>
      </w:r>
      <w:r>
        <w:rPr>
          <w:rFonts w:hint="eastAsia" w:ascii="仿宋" w:hAnsi="仿宋" w:eastAsia="仿宋"/>
          <w:sz w:val="32"/>
          <w:szCs w:val="32"/>
        </w:rPr>
        <w:t>万元，完成预算</w:t>
      </w:r>
      <w:r>
        <w:rPr>
          <w:rFonts w:hint="eastAsia" w:ascii="仿宋" w:hAnsi="仿宋" w:eastAsia="仿宋"/>
          <w:sz w:val="32"/>
          <w:szCs w:val="32"/>
          <w:lang w:val="en-US" w:eastAsia="zh-CN"/>
        </w:rPr>
        <w:t>49.01</w:t>
      </w:r>
      <w:r>
        <w:rPr>
          <w:rFonts w:ascii="仿宋" w:hAnsi="仿宋" w:eastAsia="仿宋"/>
          <w:sz w:val="32"/>
          <w:szCs w:val="32"/>
        </w:rPr>
        <w:t>%</w:t>
      </w:r>
      <w:r>
        <w:rPr>
          <w:rFonts w:hint="eastAsia" w:ascii="仿宋" w:hAnsi="仿宋" w:eastAsia="仿宋"/>
          <w:sz w:val="32"/>
          <w:szCs w:val="32"/>
        </w:rPr>
        <w:t>，较上年减少</w:t>
      </w:r>
      <w:r>
        <w:rPr>
          <w:rFonts w:hint="eastAsia" w:ascii="仿宋" w:hAnsi="仿宋" w:eastAsia="仿宋"/>
          <w:sz w:val="32"/>
          <w:szCs w:val="32"/>
          <w:lang w:val="en-US" w:eastAsia="zh-CN"/>
        </w:rPr>
        <w:t>7.53</w:t>
      </w:r>
      <w:r>
        <w:rPr>
          <w:rFonts w:hint="eastAsia" w:ascii="仿宋" w:hAnsi="仿宋" w:eastAsia="仿宋"/>
          <w:sz w:val="32"/>
          <w:szCs w:val="32"/>
        </w:rPr>
        <w:t>万元，下降</w:t>
      </w:r>
      <w:r>
        <w:rPr>
          <w:rFonts w:hint="eastAsia" w:ascii="仿宋" w:hAnsi="仿宋" w:eastAsia="仿宋"/>
          <w:sz w:val="32"/>
          <w:szCs w:val="32"/>
          <w:lang w:val="en-US" w:eastAsia="zh-CN"/>
        </w:rPr>
        <w:t>19.72</w:t>
      </w:r>
      <w:r>
        <w:rPr>
          <w:rFonts w:hint="eastAsia" w:ascii="仿宋" w:hAnsi="仿宋" w:eastAsia="仿宋"/>
          <w:sz w:val="32"/>
          <w:szCs w:val="32"/>
        </w:rPr>
        <w:t>%。决算数小于预算数的主要原因是</w:t>
      </w:r>
      <w:r>
        <w:rPr>
          <w:rFonts w:hint="eastAsia" w:ascii="仿宋" w:eastAsia="仿宋"/>
          <w:color w:val="auto"/>
          <w:sz w:val="32"/>
          <w:szCs w:val="32"/>
          <w:highlight w:val="none"/>
        </w:rPr>
        <w:t>市教育和体育局直属系统严格执行中央八项规定和省、市十项规定以及《党政机关厉行节约反对浪费条例》等相关文件要求，厉行节约，反对浪费，严格控制公务接待和公务用车</w:t>
      </w:r>
      <w:r>
        <w:rPr>
          <w:rFonts w:hint="eastAsia" w:ascii="仿宋" w:hAnsi="仿宋" w:eastAsia="仿宋"/>
          <w:sz w:val="32"/>
          <w:szCs w:val="32"/>
        </w:rPr>
        <w:t>。</w:t>
      </w:r>
    </w:p>
    <w:p>
      <w:pPr>
        <w:spacing w:line="600" w:lineRule="exact"/>
        <w:ind w:firstLine="640"/>
        <w:outlineLvl w:val="2"/>
        <w:rPr>
          <w:rFonts w:ascii="仿宋" w:hAnsi="仿宋" w:eastAsia="仿宋"/>
          <w:b/>
          <w:sz w:val="32"/>
          <w:szCs w:val="32"/>
        </w:rPr>
      </w:pPr>
      <w:bookmarkStart w:id="43" w:name="_Toc15377217"/>
      <w:r>
        <w:rPr>
          <w:rFonts w:hint="eastAsia" w:ascii="仿宋" w:hAnsi="仿宋" w:eastAsia="仿宋"/>
          <w:b/>
          <w:sz w:val="32"/>
          <w:szCs w:val="32"/>
        </w:rPr>
        <w:t>（二）“三公”经费财政拨款支出决算具体情况说明</w:t>
      </w:r>
      <w:bookmarkEnd w:id="43"/>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89.36</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3.26</w:t>
      </w:r>
      <w:r>
        <w:rPr>
          <w:rFonts w:hint="eastAsia" w:ascii="仿宋" w:hAnsi="仿宋" w:eastAsia="仿宋"/>
          <w:sz w:val="32"/>
          <w:szCs w:val="32"/>
        </w:rPr>
        <w:t>万元，占</w:t>
      </w:r>
      <w:r>
        <w:rPr>
          <w:rFonts w:hint="eastAsia" w:ascii="仿宋" w:hAnsi="仿宋" w:eastAsia="仿宋"/>
          <w:sz w:val="32"/>
          <w:szCs w:val="32"/>
          <w:lang w:val="en-US" w:eastAsia="zh-CN"/>
        </w:rPr>
        <w:t>10.64</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rPr>
          <w:rFonts w:hint="eastAsia" w:ascii="仿宋" w:hAnsi="仿宋" w:eastAsia="仿宋"/>
          <w:sz w:val="32"/>
          <w:szCs w:val="32"/>
        </w:rPr>
      </w:pPr>
      <w:r>
        <w:rPr>
          <w:rFonts w:hint="eastAsia" w:ascii="仿宋" w:hAnsi="仿宋" w:eastAsia="仿宋"/>
          <w:sz w:val="32"/>
          <w:szCs w:val="32"/>
        </w:rPr>
        <w:t>（图7：“三公”经费财政拨款支出结构）</w:t>
      </w:r>
    </w:p>
    <w:p>
      <w:pPr>
        <w:pStyle w:val="2"/>
        <w:rPr>
          <w:rFonts w:hint="eastAsia" w:ascii="仿宋" w:hAnsi="仿宋" w:eastAsia="仿宋"/>
          <w:sz w:val="32"/>
          <w:szCs w:val="32"/>
        </w:rPr>
      </w:pPr>
    </w:p>
    <w:p>
      <w:pPr>
        <w:pStyle w:val="2"/>
        <w:rPr>
          <w:rFonts w:hint="eastAsia" w:ascii="仿宋" w:hAnsi="仿宋" w:eastAsia="仿宋"/>
          <w:sz w:val="32"/>
          <w:szCs w:val="32"/>
        </w:rPr>
      </w:pPr>
    </w:p>
    <w:p>
      <w:pPr>
        <w:pStyle w:val="2"/>
        <w:rPr>
          <w:rFonts w:hint="eastAsia" w:ascii="仿宋" w:hAnsi="仿宋" w:eastAsia="仿宋"/>
          <w:sz w:val="32"/>
          <w:szCs w:val="32"/>
        </w:rPr>
      </w:pPr>
      <w:r>
        <w:rPr>
          <w:rFonts w:ascii="仿宋" w:hAnsi="仿宋" w:eastAsia="仿宋"/>
          <w:color w:val="000000"/>
          <w:sz w:val="32"/>
          <w:szCs w:val="32"/>
        </w:rPr>
        <w:drawing>
          <wp:anchor distT="0" distB="0" distL="114300" distR="114300" simplePos="0" relativeHeight="251664384" behindDoc="0" locked="0" layoutInCell="1" allowOverlap="1">
            <wp:simplePos x="0" y="0"/>
            <wp:positionH relativeFrom="column">
              <wp:posOffset>-19050</wp:posOffset>
            </wp:positionH>
            <wp:positionV relativeFrom="paragraph">
              <wp:posOffset>400050</wp:posOffset>
            </wp:positionV>
            <wp:extent cx="4391025" cy="3219450"/>
            <wp:effectExtent l="4445" t="4445" r="5080" b="14605"/>
            <wp:wrapNone/>
            <wp:docPr id="10"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pStyle w:val="2"/>
        <w:rPr>
          <w:rFonts w:hint="eastAsia" w:ascii="仿宋" w:hAnsi="仿宋" w:eastAsia="仿宋"/>
          <w:sz w:val="32"/>
          <w:szCs w:val="32"/>
        </w:rPr>
      </w:pPr>
    </w:p>
    <w:p>
      <w:pPr>
        <w:pStyle w:val="2"/>
        <w:rPr>
          <w:rFonts w:hint="eastAsia" w:ascii="仿宋" w:hAnsi="仿宋" w:eastAsia="仿宋"/>
          <w:sz w:val="32"/>
          <w:szCs w:val="32"/>
        </w:rPr>
      </w:pPr>
    </w:p>
    <w:p>
      <w:pPr>
        <w:pStyle w:val="2"/>
        <w:rPr>
          <w:rFonts w:hint="eastAsia" w:ascii="仿宋" w:hAnsi="仿宋" w:eastAsia="仿宋"/>
          <w:sz w:val="32"/>
          <w:szCs w:val="32"/>
        </w:rPr>
      </w:pPr>
    </w:p>
    <w:p>
      <w:pPr>
        <w:pStyle w:val="2"/>
        <w:rPr>
          <w:rFonts w:hint="eastAsia" w:ascii="仿宋" w:hAnsi="仿宋" w:eastAsia="仿宋"/>
          <w:sz w:val="32"/>
          <w:szCs w:val="32"/>
        </w:rPr>
      </w:pPr>
    </w:p>
    <w:p>
      <w:pPr>
        <w:pStyle w:val="2"/>
        <w:rPr>
          <w:rFonts w:hint="eastAsia" w:ascii="仿宋" w:hAnsi="仿宋" w:eastAsia="仿宋"/>
          <w:sz w:val="32"/>
          <w:szCs w:val="32"/>
        </w:rPr>
      </w:pPr>
    </w:p>
    <w:p>
      <w:pPr>
        <w:pStyle w:val="2"/>
        <w:rPr>
          <w:rFonts w:hint="eastAsia" w:ascii="仿宋" w:hAnsi="仿宋" w:eastAsia="仿宋"/>
          <w:sz w:val="32"/>
          <w:szCs w:val="32"/>
        </w:rPr>
      </w:pPr>
    </w:p>
    <w:p>
      <w:pPr>
        <w:pStyle w:val="2"/>
        <w:rPr>
          <w:rFonts w:hint="eastAsia" w:ascii="仿宋" w:hAnsi="仿宋" w:eastAsia="仿宋"/>
          <w:sz w:val="32"/>
          <w:szCs w:val="32"/>
        </w:rPr>
      </w:pPr>
    </w:p>
    <w:p>
      <w:pPr>
        <w:pStyle w:val="2"/>
        <w:rPr>
          <w:rFonts w:hint="eastAsia" w:ascii="仿宋" w:hAnsi="仿宋" w:eastAsia="仿宋"/>
          <w:sz w:val="32"/>
          <w:szCs w:val="32"/>
        </w:rPr>
      </w:pP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8"/>
          <w:rFonts w:hint="eastAsia" w:ascii="仿宋" w:hAnsi="仿宋" w:eastAsia="仿宋"/>
          <w:b w:val="0"/>
          <w:bCs/>
          <w:sz w:val="32"/>
          <w:szCs w:val="32"/>
        </w:rPr>
        <w:t>完成预算</w:t>
      </w:r>
      <w:r>
        <w:rPr>
          <w:rStyle w:val="18"/>
          <w:rFonts w:hint="eastAsia" w:ascii="仿宋" w:hAnsi="仿宋" w:eastAsia="仿宋"/>
          <w:b w:val="0"/>
          <w:bCs/>
          <w:sz w:val="32"/>
          <w:szCs w:val="32"/>
          <w:lang w:val="en-US" w:eastAsia="zh-CN"/>
        </w:rPr>
        <w:t>0</w:t>
      </w:r>
      <w:r>
        <w:rPr>
          <w:rStyle w:val="18"/>
          <w:rFonts w:ascii="仿宋" w:hAnsi="仿宋" w:eastAsia="仿宋"/>
          <w:b w:val="0"/>
          <w:bCs/>
          <w:sz w:val="32"/>
          <w:szCs w:val="32"/>
        </w:rPr>
        <w:t>%</w:t>
      </w:r>
      <w:r>
        <w:rPr>
          <w:rStyle w:val="18"/>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人。因公出国（境）支出决算</w:t>
      </w:r>
      <w:r>
        <w:rPr>
          <w:rFonts w:hint="eastAsia" w:ascii="仿宋_GB2312" w:eastAsia="仿宋_GB2312"/>
          <w:color w:val="auto"/>
          <w:sz w:val="32"/>
          <w:szCs w:val="32"/>
          <w:highlight w:val="none"/>
        </w:rPr>
        <w:t>支出决算</w:t>
      </w:r>
      <w:r>
        <w:rPr>
          <w:rFonts w:hint="eastAsia" w:ascii="仿宋_GB2312" w:eastAsia="仿宋_GB2312"/>
          <w:color w:val="auto"/>
          <w:sz w:val="32"/>
          <w:szCs w:val="32"/>
          <w:highlight w:val="none"/>
          <w:lang w:eastAsia="zh-CN"/>
        </w:rPr>
        <w:t>与</w:t>
      </w:r>
      <w:r>
        <w:rPr>
          <w:rFonts w:hint="eastAsia" w:ascii="仿宋_GB2312" w:eastAsia="仿宋_GB2312"/>
          <w:color w:val="auto"/>
          <w:sz w:val="32"/>
          <w:szCs w:val="32"/>
          <w:highlight w:val="none"/>
          <w:lang w:val="en-US" w:eastAsia="zh-CN"/>
        </w:rPr>
        <w:t>2021年持平</w:t>
      </w:r>
      <w:r>
        <w:rPr>
          <w:rFonts w:hint="eastAsia" w:ascii="仿宋_GB2312" w:eastAsia="仿宋_GB2312"/>
          <w:sz w:val="32"/>
          <w:szCs w:val="32"/>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27.4</w:t>
      </w:r>
      <w:r>
        <w:rPr>
          <w:rFonts w:hint="eastAsia" w:ascii="仿宋_GB2312" w:eastAsia="仿宋_GB2312"/>
          <w:sz w:val="32"/>
          <w:szCs w:val="32"/>
        </w:rPr>
        <w:t>万元,</w:t>
      </w:r>
      <w:r>
        <w:rPr>
          <w:rStyle w:val="18"/>
          <w:rFonts w:hint="eastAsia" w:ascii="仿宋" w:hAnsi="仿宋" w:eastAsia="仿宋"/>
          <w:b w:val="0"/>
          <w:bCs/>
          <w:sz w:val="32"/>
          <w:szCs w:val="32"/>
        </w:rPr>
        <w:t>完成预算</w:t>
      </w:r>
      <w:r>
        <w:rPr>
          <w:rStyle w:val="18"/>
          <w:rFonts w:hint="eastAsia" w:ascii="仿宋" w:hAnsi="仿宋" w:eastAsia="仿宋"/>
          <w:b w:val="0"/>
          <w:bCs/>
          <w:sz w:val="32"/>
          <w:szCs w:val="32"/>
          <w:lang w:val="en-US" w:eastAsia="zh-CN"/>
        </w:rPr>
        <w:t>55.51</w:t>
      </w:r>
      <w:r>
        <w:rPr>
          <w:rStyle w:val="18"/>
          <w:rFonts w:ascii="仿宋" w:hAnsi="仿宋" w:eastAsia="仿宋"/>
          <w:b w:val="0"/>
          <w:bCs/>
          <w:sz w:val="32"/>
          <w:szCs w:val="32"/>
        </w:rPr>
        <w:t>%</w:t>
      </w:r>
      <w:r>
        <w:rPr>
          <w:rStyle w:val="18"/>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21年减少</w:t>
      </w:r>
      <w:r>
        <w:rPr>
          <w:rFonts w:hint="eastAsia" w:ascii="仿宋_GB2312" w:eastAsia="仿宋_GB2312"/>
          <w:sz w:val="32"/>
          <w:szCs w:val="32"/>
          <w:lang w:val="en-US" w:eastAsia="zh-CN"/>
        </w:rPr>
        <w:t>6.34</w:t>
      </w:r>
      <w:r>
        <w:rPr>
          <w:rFonts w:hint="eastAsia" w:ascii="仿宋_GB2312" w:eastAsia="仿宋_GB2312"/>
          <w:sz w:val="32"/>
          <w:szCs w:val="32"/>
        </w:rPr>
        <w:t>万元，下降</w:t>
      </w:r>
      <w:r>
        <w:rPr>
          <w:rFonts w:hint="eastAsia" w:ascii="仿宋_GB2312" w:eastAsia="仿宋_GB2312"/>
          <w:sz w:val="32"/>
          <w:szCs w:val="32"/>
          <w:lang w:val="en-US" w:eastAsia="zh-CN"/>
        </w:rPr>
        <w:t>18.79</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eastAsia="zh-CN"/>
        </w:rPr>
        <w:t>各</w:t>
      </w:r>
      <w:r>
        <w:rPr>
          <w:rFonts w:hint="eastAsia" w:ascii="仿宋_GB2312" w:eastAsia="仿宋_GB2312"/>
          <w:sz w:val="32"/>
          <w:szCs w:val="32"/>
        </w:rPr>
        <w:t>单位坚决贯彻执行中央“八项规定”和省、市“十项规定”以及《党政机关厉行节约反对浪费条例》等相关规定，同时受疫情影响，同时单位制定了严格的公务车管理制度，因此提高了公务车的使用效率，公务车运行维护费相应减少。</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lang w:val="en-US" w:eastAsia="zh-CN"/>
        </w:rPr>
        <w:t>0</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万元，越野车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万元，载客汽车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46</w:t>
      </w:r>
      <w:r>
        <w:rPr>
          <w:rFonts w:hint="eastAsia" w:ascii="仿宋_GB2312" w:eastAsia="仿宋_GB2312"/>
          <w:sz w:val="32"/>
          <w:szCs w:val="32"/>
        </w:rPr>
        <w:t>辆，其中：轿车</w:t>
      </w:r>
      <w:r>
        <w:rPr>
          <w:rFonts w:hint="eastAsia" w:ascii="仿宋_GB2312" w:eastAsia="仿宋_GB2312"/>
          <w:sz w:val="32"/>
          <w:szCs w:val="32"/>
          <w:lang w:val="en-US" w:eastAsia="zh-CN"/>
        </w:rPr>
        <w:t>15</w:t>
      </w:r>
      <w:r>
        <w:rPr>
          <w:rFonts w:hint="eastAsia" w:ascii="仿宋_GB2312" w:eastAsia="仿宋_GB2312"/>
          <w:sz w:val="32"/>
          <w:szCs w:val="32"/>
        </w:rPr>
        <w:t>辆、越野车</w:t>
      </w:r>
      <w:r>
        <w:rPr>
          <w:rFonts w:hint="eastAsia" w:ascii="仿宋_GB2312" w:eastAsia="仿宋_GB2312"/>
          <w:sz w:val="32"/>
          <w:szCs w:val="32"/>
          <w:lang w:val="en-US" w:eastAsia="zh-CN"/>
        </w:rPr>
        <w:t>2</w:t>
      </w:r>
      <w:r>
        <w:rPr>
          <w:rFonts w:hint="eastAsia" w:ascii="仿宋_GB2312" w:eastAsia="仿宋_GB2312"/>
          <w:sz w:val="32"/>
          <w:szCs w:val="32"/>
        </w:rPr>
        <w:t>辆、载客汽车</w:t>
      </w:r>
      <w:r>
        <w:rPr>
          <w:rFonts w:hint="eastAsia" w:ascii="仿宋_GB2312" w:eastAsia="仿宋_GB2312"/>
          <w:sz w:val="32"/>
          <w:szCs w:val="32"/>
          <w:lang w:val="en-US" w:eastAsia="zh-CN"/>
        </w:rPr>
        <w:t>10</w:t>
      </w:r>
      <w:r>
        <w:rPr>
          <w:rFonts w:hint="eastAsia" w:ascii="仿宋_GB2312" w:eastAsia="仿宋_GB2312"/>
          <w:sz w:val="32"/>
          <w:szCs w:val="32"/>
        </w:rPr>
        <w:t>辆。</w:t>
      </w:r>
    </w:p>
    <w:p>
      <w:pPr>
        <w:spacing w:line="600" w:lineRule="exact"/>
        <w:ind w:firstLine="640"/>
        <w:rPr>
          <w:rFonts w:hint="eastAsia"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lang w:val="en-US" w:eastAsia="zh-CN"/>
        </w:rPr>
        <w:t>27.4</w:t>
      </w:r>
      <w:r>
        <w:rPr>
          <w:rFonts w:hint="eastAsia" w:ascii="仿宋_GB2312" w:eastAsia="仿宋_GB2312"/>
          <w:sz w:val="32"/>
          <w:szCs w:val="32"/>
        </w:rPr>
        <w:t>万元。主要用于教育教学管理、学校安全工作、教师培训、普通初中教育、教育督导、普通高中教育、职业教育、“9+3”工作、校安工程、学生营养改善计划、高寒山区温暖工程、农村薄弱学校改造以及单位日常公务等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lang w:val="en-US" w:eastAsia="zh-CN"/>
        </w:rPr>
        <w:t>3.26</w:t>
      </w:r>
      <w:r>
        <w:rPr>
          <w:rFonts w:hint="eastAsia" w:ascii="仿宋_GB2312" w:eastAsia="仿宋_GB2312"/>
          <w:sz w:val="32"/>
          <w:szCs w:val="32"/>
        </w:rPr>
        <w:t>万元，</w:t>
      </w:r>
      <w:r>
        <w:rPr>
          <w:rStyle w:val="18"/>
          <w:rFonts w:hint="eastAsia" w:ascii="仿宋" w:hAnsi="仿宋" w:eastAsia="仿宋"/>
          <w:b w:val="0"/>
          <w:bCs/>
          <w:sz w:val="32"/>
          <w:szCs w:val="32"/>
        </w:rPr>
        <w:t>完成预算</w:t>
      </w:r>
      <w:r>
        <w:rPr>
          <w:rStyle w:val="18"/>
          <w:rFonts w:hint="eastAsia" w:ascii="仿宋" w:hAnsi="仿宋" w:eastAsia="仿宋"/>
          <w:b w:val="0"/>
          <w:bCs/>
          <w:sz w:val="32"/>
          <w:szCs w:val="32"/>
          <w:lang w:val="en-US" w:eastAsia="zh-CN"/>
        </w:rPr>
        <w:t>24.73</w:t>
      </w:r>
      <w:r>
        <w:rPr>
          <w:rStyle w:val="18"/>
          <w:rFonts w:ascii="仿宋" w:hAnsi="仿宋" w:eastAsia="仿宋"/>
          <w:b w:val="0"/>
          <w:bCs/>
          <w:sz w:val="32"/>
          <w:szCs w:val="32"/>
        </w:rPr>
        <w:t>%</w:t>
      </w:r>
      <w:r>
        <w:rPr>
          <w:rStyle w:val="18"/>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21年减少</w:t>
      </w:r>
      <w:r>
        <w:rPr>
          <w:rFonts w:hint="eastAsia" w:ascii="仿宋_GB2312" w:eastAsia="仿宋_GB2312"/>
          <w:sz w:val="32"/>
          <w:szCs w:val="32"/>
          <w:lang w:val="en-US" w:eastAsia="zh-CN"/>
        </w:rPr>
        <w:t>1.18</w:t>
      </w:r>
      <w:r>
        <w:rPr>
          <w:rFonts w:hint="eastAsia" w:ascii="仿宋_GB2312" w:eastAsia="仿宋_GB2312"/>
          <w:sz w:val="32"/>
          <w:szCs w:val="32"/>
        </w:rPr>
        <w:t>万元，下降</w:t>
      </w:r>
      <w:r>
        <w:rPr>
          <w:rFonts w:hint="eastAsia" w:ascii="仿宋_GB2312" w:eastAsia="仿宋_GB2312"/>
          <w:sz w:val="32"/>
          <w:szCs w:val="32"/>
          <w:lang w:val="en-US" w:eastAsia="zh-CN"/>
        </w:rPr>
        <w:t>26.58</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color w:val="000000"/>
          <w:sz w:val="32"/>
          <w:szCs w:val="32"/>
        </w:rPr>
        <w:t>认真贯彻落实中央厉行节约的要求，严格控制公务接待标准及次数</w:t>
      </w:r>
      <w:r>
        <w:rPr>
          <w:rFonts w:hint="eastAsia" w:ascii="仿宋_GB2312" w:eastAsia="仿宋_GB2312"/>
          <w:sz w:val="32"/>
          <w:szCs w:val="32"/>
        </w:rPr>
        <w:t>。其中：</w:t>
      </w:r>
    </w:p>
    <w:p>
      <w:pPr>
        <w:spacing w:line="600" w:lineRule="exact"/>
        <w:ind w:firstLine="640"/>
        <w:rPr>
          <w:rFonts w:hint="eastAsia"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lang w:val="en-US" w:eastAsia="zh-CN"/>
        </w:rPr>
        <w:t>3.26</w:t>
      </w:r>
      <w:r>
        <w:rPr>
          <w:rFonts w:hint="eastAsia" w:ascii="仿宋_GB2312" w:eastAsia="仿宋_GB2312"/>
          <w:sz w:val="32"/>
          <w:szCs w:val="32"/>
        </w:rPr>
        <w:t>万元，主要用于执行公务、开展业务活动开支的交通费、住宿费、用餐费等。国内公务接待</w:t>
      </w:r>
      <w:r>
        <w:rPr>
          <w:rFonts w:hint="eastAsia" w:ascii="仿宋_GB2312" w:eastAsia="仿宋_GB2312"/>
          <w:sz w:val="32"/>
          <w:szCs w:val="32"/>
          <w:lang w:val="en-US" w:eastAsia="zh-CN"/>
        </w:rPr>
        <w:t>26</w:t>
      </w:r>
      <w:r>
        <w:rPr>
          <w:rFonts w:hint="eastAsia" w:ascii="仿宋_GB2312" w:eastAsia="仿宋_GB2312"/>
          <w:sz w:val="32"/>
          <w:szCs w:val="32"/>
        </w:rPr>
        <w:t>批次，</w:t>
      </w:r>
      <w:r>
        <w:rPr>
          <w:rFonts w:hint="eastAsia" w:ascii="仿宋_GB2312" w:eastAsia="仿宋_GB2312"/>
          <w:sz w:val="32"/>
          <w:szCs w:val="32"/>
          <w:lang w:val="en-US" w:eastAsia="zh-CN"/>
        </w:rPr>
        <w:t>182</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3.26</w:t>
      </w:r>
      <w:r>
        <w:rPr>
          <w:rFonts w:hint="eastAsia" w:ascii="仿宋_GB2312" w:eastAsia="仿宋_GB2312"/>
          <w:sz w:val="32"/>
          <w:szCs w:val="32"/>
        </w:rPr>
        <w:t>万元，具体内容包括：</w:t>
      </w:r>
    </w:p>
    <w:p>
      <w:pPr>
        <w:pStyle w:val="2"/>
        <w:rPr>
          <w:rFonts w:hint="eastAsia"/>
          <w:sz w:val="32"/>
          <w:szCs w:val="32"/>
          <w:lang w:val="en-US" w:eastAsia="zh-CN"/>
        </w:rPr>
      </w:pPr>
      <w:r>
        <w:rPr>
          <w:rFonts w:hint="eastAsia"/>
          <w:sz w:val="32"/>
          <w:szCs w:val="32"/>
          <w:lang w:val="en-US" w:eastAsia="zh-CN"/>
        </w:rPr>
        <w:t xml:space="preserve">   攀枝花市教育和体育局</w:t>
      </w:r>
    </w:p>
    <w:p>
      <w:pPr>
        <w:numPr>
          <w:ilvl w:val="0"/>
          <w:numId w:val="0"/>
        </w:numPr>
        <w:spacing w:line="60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1.四川城乡建设研究院来攀调研山地健身公园规划设计工作接待费0.09万元；2.四川省人民政府教育督导委员会来攀接待费0.23万元；3.凉山州教体局来攀教育交流接待费0.15万元；4.接待驻省体育局纪检组餐费0.1万元；5.接待省厅春节前走访慰问优秀教师、生活困难党员和老党员0.07万元；6.疫情防控、校园安全稳定剂“双规范”“双减”工作专项督查接待费0.14万元；7.接待省体育局赴攀开展调研督导工作0.12万元；8.接待省体育局来攀安全、疫情专项检查0.04万元；9.接待广安考察学习规范普高收费工作餐费0.28万元。</w:t>
      </w:r>
    </w:p>
    <w:p>
      <w:pPr>
        <w:pStyle w:val="2"/>
        <w:rPr>
          <w:rFonts w:hint="eastAsia"/>
          <w:lang w:val="en-US" w:eastAsia="zh-CN"/>
        </w:rPr>
      </w:pPr>
      <w:r>
        <w:rPr>
          <w:rFonts w:hint="eastAsia"/>
          <w:lang w:val="en-US" w:eastAsia="zh-CN"/>
        </w:rPr>
        <w:t xml:space="preserve">   市建筑工程学校</w:t>
      </w:r>
    </w:p>
    <w:p>
      <w:pPr>
        <w:keepNext w:val="0"/>
        <w:keepLines w:val="0"/>
        <w:pageBreakBefore w:val="0"/>
        <w:widowControl w:val="0"/>
        <w:kinsoku/>
        <w:wordWrap/>
        <w:overflowPunct/>
        <w:topLinePunct w:val="0"/>
        <w:autoSpaceDE/>
        <w:autoSpaceDN/>
        <w:bidi w:val="0"/>
        <w:adjustRightInd/>
        <w:spacing w:line="600" w:lineRule="exact"/>
        <w:textAlignment w:val="auto"/>
      </w:pPr>
      <w:r>
        <w:rPr>
          <w:rFonts w:hint="eastAsia" w:ascii="仿宋_GB2312" w:eastAsia="仿宋_GB2312"/>
          <w:sz w:val="32"/>
          <w:szCs w:val="32"/>
          <w:lang w:val="en-US" w:eastAsia="zh-CN"/>
        </w:rPr>
        <w:t xml:space="preserve">  1.</w:t>
      </w:r>
      <w:r>
        <w:rPr>
          <w:rFonts w:hint="eastAsia" w:ascii="仿宋_GB2312" w:eastAsia="仿宋_GB2312"/>
          <w:sz w:val="32"/>
          <w:szCs w:val="32"/>
        </w:rPr>
        <w:t>接待四川省人社厅开展促就业、助力乡村振兴考察学习活动23人，费用0.3万元；</w:t>
      </w:r>
      <w:r>
        <w:rPr>
          <w:rFonts w:hint="eastAsia" w:ascii="仿宋_GB2312" w:eastAsia="仿宋_GB2312"/>
          <w:b/>
          <w:bCs/>
          <w:sz w:val="32"/>
          <w:szCs w:val="32"/>
        </w:rPr>
        <w:t>2</w:t>
      </w:r>
      <w:r>
        <w:rPr>
          <w:rFonts w:hint="eastAsia" w:ascii="仿宋_GB2312" w:eastAsia="仿宋_GB2312"/>
          <w:sz w:val="32"/>
          <w:szCs w:val="32"/>
        </w:rPr>
        <w:t>.接待四川一砖一瓦教育咨询有限公司、北京数码大方科技有限公司到校开展实训基地1+X工程造价数字化应用等级认证指导与研讨9人，费用0.12万元；</w:t>
      </w:r>
      <w:r>
        <w:rPr>
          <w:rFonts w:hint="eastAsia" w:ascii="仿宋_GB2312" w:eastAsia="仿宋_GB2312"/>
          <w:b/>
          <w:bCs/>
          <w:sz w:val="32"/>
          <w:szCs w:val="32"/>
        </w:rPr>
        <w:t>3</w:t>
      </w:r>
      <w:r>
        <w:rPr>
          <w:rFonts w:hint="eastAsia" w:ascii="仿宋_GB2312" w:eastAsia="仿宋_GB2312"/>
          <w:sz w:val="32"/>
          <w:szCs w:val="32"/>
        </w:rPr>
        <w:t>.接待内江职业技术学院到校开展中高职衔接人才培养交流6人，费用0.15万元；</w:t>
      </w:r>
      <w:r>
        <w:rPr>
          <w:rFonts w:hint="eastAsia" w:ascii="仿宋_GB2312" w:eastAsia="仿宋_GB2312"/>
          <w:b/>
          <w:bCs/>
          <w:sz w:val="32"/>
          <w:szCs w:val="32"/>
        </w:rPr>
        <w:t>4</w:t>
      </w:r>
      <w:r>
        <w:rPr>
          <w:rFonts w:hint="eastAsia" w:ascii="仿宋_GB2312" w:eastAsia="仿宋_GB2312"/>
          <w:sz w:val="32"/>
          <w:szCs w:val="32"/>
        </w:rPr>
        <w:t>.接待成都信息工程大学教师到校进行省级专项资金支出绩效评价4人，费用0.1万元；</w:t>
      </w:r>
      <w:r>
        <w:rPr>
          <w:rFonts w:hint="eastAsia" w:ascii="仿宋_GB2312" w:eastAsia="仿宋_GB2312"/>
          <w:b/>
          <w:bCs/>
          <w:sz w:val="32"/>
          <w:szCs w:val="32"/>
        </w:rPr>
        <w:t>5</w:t>
      </w:r>
      <w:r>
        <w:rPr>
          <w:rFonts w:hint="eastAsia" w:ascii="仿宋_GB2312" w:eastAsia="仿宋_GB2312"/>
          <w:sz w:val="32"/>
          <w:szCs w:val="32"/>
        </w:rPr>
        <w:t>.接待凉山州农业学校到校洽谈校校合作事宜5人，费用0.12万元。</w:t>
      </w:r>
    </w:p>
    <w:p>
      <w:pPr>
        <w:pStyle w:val="3"/>
        <w:keepNext w:val="0"/>
        <w:keepLines w:val="0"/>
        <w:pageBreakBefore w:val="0"/>
        <w:widowControl w:val="0"/>
        <w:kinsoku/>
        <w:wordWrap/>
        <w:overflowPunct/>
        <w:topLinePunct w:val="0"/>
        <w:autoSpaceDE/>
        <w:autoSpaceDN/>
        <w:bidi w:val="0"/>
        <w:adjustRightInd/>
        <w:snapToGrid w:val="0"/>
        <w:spacing w:line="600" w:lineRule="exact"/>
        <w:ind w:firstLine="361" w:firstLineChars="113"/>
        <w:textAlignment w:val="auto"/>
        <w:rPr>
          <w:rFonts w:hint="eastAsia" w:ascii="仿宋_GB2312" w:eastAsia="仿宋_GB2312"/>
          <w:kern w:val="2"/>
          <w:sz w:val="32"/>
          <w:szCs w:val="32"/>
          <w:lang w:eastAsia="zh-CN" w:bidi="ar-SA"/>
        </w:rPr>
      </w:pPr>
      <w:r>
        <w:rPr>
          <w:rFonts w:hint="eastAsia" w:ascii="仿宋_GB2312" w:eastAsia="仿宋_GB2312"/>
          <w:kern w:val="2"/>
          <w:sz w:val="32"/>
          <w:szCs w:val="32"/>
          <w:lang w:eastAsia="zh-CN" w:bidi="ar-SA"/>
        </w:rPr>
        <w:t>市经贸旅游学校</w:t>
      </w:r>
    </w:p>
    <w:p>
      <w:pPr>
        <w:keepNext w:val="0"/>
        <w:keepLines w:val="0"/>
        <w:pageBreakBefore w:val="0"/>
        <w:widowControl w:val="0"/>
        <w:kinsoku/>
        <w:wordWrap/>
        <w:overflowPunct/>
        <w:topLinePunct w:val="0"/>
        <w:autoSpaceDE/>
        <w:autoSpaceDN/>
        <w:bidi w:val="0"/>
        <w:adjustRightInd/>
        <w:spacing w:line="600" w:lineRule="exact"/>
        <w:ind w:firstLine="339" w:firstLineChars="113"/>
        <w:textAlignment w:val="auto"/>
        <w:rPr>
          <w:rFonts w:ascii="仿宋_GB2312" w:eastAsia="仿宋_GB2312"/>
          <w:sz w:val="32"/>
          <w:szCs w:val="32"/>
        </w:rPr>
      </w:pPr>
      <w:r>
        <w:rPr>
          <w:rFonts w:hint="eastAsia" w:ascii="仿宋_GB2312" w:eastAsia="仿宋_GB2312" w:cs="Times New Roman"/>
          <w:kern w:val="0"/>
          <w:sz w:val="30"/>
          <w:szCs w:val="24"/>
          <w:lang w:val="en-US" w:eastAsia="zh-CN" w:bidi="ar-SA"/>
        </w:rPr>
        <w:t>1.20</w:t>
      </w:r>
      <w:r>
        <w:rPr>
          <w:rFonts w:hint="eastAsia" w:ascii="仿宋_GB2312" w:eastAsia="仿宋_GB2312" w:cs="仿宋_GB2312"/>
          <w:sz w:val="32"/>
          <w:szCs w:val="32"/>
        </w:rPr>
        <w:t>22年1月接待四川财经职业学校交流政府采购评审专家培训工作餐费 0.12万元；</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2022年4月接待天府新区信息职业学院人才培养交流活动餐费0.21万元</w:t>
      </w: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w:t>
      </w:r>
      <w:r>
        <w:rPr>
          <w:rFonts w:hint="eastAsia" w:ascii="仿宋_GB2312" w:eastAsia="仿宋_GB2312" w:cs="仿宋_GB2312"/>
          <w:kern w:val="0"/>
          <w:sz w:val="32"/>
          <w:szCs w:val="32"/>
        </w:rPr>
        <w:t>2022年6月接待天府航空旅游职业学院和成都四际餐饮公司交流实习学生工作餐费0.1</w:t>
      </w:r>
      <w:r>
        <w:rPr>
          <w:rFonts w:hint="eastAsia" w:ascii="仿宋_GB2312" w:eastAsia="仿宋_GB2312" w:cs="仿宋_GB2312"/>
          <w:kern w:val="0"/>
          <w:sz w:val="32"/>
          <w:szCs w:val="32"/>
          <w:lang w:val="en-US" w:eastAsia="zh-CN"/>
        </w:rPr>
        <w:t>8</w:t>
      </w:r>
      <w:r>
        <w:rPr>
          <w:rFonts w:hint="eastAsia" w:ascii="仿宋_GB2312" w:eastAsia="仿宋_GB2312" w:cs="仿宋_GB2312"/>
          <w:kern w:val="0"/>
          <w:sz w:val="32"/>
          <w:szCs w:val="32"/>
        </w:rPr>
        <w:t>万元</w:t>
      </w:r>
      <w:r>
        <w:rPr>
          <w:rFonts w:hint="eastAsia" w:ascii="仿宋_GB2312" w:eastAsia="仿宋_GB2312"/>
          <w:sz w:val="32"/>
          <w:szCs w:val="32"/>
        </w:rPr>
        <w:t>。</w:t>
      </w:r>
    </w:p>
    <w:p>
      <w:pPr>
        <w:pStyle w:val="3"/>
        <w:keepNext w:val="0"/>
        <w:keepLines w:val="0"/>
        <w:pageBreakBefore w:val="0"/>
        <w:widowControl w:val="0"/>
        <w:kinsoku/>
        <w:wordWrap/>
        <w:overflowPunct/>
        <w:topLinePunct w:val="0"/>
        <w:autoSpaceDE/>
        <w:autoSpaceDN/>
        <w:bidi w:val="0"/>
        <w:adjustRightInd/>
        <w:snapToGrid w:val="0"/>
        <w:spacing w:line="600" w:lineRule="exact"/>
        <w:ind w:firstLine="361" w:firstLineChars="113"/>
        <w:textAlignment w:val="auto"/>
        <w:rPr>
          <w:rFonts w:hint="eastAsia" w:ascii="仿宋_GB2312" w:eastAsia="仿宋_GB2312" w:cs="仿宋_GB2312"/>
          <w:kern w:val="2"/>
          <w:sz w:val="32"/>
          <w:szCs w:val="32"/>
          <w:lang w:eastAsia="zh-CN" w:bidi="ar-SA"/>
        </w:rPr>
      </w:pPr>
      <w:r>
        <w:rPr>
          <w:rFonts w:hint="eastAsia" w:ascii="仿宋_GB2312" w:eastAsia="仿宋_GB2312" w:cs="仿宋_GB2312"/>
          <w:kern w:val="2"/>
          <w:sz w:val="32"/>
          <w:szCs w:val="32"/>
          <w:lang w:eastAsia="zh-CN" w:bidi="ar-SA"/>
        </w:rPr>
        <w:t>开放大学</w:t>
      </w:r>
    </w:p>
    <w:p>
      <w:pPr>
        <w:pStyle w:val="2"/>
        <w:keepNext w:val="0"/>
        <w:keepLines w:val="0"/>
        <w:pageBreakBefore w:val="0"/>
        <w:widowControl w:val="0"/>
        <w:kinsoku/>
        <w:wordWrap/>
        <w:overflowPunct/>
        <w:topLinePunct w:val="0"/>
        <w:autoSpaceDE/>
        <w:autoSpaceDN/>
        <w:bidi w:val="0"/>
        <w:adjustRightInd/>
        <w:spacing w:before="93" w:beforeLines="0" w:line="600" w:lineRule="exact"/>
        <w:ind w:firstLine="361" w:firstLineChars="113"/>
        <w:textAlignment w:val="auto"/>
        <w:rPr>
          <w:rFonts w:hint="eastAsia"/>
          <w:sz w:val="32"/>
          <w:szCs w:val="32"/>
        </w:rPr>
      </w:pPr>
      <w:r>
        <w:rPr>
          <w:rFonts w:hint="eastAsia" w:ascii="仿宋_GB2312" w:eastAsia="仿宋_GB2312" w:cs="仿宋_GB2312"/>
          <w:kern w:val="2"/>
          <w:sz w:val="32"/>
          <w:szCs w:val="32"/>
          <w:lang w:val="en-US" w:eastAsia="zh-CN" w:bidi="ar-SA"/>
        </w:rPr>
        <w:t>1.接待乐山广播电视大学社区教育考察交流人员10人，支出0.13万元；2.接待参加2022春系统工作会暨招生工作会各分校领导和工作人员共计8人，支出0.18万元；3.接待会理分校送2021秋期末考试试卷人员2人，支出0.04万</w:t>
      </w:r>
      <w:r>
        <w:rPr>
          <w:rFonts w:hint="eastAsia"/>
          <w:sz w:val="32"/>
          <w:szCs w:val="32"/>
        </w:rPr>
        <w:t>元</w:t>
      </w:r>
      <w:r>
        <w:rPr>
          <w:rFonts w:hint="eastAsia"/>
          <w:sz w:val="32"/>
          <w:szCs w:val="32"/>
          <w:lang w:eastAsia="zh-CN"/>
        </w:rPr>
        <w:t>；</w:t>
      </w:r>
      <w:r>
        <w:rPr>
          <w:rFonts w:hint="eastAsia"/>
          <w:sz w:val="32"/>
          <w:szCs w:val="32"/>
        </w:rPr>
        <w:t>4.  接待米易分校上交中专照片、领取学籍档案人员3人，支出0.04万元</w:t>
      </w:r>
      <w:r>
        <w:rPr>
          <w:rFonts w:hint="eastAsia"/>
          <w:sz w:val="32"/>
          <w:szCs w:val="32"/>
          <w:lang w:eastAsia="zh-CN"/>
        </w:rPr>
        <w:t>；</w:t>
      </w:r>
      <w:r>
        <w:rPr>
          <w:rFonts w:hint="eastAsia"/>
          <w:sz w:val="32"/>
          <w:szCs w:val="32"/>
        </w:rPr>
        <w:t>5.接待米易分校上报2022春国开新生数据人员2人，支出</w:t>
      </w:r>
      <w:r>
        <w:rPr>
          <w:sz w:val="32"/>
          <w:szCs w:val="32"/>
        </w:rPr>
        <w:t>0.0</w:t>
      </w:r>
      <w:r>
        <w:rPr>
          <w:rFonts w:hint="eastAsia"/>
          <w:sz w:val="32"/>
          <w:szCs w:val="32"/>
        </w:rPr>
        <w:t>3万元</w:t>
      </w:r>
      <w:r>
        <w:rPr>
          <w:rFonts w:hint="eastAsia"/>
          <w:sz w:val="32"/>
          <w:szCs w:val="32"/>
          <w:lang w:eastAsia="zh-CN"/>
        </w:rPr>
        <w:t>；</w:t>
      </w:r>
      <w:r>
        <w:rPr>
          <w:rFonts w:hint="eastAsia"/>
          <w:sz w:val="32"/>
          <w:szCs w:val="32"/>
        </w:rPr>
        <w:t>6.接待四川开放大学招生调研领导1人，支出</w:t>
      </w:r>
      <w:r>
        <w:rPr>
          <w:sz w:val="32"/>
          <w:szCs w:val="32"/>
        </w:rPr>
        <w:t>0.0</w:t>
      </w:r>
      <w:r>
        <w:rPr>
          <w:rFonts w:hint="eastAsia"/>
          <w:sz w:val="32"/>
          <w:szCs w:val="32"/>
        </w:rPr>
        <w:t>2万元</w:t>
      </w:r>
      <w:r>
        <w:rPr>
          <w:rFonts w:hint="eastAsia"/>
          <w:sz w:val="32"/>
          <w:szCs w:val="32"/>
          <w:lang w:eastAsia="zh-CN"/>
        </w:rPr>
        <w:t>；</w:t>
      </w:r>
      <w:r>
        <w:rPr>
          <w:rFonts w:hint="eastAsia"/>
          <w:sz w:val="32"/>
          <w:szCs w:val="32"/>
        </w:rPr>
        <w:t>7.接待会理分校领取2022春期末考试试卷人员3人，支出0.07万元。</w:t>
      </w:r>
    </w:p>
    <w:p>
      <w:pPr>
        <w:pStyle w:val="2"/>
        <w:keepNext w:val="0"/>
        <w:keepLines w:val="0"/>
        <w:pageBreakBefore w:val="0"/>
        <w:widowControl w:val="0"/>
        <w:kinsoku/>
        <w:wordWrap/>
        <w:overflowPunct/>
        <w:topLinePunct w:val="0"/>
        <w:autoSpaceDE/>
        <w:autoSpaceDN/>
        <w:bidi w:val="0"/>
        <w:adjustRightInd/>
        <w:spacing w:before="93" w:beforeLines="0" w:line="600" w:lineRule="exact"/>
        <w:ind w:firstLine="361" w:firstLineChars="113"/>
        <w:textAlignment w:val="auto"/>
        <w:rPr>
          <w:rFonts w:hint="eastAsia"/>
          <w:sz w:val="32"/>
          <w:szCs w:val="32"/>
          <w:lang w:eastAsia="zh-CN"/>
        </w:rPr>
      </w:pPr>
      <w:r>
        <w:rPr>
          <w:rFonts w:hint="eastAsia"/>
          <w:sz w:val="32"/>
          <w:szCs w:val="32"/>
          <w:lang w:eastAsia="zh-CN"/>
        </w:rPr>
        <w:t>市体育场馆中心</w:t>
      </w:r>
    </w:p>
    <w:p>
      <w:pPr>
        <w:pStyle w:val="2"/>
        <w:numPr>
          <w:ilvl w:val="0"/>
          <w:numId w:val="0"/>
        </w:numPr>
        <w:rPr>
          <w:rFonts w:hint="default"/>
          <w:lang w:val="en-US" w:eastAsia="zh-CN"/>
        </w:rPr>
      </w:pPr>
      <w:r>
        <w:rPr>
          <w:rFonts w:hint="eastAsia"/>
          <w:sz w:val="32"/>
          <w:szCs w:val="32"/>
          <w:lang w:val="en-US" w:eastAsia="zh-CN"/>
        </w:rPr>
        <w:t>1.</w:t>
      </w:r>
      <w:r>
        <w:rPr>
          <w:rFonts w:hint="eastAsia"/>
          <w:sz w:val="32"/>
          <w:szCs w:val="32"/>
        </w:rPr>
        <w:t>接待省体育局游泳振兴工作组来攀调研——游泳项目实地考察，接待金额0.15万元；</w:t>
      </w:r>
      <w:r>
        <w:rPr>
          <w:rFonts w:hint="eastAsia"/>
          <w:sz w:val="32"/>
          <w:szCs w:val="32"/>
          <w:lang w:val="en-US" w:eastAsia="zh-CN"/>
        </w:rPr>
        <w:t>2.</w:t>
      </w:r>
      <w:r>
        <w:rPr>
          <w:rFonts w:hint="eastAsia"/>
          <w:sz w:val="32"/>
          <w:szCs w:val="32"/>
        </w:rPr>
        <w:t>接待四川省体育局“关于攀枝花市、凉山州开展专项调研工作”，接待金额0.08万元。</w:t>
      </w:r>
    </w:p>
    <w:p>
      <w:pPr>
        <w:spacing w:line="600" w:lineRule="exact"/>
        <w:ind w:firstLine="642"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sz w:val="32"/>
          <w:szCs w:val="32"/>
          <w:lang w:val="en-US" w:eastAsia="zh-CN"/>
        </w:rPr>
        <w:t>0</w:t>
      </w:r>
      <w:r>
        <w:rPr>
          <w:rFonts w:hint="eastAsia" w:ascii="仿宋_GB2312" w:eastAsia="仿宋_GB2312"/>
          <w:sz w:val="32"/>
          <w:szCs w:val="32"/>
        </w:rPr>
        <w:t>万元，外事接待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outlineLvl w:val="1"/>
        <w:rPr>
          <w:rFonts w:ascii="黑体" w:eastAsia="黑体"/>
          <w:sz w:val="32"/>
          <w:szCs w:val="32"/>
        </w:rPr>
      </w:pPr>
      <w:bookmarkStart w:id="44" w:name="_Toc15396610"/>
      <w:bookmarkStart w:id="45" w:name="_Toc15377218"/>
    </w:p>
    <w:p>
      <w:pPr>
        <w:spacing w:line="600" w:lineRule="exact"/>
        <w:ind w:firstLine="640"/>
        <w:outlineLvl w:val="1"/>
        <w:rPr>
          <w:rStyle w:val="31"/>
          <w:rFonts w:ascii="黑体" w:hAnsi="黑体" w:eastAsia="黑体"/>
        </w:rPr>
      </w:pPr>
      <w:r>
        <w:rPr>
          <w:rFonts w:hint="eastAsia" w:ascii="黑体" w:eastAsia="黑体"/>
          <w:sz w:val="32"/>
          <w:szCs w:val="32"/>
        </w:rPr>
        <w:t>八、</w:t>
      </w:r>
      <w:r>
        <w:rPr>
          <w:rStyle w:val="31"/>
          <w:rFonts w:hint="eastAsia" w:ascii="黑体" w:hAnsi="黑体" w:eastAsia="黑体"/>
          <w:b w:val="0"/>
        </w:rPr>
        <w:t>政府性基金预算支出决算情况说明</w:t>
      </w:r>
      <w:bookmarkEnd w:id="44"/>
      <w:bookmarkEnd w:id="45"/>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856.67</w:t>
      </w:r>
      <w:r>
        <w:rPr>
          <w:rFonts w:hint="eastAsia" w:ascii="仿宋_GB2312" w:eastAsia="仿宋_GB2312"/>
          <w:sz w:val="32"/>
          <w:szCs w:val="32"/>
        </w:rPr>
        <w:t>万元。</w:t>
      </w:r>
    </w:p>
    <w:p>
      <w:pPr>
        <w:spacing w:line="600" w:lineRule="exact"/>
        <w:ind w:firstLine="640"/>
        <w:rPr>
          <w:rFonts w:ascii="仿宋_GB2312" w:eastAsia="仿宋_GB2312"/>
          <w:sz w:val="32"/>
          <w:szCs w:val="32"/>
        </w:rPr>
      </w:pPr>
    </w:p>
    <w:p>
      <w:pPr>
        <w:numPr>
          <w:ilvl w:val="0"/>
          <w:numId w:val="3"/>
        </w:numPr>
        <w:spacing w:line="600" w:lineRule="exact"/>
        <w:ind w:firstLine="640"/>
        <w:outlineLvl w:val="1"/>
        <w:rPr>
          <w:rStyle w:val="31"/>
          <w:rFonts w:ascii="黑体" w:hAnsi="黑体" w:eastAsia="黑体"/>
          <w:b w:val="0"/>
        </w:rPr>
      </w:pPr>
      <w:bookmarkStart w:id="46" w:name="_Toc15377219"/>
      <w:bookmarkStart w:id="47" w:name="_Toc15396611"/>
      <w:r>
        <w:rPr>
          <w:rStyle w:val="31"/>
          <w:rFonts w:hint="eastAsia" w:ascii="黑体" w:hAnsi="黑体" w:eastAsia="黑体"/>
          <w:b w:val="0"/>
        </w:rPr>
        <w:t>国有资本经营预算支出决算情况说明</w:t>
      </w:r>
      <w:bookmarkEnd w:id="46"/>
      <w:bookmarkEnd w:id="47"/>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580" w:lineRule="exact"/>
        <w:jc w:val="center"/>
        <w:rPr>
          <w:rFonts w:ascii="方正小标宋简体" w:hAnsi="方正小标宋简体" w:eastAsia="方正小标宋简体" w:cs="方正小标宋简体"/>
          <w:sz w:val="44"/>
          <w:szCs w:val="44"/>
        </w:rPr>
      </w:pPr>
    </w:p>
    <w:p>
      <w:pPr>
        <w:numPr>
          <w:ilvl w:val="0"/>
          <w:numId w:val="3"/>
        </w:numPr>
        <w:spacing w:line="600" w:lineRule="exact"/>
        <w:ind w:firstLine="640"/>
        <w:outlineLvl w:val="1"/>
        <w:rPr>
          <w:rStyle w:val="31"/>
          <w:rFonts w:ascii="黑体" w:hAnsi="黑体" w:eastAsia="黑体"/>
          <w:b w:val="0"/>
        </w:rPr>
      </w:pPr>
      <w:bookmarkStart w:id="48" w:name="_Toc15396612"/>
      <w:bookmarkStart w:id="49" w:name="_Toc15377221"/>
      <w:r>
        <w:rPr>
          <w:rStyle w:val="31"/>
          <w:rFonts w:hint="eastAsia" w:ascii="黑体" w:hAnsi="黑体" w:eastAsia="黑体"/>
          <w:b w:val="0"/>
        </w:rPr>
        <w:t>其他重要事项的情况说明</w:t>
      </w:r>
      <w:bookmarkEnd w:id="48"/>
      <w:bookmarkEnd w:id="49"/>
    </w:p>
    <w:p>
      <w:pPr>
        <w:spacing w:line="600" w:lineRule="exact"/>
        <w:ind w:firstLine="642" w:firstLineChars="200"/>
        <w:outlineLvl w:val="2"/>
        <w:rPr>
          <w:rFonts w:ascii="仿宋" w:hAnsi="仿宋" w:eastAsia="仿宋"/>
          <w:sz w:val="32"/>
          <w:szCs w:val="32"/>
        </w:rPr>
      </w:pPr>
      <w:bookmarkStart w:id="50" w:name="_Toc15377222"/>
      <w:r>
        <w:rPr>
          <w:rFonts w:hint="eastAsia" w:ascii="仿宋" w:hAnsi="仿宋" w:eastAsia="仿宋"/>
          <w:b/>
          <w:sz w:val="32"/>
          <w:szCs w:val="32"/>
        </w:rPr>
        <w:t>（一）机关运行经费支出情况</w:t>
      </w:r>
      <w:bookmarkEnd w:id="50"/>
    </w:p>
    <w:p>
      <w:pPr>
        <w:spacing w:line="600" w:lineRule="exact"/>
        <w:ind w:firstLine="640" w:firstLineChars="200"/>
        <w:rPr>
          <w:rFonts w:hint="eastAsia"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eastAsia="zh-CN"/>
        </w:rPr>
        <w:t>市教育和体育局直属系统</w:t>
      </w:r>
      <w:r>
        <w:rPr>
          <w:rFonts w:hint="eastAsia" w:ascii="仿宋_GB2312" w:eastAsia="仿宋_GB2312"/>
          <w:sz w:val="32"/>
          <w:szCs w:val="32"/>
        </w:rPr>
        <w:t>机关运行经费支出</w:t>
      </w:r>
      <w:r>
        <w:rPr>
          <w:rFonts w:hint="eastAsia" w:ascii="仿宋_GB2312" w:eastAsia="仿宋_GB2312"/>
          <w:sz w:val="32"/>
          <w:szCs w:val="32"/>
          <w:lang w:val="en-US" w:eastAsia="zh-CN"/>
        </w:rPr>
        <w:t>157.25</w:t>
      </w:r>
      <w:r>
        <w:rPr>
          <w:rFonts w:hint="eastAsia" w:ascii="仿宋_GB2312" w:eastAsia="仿宋_GB2312"/>
          <w:sz w:val="32"/>
          <w:szCs w:val="32"/>
        </w:rPr>
        <w:t>万元，比</w:t>
      </w:r>
      <w:r>
        <w:rPr>
          <w:rFonts w:ascii="仿宋_GB2312" w:eastAsia="仿宋_GB2312"/>
          <w:sz w:val="32"/>
          <w:szCs w:val="32"/>
        </w:rPr>
        <w:t>20</w:t>
      </w:r>
      <w:r>
        <w:rPr>
          <w:rFonts w:hint="eastAsia" w:ascii="仿宋_GB2312" w:eastAsia="仿宋_GB2312"/>
          <w:sz w:val="32"/>
          <w:szCs w:val="32"/>
        </w:rPr>
        <w:t>21年减少</w:t>
      </w:r>
      <w:r>
        <w:rPr>
          <w:rFonts w:hint="eastAsia" w:ascii="仿宋_GB2312" w:eastAsia="仿宋_GB2312"/>
          <w:sz w:val="32"/>
          <w:szCs w:val="32"/>
          <w:lang w:val="en-US" w:eastAsia="zh-CN"/>
        </w:rPr>
        <w:t>68.43</w:t>
      </w:r>
      <w:r>
        <w:rPr>
          <w:rFonts w:hint="eastAsia" w:ascii="仿宋_GB2312" w:eastAsia="仿宋_GB2312"/>
          <w:sz w:val="32"/>
          <w:szCs w:val="32"/>
        </w:rPr>
        <w:t>万元，下降</w:t>
      </w:r>
      <w:r>
        <w:rPr>
          <w:rFonts w:hint="eastAsia" w:ascii="仿宋_GB2312" w:eastAsia="仿宋_GB2312"/>
          <w:sz w:val="32"/>
          <w:szCs w:val="32"/>
          <w:lang w:val="en-US" w:eastAsia="zh-CN"/>
        </w:rPr>
        <w:t>30.32</w:t>
      </w:r>
      <w:r>
        <w:rPr>
          <w:rFonts w:ascii="仿宋_GB2312" w:eastAsia="仿宋_GB2312"/>
          <w:sz w:val="32"/>
          <w:szCs w:val="32"/>
        </w:rPr>
        <w:t>%</w:t>
      </w:r>
      <w:r>
        <w:rPr>
          <w:rFonts w:hint="eastAsia" w:ascii="仿宋_GB2312" w:eastAsia="仿宋_GB2312"/>
          <w:sz w:val="32"/>
          <w:szCs w:val="32"/>
        </w:rPr>
        <w:t>。主要原因是市教育和体育局直属系统严格执行中央八项规定和省、市十项规定以及《党政机关厉行节约反对浪费条例》等相关文件要求，厉行节约，反对浪费</w:t>
      </w:r>
      <w:r>
        <w:rPr>
          <w:rFonts w:hint="eastAsia" w:ascii="仿宋_GB2312" w:eastAsia="仿宋_GB2312"/>
          <w:sz w:val="32"/>
          <w:szCs w:val="32"/>
          <w:lang w:eastAsia="zh-CN"/>
        </w:rPr>
        <w:t>，压缩公用经费开支</w:t>
      </w:r>
      <w:r>
        <w:rPr>
          <w:rFonts w:hint="eastAsia" w:ascii="仿宋_GB2312" w:eastAsia="仿宋_GB2312"/>
          <w:sz w:val="32"/>
          <w:szCs w:val="32"/>
        </w:rPr>
        <w:t>。</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51" w:name="_Toc15377223"/>
      <w:r>
        <w:rPr>
          <w:rFonts w:hint="eastAsia" w:ascii="仿宋" w:hAnsi="仿宋" w:eastAsia="仿宋"/>
          <w:b/>
          <w:sz w:val="32"/>
          <w:szCs w:val="32"/>
        </w:rPr>
        <w:t>（二）政府采购支出情况</w:t>
      </w:r>
      <w:bookmarkEnd w:id="51"/>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eastAsia="zh-CN"/>
        </w:rPr>
        <w:t>市教育和体育局直属系统</w:t>
      </w:r>
      <w:r>
        <w:rPr>
          <w:rFonts w:hint="eastAsia" w:ascii="仿宋_GB2312" w:eastAsia="仿宋_GB2312"/>
          <w:sz w:val="32"/>
          <w:szCs w:val="32"/>
        </w:rPr>
        <w:t>政府采购支出总额</w:t>
      </w:r>
      <w:r>
        <w:rPr>
          <w:rFonts w:hint="eastAsia" w:ascii="仿宋_GB2312" w:eastAsia="仿宋_GB2312"/>
          <w:sz w:val="32"/>
          <w:szCs w:val="32"/>
          <w:lang w:val="en-US" w:eastAsia="zh-CN"/>
        </w:rPr>
        <w:t>1866.4</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615.85</w:t>
      </w:r>
      <w:r>
        <w:rPr>
          <w:rFonts w:hint="eastAsia" w:ascii="仿宋_GB2312" w:eastAsia="仿宋_GB2312"/>
          <w:sz w:val="32"/>
          <w:szCs w:val="32"/>
        </w:rPr>
        <w:t>万元、政府采购工程支出</w:t>
      </w:r>
      <w:r>
        <w:rPr>
          <w:rFonts w:hint="eastAsia" w:ascii="仿宋_GB2312" w:eastAsia="仿宋_GB2312"/>
          <w:sz w:val="32"/>
          <w:szCs w:val="32"/>
          <w:lang w:val="en-US" w:eastAsia="zh-CN"/>
        </w:rPr>
        <w:t>786.07</w:t>
      </w:r>
      <w:r>
        <w:rPr>
          <w:rFonts w:hint="eastAsia" w:ascii="仿宋_GB2312" w:eastAsia="仿宋_GB2312"/>
          <w:sz w:val="32"/>
          <w:szCs w:val="32"/>
        </w:rPr>
        <w:t>万元、政府采购服务支出</w:t>
      </w:r>
      <w:r>
        <w:rPr>
          <w:rFonts w:hint="eastAsia" w:ascii="仿宋_GB2312" w:eastAsia="仿宋_GB2312"/>
          <w:sz w:val="32"/>
          <w:szCs w:val="32"/>
          <w:lang w:val="en-US" w:eastAsia="zh-CN"/>
        </w:rPr>
        <w:t>464.49</w:t>
      </w:r>
      <w:r>
        <w:rPr>
          <w:rFonts w:hint="eastAsia" w:ascii="仿宋_GB2312" w:eastAsia="仿宋_GB2312"/>
          <w:sz w:val="32"/>
          <w:szCs w:val="32"/>
        </w:rPr>
        <w:t>元。主要用于</w:t>
      </w:r>
      <w:r>
        <w:rPr>
          <w:rFonts w:hint="eastAsia" w:ascii="仿宋_GB2312" w:eastAsia="仿宋_GB2312" w:cs="仿宋_GB2312"/>
          <w:color w:val="000000" w:themeColor="text1"/>
          <w:sz w:val="32"/>
          <w:szCs w:val="32"/>
          <w14:textFill>
            <w14:solidFill>
              <w14:schemeClr w14:val="tx1"/>
            </w14:solidFill>
          </w14:textFill>
        </w:rPr>
        <w:t>电脑、桌椅、广播器材、体育用品等用品采购，校园监控系统、</w:t>
      </w:r>
      <w:r>
        <w:rPr>
          <w:rFonts w:hint="eastAsia" w:ascii="仿宋_GB2312" w:eastAsia="仿宋_GB2312"/>
          <w:color w:val="000000" w:themeColor="text1"/>
          <w:sz w:val="32"/>
          <w:szCs w:val="32"/>
          <w14:textFill>
            <w14:solidFill>
              <w14:schemeClr w14:val="tx1"/>
            </w14:solidFill>
          </w14:textFill>
        </w:rPr>
        <w:t>电力线路</w:t>
      </w:r>
      <w:r>
        <w:rPr>
          <w:rFonts w:hint="eastAsia" w:ascii="仿宋_GB2312" w:eastAsia="仿宋_GB2312" w:cs="仿宋_GB2312"/>
          <w:color w:val="000000" w:themeColor="text1"/>
          <w:sz w:val="32"/>
          <w:szCs w:val="32"/>
          <w14:textFill>
            <w14:solidFill>
              <w14:schemeClr w14:val="tx1"/>
            </w14:solidFill>
          </w14:textFill>
        </w:rPr>
        <w:t>、改造工程、楼房修缮等服务和工程</w:t>
      </w:r>
      <w:r>
        <w:rPr>
          <w:rFonts w:hint="eastAsia" w:ascii="仿宋_GB2312" w:eastAsia="仿宋_GB2312"/>
          <w:sz w:val="32"/>
          <w:szCs w:val="32"/>
        </w:rPr>
        <w:t>。授予中小企业合同金额</w:t>
      </w:r>
      <w:r>
        <w:rPr>
          <w:rFonts w:hint="eastAsia" w:ascii="仿宋_GB2312" w:eastAsia="仿宋_GB2312"/>
          <w:sz w:val="32"/>
          <w:szCs w:val="32"/>
          <w:lang w:val="en-US" w:eastAsia="zh-CN"/>
        </w:rPr>
        <w:t>1287.35</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68.98</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1287.35</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68.98</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52" w:name="_Toc15377224"/>
      <w:r>
        <w:rPr>
          <w:rFonts w:hint="eastAsia" w:ascii="仿宋" w:hAnsi="仿宋" w:eastAsia="仿宋"/>
          <w:b/>
          <w:sz w:val="32"/>
          <w:szCs w:val="32"/>
        </w:rPr>
        <w:t>（三）国有资产占有使用情况</w:t>
      </w:r>
      <w:bookmarkEnd w:id="52"/>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eastAsia="zh-CN"/>
        </w:rPr>
        <w:t>市教育和体育局直属系统</w:t>
      </w:r>
      <w:r>
        <w:rPr>
          <w:rFonts w:hint="eastAsia" w:ascii="仿宋_GB2312" w:eastAsia="仿宋_GB2312"/>
          <w:sz w:val="32"/>
          <w:szCs w:val="32"/>
        </w:rPr>
        <w:t>共有车辆</w:t>
      </w:r>
      <w:r>
        <w:rPr>
          <w:rFonts w:hint="eastAsia" w:ascii="仿宋_GB2312" w:eastAsia="仿宋_GB2312"/>
          <w:sz w:val="32"/>
          <w:szCs w:val="32"/>
          <w:lang w:val="en-US" w:eastAsia="zh-CN"/>
        </w:rPr>
        <w:t>46</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1</w:t>
      </w:r>
      <w:r>
        <w:rPr>
          <w:rFonts w:hint="eastAsia" w:ascii="仿宋_GB2312" w:eastAsia="仿宋_GB2312"/>
          <w:sz w:val="32"/>
          <w:szCs w:val="32"/>
        </w:rPr>
        <w:t>辆、其他用车</w:t>
      </w:r>
      <w:r>
        <w:rPr>
          <w:rFonts w:hint="eastAsia" w:ascii="仿宋_GB2312" w:eastAsia="仿宋_GB2312"/>
          <w:sz w:val="32"/>
          <w:szCs w:val="32"/>
          <w:lang w:val="en-US" w:eastAsia="zh-CN"/>
        </w:rPr>
        <w:t>45</w:t>
      </w:r>
      <w:r>
        <w:rPr>
          <w:rFonts w:hint="eastAsia" w:ascii="仿宋_GB2312" w:eastAsia="仿宋_GB2312"/>
          <w:sz w:val="32"/>
          <w:szCs w:val="32"/>
        </w:rPr>
        <w:t>辆，其他用车主要是用于</w:t>
      </w:r>
      <w:r>
        <w:rPr>
          <w:rFonts w:hint="eastAsia" w:ascii="仿宋_GB2312" w:eastAsia="仿宋_GB2312" w:cs="仿宋_GB2312"/>
          <w:color w:val="auto"/>
          <w:sz w:val="32"/>
          <w:szCs w:val="32"/>
        </w:rPr>
        <w:t>事业单位日常公务使用，汽车专业教育教学和通勤</w:t>
      </w:r>
      <w:r>
        <w:rPr>
          <w:rFonts w:hint="eastAsia" w:ascii="仿宋_GB2312" w:eastAsia="仿宋_GB2312"/>
          <w:sz w:val="32"/>
          <w:szCs w:val="32"/>
        </w:rPr>
        <w:t>。单价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1</w:t>
      </w:r>
      <w:r>
        <w:rPr>
          <w:rFonts w:hint="eastAsia" w:ascii="仿宋_GB2312" w:eastAsia="仿宋_GB2312"/>
          <w:sz w:val="32"/>
          <w:szCs w:val="32"/>
        </w:rPr>
        <w:t>台（套）。</w:t>
      </w:r>
    </w:p>
    <w:p>
      <w:pPr>
        <w:autoSpaceDE w:val="0"/>
        <w:autoSpaceDN w:val="0"/>
        <w:adjustRightInd w:val="0"/>
        <w:spacing w:line="600" w:lineRule="exact"/>
        <w:ind w:firstLine="642"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根据预算绩效管理要求，本部门在2022年度预算编制阶段，组织对普通高中教育补助经费项目</w:t>
      </w:r>
      <w:r>
        <w:rPr>
          <w:rFonts w:hint="eastAsia" w:ascii="仿宋_GB2312" w:hAnsi="仿宋_GB2312" w:eastAsia="仿宋_GB2312" w:cs="仿宋_GB2312"/>
          <w:sz w:val="32"/>
          <w:szCs w:val="32"/>
          <w:lang w:eastAsia="zh-CN"/>
        </w:rPr>
        <w:t>、援藏援彝干部人才补助及“三区”人才计划教师专项补助项目、暖心工程、全民健身补短板工程</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个项目开展了预算事前绩效评估，对</w:t>
      </w:r>
      <w:r>
        <w:rPr>
          <w:rFonts w:hint="eastAsia" w:ascii="仿宋_GB2312" w:hAnsi="仿宋_GB2312" w:eastAsia="仿宋_GB2312" w:cs="仿宋_GB2312"/>
          <w:sz w:val="32"/>
          <w:szCs w:val="32"/>
          <w:lang w:val="en-US" w:eastAsia="zh-CN"/>
        </w:rPr>
        <w:t>77</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36</w:t>
      </w:r>
      <w:r>
        <w:rPr>
          <w:rFonts w:hint="eastAsia" w:ascii="仿宋_GB2312" w:hAnsi="仿宋_GB2312" w:eastAsia="仿宋_GB2312" w:cs="仿宋_GB2312"/>
          <w:sz w:val="32"/>
          <w:szCs w:val="32"/>
        </w:rPr>
        <w:t>个项目开展绩效监控。</w:t>
      </w:r>
    </w:p>
    <w:p>
      <w:pPr>
        <w:spacing w:line="560" w:lineRule="exact"/>
        <w:ind w:firstLine="640" w:firstLineChars="200"/>
        <w:rPr>
          <w:rFonts w:ascii="Times New Roman" w:hAnsi="Times New Roman" w:eastAsia="仿宋_GB2312" w:cs="Times New Roman"/>
          <w:sz w:val="32"/>
          <w:szCs w:val="32"/>
          <w:lang w:bidi="ar-SA"/>
        </w:rPr>
      </w:pPr>
      <w:r>
        <w:rPr>
          <w:rFonts w:hint="eastAsia" w:ascii="仿宋_GB2312" w:hAnsi="仿宋_GB2312" w:eastAsia="仿宋_GB2312" w:cs="仿宋_GB2312"/>
          <w:sz w:val="32"/>
          <w:szCs w:val="32"/>
        </w:rPr>
        <w:t>组织对2022年度一般公共预算、政府性基金预算、国有资本经营预算、社会保险基金预算以及资本资产、债券资金等全面开展绩效自评，形成</w:t>
      </w:r>
      <w:r>
        <w:rPr>
          <w:rFonts w:hint="eastAsia" w:ascii="仿宋_GB2312" w:hAnsi="仿宋_GB2312" w:eastAsia="仿宋_GB2312" w:cs="仿宋_GB2312"/>
          <w:sz w:val="32"/>
          <w:szCs w:val="32"/>
          <w:lang w:eastAsia="zh-CN"/>
        </w:rPr>
        <w:t>市教育和体育局</w:t>
      </w:r>
      <w:r>
        <w:rPr>
          <w:rFonts w:hint="eastAsia" w:ascii="仿宋_GB2312" w:hAnsi="仿宋_GB2312" w:eastAsia="仿宋_GB2312" w:cs="仿宋_GB2312"/>
          <w:sz w:val="32"/>
          <w:szCs w:val="32"/>
        </w:rPr>
        <w:t>部门整体（含部门预算项目）绩效自评报告、</w:t>
      </w:r>
      <w:r>
        <w:rPr>
          <w:rFonts w:hint="eastAsia" w:ascii="仿宋_GB2312" w:hAnsi="仿宋_GB2312" w:eastAsia="仿宋_GB2312" w:cs="仿宋_GB2312"/>
          <w:sz w:val="32"/>
          <w:szCs w:val="32"/>
          <w:lang w:eastAsia="zh-CN"/>
        </w:rPr>
        <w:t>教育附加专项、体彩公益金</w:t>
      </w:r>
      <w:r>
        <w:rPr>
          <w:rFonts w:hint="eastAsia" w:ascii="仿宋_GB2312" w:hAnsi="仿宋_GB2312" w:eastAsia="仿宋_GB2312" w:cs="仿宋_GB2312"/>
          <w:sz w:val="32"/>
          <w:szCs w:val="32"/>
        </w:rPr>
        <w:t>等专项预算项目绩效自评报告，其中，</w:t>
      </w:r>
      <w:r>
        <w:rPr>
          <w:rFonts w:hint="eastAsia" w:ascii="仿宋_GB2312" w:hAnsi="仿宋_GB2312" w:eastAsia="仿宋_GB2312" w:cs="仿宋_GB2312"/>
          <w:sz w:val="32"/>
          <w:szCs w:val="32"/>
          <w:lang w:eastAsia="zh-CN"/>
        </w:rPr>
        <w:t>市教育和体育局</w:t>
      </w:r>
      <w:r>
        <w:rPr>
          <w:rFonts w:hint="eastAsia" w:ascii="仿宋_GB2312" w:hAnsi="仿宋_GB2312" w:eastAsia="仿宋_GB2312" w:cs="仿宋_GB2312"/>
          <w:sz w:val="32"/>
          <w:szCs w:val="32"/>
        </w:rPr>
        <w:t>部门整体（含部门预算项目）绩效自评得分为</w:t>
      </w:r>
      <w:r>
        <w:rPr>
          <w:rFonts w:hint="eastAsia" w:ascii="仿宋_GB2312" w:hAnsi="仿宋_GB2312" w:eastAsia="仿宋_GB2312" w:cs="仿宋_GB2312"/>
          <w:sz w:val="32"/>
          <w:szCs w:val="32"/>
          <w:lang w:val="en-US" w:eastAsia="zh-CN"/>
        </w:rPr>
        <w:t>92</w:t>
      </w:r>
      <w:r>
        <w:rPr>
          <w:rFonts w:hint="eastAsia" w:ascii="仿宋_GB2312" w:hAnsi="仿宋_GB2312" w:eastAsia="仿宋_GB2312" w:cs="仿宋_GB2312"/>
          <w:sz w:val="32"/>
          <w:szCs w:val="32"/>
        </w:rPr>
        <w:t>分，绩效自评综述：</w:t>
      </w:r>
      <w:r>
        <w:rPr>
          <w:rFonts w:ascii="Times New Roman" w:hAnsi="Times New Roman" w:eastAsia="仿宋_GB2312" w:cs="Times New Roman"/>
          <w:sz w:val="32"/>
          <w:szCs w:val="32"/>
          <w:lang w:bidi="ar-SA"/>
        </w:rPr>
        <w:t>一是基础教育水平稳步攀升。着力推进公办及普惠性幼儿园建设，规范幼儿园办学行为，保教质量进一步提升。促进普惠性民办幼儿园发展，发放普惠性民办幼儿园专项奖补资金524万元。严格落实“双减”政策，学生作业负担和校外培训负担全面减轻；参与课后服务的学生占比 99.06%；学科类校外培训机构从113 所压减至 6 所，压减率 94.7%，居全省前列。市七中和盐边中学合作办学，迈出县中振兴计划的第一步。2022年高考取得优异成绩，高考上线水平保持全省第一方阵。各类院校本科批次共录取我市考生5637人，比2021年增加 243人，高考录取水平保持全省第三。深入推进我市高中阶段教育改革发展，提供更加公平优质的高中阶段教育。</w:t>
      </w:r>
    </w:p>
    <w:p>
      <w:pPr>
        <w:spacing w:line="560" w:lineRule="exact"/>
        <w:ind w:firstLine="640" w:firstLineChars="200"/>
        <w:rPr>
          <w:rFonts w:ascii="Times New Roman" w:hAnsi="Times New Roman" w:eastAsia="仿宋_GB2312" w:cs="Times New Roman"/>
          <w:sz w:val="32"/>
          <w:szCs w:val="32"/>
          <w:lang w:bidi="ar-SA"/>
        </w:rPr>
      </w:pPr>
      <w:r>
        <w:rPr>
          <w:rFonts w:ascii="Times New Roman" w:hAnsi="Times New Roman" w:eastAsia="仿宋_GB2312" w:cs="Times New Roman"/>
          <w:sz w:val="32"/>
          <w:szCs w:val="32"/>
          <w:lang w:bidi="ar-SA"/>
        </w:rPr>
        <w:t>二是职业教育水平持续优化。坚持“职业技能+文化素质”协同并进，学生就业质量高。2022年，全市中职毕业生4292人，参加各类高考达3091人，共上线2778人。其中，普通高考本科上线96人，专科上线2712人，其中高职单招上线1684人。中职落实直接就业1164人，就业率98.29%,“9+3”毕业生就业率达到 100%。深入实施“1+X”证书制度试点，“学历证书+职业技能等级证书”融合培养模式得以深化。持续做好5个省级示范（特色）专业建设工作，市经贸校成为省级五星中职名校立项建设单位，市建校、技师学院成为省级四星级中职名校立项建设单位。市建筑工程学校申报为中德先进职业教育合作项目（SGAVE）首批试点院校。</w:t>
      </w:r>
    </w:p>
    <w:p>
      <w:pPr>
        <w:pStyle w:val="7"/>
        <w:spacing w:line="560" w:lineRule="exact"/>
        <w:jc w:val="both"/>
        <w:rPr>
          <w:rFonts w:ascii="Times New Roman" w:hAnsi="Times New Roman" w:eastAsia="仿宋_GB2312" w:cs="Times New Roman"/>
          <w:lang w:bidi="ar-SA"/>
        </w:rPr>
      </w:pPr>
      <w:r>
        <w:rPr>
          <w:rFonts w:ascii="Times New Roman" w:hAnsi="Times New Roman" w:eastAsia="仿宋_GB2312" w:cs="Times New Roman"/>
          <w:lang w:bidi="ar-SA"/>
        </w:rPr>
        <w:t>三是教师队伍建设不断加强。全市入选四川省第三批中小学名师工作室领衔人1人、成员26人。3名教师获评首届四川省“四有”好老师，3个集体被授予四川省体育系统先进集体，8名个人被授予四川省体育系统先进个人。认定四川省骨干教师104人，评选攀枝花市市级学科带头人118人、市级骨干教师677人，县级学科带头人83人、县级骨干教师155人。评选表扬攀枝花市第十批模范校长、优秀教师20人，各类模范、优秀教师和教育工作者491人。做好木里教育帮扶，通过送培送教、巡诊课堂、高三诊断、片区教研帮扶的成果展示等活动，培训教师和学生2531人次。制定《攀枝花市教育人才集聚支持实施细则》，吸引人才服务教育，为人才心无旁骛干事创业提供政策保障。</w:t>
      </w:r>
    </w:p>
    <w:p>
      <w:pPr>
        <w:pStyle w:val="7"/>
        <w:spacing w:line="560" w:lineRule="exact"/>
        <w:jc w:val="both"/>
        <w:rPr>
          <w:rFonts w:ascii="Times New Roman" w:hAnsi="Times New Roman" w:eastAsia="仿宋_GB2312" w:cs="Times New Roman"/>
          <w:lang w:bidi="ar-SA"/>
        </w:rPr>
      </w:pPr>
      <w:r>
        <w:rPr>
          <w:rFonts w:ascii="Times New Roman" w:hAnsi="Times New Roman" w:eastAsia="仿宋_GB2312" w:cs="Times New Roman"/>
          <w:lang w:bidi="ar-SA"/>
        </w:rPr>
        <w:t>四是教育保障能力显著提高。实施基础教育学校布局调整项目，2022年改扩建学校15个，新（扩）建校舍3.8万平方米，体育运动场地2万平方米。其中，安排公办幼儿园项目3个，中小学教学楼项目1个，综合楼项目4个，学生食堂和宿舍项目6个，体育运动场项目1个。落实城乡义务教育经费保障机制，对随迁子女按标准核定公用经费补助，保障2.6万名随迁子女入学。为5.77万名义务教育学生提供膳食补助，为1.9万名义务教育阶段家庭经济困难学生提供生活费补助，为0.52万名家庭经济困难普通高中学生发放助学金，减免非民族自治地区2.39万名幼儿保教费。</w:t>
      </w:r>
    </w:p>
    <w:p>
      <w:pPr>
        <w:spacing w:line="560" w:lineRule="exact"/>
        <w:ind w:firstLine="640" w:firstLineChars="200"/>
        <w:rPr>
          <w:rFonts w:ascii="Times New Roman" w:hAnsi="Times New Roman" w:eastAsia="仿宋_GB2312" w:cs="Times New Roman"/>
          <w:sz w:val="32"/>
          <w:szCs w:val="32"/>
          <w:lang w:bidi="ar-SA"/>
        </w:rPr>
      </w:pPr>
      <w:r>
        <w:rPr>
          <w:rFonts w:ascii="Times New Roman" w:hAnsi="Times New Roman" w:eastAsia="仿宋_GB2312" w:cs="Times New Roman"/>
          <w:sz w:val="32"/>
          <w:szCs w:val="32"/>
          <w:lang w:bidi="ar-SA"/>
        </w:rPr>
        <w:t>五是竞技体育取得新成绩。在四川省第十四届运动会上我市体育代表团取得28金24银30铜全省排名第9的优异成绩，体教融合贡献奖全省排名第5，实现了运动成绩和精神文明双丰收。参加四川省“三大球”城市联赛，女子篮球取得全省第3，女子足球进入全省前八强。成功承办了四川省第十四届运动会棒球、垒球、皮划艇激流回旋比赛。举办攀枝花市第四十一届中小学校暨中等职业学校学生田径运动会。授予思源实验学校、仁和新视窗全民健身活动中心、弗尼顿幼儿园游泳项目后备人才基地称号、市三十六中小跆拳道项目后备人才基地称号。四川省田径运动管理中心命名市十五中为田径基地校。</w:t>
      </w:r>
    </w:p>
    <w:p>
      <w:pPr>
        <w:spacing w:line="560" w:lineRule="exact"/>
        <w:ind w:firstLine="640" w:firstLineChars="200"/>
        <w:rPr>
          <w:rFonts w:ascii="Times New Roman" w:hAnsi="Times New Roman" w:eastAsia="仿宋_GB2312" w:cs="Times New Roman"/>
          <w:sz w:val="32"/>
          <w:szCs w:val="32"/>
          <w:lang w:bidi="ar-SA"/>
        </w:rPr>
      </w:pPr>
      <w:r>
        <w:rPr>
          <w:rFonts w:ascii="Times New Roman" w:hAnsi="Times New Roman" w:eastAsia="仿宋_GB2312" w:cs="Times New Roman"/>
          <w:sz w:val="32"/>
          <w:szCs w:val="32"/>
          <w:lang w:bidi="ar-SA"/>
        </w:rPr>
        <w:t>六是群众体育迈上新台阶。积极推动全民健身，把体育赛事办到群众身边，举办攀枝花市“三大球”城市联赛、2022年攀枝花市“百城千乡万村•社区”系列赛事活动等全民健身赛事活动，实现市、县区、乡镇三级联动办赛，四级联动实施。全市公共体育场馆今年累计服务群众137万人次。市民健康体育公园、“山水鞠”足球公园、市板式网球场、市体育馆改扩建工程建成投入使用。市民族体育馆的升级改造启动。东华山山地体育公园已完成一期工程示范段建设，6.8公里复合绿道及“钢的亭”观景台、“城市之眼”穹顶花园、“伴山咖啡”等景观节点力争年底开放。</w:t>
      </w:r>
    </w:p>
    <w:p>
      <w:pPr>
        <w:spacing w:line="560" w:lineRule="exact"/>
        <w:ind w:firstLine="640" w:firstLineChars="200"/>
        <w:rPr>
          <w:rFonts w:ascii="Times New Roman" w:hAnsi="Times New Roman" w:eastAsia="仿宋_GB2312" w:cs="Times New Roman"/>
          <w:sz w:val="32"/>
          <w:szCs w:val="32"/>
          <w:lang w:bidi="ar-SA"/>
        </w:rPr>
      </w:pPr>
      <w:r>
        <w:rPr>
          <w:rFonts w:ascii="Times New Roman" w:hAnsi="Times New Roman" w:eastAsia="仿宋_GB2312" w:cs="Times New Roman"/>
          <w:sz w:val="32"/>
          <w:szCs w:val="32"/>
          <w:lang w:bidi="ar-SA"/>
        </w:rPr>
        <w:t>七是体育产业呈现新气象。“三大球”振兴工作走在全省前列，得到省委、省政府和国家体育总局领导充分肯定。编制《全市体育场地设施分布图》，全市各级各类体育场地共3220个，人均体育场地面积2.07平方米。其中“三大球”场地总数为1148个，足球场101个，篮球场984个，排球场63个。全市体育类个体经营户329家、法人单位140家。今年共吸引国内外各级各项目80支运动队伍近2600人次来攀冬夏训，竞训服务业带来直接消费近3000万元。全市体彩网点231个，体育彩票销售额达到2.1亿元，市场份额占65.1%。</w:t>
      </w:r>
    </w:p>
    <w:p>
      <w:pPr>
        <w:ind w:firstLine="640" w:firstLineChars="200"/>
        <w:rPr>
          <w:rFonts w:hint="eastAsia" w:ascii="仿宋_GB2312" w:hAnsi="方正仿宋_GBK" w:eastAsia="仿宋_GB2312" w:cs="方正仿宋_GBK"/>
          <w:color w:val="auto"/>
          <w:sz w:val="32"/>
          <w:szCs w:val="32"/>
        </w:rPr>
      </w:pPr>
      <w:r>
        <w:rPr>
          <w:rFonts w:hint="eastAsia" w:ascii="仿宋_GB2312" w:hAnsi="仿宋_GB2312" w:eastAsia="仿宋_GB2312" w:cs="仿宋_GB2312"/>
          <w:sz w:val="32"/>
          <w:szCs w:val="32"/>
        </w:rPr>
        <w:t>现代职业教育质量提升计划资金专项预算项目绩效自评得分为</w:t>
      </w:r>
      <w:r>
        <w:rPr>
          <w:rFonts w:hint="eastAsia" w:ascii="仿宋_GB2312" w:hAnsi="仿宋_GB2312" w:eastAsia="仿宋_GB2312" w:cs="仿宋_GB2312"/>
          <w:sz w:val="32"/>
          <w:szCs w:val="32"/>
          <w:lang w:val="en-US" w:eastAsia="zh-CN"/>
        </w:rPr>
        <w:t>95</w:t>
      </w:r>
      <w:r>
        <w:rPr>
          <w:rFonts w:hint="eastAsia" w:ascii="仿宋_GB2312" w:hAnsi="仿宋_GB2312" w:eastAsia="仿宋_GB2312" w:cs="仿宋_GB2312"/>
          <w:sz w:val="32"/>
          <w:szCs w:val="32"/>
        </w:rPr>
        <w:t>分，绩效自评综述：</w:t>
      </w:r>
      <w:r>
        <w:rPr>
          <w:rFonts w:hint="eastAsia" w:ascii="仿宋_GB2312" w:hAnsi="方正仿宋_GBK" w:eastAsia="仿宋_GB2312" w:cs="方正仿宋_GBK"/>
          <w:color w:val="auto"/>
          <w:sz w:val="32"/>
          <w:szCs w:val="32"/>
        </w:rPr>
        <w:t>调整完善学校专业建设指导委员会，修订学校专业动态调整管理实施办法，指导专业建设，审核通过学校17个人培方案修订稿；制定修订《校企共建实训基地实施办法》《校内实训基地管理办法》《校外实训基地管理办法》《实训设备档案管理制度》等制度；规范校内实训设备管理，建立设备电子台帐和基地档案。</w:t>
      </w:r>
    </w:p>
    <w:p>
      <w:pPr>
        <w:ind w:firstLine="640" w:firstLineChars="200"/>
        <w:rPr>
          <w:rFonts w:hint="eastAsia" w:ascii="仿宋_GB2312" w:hAnsi="方正仿宋_GBK" w:eastAsia="仿宋_GB2312" w:cs="方正仿宋_GBK"/>
          <w:color w:val="auto"/>
          <w:sz w:val="32"/>
          <w:szCs w:val="32"/>
        </w:rPr>
      </w:pPr>
      <w:r>
        <w:rPr>
          <w:rFonts w:hint="eastAsia" w:ascii="仿宋_GB2312" w:hAnsi="方正仿宋_GBK" w:eastAsia="仿宋_GB2312" w:cs="方正仿宋_GBK"/>
          <w:color w:val="auto"/>
          <w:sz w:val="32"/>
          <w:szCs w:val="32"/>
        </w:rPr>
        <w:t>完善计算机应用、会计事务、中餐烹饪、汽车制造与检测等4个特色优势专业的调研报告、建设规划；建成VR虚拟体验中心和20项虚拟仿真实训项目；专业数字化教学资源达到1T，完成技能考核题库试卷100套，承接市级技能竞赛5项；对社会文化艺术专业体育、舞蹈、工艺美术专业实训基地建设开展调研报告、建设规划；开展作物生产技术，旅游服务与管理，高星级饭店运营与管理、电子技术应用等专业实训基地升级改造论证、规划，促进学校专业建设与国家战略紧密结合，专业建设与地方经济对接更加有效，多学科专业发展更加协调，产教融合更加深入。</w:t>
      </w:r>
    </w:p>
    <w:p>
      <w:pPr>
        <w:adjustRightInd w:val="0"/>
        <w:snapToGrid w:val="0"/>
        <w:spacing w:line="560" w:lineRule="exact"/>
        <w:ind w:firstLine="720"/>
        <w:rPr>
          <w:rFonts w:hint="eastAsia" w:ascii="仿宋_GB2312" w:hAnsi="方正仿宋_GBK" w:eastAsia="仿宋_GB2312" w:cs="方正仿宋_GBK"/>
          <w:color w:val="auto"/>
          <w:sz w:val="32"/>
          <w:szCs w:val="32"/>
        </w:rPr>
      </w:pPr>
      <w:r>
        <w:rPr>
          <w:rFonts w:hint="eastAsia" w:ascii="仿宋_GB2312" w:hAnsi="方正仿宋_GBK" w:eastAsia="仿宋_GB2312" w:cs="方正仿宋_GBK"/>
          <w:color w:val="auto"/>
          <w:sz w:val="32"/>
          <w:szCs w:val="32"/>
        </w:rPr>
        <w:t>制定“一贯通、三融入、四能力”课程体系实施方案；制定了学校教研活动管理办法，提高教研活动成效；推进现代学徒制试点工作，现有计算机应用专业42人次现代学徒制学生；制定《教材征订编制管理办法》，确定了10本新型教材建设计划，主编或参与编写十四五省级规划教材3本；预计年底修订完成10门专业核心课程标准；制定教学资源库完善计划，预计本年度完成20门在线课程教学资源建设。</w:t>
      </w:r>
    </w:p>
    <w:p>
      <w:pPr>
        <w:ind w:firstLine="640" w:firstLineChars="200"/>
        <w:rPr>
          <w:rFonts w:hint="eastAsia"/>
          <w:lang w:val="zh-CN"/>
        </w:rPr>
      </w:pPr>
      <w:r>
        <w:rPr>
          <w:rFonts w:hint="eastAsia" w:ascii="仿宋_GB2312" w:hAnsi="方正仿宋_GBK" w:eastAsia="仿宋_GB2312" w:cs="方正仿宋_GBK"/>
          <w:color w:val="auto"/>
          <w:sz w:val="32"/>
          <w:szCs w:val="32"/>
        </w:rPr>
        <w:t>服务区域经济发展，打造区域性技能培训中心。服务攀枝花特色农业开展攀果栽培、菌类培育等培训；结合攀枝花大力发展的阳光康养、清洁能源产业开展烹饪、酒店、康养、物联网、新能源汽车项目培训，承接农村基层干部政务礼仪培训方案；承接盐边餐饮名店名菜升级建设指导工作，指导盐边名菜评选；继续推进“1+X”证书试点和技能等级认定工作。积极开展“1+X”证书试点专业师资培养，目前具有“1+X”证书培养资质和能力的教师18名，共有8证书培养项目。本年度目前“1+X”证书考核通过率为96.67%，较上年95.93%有所提升。技能等级认定577人次。</w:t>
      </w:r>
    </w:p>
    <w:p>
      <w:pPr>
        <w:widowControl/>
        <w:jc w:val="left"/>
        <w:rPr>
          <w:rFonts w:ascii="仿宋_GB2312" w:eastAsia="仿宋_GB2312"/>
          <w:b/>
          <w:sz w:val="32"/>
          <w:szCs w:val="32"/>
        </w:rPr>
      </w:pPr>
      <w:r>
        <w:rPr>
          <w:rFonts w:hint="eastAsia" w:ascii="仿宋_GB2312" w:hAnsi="仿宋_GB2312" w:eastAsia="仿宋_GB2312" w:cs="仿宋_GB2312"/>
          <w:sz w:val="32"/>
          <w:szCs w:val="32"/>
        </w:rPr>
        <w:t>绩效自评报告详见附件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ascii="仿宋_GB2312" w:eastAsia="仿宋_GB2312"/>
          <w:b/>
          <w:sz w:val="32"/>
          <w:szCs w:val="32"/>
        </w:rPr>
        <w:br w:type="page"/>
      </w:r>
    </w:p>
    <w:p>
      <w:pPr>
        <w:numPr>
          <w:ilvl w:val="0"/>
          <w:numId w:val="4"/>
        </w:numPr>
        <w:spacing w:line="600" w:lineRule="exact"/>
        <w:ind w:firstLine="660" w:firstLineChars="150"/>
        <w:jc w:val="center"/>
        <w:outlineLvl w:val="0"/>
        <w:rPr>
          <w:rStyle w:val="30"/>
          <w:rFonts w:ascii="黑体" w:hAnsi="黑体" w:eastAsia="黑体"/>
          <w:b w:val="0"/>
        </w:rPr>
      </w:pPr>
      <w:bookmarkStart w:id="53" w:name="_Toc15396613"/>
      <w:bookmarkStart w:id="54" w:name="_Toc15377225"/>
      <w:r>
        <w:rPr>
          <w:rFonts w:hint="eastAsia" w:ascii="黑体" w:hAnsi="黑体" w:eastAsia="黑体"/>
          <w:sz w:val="44"/>
          <w:szCs w:val="44"/>
        </w:rPr>
        <w:t>名</w:t>
      </w:r>
      <w:r>
        <w:rPr>
          <w:rStyle w:val="30"/>
          <w:rFonts w:hint="eastAsia" w:ascii="黑体" w:hAnsi="黑体" w:eastAsia="黑体"/>
          <w:b w:val="0"/>
        </w:rPr>
        <w:t>词解释</w:t>
      </w:r>
      <w:bookmarkEnd w:id="53"/>
      <w:bookmarkEnd w:id="54"/>
    </w:p>
    <w:p>
      <w:pPr>
        <w:spacing w:line="600" w:lineRule="exact"/>
        <w:jc w:val="left"/>
        <w:rPr>
          <w:rFonts w:ascii="宋体"/>
          <w:b/>
          <w:sz w:val="44"/>
          <w:szCs w:val="44"/>
        </w:rPr>
      </w:pPr>
    </w:p>
    <w:p>
      <w:pPr>
        <w:widowControl/>
        <w:spacing w:line="560" w:lineRule="exact"/>
        <w:ind w:firstLine="660"/>
        <w:rPr>
          <w:rFonts w:ascii="仿宋_GB2312" w:eastAsia="仿宋_GB2312"/>
          <w:sz w:val="32"/>
          <w:szCs w:val="32"/>
        </w:rPr>
      </w:pPr>
      <w:bookmarkStart w:id="55" w:name="_Toc15377226"/>
      <w:r>
        <w:rPr>
          <w:rFonts w:ascii="仿宋_GB2312" w:eastAsia="仿宋_GB2312" w:cs="仿宋_GB2312"/>
          <w:sz w:val="32"/>
          <w:szCs w:val="32"/>
        </w:rPr>
        <w:t>1.</w:t>
      </w:r>
      <w:r>
        <w:rPr>
          <w:rFonts w:hint="eastAsia" w:ascii="仿宋_GB2312" w:eastAsia="仿宋_GB2312" w:cs="仿宋_GB2312"/>
          <w:sz w:val="32"/>
          <w:szCs w:val="32"/>
        </w:rPr>
        <w:t>财政拨款收入：指单位从同级财政部门取得的财政预算资金。</w:t>
      </w:r>
    </w:p>
    <w:p>
      <w:pPr>
        <w:widowControl/>
        <w:spacing w:line="560" w:lineRule="exact"/>
        <w:ind w:firstLine="660"/>
        <w:rPr>
          <w:rFonts w:ascii="仿宋_GB2312" w:eastAsia="仿宋_GB2312" w:cs="仿宋_GB2312"/>
          <w:sz w:val="32"/>
          <w:szCs w:val="32"/>
        </w:rPr>
      </w:pPr>
      <w:r>
        <w:rPr>
          <w:rFonts w:ascii="仿宋_GB2312" w:eastAsia="仿宋_GB2312" w:cs="仿宋_GB2312"/>
          <w:sz w:val="32"/>
          <w:szCs w:val="32"/>
        </w:rPr>
        <w:t>2.</w:t>
      </w:r>
      <w:r>
        <w:rPr>
          <w:rFonts w:hint="eastAsia" w:ascii="仿宋_GB2312" w:eastAsia="仿宋_GB2312" w:cs="仿宋_GB2312"/>
          <w:sz w:val="32"/>
          <w:szCs w:val="32"/>
        </w:rPr>
        <w:t>其他收入：指单位取得的除上述收入以外的各项收入。主要是利息收入、除财政外其他相关单位拨款等。</w:t>
      </w:r>
      <w:r>
        <w:rPr>
          <w:rFonts w:ascii="仿宋_GB2312" w:eastAsia="仿宋_GB2312" w:cs="仿宋_GB2312"/>
          <w:sz w:val="32"/>
          <w:szCs w:val="32"/>
        </w:rPr>
        <w:t xml:space="preserve"> </w:t>
      </w:r>
    </w:p>
    <w:p>
      <w:pPr>
        <w:widowControl/>
        <w:spacing w:line="560" w:lineRule="exact"/>
        <w:ind w:firstLine="660"/>
        <w:rPr>
          <w:rFonts w:ascii="仿宋_GB2312" w:eastAsia="仿宋_GB2312"/>
          <w:sz w:val="32"/>
          <w:szCs w:val="32"/>
        </w:rPr>
      </w:pPr>
      <w:r>
        <w:rPr>
          <w:rFonts w:ascii="仿宋_GB2312" w:eastAsia="仿宋_GB2312" w:cs="仿宋_GB2312"/>
          <w:sz w:val="32"/>
          <w:szCs w:val="32"/>
        </w:rPr>
        <w:t>3.</w:t>
      </w:r>
      <w:r>
        <w:rPr>
          <w:rFonts w:hint="eastAsia" w:ascii="仿宋_GB2312" w:eastAsia="仿宋_GB2312" w:cs="仿宋_GB2312"/>
          <w:sz w:val="32"/>
          <w:szCs w:val="32"/>
        </w:rPr>
        <w:t>年初结转和结余：指以前年度尚未完成、结转到本年按有关规定继续使用的资金。</w:t>
      </w:r>
    </w:p>
    <w:p>
      <w:pPr>
        <w:widowControl/>
        <w:spacing w:line="560" w:lineRule="exact"/>
        <w:ind w:firstLine="660"/>
        <w:rPr>
          <w:rFonts w:ascii="仿宋_GB2312" w:eastAsia="仿宋_GB2312"/>
          <w:sz w:val="32"/>
          <w:szCs w:val="32"/>
        </w:rPr>
      </w:pPr>
      <w:r>
        <w:rPr>
          <w:rFonts w:ascii="仿宋_GB2312" w:eastAsia="仿宋_GB2312" w:cs="仿宋_GB2312"/>
          <w:sz w:val="32"/>
          <w:szCs w:val="32"/>
        </w:rPr>
        <w:t>4.</w:t>
      </w:r>
      <w:r>
        <w:rPr>
          <w:rFonts w:hint="eastAsia" w:ascii="仿宋_GB2312" w:eastAsia="仿宋_GB2312" w:cs="仿宋_GB2312"/>
          <w:sz w:val="32"/>
          <w:szCs w:val="32"/>
        </w:rPr>
        <w:t>年末结转和结余：指单位按有关规定结转到下年或以后年度继续使用的资金。</w:t>
      </w:r>
    </w:p>
    <w:p>
      <w:pPr>
        <w:widowControl/>
        <w:spacing w:line="560" w:lineRule="exact"/>
        <w:ind w:firstLine="660"/>
        <w:rPr>
          <w:rFonts w:ascii="仿宋_GB2312" w:eastAsia="仿宋_GB2312"/>
          <w:sz w:val="32"/>
          <w:szCs w:val="32"/>
        </w:rPr>
      </w:pPr>
      <w:r>
        <w:rPr>
          <w:rFonts w:ascii="仿宋_GB2312" w:eastAsia="仿宋_GB2312" w:cs="仿宋_GB2312"/>
          <w:sz w:val="32"/>
          <w:szCs w:val="32"/>
        </w:rPr>
        <w:t>5.</w:t>
      </w:r>
      <w:r>
        <w:rPr>
          <w:rFonts w:hint="eastAsia" w:ascii="仿宋_GB2312" w:eastAsia="仿宋_GB2312" w:cs="仿宋_GB2312"/>
          <w:sz w:val="32"/>
          <w:szCs w:val="32"/>
        </w:rPr>
        <w:t>一般公共服务（类）发展与改革事务（款）战略规划与实施（项）：指反应拟定并组织实施国民经济和社会发展战略、中长期规划和年度计划，实施宏观管理与调控等方面的支出。一般公共服务（类）组织事务（款）其他组织事务支出（项）：指其他用于中国共产党组织部门的事业支出。</w:t>
      </w:r>
    </w:p>
    <w:p>
      <w:pPr>
        <w:widowControl/>
        <w:spacing w:line="560" w:lineRule="exact"/>
        <w:ind w:firstLine="660"/>
        <w:rPr>
          <w:rFonts w:ascii="仿宋_GB2312" w:eastAsia="仿宋_GB2312"/>
          <w:sz w:val="32"/>
          <w:szCs w:val="32"/>
        </w:rPr>
      </w:pPr>
      <w:r>
        <w:rPr>
          <w:rFonts w:ascii="仿宋_GB2312" w:eastAsia="仿宋_GB2312" w:cs="仿宋_GB2312"/>
          <w:sz w:val="32"/>
          <w:szCs w:val="32"/>
        </w:rPr>
        <w:t>6.</w:t>
      </w:r>
      <w:r>
        <w:rPr>
          <w:rFonts w:hint="eastAsia" w:ascii="仿宋_GB2312" w:eastAsia="仿宋_GB2312" w:cs="仿宋_GB2312"/>
          <w:sz w:val="32"/>
          <w:szCs w:val="32"/>
        </w:rPr>
        <w:t>教育（类）教育管理事务（款）行政运行（项）：指反映行政单位（包括实行公务员管理的事业单位）教育方面的基本支出。教育（类）教育管理事务（款）一般行政管理事务（项）：指反映行政单位（包括实行公务员管理的事业单位）未单独设置项级科目的其他项目支出。教育（类）教育管理事务（款）其他教育管理事务支出（项）：指其他用于教育管理事务方面的支出。教育（类）普通教育（款）学前教育（项）：指各部门举办的学前教育支出。教育（类）普通教育（款）初中教育（项）指</w:t>
      </w:r>
      <w:r>
        <w:rPr>
          <w:rFonts w:ascii="仿宋_GB2312" w:eastAsia="仿宋_GB2312" w:cs="仿宋_GB2312"/>
          <w:sz w:val="32"/>
          <w:szCs w:val="32"/>
        </w:rPr>
        <w:t xml:space="preserve">: </w:t>
      </w:r>
      <w:r>
        <w:rPr>
          <w:rFonts w:hint="eastAsia" w:ascii="仿宋_GB2312" w:eastAsia="仿宋_GB2312" w:cs="仿宋_GB2312"/>
          <w:sz w:val="32"/>
          <w:szCs w:val="32"/>
        </w:rPr>
        <w:t>教育类普通教育款初中教育支出项。教育（类）普通教育（款）高中教育（项）：反映各部门举办的高级中学教育支出。政府各部门对社会中介组织等举办的高级中学的资助，如捐赠、补贴等，也在本科目中反映。教育（类）普通教育（款）其他普通教育支出（项）：其他用于普通教育方面的支出。教育支出（类）职业教育（款）中专教育（项）：反映各部门中等专业学校的支出。教育支出（类）职业教育（款）其他职业教育支出（项）：指其他用于职业教育方面的支出。教育支出（类）广播电视教育（款）广播电视学校（项）：反映各部门举办广播电视学校的支出。教育（类）特殊教育（款）特殊学校教育（项）：反映举办盲童学校、聋哑学校、智力落后儿童学校、其他生理缺陷儿童学校的支出。教育（类）特殊教育（款）其他特殊教育支出（项）：反映除举办盲童学校、聋哑学校、智力落后儿童学校、其他生理缺陷儿童学校及工读学校外其他用于特殊教育方面的支出。教育（类）教育附加安排的支出（款）其他教育附加安排的支出（项）</w:t>
      </w:r>
      <w:r>
        <w:rPr>
          <w:rFonts w:ascii="仿宋_GB2312" w:eastAsia="仿宋_GB2312" w:cs="仿宋_GB2312"/>
          <w:sz w:val="32"/>
          <w:szCs w:val="32"/>
        </w:rPr>
        <w:t>:</w:t>
      </w:r>
      <w:r>
        <w:rPr>
          <w:rFonts w:hint="eastAsia" w:ascii="仿宋_GB2312" w:eastAsia="仿宋_GB2312" w:cs="仿宋_GB2312"/>
          <w:sz w:val="32"/>
          <w:szCs w:val="32"/>
        </w:rPr>
        <w:t>反映除农村中小学校舍建设、农村中小学教学设施、城市中小学校舍建设、城市中小学教学设施、中等职业学校教学设施以外的教育费附加支出。教育（类）其他教育支出（款）其他教育支出（项）：其他用于教育方面的支出。</w:t>
      </w:r>
    </w:p>
    <w:p>
      <w:pPr>
        <w:widowControl/>
        <w:spacing w:line="560" w:lineRule="exact"/>
        <w:ind w:firstLine="660"/>
        <w:rPr>
          <w:rFonts w:ascii="仿宋_GB2312" w:eastAsia="仿宋_GB2312"/>
          <w:sz w:val="32"/>
          <w:szCs w:val="32"/>
        </w:rPr>
      </w:pPr>
      <w:r>
        <w:rPr>
          <w:rFonts w:ascii="仿宋_GB2312" w:eastAsia="仿宋_GB2312" w:cs="仿宋_GB2312"/>
          <w:sz w:val="32"/>
          <w:szCs w:val="32"/>
        </w:rPr>
        <w:t>7.</w:t>
      </w:r>
      <w:r>
        <w:rPr>
          <w:rFonts w:hint="eastAsia" w:ascii="仿宋_GB2312" w:eastAsia="仿宋_GB2312" w:cs="仿宋_GB2312"/>
          <w:sz w:val="32"/>
          <w:szCs w:val="32"/>
        </w:rPr>
        <w:t>文化体育与传媒（类）体育（款）行政运行（项）：指反映行政单位（包括实行公务员管理的事业单位）体育方面的基本支出。文化体育与传媒（类）体育（款）一般行政管理事务（项）：指反映行政单位（包括实行公务员管理的事业单位）未单独设置项级科目的其他项目支出。文化体育与传媒（类）体育（款）体育竞赛（项）：反映综合性运动会及单项体育比赛支出。文化体育与传媒（类）体育（款）体育训练（项）：反映各级体育运动队训练补助及器材购置等方面的支出。文化体育与传媒（类）体育（款）体育场馆（项）：指反映体育场馆建设及维护等方面的支出。文化体育与传媒（类）体育（款）群众体育（项）：反映业余体校和全民健身等群众体育活动方面的支出。文化体育与传媒（类）体育（款）其他体育支出（项）：指反映除上述项目以外的其他体育方面的支出。文化体育与传媒（类）其他文化体育与传媒支出（款）其他文化体育与传媒支出（项）：指反映除上述项目以外的其他文化体育与传媒方面的支出。</w:t>
      </w:r>
    </w:p>
    <w:p>
      <w:pPr>
        <w:widowControl/>
        <w:spacing w:line="560" w:lineRule="exact"/>
        <w:ind w:firstLine="660"/>
        <w:rPr>
          <w:rFonts w:ascii="仿宋_GB2312" w:eastAsia="仿宋_GB2312"/>
          <w:sz w:val="32"/>
          <w:szCs w:val="32"/>
        </w:rPr>
      </w:pPr>
      <w:r>
        <w:rPr>
          <w:rFonts w:ascii="仿宋_GB2312" w:eastAsia="仿宋_GB2312" w:cs="仿宋_GB2312"/>
          <w:sz w:val="32"/>
          <w:szCs w:val="32"/>
        </w:rPr>
        <w:t>8.</w:t>
      </w:r>
      <w:r>
        <w:rPr>
          <w:rFonts w:hint="eastAsia" w:ascii="仿宋_GB2312" w:eastAsia="仿宋_GB2312" w:cs="仿宋_GB2312"/>
          <w:sz w:val="32"/>
          <w:szCs w:val="32"/>
        </w:rPr>
        <w:t>社会保障和就业（类）人力资源和社会保障管理事务（款）其他人力资源和社会保障管理事务支出（项）</w:t>
      </w:r>
      <w:r>
        <w:rPr>
          <w:rFonts w:ascii="仿宋_GB2312" w:eastAsia="仿宋_GB2312" w:cs="仿宋_GB2312"/>
          <w:sz w:val="32"/>
          <w:szCs w:val="32"/>
        </w:rPr>
        <w:t>:</w:t>
      </w:r>
      <w:r>
        <w:rPr>
          <w:rFonts w:hint="eastAsia" w:ascii="仿宋_GB2312" w:eastAsia="仿宋_GB2312" w:cs="仿宋_GB2312"/>
          <w:sz w:val="32"/>
          <w:szCs w:val="32"/>
        </w:rPr>
        <w:t>其他用于人力资源和社会保障管理事务方面的支出。社会保障和就业（类）行政事业单位离退休（款）未归口管理的行政事业单位离退休（项）</w:t>
      </w:r>
      <w:r>
        <w:rPr>
          <w:rFonts w:ascii="仿宋_GB2312" w:eastAsia="仿宋_GB2312" w:cs="仿宋_GB2312"/>
          <w:sz w:val="32"/>
          <w:szCs w:val="32"/>
        </w:rPr>
        <w:t>:</w:t>
      </w:r>
      <w:r>
        <w:rPr>
          <w:rFonts w:hint="eastAsia" w:ascii="仿宋_GB2312" w:eastAsia="仿宋_GB2312" w:cs="仿宋_GB2312"/>
          <w:sz w:val="32"/>
          <w:szCs w:val="32"/>
        </w:rPr>
        <w:t>反映未实行归口管理的行政单位（包括实行公务员管理的事业单位）开支的离退休支出。社会保障和就业（类）行政事业单位离退休（款）机关事业单位基本养老保险缴费支出（项）：反映机关事业单位实施养老保险制度由单位缴纳的基本养老保险费支出。社会保障和就业（类）抚恤（款）死亡抚恤（项）：反映按规定用于烈士和牺牲、病故人员家属的一次性和定期抚恤金以及丧葬补助费。社会保障和就业（类）社会福利（款）儿童福利（项）：反映对儿童提供福利服务方面的支出。社会保障和就业（类）残疾人事业（款）残疾人就业和扶贫（项）：反映残疾人联合会用于残疾人就业和扶贫等方面的工作。</w:t>
      </w:r>
    </w:p>
    <w:p>
      <w:pPr>
        <w:widowControl/>
        <w:spacing w:line="560" w:lineRule="exact"/>
        <w:ind w:firstLine="660"/>
        <w:rPr>
          <w:rFonts w:ascii="仿宋_GB2312" w:eastAsia="仿宋_GB2312"/>
          <w:sz w:val="32"/>
          <w:szCs w:val="32"/>
        </w:rPr>
      </w:pPr>
      <w:r>
        <w:rPr>
          <w:rFonts w:ascii="仿宋_GB2312" w:eastAsia="仿宋_GB2312" w:cs="仿宋_GB2312"/>
          <w:sz w:val="32"/>
          <w:szCs w:val="32"/>
        </w:rPr>
        <w:t>9.</w:t>
      </w:r>
      <w:r>
        <w:rPr>
          <w:rFonts w:hint="eastAsia" w:ascii="仿宋_GB2312" w:eastAsia="仿宋_GB2312" w:cs="仿宋_GB2312"/>
          <w:sz w:val="32"/>
          <w:szCs w:val="32"/>
        </w:rPr>
        <w:t>医疗卫生与计划生育支出（类）公共卫生（款）重大公共卫生专项（项）：反映重大疾病预防控制等重大公共卫生服务项目支出。医疗卫生与计划生育支出（类）医疗保障（款）其他医疗保障支出（项）：其他用于医疗保障方面的支出。</w:t>
      </w:r>
    </w:p>
    <w:p>
      <w:pPr>
        <w:widowControl/>
        <w:spacing w:line="560" w:lineRule="exact"/>
        <w:ind w:firstLine="660"/>
        <w:rPr>
          <w:rFonts w:ascii="仿宋_GB2312" w:eastAsia="仿宋_GB2312"/>
          <w:sz w:val="32"/>
          <w:szCs w:val="32"/>
        </w:rPr>
      </w:pPr>
      <w:r>
        <w:rPr>
          <w:rFonts w:ascii="仿宋_GB2312" w:eastAsia="仿宋_GB2312" w:cs="仿宋_GB2312"/>
          <w:sz w:val="32"/>
          <w:szCs w:val="32"/>
        </w:rPr>
        <w:t>10.</w:t>
      </w:r>
      <w:r>
        <w:rPr>
          <w:rFonts w:hint="eastAsia" w:ascii="仿宋_GB2312" w:eastAsia="仿宋_GB2312" w:cs="仿宋_GB2312"/>
          <w:sz w:val="32"/>
          <w:szCs w:val="32"/>
        </w:rPr>
        <w:t>城乡社区支出（类）国有土地使用权出让收入及对应专项债务收入安排的支出（款）城市建设支出（项）：反映土地出让收入用于完善国有土地使用功能的配套设施建设和城市基础设施建设支出。</w:t>
      </w:r>
    </w:p>
    <w:p>
      <w:pPr>
        <w:widowControl/>
        <w:spacing w:line="560" w:lineRule="exact"/>
        <w:ind w:firstLine="660"/>
        <w:rPr>
          <w:rFonts w:ascii="仿宋_GB2312" w:eastAsia="仿宋_GB2312"/>
          <w:sz w:val="32"/>
          <w:szCs w:val="32"/>
        </w:rPr>
      </w:pPr>
      <w:r>
        <w:rPr>
          <w:rFonts w:ascii="仿宋_GB2312" w:eastAsia="仿宋_GB2312" w:cs="仿宋_GB2312"/>
          <w:sz w:val="32"/>
          <w:szCs w:val="32"/>
        </w:rPr>
        <w:t>11.</w:t>
      </w:r>
      <w:r>
        <w:rPr>
          <w:rFonts w:hint="eastAsia" w:ascii="仿宋_GB2312" w:eastAsia="仿宋_GB2312" w:cs="仿宋_GB2312"/>
          <w:sz w:val="32"/>
          <w:szCs w:val="32"/>
        </w:rPr>
        <w:t>住房保障（类）保障性安居工程支出（款）公共租赁住房（项）：反映用于新建、改建、购买、租赁公共租赁住房支出。住房保障（类）住房改革支出（款）住房公积金（项）：指反映行政事业单位按人力资源和社会保障部、财政部规定的基本工资和津贴补贴以及规定比列为职工缴纳的住房公积金</w:t>
      </w:r>
    </w:p>
    <w:p>
      <w:pPr>
        <w:widowControl/>
        <w:spacing w:line="560" w:lineRule="exact"/>
        <w:ind w:firstLine="660"/>
        <w:rPr>
          <w:rFonts w:ascii="仿宋_GB2312" w:eastAsia="仿宋_GB2312"/>
          <w:sz w:val="32"/>
          <w:szCs w:val="32"/>
        </w:rPr>
      </w:pPr>
      <w:r>
        <w:rPr>
          <w:rFonts w:ascii="仿宋_GB2312" w:eastAsia="仿宋_GB2312" w:cs="仿宋_GB2312"/>
          <w:sz w:val="32"/>
          <w:szCs w:val="32"/>
        </w:rPr>
        <w:t>12.</w:t>
      </w:r>
      <w:r>
        <w:rPr>
          <w:rFonts w:hint="eastAsia" w:ascii="仿宋_GB2312" w:eastAsia="仿宋_GB2312" w:cs="仿宋_GB2312"/>
          <w:sz w:val="32"/>
          <w:szCs w:val="32"/>
        </w:rPr>
        <w:t>其他支出（类）彩票公益金及对应专项债务收入安排的支出（款）用于体育事业的彩票公益金支出（项）：反映用于体育事业的彩票公益金支出。</w:t>
      </w:r>
    </w:p>
    <w:p>
      <w:pPr>
        <w:widowControl/>
        <w:spacing w:line="560" w:lineRule="exact"/>
        <w:ind w:firstLine="660"/>
        <w:rPr>
          <w:rFonts w:ascii="仿宋_GB2312" w:eastAsia="仿宋_GB2312"/>
          <w:sz w:val="32"/>
          <w:szCs w:val="32"/>
        </w:rPr>
      </w:pPr>
      <w:r>
        <w:rPr>
          <w:rFonts w:ascii="仿宋_GB2312" w:eastAsia="仿宋_GB2312" w:cs="仿宋_GB2312"/>
          <w:sz w:val="32"/>
          <w:szCs w:val="32"/>
        </w:rPr>
        <w:t>13.</w:t>
      </w:r>
      <w:r>
        <w:rPr>
          <w:rFonts w:hint="eastAsia" w:ascii="仿宋_GB2312" w:eastAsia="仿宋_GB2312" w:cs="仿宋_GB2312"/>
          <w:sz w:val="32"/>
          <w:szCs w:val="32"/>
        </w:rPr>
        <w:t>年末结转和结余指单位按有关规定结转到下年或以后年度继续使用的资金。</w:t>
      </w:r>
    </w:p>
    <w:p>
      <w:pPr>
        <w:widowControl/>
        <w:spacing w:line="560" w:lineRule="exact"/>
        <w:ind w:firstLine="660"/>
        <w:rPr>
          <w:rFonts w:ascii="仿宋_GB2312" w:eastAsia="仿宋_GB2312"/>
          <w:sz w:val="32"/>
          <w:szCs w:val="32"/>
        </w:rPr>
      </w:pPr>
      <w:r>
        <w:rPr>
          <w:rFonts w:ascii="仿宋_GB2312" w:eastAsia="仿宋_GB2312" w:cs="仿宋_GB2312"/>
          <w:sz w:val="32"/>
          <w:szCs w:val="32"/>
        </w:rPr>
        <w:t>14.</w:t>
      </w:r>
      <w:r>
        <w:rPr>
          <w:rFonts w:hint="eastAsia" w:ascii="仿宋_GB2312" w:eastAsia="仿宋_GB2312" w:cs="仿宋_GB2312"/>
          <w:sz w:val="32"/>
          <w:szCs w:val="32"/>
        </w:rPr>
        <w:t>基本支出：指为保障机构正常运转、完成日常工作任务而发生的人员支出和公用支出。</w:t>
      </w:r>
    </w:p>
    <w:p>
      <w:pPr>
        <w:widowControl/>
        <w:spacing w:line="560" w:lineRule="exact"/>
        <w:ind w:firstLine="660"/>
        <w:rPr>
          <w:rFonts w:ascii="仿宋_GB2312" w:eastAsia="仿宋_GB2312" w:cs="仿宋_GB2312"/>
          <w:sz w:val="32"/>
          <w:szCs w:val="32"/>
        </w:rPr>
      </w:pPr>
      <w:r>
        <w:rPr>
          <w:rFonts w:ascii="仿宋_GB2312" w:eastAsia="仿宋_GB2312" w:cs="仿宋_GB2312"/>
          <w:sz w:val="32"/>
          <w:szCs w:val="32"/>
        </w:rPr>
        <w:t>15.</w:t>
      </w:r>
      <w:r>
        <w:rPr>
          <w:rFonts w:hint="eastAsia" w:ascii="仿宋_GB2312" w:eastAsia="仿宋_GB2312" w:cs="仿宋_GB2312"/>
          <w:sz w:val="32"/>
          <w:szCs w:val="32"/>
        </w:rPr>
        <w:t>项目支出：指在基本支出之外为完成特定行政任务和事业发展目标所发生的支出。</w:t>
      </w:r>
      <w:r>
        <w:rPr>
          <w:rFonts w:ascii="仿宋_GB2312" w:eastAsia="仿宋_GB2312" w:cs="仿宋_GB2312"/>
          <w:sz w:val="32"/>
          <w:szCs w:val="32"/>
        </w:rPr>
        <w:t xml:space="preserve"> </w:t>
      </w:r>
    </w:p>
    <w:p>
      <w:pPr>
        <w:widowControl/>
        <w:spacing w:line="560" w:lineRule="exact"/>
        <w:ind w:firstLine="660"/>
        <w:rPr>
          <w:rFonts w:ascii="仿宋_GB2312" w:eastAsia="仿宋_GB2312"/>
          <w:sz w:val="32"/>
          <w:szCs w:val="32"/>
        </w:rPr>
      </w:pPr>
      <w:r>
        <w:rPr>
          <w:rFonts w:ascii="仿宋_GB2312" w:eastAsia="仿宋_GB2312" w:cs="仿宋_GB2312"/>
          <w:sz w:val="32"/>
          <w:szCs w:val="32"/>
        </w:rPr>
        <w:t>16.</w:t>
      </w:r>
      <w:r>
        <w:rPr>
          <w:rFonts w:ascii="仿宋_GB2312" w:eastAsia="仿宋_GB2312"/>
          <w:sz w:val="32"/>
          <w:szCs w:val="32"/>
        </w:rPr>
        <w:t>“</w:t>
      </w:r>
      <w:r>
        <w:rPr>
          <w:rFonts w:hint="eastAsia" w:ascii="仿宋_GB2312" w:eastAsia="仿宋_GB2312" w:cs="仿宋_GB2312"/>
          <w:sz w:val="32"/>
          <w:szCs w:val="32"/>
        </w:rPr>
        <w:t>三公</w:t>
      </w:r>
      <w:r>
        <w:rPr>
          <w:rFonts w:ascii="仿宋_GB2312" w:eastAsia="仿宋_GB2312"/>
          <w:sz w:val="32"/>
          <w:szCs w:val="32"/>
        </w:rPr>
        <w:t>”</w:t>
      </w:r>
      <w:r>
        <w:rPr>
          <w:rFonts w:hint="eastAsia" w:ascii="仿宋_GB2312" w:eastAsia="仿宋_GB2312" w:cs="仿宋_GB2312"/>
          <w:sz w:val="32"/>
          <w:szCs w:val="32"/>
        </w:rPr>
        <w:t>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widowControl/>
        <w:spacing w:line="560" w:lineRule="exact"/>
        <w:ind w:firstLine="660"/>
        <w:rPr>
          <w:rFonts w:ascii="仿宋" w:hAnsi="仿宋" w:eastAsia="仿宋"/>
          <w:b/>
          <w:sz w:val="32"/>
          <w:szCs w:val="32"/>
        </w:rPr>
      </w:pPr>
      <w:r>
        <w:rPr>
          <w:rFonts w:ascii="仿宋_GB2312" w:eastAsia="仿宋_GB2312" w:cs="仿宋_GB2312"/>
          <w:sz w:val="32"/>
          <w:szCs w:val="32"/>
        </w:rPr>
        <w:t>17.</w:t>
      </w:r>
      <w:r>
        <w:rPr>
          <w:rFonts w:hint="eastAsia" w:ascii="仿宋_GB2312" w:eastAsia="仿宋_GB2312" w:cs="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30"/>
          <w:rFonts w:ascii="黑体" w:hAnsi="黑体" w:eastAsia="黑体"/>
          <w:b w:val="0"/>
        </w:rPr>
      </w:pPr>
      <w:r>
        <w:rPr>
          <w:rFonts w:ascii="宋体"/>
          <w:b/>
          <w:sz w:val="44"/>
          <w:szCs w:val="44"/>
        </w:rPr>
        <w:br w:type="page"/>
      </w:r>
      <w:bookmarkStart w:id="56" w:name="_Toc15396614"/>
      <w:r>
        <w:rPr>
          <w:rFonts w:hint="eastAsia" w:ascii="黑体" w:hAnsi="黑体" w:eastAsia="黑体"/>
          <w:sz w:val="44"/>
          <w:szCs w:val="44"/>
        </w:rPr>
        <w:t>第</w:t>
      </w:r>
      <w:r>
        <w:rPr>
          <w:rStyle w:val="30"/>
          <w:rFonts w:hint="eastAsia" w:ascii="黑体" w:hAnsi="黑体" w:eastAsia="黑体"/>
          <w:b w:val="0"/>
        </w:rPr>
        <w:t>四部分 附件</w:t>
      </w:r>
      <w:bookmarkEnd w:id="56"/>
    </w:p>
    <w:p>
      <w:pPr>
        <w:spacing w:line="572" w:lineRule="exact"/>
        <w:jc w:val="left"/>
        <w:outlineLvl w:val="0"/>
        <w:rPr>
          <w:rFonts w:hint="eastAsia" w:ascii="方正小标宋简体" w:hAnsi="方正小标宋简体" w:eastAsia="黑体" w:cs="方正小标宋简体"/>
          <w:sz w:val="44"/>
          <w:szCs w:val="44"/>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widowControl/>
        <w:spacing w:line="560" w:lineRule="exact"/>
        <w:contextualSpacing/>
        <w:jc w:val="center"/>
        <w:rPr>
          <w:rFonts w:ascii="宋体" w:hAnsi="宋体"/>
          <w:b/>
          <w:sz w:val="32"/>
          <w:szCs w:val="32"/>
          <w:shd w:val="clear" w:color="auto" w:fill="FFFFFF"/>
        </w:rPr>
      </w:pPr>
      <w:r>
        <w:rPr>
          <w:rFonts w:hint="eastAsia" w:ascii="宋体" w:hAnsi="宋体"/>
          <w:b/>
          <w:sz w:val="32"/>
          <w:szCs w:val="32"/>
          <w:shd w:val="clear" w:color="auto" w:fill="FFFFFF"/>
        </w:rPr>
        <w:t>202</w:t>
      </w:r>
      <w:r>
        <w:rPr>
          <w:rFonts w:hint="eastAsia" w:ascii="宋体" w:hAnsi="宋体"/>
          <w:b/>
          <w:sz w:val="32"/>
          <w:szCs w:val="32"/>
          <w:shd w:val="clear" w:color="auto" w:fill="FFFFFF"/>
          <w:lang w:val="en-US" w:eastAsia="zh-CN"/>
        </w:rPr>
        <w:t>2</w:t>
      </w:r>
      <w:r>
        <w:rPr>
          <w:rFonts w:hint="eastAsia" w:ascii="宋体" w:hAnsi="宋体"/>
          <w:b/>
          <w:sz w:val="32"/>
          <w:szCs w:val="32"/>
          <w:shd w:val="clear" w:color="auto" w:fill="FFFFFF"/>
        </w:rPr>
        <w:t>年</w:t>
      </w:r>
      <w:r>
        <w:rPr>
          <w:rFonts w:hint="eastAsia" w:ascii="宋体" w:hAnsi="宋体"/>
          <w:b/>
          <w:sz w:val="32"/>
          <w:szCs w:val="32"/>
          <w:shd w:val="clear" w:color="auto" w:fill="FFFFFF"/>
          <w:lang w:eastAsia="zh-CN"/>
        </w:rPr>
        <w:t>市</w:t>
      </w:r>
      <w:r>
        <w:rPr>
          <w:rFonts w:hint="eastAsia" w:ascii="宋体" w:hAnsi="宋体"/>
          <w:b/>
          <w:sz w:val="32"/>
          <w:szCs w:val="32"/>
          <w:shd w:val="clear" w:color="auto" w:fill="FFFFFF"/>
        </w:rPr>
        <w:t>级部门整体绩效评价报告</w:t>
      </w:r>
    </w:p>
    <w:p>
      <w:pPr>
        <w:widowControl/>
        <w:adjustRightInd w:val="0"/>
        <w:snapToGrid w:val="0"/>
        <w:spacing w:line="560" w:lineRule="exact"/>
        <w:ind w:firstLine="640" w:firstLineChars="200"/>
        <w:contextualSpacing/>
        <w:jc w:val="left"/>
        <w:rPr>
          <w:rFonts w:ascii="黑体" w:hAnsi="宋体" w:eastAsia="黑体" w:cs="宋体"/>
          <w:kern w:val="0"/>
          <w:sz w:val="32"/>
          <w:szCs w:val="32"/>
          <w:shd w:val="clear" w:color="auto" w:fill="FFFFFF"/>
        </w:rPr>
      </w:pPr>
    </w:p>
    <w:p>
      <w:pPr>
        <w:pStyle w:val="10"/>
        <w:spacing w:line="600"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一、部门概况</w:t>
      </w:r>
    </w:p>
    <w:p>
      <w:pPr>
        <w:pStyle w:val="1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（一）机构组成</w:t>
      </w:r>
    </w:p>
    <w:p>
      <w:pPr>
        <w:pStyle w:val="1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内设科室：办公室、政策法规与综合改革科（行政审批与民办教育科）、计划基建财务科、审计科、基础教育科（民族教育科、市语言文字工作委员会办公室）、职业成人高等教育科（民族地区免费中职教育办公室）、教育督导委员会办公室、体育产业科、学校后勤管理与学生资助科、学校思想政治教育科、学校体育卫生艺术教育科（学校国防军训办公室）、竞赛训练科、社会体育科、校外监管科、安全管理科、党工委办公室（统战科、组织干部科）、人事科（离退休人员管理科）共17个内设科室。</w:t>
      </w:r>
    </w:p>
    <w:p>
      <w:pPr>
        <w:pStyle w:val="10"/>
        <w:spacing w:line="600" w:lineRule="exact"/>
        <w:ind w:firstLine="640" w:firstLineChars="200"/>
        <w:jc w:val="left"/>
        <w:rPr>
          <w:rFonts w:ascii="Times New Roman" w:hAnsi="Times New Roman" w:eastAsia="楷体_GB2312"/>
          <w:sz w:val="32"/>
          <w:szCs w:val="32"/>
        </w:rPr>
      </w:pPr>
      <w:r>
        <w:rPr>
          <w:rFonts w:ascii="Times New Roman" w:hAnsi="Times New Roman" w:eastAsia="楷体_GB2312"/>
          <w:sz w:val="32"/>
          <w:szCs w:val="32"/>
        </w:rPr>
        <w:t>（一）机构职能</w:t>
      </w:r>
    </w:p>
    <w:p>
      <w:pPr>
        <w:widowControl/>
        <w:shd w:val="clear" w:color="auto" w:fill="FFFFFF"/>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1.贯彻执行国家和省有关教育体育工作的方针、政策和法律、法规，研究制定有关贯彻意见并组织实施。</w:t>
      </w:r>
    </w:p>
    <w:p>
      <w:pPr>
        <w:widowControl/>
        <w:shd w:val="clear" w:color="auto" w:fill="FFFFFF"/>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2.拟订全市教育体育体制改革政策和教育体育事业发展规划；负责各级各类教育体育的统筹规划和协调管理；指导各级各类学校教育教学改革；负责中小学布局结构调整；负责多元化体育服务体系建设，推进体育公共服务和体育体制改革；负责全市教育体育系统基本信息的统计、分析、发布工作；负责组织和指导全市教育体育信息化建设工作。</w:t>
      </w:r>
    </w:p>
    <w:p>
      <w:pPr>
        <w:widowControl/>
        <w:shd w:val="clear" w:color="auto" w:fill="FFFFFF"/>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3.负责义务教育的指导与协调，推进全市义务教育均衡发展和促进教育公平。指导普通高中教育、学前教育和特殊教育工作。推进基础教育教学改革，全面实施素质教育。</w:t>
      </w:r>
    </w:p>
    <w:p>
      <w:pPr>
        <w:widowControl/>
        <w:shd w:val="clear" w:color="auto" w:fill="FFFFFF"/>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4.指导基础教育、中等职业教育和成人教育学校开展思想政治、德育、体育卫生与艺术教育、国防教育、心理健康教育、安全和稳定工作。</w:t>
      </w:r>
    </w:p>
    <w:p>
      <w:pPr>
        <w:widowControl/>
        <w:shd w:val="clear" w:color="auto" w:fill="FFFFFF"/>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5.指导职业教育发展与改革，组织实施民族地区免费中等职业教育工作。完成省里下达的藏（彝）区学生“9+3”免费职业教育任务。</w:t>
      </w:r>
    </w:p>
    <w:p>
      <w:pPr>
        <w:widowControl/>
        <w:shd w:val="clear" w:color="auto" w:fill="FFFFFF"/>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6.综合管理全市成人教育和广播电视教育及扫除青壮年文盲工作，协调普通高等教育发展。</w:t>
      </w:r>
    </w:p>
    <w:p>
      <w:pPr>
        <w:widowControl/>
        <w:shd w:val="clear" w:color="auto" w:fill="FFFFFF"/>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7.负责全市教育督导工作。负责组织对中等及以下各级各类教育、广播电视教育以及扫除青壮年文盲工作的督导检查和评估考核工作；开展基础教育发展水平和质量监测工作。</w:t>
      </w:r>
    </w:p>
    <w:p>
      <w:pPr>
        <w:widowControl/>
        <w:shd w:val="clear" w:color="auto" w:fill="FFFFFF"/>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8.负责本部门教育体育经费的统筹管理。会同有关部门制定筹措教育体育经费、拨款、基建投资的政策和措施，协助有关部门做好教育体育拨款的筹集、拨付工作；监督全市教育体育经费的筹措和使用情况；指导国（境）外教育体育援助、贷款和合作项目的执行。负责普通高校生源地信用助学贷款工作，完善贫困学生资助管理体系。</w:t>
      </w:r>
    </w:p>
    <w:p>
      <w:pPr>
        <w:widowControl/>
        <w:shd w:val="clear" w:color="auto" w:fill="FFFFFF"/>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9.指导少数民族教育工作，协调对少数民族地区的教育援助。</w:t>
      </w:r>
    </w:p>
    <w:p>
      <w:pPr>
        <w:widowControl/>
        <w:shd w:val="clear" w:color="auto" w:fill="FFFFFF"/>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10.统筹规划、综合管理全市民办教育，规范民办教育办学秩序，促进民办教育事业健康发展。</w:t>
      </w:r>
    </w:p>
    <w:p>
      <w:pPr>
        <w:widowControl/>
        <w:shd w:val="clear" w:color="auto" w:fill="FFFFFF"/>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11.负责全市中小学校教师队伍建设和教育体育系统干部队伍建设工作；组织和指导县（区）域内义务教育学校校长教师交流轮岗工作，推进义务教育教师“县管校用”管理制度改革。</w:t>
      </w:r>
    </w:p>
    <w:p>
      <w:pPr>
        <w:widowControl/>
        <w:shd w:val="clear" w:color="auto" w:fill="FFFFFF"/>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12.负责并指导教育基础设施建设，完善中小学校校舍维修改造长效机制，负责并指导学校现代信息技术教育和推进现代教育信息化建设，进一步改善学校办学条件。负责推进农村薄弱学校建设，加强项目建设管理，推动校舍档案和信息系统建设，促进校舍安全管理的规范化、信息化。</w:t>
      </w:r>
    </w:p>
    <w:p>
      <w:pPr>
        <w:widowControl/>
        <w:shd w:val="clear" w:color="auto" w:fill="FFFFFF"/>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13.贯彻执行国家语言文字的方针政策，拟订语言文字工作中长期规划和工作计划，指导普通话推广和普通话师资培训工作，承担市语言文字工作委员会的具体工作。</w:t>
      </w:r>
    </w:p>
    <w:p>
      <w:pPr>
        <w:widowControl/>
        <w:shd w:val="clear" w:color="auto" w:fill="FFFFFF"/>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14.指导教育体育系统对外交流与合作，负责全市中小学出国留学人员和教育体育系统来攀外籍教师、教练、专家及留学人员的有关管理工作。</w:t>
      </w:r>
    </w:p>
    <w:p>
      <w:pPr>
        <w:widowControl/>
        <w:shd w:val="clear" w:color="auto" w:fill="FFFFFF"/>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15.管理、指导大中专招生和自学考试工作；制定中小学和中等职业学校招生计划并组织实施。</w:t>
      </w:r>
    </w:p>
    <w:p>
      <w:pPr>
        <w:widowControl/>
        <w:shd w:val="clear" w:color="auto" w:fill="FFFFFF"/>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16.统筹规划全市群众体育发展。负责推行全民健身计划，监督实施国家体育锻炼标准，承担全市国民体质监测和社会体育指导工作队伍制度建设；指导公共体育设施的建设，负责对公共体育设施的管理。</w:t>
      </w:r>
    </w:p>
    <w:p>
      <w:pPr>
        <w:widowControl/>
        <w:shd w:val="clear" w:color="auto" w:fill="FFFFFF"/>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17.统筹规划全市竞技体育发展。指导体育训练、体育竞赛和运动员队伍建设；组织和统筹参加省级以上综合运动会，负责组织协调市级综合性运动会的竞赛工作，协调运动员社会保障工作。</w:t>
      </w:r>
    </w:p>
    <w:p>
      <w:pPr>
        <w:widowControl/>
        <w:shd w:val="clear" w:color="auto" w:fill="FFFFFF"/>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18.统筹规划全市青少年体育发展。指导和管理学校体育工作；制定全市学校体育、青少年业余训练的规划和工作意见，并负责组织实施、督促和检查。</w:t>
      </w:r>
    </w:p>
    <w:p>
      <w:pPr>
        <w:widowControl/>
        <w:shd w:val="clear" w:color="auto" w:fill="FFFFFF"/>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19.指导全市学校后勤改革和体育产业发展，负责全市学校后勤和体育产业管理。拟定全市体育产业发展政策、措施，规范体育服务管理，推动体育标准化建设；协助管理全市体育彩票市场。</w:t>
      </w:r>
    </w:p>
    <w:p>
      <w:pPr>
        <w:widowControl/>
        <w:shd w:val="clear" w:color="auto" w:fill="FFFFFF"/>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20.指导教育体育科研、技术攻关及成果推广工作；负责组织、监督全市体育运动中的反兴奋剂工作。</w:t>
      </w:r>
    </w:p>
    <w:p>
      <w:pPr>
        <w:widowControl/>
        <w:shd w:val="clear" w:color="auto" w:fill="FFFFFF"/>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21.负责指导、检查、督促全市学校安全管理工作。</w:t>
      </w:r>
    </w:p>
    <w:p>
      <w:pPr>
        <w:widowControl/>
        <w:shd w:val="clear" w:color="auto" w:fill="FFFFFF"/>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22.承担市政府公布的有关行政审批事项。</w:t>
      </w:r>
    </w:p>
    <w:p>
      <w:pPr>
        <w:widowControl/>
        <w:shd w:val="clear" w:color="auto" w:fill="FFFFFF"/>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23.承办市政府交办的其他事项。</w:t>
      </w:r>
    </w:p>
    <w:p>
      <w:pPr>
        <w:pStyle w:val="1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（三）人员概况</w:t>
      </w:r>
    </w:p>
    <w:p>
      <w:pPr>
        <w:pStyle w:val="10"/>
        <w:spacing w:line="600" w:lineRule="exact"/>
        <w:ind w:firstLine="640" w:firstLineChars="200"/>
        <w:jc w:val="left"/>
        <w:rPr>
          <w:rFonts w:ascii="Times New Roman" w:hAnsi="Times New Roman" w:eastAsia="仿宋_GB2312"/>
          <w:sz w:val="32"/>
          <w:szCs w:val="32"/>
        </w:rPr>
      </w:pPr>
      <w:r>
        <w:rPr>
          <w:rFonts w:ascii="Times New Roman" w:hAnsi="Times New Roman" w:eastAsia="仿宋_GB2312"/>
          <w:kern w:val="0"/>
          <w:sz w:val="32"/>
          <w:szCs w:val="32"/>
        </w:rPr>
        <w:t>截止2022年12月31日，年末在职机关公务员45人，机关工人</w:t>
      </w:r>
      <w:r>
        <w:rPr>
          <w:rFonts w:ascii="Times New Roman" w:hAnsi="Times New Roman" w:eastAsia="仿宋_GB2312"/>
          <w:spacing w:val="-6"/>
          <w:sz w:val="32"/>
          <w:szCs w:val="32"/>
        </w:rPr>
        <w:t>4人，攀委办90号聘用人员4人。</w:t>
      </w:r>
    </w:p>
    <w:p>
      <w:pPr>
        <w:pStyle w:val="10"/>
        <w:spacing w:line="600" w:lineRule="exact"/>
        <w:ind w:firstLine="640" w:firstLineChars="200"/>
        <w:jc w:val="left"/>
        <w:rPr>
          <w:rFonts w:ascii="Times New Roman" w:hAnsi="Times New Roman" w:eastAsia="仿宋_GB2312"/>
          <w:sz w:val="32"/>
          <w:szCs w:val="32"/>
        </w:rPr>
      </w:pPr>
      <w:r>
        <w:rPr>
          <w:rFonts w:ascii="Times New Roman" w:hAnsi="Times New Roman" w:eastAsia="黑体"/>
          <w:sz w:val="32"/>
          <w:szCs w:val="32"/>
        </w:rPr>
        <w:t>二、部门财政资金收支情况</w:t>
      </w:r>
    </w:p>
    <w:p>
      <w:pPr>
        <w:widowControl/>
        <w:adjustRightInd w:val="0"/>
        <w:snapToGrid w:val="0"/>
        <w:spacing w:line="580" w:lineRule="exact"/>
        <w:ind w:firstLine="640" w:firstLineChars="200"/>
        <w:contextualSpacing/>
        <w:jc w:val="left"/>
        <w:rPr>
          <w:rFonts w:ascii="Times New Roman" w:hAnsi="Times New Roman" w:eastAsia="仿宋_GB2312"/>
          <w:kern w:val="0"/>
          <w:sz w:val="32"/>
          <w:szCs w:val="32"/>
        </w:rPr>
      </w:pPr>
      <w:r>
        <w:rPr>
          <w:rFonts w:ascii="Times New Roman" w:hAnsi="Times New Roman" w:eastAsia="仿宋_GB2312"/>
          <w:kern w:val="0"/>
          <w:sz w:val="32"/>
          <w:szCs w:val="32"/>
          <w:lang w:val="zh-CN" w:eastAsia="zh-CN"/>
        </w:rPr>
        <w:t>（一）部门财政资金收入情况</w:t>
      </w:r>
    </w:p>
    <w:p>
      <w:pPr>
        <w:widowControl/>
        <w:adjustRightInd w:val="0"/>
        <w:snapToGrid w:val="0"/>
        <w:spacing w:line="580" w:lineRule="exact"/>
        <w:ind w:firstLine="640" w:firstLineChars="200"/>
        <w:contextualSpacing/>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2022年财政资金收入</w:t>
      </w:r>
      <w:r>
        <w:rPr>
          <w:rFonts w:ascii="Times New Roman" w:hAnsi="Times New Roman" w:eastAsia="仿宋_GB2312"/>
          <w:kern w:val="0"/>
          <w:sz w:val="32"/>
          <w:szCs w:val="32"/>
        </w:rPr>
        <w:t>2896.26</w:t>
      </w:r>
      <w:r>
        <w:rPr>
          <w:rFonts w:hint="eastAsia" w:ascii="Times New Roman" w:hAnsi="Times New Roman" w:eastAsia="仿宋_GB2312"/>
          <w:kern w:val="0"/>
          <w:sz w:val="32"/>
          <w:szCs w:val="32"/>
        </w:rPr>
        <w:t>万元，其中基本支出</w:t>
      </w:r>
      <w:r>
        <w:rPr>
          <w:rFonts w:ascii="Times New Roman" w:hAnsi="Times New Roman" w:eastAsia="仿宋_GB2312"/>
          <w:kern w:val="0"/>
          <w:sz w:val="32"/>
          <w:szCs w:val="32"/>
        </w:rPr>
        <w:t>收入1697.72</w:t>
      </w:r>
      <w:r>
        <w:rPr>
          <w:rFonts w:hint="eastAsia" w:ascii="Times New Roman" w:hAnsi="Times New Roman" w:eastAsia="仿宋_GB2312"/>
          <w:kern w:val="0"/>
          <w:sz w:val="32"/>
          <w:szCs w:val="32"/>
        </w:rPr>
        <w:t>万元，项目支出</w:t>
      </w:r>
      <w:r>
        <w:rPr>
          <w:rFonts w:ascii="Times New Roman" w:hAnsi="Times New Roman" w:eastAsia="仿宋_GB2312"/>
          <w:kern w:val="0"/>
          <w:sz w:val="32"/>
          <w:szCs w:val="32"/>
        </w:rPr>
        <w:t>收入1198.54</w:t>
      </w:r>
      <w:r>
        <w:rPr>
          <w:rFonts w:hint="eastAsia" w:ascii="Times New Roman" w:hAnsi="Times New Roman" w:eastAsia="仿宋_GB2312"/>
          <w:kern w:val="0"/>
          <w:sz w:val="32"/>
          <w:szCs w:val="32"/>
        </w:rPr>
        <w:t>万元。</w:t>
      </w:r>
    </w:p>
    <w:p>
      <w:pPr>
        <w:widowControl/>
        <w:adjustRightInd w:val="0"/>
        <w:snapToGrid w:val="0"/>
        <w:spacing w:line="580" w:lineRule="exact"/>
        <w:ind w:left="420" w:leftChars="200"/>
        <w:contextualSpacing/>
        <w:jc w:val="left"/>
        <w:rPr>
          <w:rFonts w:ascii="Times New Roman" w:hAnsi="Times New Roman" w:eastAsia="仿宋_GB2312"/>
          <w:kern w:val="0"/>
          <w:sz w:val="32"/>
          <w:szCs w:val="32"/>
          <w:lang w:val="zh-CN" w:eastAsia="zh-CN"/>
        </w:rPr>
      </w:pPr>
      <w:r>
        <w:rPr>
          <w:rFonts w:hint="eastAsia" w:ascii="Times New Roman" w:hAnsi="Times New Roman" w:eastAsia="仿宋_GB2312"/>
          <w:kern w:val="0"/>
          <w:sz w:val="32"/>
          <w:szCs w:val="32"/>
          <w:lang w:val="zh-CN" w:eastAsia="zh-CN"/>
        </w:rPr>
        <w:t>（</w:t>
      </w:r>
      <w:r>
        <w:rPr>
          <w:rFonts w:hint="eastAsia" w:ascii="Times New Roman" w:hAnsi="Times New Roman" w:eastAsia="仿宋_GB2312"/>
          <w:kern w:val="0"/>
          <w:sz w:val="32"/>
          <w:szCs w:val="32"/>
        </w:rPr>
        <w:t>二）</w:t>
      </w:r>
      <w:r>
        <w:rPr>
          <w:rFonts w:ascii="Times New Roman" w:hAnsi="Times New Roman" w:eastAsia="仿宋_GB2312"/>
          <w:kern w:val="0"/>
          <w:sz w:val="32"/>
          <w:szCs w:val="32"/>
          <w:lang w:val="zh-CN" w:eastAsia="zh-CN"/>
        </w:rPr>
        <w:t>部门财政资金支出情况。</w:t>
      </w:r>
    </w:p>
    <w:p>
      <w:pPr>
        <w:widowControl/>
        <w:adjustRightInd w:val="0"/>
        <w:snapToGrid w:val="0"/>
        <w:spacing w:line="580" w:lineRule="exact"/>
        <w:ind w:firstLine="640" w:firstLineChars="200"/>
        <w:contextualSpacing/>
        <w:jc w:val="left"/>
        <w:rPr>
          <w:rFonts w:ascii="Times New Roman" w:hAnsi="Times New Roman" w:eastAsia="仿宋_GB2312"/>
          <w:kern w:val="0"/>
          <w:sz w:val="32"/>
          <w:szCs w:val="32"/>
          <w:lang w:val="zh-CN" w:eastAsia="zh-CN"/>
        </w:rPr>
      </w:pPr>
      <w:r>
        <w:rPr>
          <w:rFonts w:hint="eastAsia" w:ascii="Times New Roman" w:hAnsi="Times New Roman" w:eastAsia="仿宋_GB2312"/>
          <w:kern w:val="0"/>
          <w:sz w:val="32"/>
          <w:szCs w:val="32"/>
        </w:rPr>
        <w:t>2022年财政资金支出</w:t>
      </w:r>
      <w:r>
        <w:rPr>
          <w:rFonts w:ascii="Times New Roman" w:hAnsi="Times New Roman" w:eastAsia="仿宋_GB2312"/>
          <w:kern w:val="0"/>
          <w:sz w:val="32"/>
          <w:szCs w:val="32"/>
        </w:rPr>
        <w:t>2896.26</w:t>
      </w:r>
      <w:r>
        <w:rPr>
          <w:rFonts w:hint="eastAsia" w:ascii="Times New Roman" w:hAnsi="Times New Roman" w:eastAsia="仿宋_GB2312"/>
          <w:kern w:val="0"/>
          <w:sz w:val="32"/>
          <w:szCs w:val="32"/>
        </w:rPr>
        <w:t>万元，其中基本支出7647.49万元，项目支出1685.42万元。</w:t>
      </w:r>
    </w:p>
    <w:p>
      <w:pPr>
        <w:pStyle w:val="10"/>
        <w:spacing w:line="600" w:lineRule="exact"/>
        <w:ind w:firstLine="640" w:firstLineChars="200"/>
        <w:jc w:val="left"/>
        <w:rPr>
          <w:rFonts w:ascii="Times New Roman" w:hAnsi="Times New Roman" w:eastAsia="楷体"/>
          <w:sz w:val="32"/>
          <w:szCs w:val="32"/>
        </w:rPr>
      </w:pPr>
      <w:r>
        <w:rPr>
          <w:rFonts w:ascii="Times New Roman" w:hAnsi="Times New Roman" w:eastAsia="黑体"/>
          <w:sz w:val="32"/>
          <w:szCs w:val="32"/>
        </w:rPr>
        <w:t>三、部门整体预算绩效管理情况</w:t>
      </w:r>
    </w:p>
    <w:p>
      <w:pPr>
        <w:widowControl/>
        <w:adjustRightInd w:val="0"/>
        <w:snapToGrid w:val="0"/>
        <w:spacing w:line="580" w:lineRule="exact"/>
        <w:ind w:firstLine="640" w:firstLineChars="200"/>
        <w:contextualSpacing/>
        <w:jc w:val="left"/>
        <w:rPr>
          <w:rFonts w:hint="eastAsia" w:ascii="仿宋_GB2312" w:eastAsia="仿宋_GB2312" w:cs="宋体"/>
          <w:sz w:val="32"/>
          <w:szCs w:val="32"/>
          <w:lang w:bidi="ar-SA"/>
        </w:rPr>
      </w:pPr>
      <w:r>
        <w:rPr>
          <w:rFonts w:hint="eastAsia" w:ascii="仿宋_GB2312" w:eastAsia="仿宋_GB2312" w:cs="宋体"/>
          <w:sz w:val="32"/>
          <w:szCs w:val="32"/>
          <w:lang w:bidi="ar-SA"/>
        </w:rPr>
        <w:t>（一）部门预算项目绩效管理。</w:t>
      </w:r>
    </w:p>
    <w:p>
      <w:pPr>
        <w:spacing w:line="560" w:lineRule="exact"/>
        <w:ind w:firstLine="707" w:firstLineChars="221"/>
        <w:rPr>
          <w:rFonts w:hint="eastAsia" w:ascii="仿宋_GB2312" w:eastAsia="仿宋_GB2312" w:cs="宋体"/>
          <w:sz w:val="32"/>
          <w:szCs w:val="32"/>
          <w:lang w:val="zh-CN" w:eastAsia="zh-CN" w:bidi="ar-SA"/>
        </w:rPr>
      </w:pPr>
      <w:r>
        <w:rPr>
          <w:rFonts w:hint="eastAsia" w:ascii="仿宋_GB2312" w:eastAsia="仿宋_GB2312" w:cs="宋体"/>
          <w:sz w:val="32"/>
          <w:szCs w:val="32"/>
          <w:lang w:bidi="ar-SA"/>
        </w:rPr>
        <w:t>财政拨款支出主要用于保障我单位正常运转、完成日常工作任务以及承担教育体育事业发展相关工作。制定的每个绩效目标</w:t>
      </w:r>
      <w:r>
        <w:rPr>
          <w:rFonts w:hint="eastAsia" w:ascii="仿宋_GB2312" w:eastAsia="仿宋_GB2312" w:cs="宋体"/>
          <w:sz w:val="32"/>
          <w:szCs w:val="32"/>
          <w:lang w:val="zh-CN" w:eastAsia="zh-CN" w:bidi="ar-SA"/>
        </w:rPr>
        <w:t>要素完整、细化量化并集体决策。</w:t>
      </w:r>
    </w:p>
    <w:p>
      <w:pPr>
        <w:spacing w:line="560" w:lineRule="exact"/>
        <w:ind w:firstLine="707" w:firstLineChars="221"/>
        <w:rPr>
          <w:rFonts w:hint="eastAsia" w:ascii="仿宋_GB2312" w:eastAsia="仿宋_GB2312" w:cs="宋体"/>
          <w:sz w:val="32"/>
          <w:szCs w:val="32"/>
          <w:lang w:bidi="ar-SA"/>
        </w:rPr>
      </w:pPr>
      <w:r>
        <w:rPr>
          <w:rFonts w:hint="eastAsia" w:ascii="仿宋_GB2312" w:eastAsia="仿宋_GB2312" w:cs="宋体"/>
          <w:sz w:val="32"/>
          <w:szCs w:val="32"/>
          <w:lang w:bidi="ar-SA"/>
        </w:rPr>
        <w:t xml:space="preserve">预算配置科学。一是预算编制科学，部门预算按照合法合规，真实科学；综合预算，统筹安排；规划约束，讲求绩效；人员优先，确保重点的基本原则编制。二是基本支出足额保障。三是确保重点支出安排。四是严控“三公经费”支出。 </w:t>
      </w:r>
    </w:p>
    <w:p>
      <w:pPr>
        <w:spacing w:line="560" w:lineRule="exact"/>
        <w:ind w:firstLine="707" w:firstLineChars="221"/>
        <w:rPr>
          <w:rFonts w:hint="eastAsia" w:ascii="仿宋_GB2312" w:eastAsia="仿宋_GB2312" w:cs="宋体"/>
          <w:sz w:val="32"/>
          <w:szCs w:val="32"/>
          <w:lang w:bidi="ar-SA"/>
        </w:rPr>
      </w:pPr>
      <w:r>
        <w:rPr>
          <w:rFonts w:hint="eastAsia" w:ascii="仿宋_GB2312" w:eastAsia="仿宋_GB2312" w:cs="宋体"/>
          <w:sz w:val="32"/>
          <w:szCs w:val="32"/>
          <w:lang w:bidi="ar-SA"/>
        </w:rPr>
        <w:t>预算执行有效。一是严格预算执行。二是严控结转结余。三是项目组织良好，项目组织机构健全、职责明确；项目实施严格按照项目管理要求、项目质量要求、项目实施计划等有序组织开展。四是“三公经费”节支增效。</w:t>
      </w:r>
    </w:p>
    <w:p>
      <w:pPr>
        <w:pStyle w:val="2"/>
        <w:spacing w:line="560" w:lineRule="exact"/>
        <w:ind w:firstLine="640" w:firstLineChars="200"/>
        <w:rPr>
          <w:rFonts w:hint="eastAsia" w:cs="宋体"/>
          <w:kern w:val="2"/>
          <w:sz w:val="32"/>
          <w:szCs w:val="32"/>
          <w:lang w:bidi="ar-SA"/>
        </w:rPr>
      </w:pPr>
      <w:r>
        <w:rPr>
          <w:rFonts w:hint="eastAsia" w:cs="宋体"/>
          <w:kern w:val="2"/>
          <w:sz w:val="32"/>
          <w:szCs w:val="32"/>
          <w:lang w:bidi="ar-SA"/>
        </w:rPr>
        <w:t>预算管理规范。一是管理制度健全，已制定内部财务管理制度，制度合法、合规、完整，制度得到有效执行。二是信息公开及时完整，预算决算严格按照规定时限公开。</w:t>
      </w:r>
    </w:p>
    <w:p>
      <w:pPr>
        <w:spacing w:line="560" w:lineRule="exact"/>
        <w:ind w:firstLine="640" w:firstLineChars="200"/>
        <w:rPr>
          <w:rFonts w:ascii="Times New Roman" w:hAnsi="Times New Roman" w:eastAsia="仿宋_GB2312" w:cs="Times New Roman"/>
          <w:sz w:val="32"/>
          <w:szCs w:val="32"/>
          <w:lang w:bidi="ar-SA"/>
        </w:rPr>
      </w:pPr>
      <w:r>
        <w:rPr>
          <w:rFonts w:hint="eastAsia" w:ascii="仿宋_GB2312" w:eastAsia="仿宋_GB2312" w:cs="宋体"/>
          <w:sz w:val="32"/>
          <w:szCs w:val="32"/>
          <w:lang w:val="zh-CN" w:eastAsia="zh-CN" w:bidi="ar-SA"/>
        </w:rPr>
        <w:t>目标实现：</w:t>
      </w:r>
      <w:r>
        <w:rPr>
          <w:rFonts w:ascii="Times New Roman" w:hAnsi="Times New Roman" w:eastAsia="仿宋_GB2312" w:cs="Times New Roman"/>
          <w:sz w:val="32"/>
          <w:szCs w:val="32"/>
          <w:lang w:bidi="ar-SA"/>
        </w:rPr>
        <w:t>一是基础教育水平稳步攀升。着力推进公办及普惠性幼儿园建设，规范幼儿园办学行为，保教质量进一步提升。促进普惠性民办幼儿园发展，发放普惠性民办幼儿园专项奖补资金524万元。严格落实“双减”政策，学生作业负担和校外培训负担全面减轻；参与课后服务的学生占比 99.06%；学科类校外培训机构从113 所压减至 6 所，压减率 94.7%，居全省前列。市七中和盐边中学合作办学，迈出县中振兴计划的第一步。2022年高考取得优异成绩，高考上线水平保持全省第一方阵。各类院校本科批次共录取我市考生5637人，比2021年增加 243人，高考录取水平保持全省第三。深入推进我市高中阶段教育改革发展，提供更加公平优质的高中阶段教育。</w:t>
      </w:r>
    </w:p>
    <w:p>
      <w:pPr>
        <w:spacing w:line="560" w:lineRule="exact"/>
        <w:ind w:firstLine="640" w:firstLineChars="200"/>
        <w:rPr>
          <w:rFonts w:ascii="Times New Roman" w:hAnsi="Times New Roman" w:eastAsia="仿宋_GB2312" w:cs="Times New Roman"/>
          <w:sz w:val="32"/>
          <w:szCs w:val="32"/>
          <w:lang w:bidi="ar-SA"/>
        </w:rPr>
      </w:pPr>
      <w:r>
        <w:rPr>
          <w:rFonts w:ascii="Times New Roman" w:hAnsi="Times New Roman" w:eastAsia="仿宋_GB2312" w:cs="Times New Roman"/>
          <w:sz w:val="32"/>
          <w:szCs w:val="32"/>
          <w:lang w:bidi="ar-SA"/>
        </w:rPr>
        <w:t>二是职业教育水平持续优化。坚持“职业技能+文化素质”协同并进，学生就业质量高。2022年，全市中职毕业生4292人，参加各类高考达3091人，共上线2778人。其中，普通高考本科上线96人，专科上线2712人，其中高职单招上线1684人。中职落实直接就业1164人，就业率98.29%,“9+3”毕业生就业率达到 100%。深入实施“1+X”证书制度试点，“学历证书+职业技能等级证书”融合培养模式得以深化。持续做好5个省级示范（特色）专业建设工作，市经贸校成为省级五星中职名校立项建设单位，市建校、技师学院成为省级四星级中职名校立项建设单位。市建筑工程学校申报为中德先进职业教育合作项目（SGAVE）首批试点院校。</w:t>
      </w:r>
    </w:p>
    <w:p>
      <w:pPr>
        <w:pStyle w:val="7"/>
        <w:spacing w:line="560" w:lineRule="exact"/>
        <w:jc w:val="both"/>
        <w:rPr>
          <w:rFonts w:ascii="Times New Roman" w:hAnsi="Times New Roman" w:eastAsia="仿宋_GB2312" w:cs="Times New Roman"/>
          <w:lang w:bidi="ar-SA"/>
        </w:rPr>
      </w:pPr>
      <w:r>
        <w:rPr>
          <w:rFonts w:ascii="Times New Roman" w:hAnsi="Times New Roman" w:eastAsia="仿宋_GB2312" w:cs="Times New Roman"/>
          <w:lang w:bidi="ar-SA"/>
        </w:rPr>
        <w:t>三是教师队伍建设不断加强。全市入选四川省第三批中小学名师工作室领衔人1人、成员26人。3名教师获评首届四川省“四有”好老师，3个集体被授予四川省体育系统先进集体，8名个人被授予四川省体育系统先进个人。认定四川省骨干教师104人，评选攀枝花市市级学科带头人118人、市级骨干教师677人，县级学科带头人83人、县级骨干教师155人。评选表扬攀枝花市第十批模范校长、优秀教师20人，各类模范、优秀教师和教育工作者491人。做好木里教育帮扶，通过送培送教、巡诊课堂、高三诊断、片区教研帮扶的成果展示等活动，培训教师和学生2531人次。制定《攀枝花市教育人才集聚支持实施细则》，吸引人才服务教育，为人才心无旁骛干事创业提供政策保障。</w:t>
      </w:r>
    </w:p>
    <w:p>
      <w:pPr>
        <w:pStyle w:val="7"/>
        <w:spacing w:line="560" w:lineRule="exact"/>
        <w:jc w:val="both"/>
        <w:rPr>
          <w:rFonts w:ascii="Times New Roman" w:hAnsi="Times New Roman" w:eastAsia="仿宋_GB2312" w:cs="Times New Roman"/>
          <w:lang w:bidi="ar-SA"/>
        </w:rPr>
      </w:pPr>
      <w:r>
        <w:rPr>
          <w:rFonts w:ascii="Times New Roman" w:hAnsi="Times New Roman" w:eastAsia="仿宋_GB2312" w:cs="Times New Roman"/>
          <w:lang w:bidi="ar-SA"/>
        </w:rPr>
        <w:t>四是教育保障能力显著提高。实施基础教育学校布局调整项目，2022年改扩建学校15个，新（扩）建校舍3.8万平方米，体育运动场地2万平方米。其中，安排公办幼儿园项目3个，中小学教学楼项目1个，综合楼项目4个，学生食堂和宿舍项目6个，体育运动场项目1个。落实城乡义务教育经费保障机制，对随迁子女按标准核定公用经费补助，保障2.6万名随迁子女入学。为5.77万名义务教育学生提供膳食补助，为1.9万名义务教育阶段家庭经济困难学生提供生活费补助，为0.52万名家庭经济困难普通高中学生发放助学金，减免非民族自治地区2.39万名幼儿保教费。</w:t>
      </w:r>
    </w:p>
    <w:p>
      <w:pPr>
        <w:spacing w:line="560" w:lineRule="exact"/>
        <w:ind w:firstLine="640" w:firstLineChars="200"/>
        <w:rPr>
          <w:rFonts w:ascii="Times New Roman" w:hAnsi="Times New Roman" w:eastAsia="仿宋_GB2312" w:cs="Times New Roman"/>
          <w:sz w:val="32"/>
          <w:szCs w:val="32"/>
          <w:lang w:bidi="ar-SA"/>
        </w:rPr>
      </w:pPr>
      <w:r>
        <w:rPr>
          <w:rFonts w:ascii="Times New Roman" w:hAnsi="Times New Roman" w:eastAsia="仿宋_GB2312" w:cs="Times New Roman"/>
          <w:sz w:val="32"/>
          <w:szCs w:val="32"/>
          <w:lang w:bidi="ar-SA"/>
        </w:rPr>
        <w:t>五是竞技体育取得新成绩。在四川省第十四届运动会上我市体育代表团取得28金24银30铜全省排名第9的优异成绩，体教融合贡献奖全省排名第5，实现了运动成绩和精神文明双丰收。参加四川省“三大球”城市联赛，女子篮球取得全省第3，女子足球进入全省前八强。成功承办了四川省第十四届运动会棒球、垒球、皮划艇激流回旋比赛。举办攀枝花市第四十一届中小学校暨中等职业学校学生田径运动会。授予思源实验学校、仁和新视窗全民健身活动中心、弗尼顿幼儿园游泳项目后备人才基地称号、市三十六中小跆拳道项目后备人才基地称号。四川省田径运动管理中心命名市十五中为田径基地校。</w:t>
      </w:r>
    </w:p>
    <w:p>
      <w:pPr>
        <w:spacing w:line="560" w:lineRule="exact"/>
        <w:ind w:firstLine="640" w:firstLineChars="200"/>
        <w:rPr>
          <w:rFonts w:ascii="Times New Roman" w:hAnsi="Times New Roman" w:eastAsia="仿宋_GB2312" w:cs="Times New Roman"/>
          <w:sz w:val="32"/>
          <w:szCs w:val="32"/>
          <w:lang w:bidi="ar-SA"/>
        </w:rPr>
      </w:pPr>
      <w:r>
        <w:rPr>
          <w:rFonts w:ascii="Times New Roman" w:hAnsi="Times New Roman" w:eastAsia="仿宋_GB2312" w:cs="Times New Roman"/>
          <w:sz w:val="32"/>
          <w:szCs w:val="32"/>
          <w:lang w:bidi="ar-SA"/>
        </w:rPr>
        <w:t>六是群众体育迈上新台阶。积极推动全民健身，把体育赛事办到群众身边，举办攀枝花市“三大球”城市联赛、2022年攀枝花市“百城千乡万村•社区”系列赛事活动等全民健身赛事活动，实现市、县区、乡镇三级联动办赛，四级联动实施。全市公共体育场馆今年累计服务群众137万人次。市民健康体育公园、“山水鞠”足球公园、市板式网球场、市体育馆改扩建工程建成投入使用。市民族体育馆的升级改造启动。东华山山地体育公园已完成一期工程示范段建设，6.8公里复合绿道及“钢的亭”观景台、“城市之眼”穹顶花园、“伴山咖啡”等景观节点力争年底开放。</w:t>
      </w:r>
    </w:p>
    <w:p>
      <w:pPr>
        <w:spacing w:line="560" w:lineRule="exact"/>
        <w:ind w:firstLine="640" w:firstLineChars="200"/>
        <w:rPr>
          <w:rFonts w:ascii="Times New Roman" w:hAnsi="Times New Roman" w:eastAsia="仿宋_GB2312" w:cs="Times New Roman"/>
          <w:sz w:val="32"/>
          <w:szCs w:val="32"/>
          <w:lang w:bidi="ar-SA"/>
        </w:rPr>
      </w:pPr>
      <w:r>
        <w:rPr>
          <w:rFonts w:ascii="Times New Roman" w:hAnsi="Times New Roman" w:eastAsia="仿宋_GB2312" w:cs="Times New Roman"/>
          <w:sz w:val="32"/>
          <w:szCs w:val="32"/>
          <w:lang w:bidi="ar-SA"/>
        </w:rPr>
        <w:t>七是体育产业呈现新气象。“三大球”振兴工作走在全省前列，得到省委、省政府和国家体育总局领导充分肯定。编制《全市体育场地设施分布图》，全市各级各类体育场地共3220个，人均体育场地面积2.07平方米。其中“三大球”场地总数为1148个，足球场101个，篮球场984个，排球场63个。全市体育类个体经营户329家、法人单位140家。今年共吸引国内外各级各项目80支运动队伍近2600人次来攀冬夏训，竞训服务业带来直接消费近3000万元。全市体彩网点231个，体育彩票销售额达到2.1亿元，市场份额占65.1%。</w:t>
      </w:r>
    </w:p>
    <w:p>
      <w:pPr>
        <w:widowControl/>
        <w:adjustRightInd w:val="0"/>
        <w:snapToGrid w:val="0"/>
        <w:spacing w:line="580" w:lineRule="exact"/>
        <w:ind w:firstLine="640" w:firstLineChars="200"/>
        <w:contextualSpacing/>
        <w:jc w:val="left"/>
        <w:rPr>
          <w:rFonts w:ascii="Times New Roman" w:hAnsi="Times New Roman" w:eastAsia="仿宋_GB2312"/>
          <w:sz w:val="32"/>
          <w:szCs w:val="32"/>
          <w:lang w:val="zh-CN" w:eastAsia="zh-CN"/>
        </w:rPr>
      </w:pPr>
      <w:r>
        <w:rPr>
          <w:rFonts w:ascii="Times New Roman" w:hAnsi="Times New Roman" w:eastAsia="仿宋_GB2312"/>
          <w:sz w:val="32"/>
          <w:szCs w:val="32"/>
          <w:lang w:val="zh-CN" w:eastAsia="zh-CN"/>
        </w:rPr>
        <w:t>（二）结果应用情况。</w:t>
      </w:r>
    </w:p>
    <w:p>
      <w:pPr>
        <w:widowControl/>
        <w:adjustRightInd w:val="0"/>
        <w:snapToGrid w:val="0"/>
        <w:spacing w:line="580" w:lineRule="exact"/>
        <w:ind w:firstLine="640" w:firstLineChars="200"/>
        <w:contextualSpacing/>
        <w:jc w:val="left"/>
        <w:rPr>
          <w:rFonts w:hint="eastAsia" w:ascii="Times New Roman" w:hAnsi="Times New Roman" w:eastAsia="仿宋_GB2312"/>
          <w:sz w:val="32"/>
          <w:szCs w:val="32"/>
          <w:lang w:val="zh-CN" w:eastAsia="zh-CN"/>
        </w:rPr>
      </w:pPr>
      <w:r>
        <w:rPr>
          <w:rFonts w:hint="eastAsia" w:ascii="Times New Roman" w:hAnsi="Times New Roman" w:eastAsia="仿宋_GB2312"/>
          <w:sz w:val="32"/>
          <w:szCs w:val="32"/>
          <w:lang w:val="zh-CN" w:eastAsia="zh-CN"/>
        </w:rPr>
        <w:t>按照上级部门要求，我单位定期统计总体支出情况，完成事前、事中绩效评价，及时调整资金基本支出的管理工作，绩效目标、绩效评价、绩效监控按照规定在相关网站及时准确公开，公开信息内容完整、真实有效。</w:t>
      </w:r>
    </w:p>
    <w:p>
      <w:pPr>
        <w:pStyle w:val="10"/>
        <w:spacing w:line="600" w:lineRule="exact"/>
        <w:ind w:firstLine="640" w:firstLineChars="200"/>
        <w:jc w:val="left"/>
        <w:rPr>
          <w:rFonts w:ascii="Times New Roman" w:hAnsi="Times New Roman" w:eastAsia="仿宋_GB2312"/>
          <w:sz w:val="32"/>
          <w:szCs w:val="32"/>
          <w:lang w:val="zh-CN" w:eastAsia="zh-CN"/>
        </w:rPr>
      </w:pPr>
      <w:r>
        <w:rPr>
          <w:rFonts w:ascii="Times New Roman" w:hAnsi="Times New Roman" w:eastAsia="仿宋_GB2312"/>
          <w:sz w:val="32"/>
          <w:szCs w:val="32"/>
          <w:lang w:val="zh-CN" w:eastAsia="zh-CN"/>
        </w:rPr>
        <w:t>（三）自评质量。</w:t>
      </w:r>
    </w:p>
    <w:p>
      <w:pPr>
        <w:pStyle w:val="10"/>
        <w:spacing w:line="600" w:lineRule="exact"/>
        <w:ind w:firstLine="640" w:firstLineChars="200"/>
        <w:jc w:val="left"/>
        <w:rPr>
          <w:rFonts w:ascii="Times New Roman" w:hAnsi="Times New Roman" w:eastAsia="仿宋_GB2312"/>
          <w:bCs/>
          <w:sz w:val="32"/>
          <w:szCs w:val="32"/>
        </w:rPr>
      </w:pPr>
      <w:r>
        <w:rPr>
          <w:rFonts w:ascii="Times New Roman" w:hAnsi="Times New Roman" w:eastAsia="仿宋_GB2312"/>
          <w:sz w:val="32"/>
          <w:szCs w:val="32"/>
        </w:rPr>
        <w:t>2022年我单位紧紧围绕年度目标任务，团结拼搏，锐意进取，扎实工作，全面完成了各项目标任务。一是单位预算编制准确，部门整体绩效目标编制完整、合理，项目绩效目标编制明确；二是执行预算制度到位，能够严格执行《预算法》和各项财经纪律；三是资金监管到位，资金管理制度较为完善，经费开支按用途使用合理，做到专帐专管,专款专用，支出管理规范；四是帐务核算到位，财务人员持证上岗，会计核算和账务处理规范，会计资料完整</w:t>
      </w:r>
      <w:r>
        <w:rPr>
          <w:rFonts w:ascii="Times New Roman" w:hAnsi="Times New Roman" w:eastAsia="仿宋_GB2312"/>
          <w:bCs/>
          <w:sz w:val="32"/>
          <w:szCs w:val="32"/>
        </w:rPr>
        <w:t>。</w:t>
      </w:r>
    </w:p>
    <w:p>
      <w:pPr>
        <w:widowControl/>
        <w:adjustRightInd w:val="0"/>
        <w:snapToGrid w:val="0"/>
        <w:spacing w:line="580" w:lineRule="exact"/>
        <w:ind w:firstLine="640" w:firstLineChars="200"/>
        <w:contextualSpacing/>
        <w:jc w:val="left"/>
        <w:rPr>
          <w:rFonts w:ascii="Times New Roman" w:hAnsi="Times New Roman" w:eastAsia="黑体"/>
          <w:color w:val="000000"/>
          <w:kern w:val="0"/>
          <w:sz w:val="32"/>
          <w:szCs w:val="32"/>
          <w:shd w:val="clear" w:color="auto" w:fill="FFFFFF"/>
        </w:rPr>
      </w:pPr>
      <w:r>
        <w:rPr>
          <w:rFonts w:ascii="Times New Roman" w:hAnsi="Times New Roman" w:eastAsia="黑体"/>
          <w:color w:val="000000"/>
          <w:kern w:val="0"/>
          <w:sz w:val="32"/>
          <w:szCs w:val="32"/>
          <w:shd w:val="clear" w:color="auto" w:fill="FFFFFF"/>
        </w:rPr>
        <w:t>四、评价结论及建议</w:t>
      </w:r>
    </w:p>
    <w:p>
      <w:pPr>
        <w:widowControl/>
        <w:numPr>
          <w:ilvl w:val="0"/>
          <w:numId w:val="5"/>
        </w:numPr>
        <w:adjustRightInd w:val="0"/>
        <w:snapToGrid w:val="0"/>
        <w:spacing w:line="580" w:lineRule="exact"/>
        <w:contextualSpacing/>
        <w:jc w:val="left"/>
        <w:rPr>
          <w:rFonts w:ascii="Times New Roman" w:hAnsi="Times New Roman" w:eastAsia="仿宋_GB2312"/>
          <w:sz w:val="32"/>
          <w:szCs w:val="32"/>
          <w:lang w:val="zh-CN" w:eastAsia="zh-CN"/>
        </w:rPr>
      </w:pPr>
      <w:r>
        <w:rPr>
          <w:rFonts w:ascii="Times New Roman" w:hAnsi="Times New Roman" w:eastAsia="仿宋_GB2312"/>
          <w:sz w:val="32"/>
          <w:szCs w:val="32"/>
          <w:lang w:val="zh-CN" w:eastAsia="zh-CN"/>
        </w:rPr>
        <w:t>评价结论。</w:t>
      </w:r>
    </w:p>
    <w:p>
      <w:pPr>
        <w:spacing w:line="560" w:lineRule="exact"/>
        <w:ind w:firstLine="707" w:firstLineChars="221"/>
        <w:rPr>
          <w:rFonts w:ascii="Times New Roman" w:hAnsi="Times New Roman" w:eastAsia="仿宋_GB2312"/>
          <w:sz w:val="32"/>
          <w:szCs w:val="32"/>
        </w:rPr>
      </w:pPr>
      <w:r>
        <w:rPr>
          <w:rFonts w:hint="eastAsia" w:ascii="Times New Roman" w:hAnsi="Times New Roman" w:eastAsia="仿宋_GB2312"/>
          <w:sz w:val="32"/>
          <w:szCs w:val="32"/>
        </w:rPr>
        <w:t>结合绩效指标完成情况及部门绩效目标实现的综合分析，部门整体支出绩效综合评价为各项指标项基本达到指标要求，部门整体支出绩效管理达到预期效果，自评为“</w:t>
      </w:r>
      <w:r>
        <w:rPr>
          <w:rFonts w:ascii="Times New Roman" w:hAnsi="Times New Roman" w:eastAsia="仿宋_GB2312"/>
          <w:sz w:val="32"/>
          <w:szCs w:val="32"/>
        </w:rPr>
        <w:t>优</w:t>
      </w:r>
      <w:r>
        <w:rPr>
          <w:rFonts w:hint="eastAsia" w:ascii="Times New Roman" w:hAnsi="Times New Roman" w:eastAsia="仿宋_GB2312"/>
          <w:sz w:val="32"/>
          <w:szCs w:val="32"/>
        </w:rPr>
        <w:t>级”</w:t>
      </w:r>
      <w:r>
        <w:rPr>
          <w:rFonts w:ascii="Times New Roman" w:hAnsi="Times New Roman" w:eastAsia="仿宋_GB2312"/>
          <w:sz w:val="32"/>
          <w:szCs w:val="32"/>
        </w:rPr>
        <w:t>。</w:t>
      </w:r>
    </w:p>
    <w:p>
      <w:pPr>
        <w:widowControl/>
        <w:adjustRightInd w:val="0"/>
        <w:snapToGrid w:val="0"/>
        <w:spacing w:line="560" w:lineRule="exact"/>
        <w:ind w:firstLine="640" w:firstLineChars="200"/>
        <w:contextualSpacing/>
        <w:jc w:val="left"/>
        <w:rPr>
          <w:rFonts w:ascii="Times New Roman" w:hAnsi="Times New Roman" w:eastAsia="仿宋_GB2312"/>
          <w:sz w:val="32"/>
          <w:szCs w:val="32"/>
          <w:lang w:val="zh-CN" w:eastAsia="zh-CN"/>
        </w:rPr>
      </w:pPr>
      <w:r>
        <w:rPr>
          <w:rFonts w:ascii="Times New Roman" w:hAnsi="Times New Roman" w:eastAsia="仿宋_GB2312"/>
          <w:sz w:val="32"/>
          <w:szCs w:val="32"/>
          <w:lang w:val="zh-CN" w:eastAsia="zh-CN"/>
        </w:rPr>
        <w:t>（二）存在问题。</w:t>
      </w:r>
    </w:p>
    <w:p>
      <w:pPr>
        <w:spacing w:line="560" w:lineRule="exact"/>
        <w:ind w:firstLine="707" w:firstLineChars="221"/>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五险一金</w:t>
      </w:r>
      <w:r>
        <w:rPr>
          <w:rFonts w:ascii="Times New Roman" w:hAnsi="Times New Roman" w:eastAsia="仿宋_GB2312"/>
          <w:sz w:val="32"/>
          <w:szCs w:val="32"/>
        </w:rPr>
        <w:t>”</w:t>
      </w:r>
      <w:r>
        <w:rPr>
          <w:rFonts w:hint="eastAsia" w:ascii="Times New Roman" w:hAnsi="Times New Roman" w:eastAsia="仿宋_GB2312"/>
          <w:sz w:val="32"/>
          <w:szCs w:val="32"/>
        </w:rPr>
        <w:t>因年初部门预算所采用的基础数据与社保、医保、公积金中心的缴费基数不一致，单位缴费数额大大高于部门预算核定数，垫付资金负担沉重，造成绩效目标偏差。</w:t>
      </w:r>
    </w:p>
    <w:p>
      <w:pPr>
        <w:pStyle w:val="2"/>
        <w:spacing w:line="560" w:lineRule="exact"/>
        <w:ind w:firstLine="480" w:firstLineChars="150"/>
        <w:rPr>
          <w:rFonts w:ascii="Times New Roman" w:hAnsi="Times New Roman"/>
          <w:kern w:val="2"/>
          <w:sz w:val="32"/>
          <w:szCs w:val="32"/>
        </w:rPr>
      </w:pPr>
      <w:r>
        <w:rPr>
          <w:rFonts w:ascii="Times New Roman" w:hAnsi="Times New Roman"/>
          <w:kern w:val="2"/>
          <w:sz w:val="32"/>
          <w:szCs w:val="32"/>
        </w:rPr>
        <w:t>2.由于工作安排的原因，存在部门预算执行进度不均衡，项目资金的使用有“前松后紧”现象</w:t>
      </w:r>
    </w:p>
    <w:p>
      <w:pPr>
        <w:widowControl/>
        <w:adjustRightInd w:val="0"/>
        <w:snapToGrid w:val="0"/>
        <w:spacing w:line="560" w:lineRule="exact"/>
        <w:ind w:firstLine="640" w:firstLineChars="200"/>
        <w:contextualSpacing/>
        <w:jc w:val="left"/>
        <w:rPr>
          <w:rFonts w:hint="eastAsia" w:ascii="Times New Roman" w:hAnsi="Times New Roman" w:eastAsia="仿宋_GB2312"/>
          <w:sz w:val="32"/>
          <w:szCs w:val="32"/>
          <w:lang w:val="zh-CN" w:eastAsia="zh-CN"/>
        </w:rPr>
      </w:pPr>
      <w:r>
        <w:rPr>
          <w:rFonts w:hint="eastAsia" w:ascii="Times New Roman" w:hAnsi="Times New Roman" w:eastAsia="仿宋_GB2312"/>
          <w:sz w:val="32"/>
          <w:szCs w:val="32"/>
          <w:lang w:val="zh-CN" w:eastAsia="zh-CN"/>
        </w:rPr>
        <w:t>（三）改进建议。</w:t>
      </w:r>
    </w:p>
    <w:p>
      <w:pPr>
        <w:pStyle w:val="10"/>
        <w:spacing w:line="600" w:lineRule="exact"/>
        <w:ind w:firstLine="640" w:firstLineChars="200"/>
        <w:jc w:val="left"/>
        <w:rPr>
          <w:rFonts w:ascii="Times New Roman" w:hAnsi="Times New Roman" w:eastAsia="仿宋_GB2312"/>
          <w:sz w:val="32"/>
          <w:szCs w:val="32"/>
        </w:rPr>
      </w:pPr>
      <w:r>
        <w:rPr>
          <w:rFonts w:ascii="Times New Roman" w:hAnsi="Times New Roman" w:eastAsia="仿宋_GB2312"/>
          <w:color w:val="000000"/>
          <w:kern w:val="0"/>
          <w:sz w:val="32"/>
          <w:szCs w:val="32"/>
        </w:rPr>
        <w:t>资金及时到位</w:t>
      </w:r>
      <w:r>
        <w:rPr>
          <w:rFonts w:ascii="Times New Roman" w:hAnsi="Times New Roman" w:eastAsia="仿宋_GB2312"/>
          <w:color w:val="000000"/>
          <w:sz w:val="32"/>
          <w:szCs w:val="32"/>
        </w:rPr>
        <w:t>，</w:t>
      </w:r>
      <w:r>
        <w:rPr>
          <w:rFonts w:ascii="Times New Roman" w:hAnsi="Times New Roman" w:eastAsia="仿宋_GB2312"/>
          <w:sz w:val="32"/>
          <w:szCs w:val="32"/>
        </w:rPr>
        <w:t>建立长效机制，严格财务管理，加强财务监督，使项目效益达到最大化。</w:t>
      </w:r>
    </w:p>
    <w:p>
      <w:pPr>
        <w:pStyle w:val="15"/>
        <w:spacing w:line="560" w:lineRule="exact"/>
        <w:ind w:left="0" w:leftChars="0" w:firstLine="640"/>
        <w:rPr>
          <w:rFonts w:hint="eastAsia" w:hAnsi="仿宋_GB2312" w:eastAsia="仿宋_GB2312" w:cs="仿宋_GB2312"/>
          <w:sz w:val="32"/>
          <w:lang w:val="zh-CN"/>
        </w:rPr>
      </w:pPr>
    </w:p>
    <w:p>
      <w:pPr>
        <w:pStyle w:val="15"/>
        <w:spacing w:line="560" w:lineRule="exact"/>
        <w:ind w:left="0" w:leftChars="0" w:firstLine="640"/>
        <w:rPr>
          <w:rFonts w:hint="eastAsia" w:hAnsi="仿宋_GB2312" w:eastAsia="仿宋_GB2312" w:cs="仿宋_GB2312"/>
          <w:sz w:val="32"/>
          <w:lang w:val="en-US" w:eastAsia="zh-CN"/>
        </w:rPr>
      </w:pPr>
      <w:r>
        <w:rPr>
          <w:rFonts w:hint="eastAsia" w:hAnsi="仿宋_GB2312" w:eastAsia="仿宋_GB2312" w:cs="仿宋_GB2312"/>
          <w:sz w:val="32"/>
          <w:lang w:val="zh-CN"/>
        </w:rPr>
        <w:t>附表：</w:t>
      </w:r>
      <w:r>
        <w:rPr>
          <w:rFonts w:hint="eastAsia" w:hAnsi="仿宋_GB2312" w:eastAsia="仿宋_GB2312" w:cs="仿宋_GB2312"/>
          <w:sz w:val="32"/>
        </w:rPr>
        <w:t>部门预算项目支出绩效自评表（2022年度）见附件</w:t>
      </w:r>
      <w:r>
        <w:rPr>
          <w:rFonts w:hint="eastAsia" w:hAnsi="仿宋_GB2312" w:eastAsia="仿宋_GB2312" w:cs="仿宋_GB2312"/>
          <w:sz w:val="32"/>
          <w:lang w:val="en-US" w:eastAsia="zh-CN"/>
        </w:rPr>
        <w:t>3</w:t>
      </w:r>
    </w:p>
    <w:p>
      <w:pPr>
        <w:pStyle w:val="2"/>
        <w:spacing w:before="93"/>
        <w:rPr>
          <w:rFonts w:hAnsi="宋体" w:cs="宋体"/>
          <w:sz w:val="32"/>
          <w:szCs w:val="32"/>
          <w:shd w:val="clear" w:color="auto" w:fill="FFFFFF"/>
          <w:lang w:val="zh-CN"/>
        </w:rPr>
      </w:pPr>
    </w:p>
    <w:p>
      <w:pPr>
        <w:pStyle w:val="2"/>
        <w:spacing w:before="93"/>
        <w:rPr>
          <w:sz w:val="32"/>
          <w:szCs w:val="32"/>
        </w:rPr>
      </w:pPr>
      <w:r>
        <w:rPr>
          <w:rFonts w:hint="eastAsia" w:hAnsi="宋体" w:cs="宋体"/>
          <w:sz w:val="32"/>
          <w:szCs w:val="32"/>
          <w:shd w:val="clear" w:color="auto" w:fill="FFFFFF"/>
          <w:lang w:val="zh-CN"/>
        </w:rPr>
        <w:t>附件</w:t>
      </w:r>
      <w:r>
        <w:rPr>
          <w:rFonts w:hint="eastAsia" w:hAnsi="宋体" w:cs="宋体"/>
          <w:sz w:val="32"/>
          <w:szCs w:val="32"/>
          <w:shd w:val="clear" w:color="auto" w:fill="FFFFFF"/>
        </w:rPr>
        <w:t>2</w:t>
      </w:r>
    </w:p>
    <w:p>
      <w:pPr>
        <w:pStyle w:val="2"/>
        <w:rPr>
          <w:rFonts w:hint="eastAsia" w:ascii="Times New Roman" w:hAnsi="Times New Roman" w:eastAsia="仿宋_GB2312"/>
          <w:sz w:val="32"/>
          <w:szCs w:val="32"/>
        </w:rPr>
      </w:pPr>
    </w:p>
    <w:p>
      <w:pPr>
        <w:pStyle w:val="10"/>
        <w:spacing w:line="600" w:lineRule="exact"/>
        <w:ind w:firstLine="720" w:firstLineChars="200"/>
        <w:jc w:val="center"/>
        <w:rPr>
          <w:rFonts w:hint="eastAsia" w:ascii="方正小标宋_GBK" w:hAnsi="黑体" w:eastAsia="方正小标宋_GBK" w:cs="黑体"/>
          <w:sz w:val="36"/>
          <w:szCs w:val="36"/>
        </w:rPr>
      </w:pPr>
      <w:r>
        <w:rPr>
          <w:rFonts w:hint="eastAsia" w:ascii="方正小标宋_GBK" w:hAnsi="黑体" w:eastAsia="方正小标宋_GBK" w:cs="黑体"/>
          <w:sz w:val="36"/>
          <w:szCs w:val="36"/>
        </w:rPr>
        <w:t>202</w:t>
      </w:r>
      <w:r>
        <w:rPr>
          <w:rFonts w:ascii="方正小标宋_GBK" w:hAnsi="黑体" w:eastAsia="方正小标宋_GBK" w:cs="黑体"/>
          <w:sz w:val="36"/>
          <w:szCs w:val="36"/>
          <w:lang w:val="en"/>
        </w:rPr>
        <w:t>2</w:t>
      </w:r>
      <w:r>
        <w:rPr>
          <w:rFonts w:hint="eastAsia" w:ascii="方正小标宋_GBK" w:hAnsi="黑体" w:eastAsia="方正小标宋_GBK" w:cs="黑体"/>
          <w:sz w:val="36"/>
          <w:szCs w:val="36"/>
        </w:rPr>
        <w:t>年</w:t>
      </w:r>
      <w:r>
        <w:rPr>
          <w:rFonts w:hint="eastAsia" w:ascii="方正小标宋_GBK" w:hAnsi="黑体" w:eastAsia="方正小标宋_GBK" w:cs="黑体"/>
          <w:sz w:val="36"/>
          <w:szCs w:val="36"/>
          <w:lang w:eastAsia="zh-CN"/>
        </w:rPr>
        <w:t>市级专项资金预算项目</w:t>
      </w:r>
      <w:r>
        <w:rPr>
          <w:rFonts w:hint="eastAsia" w:ascii="方正小标宋_GBK" w:hAnsi="黑体" w:eastAsia="方正小标宋_GBK" w:cs="黑体"/>
          <w:sz w:val="36"/>
          <w:szCs w:val="36"/>
        </w:rPr>
        <w:t>绩效自评报告</w:t>
      </w:r>
    </w:p>
    <w:p>
      <w:pPr>
        <w:pStyle w:val="10"/>
        <w:spacing w:line="600" w:lineRule="exact"/>
        <w:ind w:firstLine="720" w:firstLineChars="200"/>
        <w:jc w:val="center"/>
        <w:rPr>
          <w:rFonts w:hint="eastAsia" w:ascii="方正小标宋_GBK" w:hAnsi="黑体" w:eastAsia="方正小标宋_GBK" w:cs="黑体"/>
          <w:sz w:val="36"/>
          <w:szCs w:val="36"/>
        </w:rPr>
      </w:pPr>
      <w:r>
        <w:rPr>
          <w:rFonts w:hint="eastAsia" w:ascii="方正小标宋_GBK" w:hAnsi="黑体" w:eastAsia="方正小标宋_GBK" w:cs="黑体"/>
          <w:sz w:val="36"/>
          <w:szCs w:val="36"/>
        </w:rPr>
        <w:t>（社会体育赛事活动经费）</w:t>
      </w:r>
    </w:p>
    <w:p>
      <w:pPr>
        <w:pStyle w:val="10"/>
        <w:spacing w:line="600" w:lineRule="exact"/>
        <w:ind w:firstLine="720" w:firstLineChars="200"/>
        <w:jc w:val="center"/>
        <w:rPr>
          <w:rFonts w:ascii="方正小标宋_GBK" w:hAnsi="黑体" w:eastAsia="方正小标宋_GBK" w:cs="黑体"/>
          <w:sz w:val="36"/>
          <w:szCs w:val="36"/>
        </w:rPr>
      </w:pP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一、项目概况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（一）项目基本情况。</w:t>
      </w:r>
    </w:p>
    <w:p>
      <w:pPr>
        <w:widowControl/>
        <w:ind w:firstLine="640" w:firstLineChars="200"/>
        <w:outlineLvl w:val="1"/>
        <w:rPr>
          <w:rFonts w:hint="eastAsia" w:ascii="Times New Roman" w:hAnsi="Times New Roman" w:eastAsia="楷体_GB2312"/>
          <w:kern w:val="0"/>
          <w:sz w:val="32"/>
          <w:szCs w:val="32"/>
        </w:rPr>
      </w:pPr>
      <w:r>
        <w:rPr>
          <w:rFonts w:hint="eastAsia" w:ascii="Times New Roman" w:hAnsi="Times New Roman" w:eastAsia="楷体_GB2312"/>
          <w:kern w:val="0"/>
          <w:sz w:val="32"/>
          <w:szCs w:val="32"/>
        </w:rPr>
        <w:t>1、计划活动情况</w:t>
      </w:r>
    </w:p>
    <w:p>
      <w:pPr>
        <w:spacing w:line="560" w:lineRule="exact"/>
        <w:ind w:firstLine="707" w:firstLineChars="221"/>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
        </w:rPr>
        <w:t>2</w:t>
      </w:r>
      <w:r>
        <w:rPr>
          <w:rFonts w:hint="eastAsia" w:ascii="Times New Roman" w:hAnsi="Times New Roman" w:eastAsia="仿宋_GB2312"/>
          <w:sz w:val="32"/>
          <w:szCs w:val="32"/>
        </w:rPr>
        <w:t>计划开展社会体育赛事活动共计</w:t>
      </w:r>
      <w:r>
        <w:rPr>
          <w:rFonts w:hint="eastAsia" w:ascii="Times New Roman" w:hAnsi="Times New Roman" w:eastAsia="仿宋_GB2312"/>
          <w:sz w:val="32"/>
          <w:szCs w:val="32"/>
          <w:lang w:val="en"/>
        </w:rPr>
        <w:t>18项</w:t>
      </w:r>
      <w:r>
        <w:rPr>
          <w:rFonts w:hint="eastAsia" w:ascii="Times New Roman" w:hAnsi="Times New Roman" w:eastAsia="仿宋_GB2312"/>
          <w:sz w:val="32"/>
          <w:szCs w:val="32"/>
        </w:rPr>
        <w:t>。即第48届元旦越野赛、第十九届元宵登山活动、2022年羽协杯羽毛球比赛、2022年网协杯网球比赛、第七届乒协杯乒乓球比赛、2022年桥牌比赛、第九届五人制足球比赛、2022年气排球比赛、2022年三人制篮球比赛、十三届棋类比赛、全民健身日开赛仪式及系列赛事活动、第三十七届钓鱼比赛、第八届羽毛球比赛、第十八届乒乓球比赛、第三十六届网球比赛、第十九届足协杯足球比赛、第十六届篮协杯篮球比赛、攀枝花市第二届“云健身”网络运动会。</w:t>
      </w:r>
    </w:p>
    <w:p>
      <w:pPr>
        <w:widowControl/>
        <w:ind w:firstLine="640" w:firstLineChars="200"/>
        <w:outlineLvl w:val="1"/>
        <w:rPr>
          <w:rFonts w:hint="eastAsia" w:ascii="Times New Roman" w:hAnsi="Times New Roman" w:eastAsia="楷体_GB2312"/>
          <w:kern w:val="0"/>
          <w:sz w:val="32"/>
          <w:szCs w:val="32"/>
        </w:rPr>
      </w:pPr>
      <w:r>
        <w:rPr>
          <w:rFonts w:hint="eastAsia" w:ascii="仿宋" w:hAnsi="仿宋" w:eastAsia="仿宋" w:cs="仿宋"/>
          <w:color w:val="222222"/>
          <w:kern w:val="0"/>
          <w:sz w:val="32"/>
          <w:szCs w:val="32"/>
          <w:lang w:bidi="ar"/>
        </w:rPr>
        <w:t>2、</w:t>
      </w:r>
      <w:r>
        <w:rPr>
          <w:rFonts w:hint="eastAsia" w:ascii="Times New Roman" w:hAnsi="Times New Roman" w:eastAsia="楷体_GB2312"/>
          <w:kern w:val="0"/>
          <w:sz w:val="32"/>
          <w:szCs w:val="32"/>
        </w:rPr>
        <w:t>完成活动情况</w:t>
      </w:r>
    </w:p>
    <w:p>
      <w:pPr>
        <w:spacing w:line="560" w:lineRule="exact"/>
        <w:ind w:firstLine="707" w:firstLineChars="221"/>
        <w:rPr>
          <w:rFonts w:hint="eastAsia" w:ascii="Times New Roman" w:hAnsi="Times New Roman" w:eastAsia="仿宋_GB2312"/>
          <w:sz w:val="32"/>
          <w:szCs w:val="32"/>
          <w:lang w:val="zh-CN"/>
        </w:rPr>
      </w:pPr>
      <w:r>
        <w:rPr>
          <w:rFonts w:hint="eastAsia" w:ascii="Times New Roman" w:hAnsi="Times New Roman" w:eastAsia="仿宋_GB2312"/>
          <w:sz w:val="32"/>
          <w:szCs w:val="32"/>
          <w:lang w:val="zh-CN"/>
        </w:rPr>
        <w:t>完成四川省“百城千乡万村·社区” 攀枝花分赛场系列赛事活动筹备组织和竞赛工作，承办的四川省“百城千乡万村·社区”攀枝花分赛场系列赛事活动包括：</w:t>
      </w:r>
      <w:r>
        <w:rPr>
          <w:rFonts w:hint="eastAsia" w:ascii="Times New Roman" w:hAnsi="Times New Roman" w:eastAsia="仿宋_GB2312"/>
          <w:sz w:val="32"/>
          <w:szCs w:val="32"/>
        </w:rPr>
        <w:t>足球、篮球、羽毛球、网球、乒乓球、象棋</w:t>
      </w:r>
      <w:r>
        <w:rPr>
          <w:rFonts w:hint="eastAsia" w:ascii="Times New Roman" w:hAnsi="Times New Roman" w:eastAsia="仿宋_GB2312"/>
          <w:sz w:val="32"/>
          <w:szCs w:val="32"/>
          <w:lang w:val="zh-CN"/>
        </w:rPr>
        <w:t>、广场健身舞等体育赛事活动，共计1300名运动员参加比赛。攀枝花市“三大球”城市联赛（2022-2023）比赛圆满落幕，举办了第二届“云健身”网络运动会，约600人参加。指导三区两县举办四川省《国家体育锻炼标准》达标赛攀枝花分站赛。选派人员参加全省第十四届运动会、省第十六届民运会裁判工作。</w:t>
      </w:r>
    </w:p>
    <w:p>
      <w:pPr>
        <w:widowControl/>
        <w:wordWrap w:val="0"/>
        <w:spacing w:line="600" w:lineRule="exact"/>
        <w:ind w:firstLine="472" w:firstLineChars="147"/>
        <w:rPr>
          <w:rFonts w:ascii="黑体" w:hAnsi="黑体" w:eastAsia="黑体" w:cs="黑体"/>
          <w:b/>
          <w:bCs/>
          <w:color w:val="222222"/>
          <w:kern w:val="0"/>
          <w:sz w:val="32"/>
          <w:szCs w:val="32"/>
          <w:lang w:bidi="ar"/>
        </w:rPr>
      </w:pPr>
      <w:r>
        <w:rPr>
          <w:rFonts w:hint="eastAsia" w:ascii="黑体" w:hAnsi="黑体" w:eastAsia="黑体" w:cs="黑体"/>
          <w:b/>
          <w:bCs/>
          <w:color w:val="222222"/>
          <w:kern w:val="0"/>
          <w:sz w:val="32"/>
          <w:szCs w:val="32"/>
          <w:lang w:bidi="ar"/>
        </w:rPr>
        <w:t>（二）项目实施的相关性</w:t>
      </w:r>
    </w:p>
    <w:p>
      <w:pPr>
        <w:spacing w:line="560" w:lineRule="exact"/>
        <w:ind w:firstLine="707" w:firstLineChars="221"/>
        <w:rPr>
          <w:rFonts w:hint="eastAsia" w:ascii="Times New Roman" w:hAnsi="Times New Roman" w:eastAsia="仿宋_GB2312"/>
          <w:sz w:val="32"/>
          <w:szCs w:val="32"/>
          <w:lang w:val="zh-CN"/>
        </w:rPr>
      </w:pPr>
      <w:r>
        <w:rPr>
          <w:rFonts w:hint="eastAsia" w:ascii="Times New Roman" w:hAnsi="Times New Roman" w:eastAsia="仿宋_GB2312"/>
          <w:sz w:val="32"/>
          <w:szCs w:val="32"/>
          <w:lang w:val="zh-CN"/>
        </w:rPr>
        <w:t>根据《全民健身计划（2021—2025）》文件精神。实施全民健身计划是国家的重要发展战略。攀枝花市社会体育赛事活动项目的实施，是对全民健康的重要体现，是攀枝花经济发展进步的重要标志。全民健身是实现全市人民健康的重要途径和手段，是全体攀枝花人民增强体魄、幸福生活的基础保障。在攀枝花市委、市政府的领导下，攀枝花市教育和体育局的努力推动下，赛事活动形成一定规模，为打造体育强市奠定坚实基础。面对人民群众日益增长的体育健身需求、全面建成小康社会的目标要求、推动健康中国建设的机遇挑战，需要更加准确把握新时期全民健身发展内涵的深刻变化，不断开拓发展新境界，为全市全力打造“三个圈层”，实施全民健身国家战略，提高全民身体素质和健康水平，制定本报告。近几年来，随着我市经济社会的快速健康发展，全民健身事业呈现出生机勃勃崭新面貌，全民健身广泛开展，群众参与锻炼和健身的热情不断高涨，社会体育赛事活动持续发展。</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黑体"/>
          <w:kern w:val="0"/>
          <w:sz w:val="32"/>
          <w:szCs w:val="32"/>
        </w:rPr>
        <w:t>二、项目资金申报及使用情况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（一）项目资金申报及批复情况。</w:t>
      </w:r>
    </w:p>
    <w:p>
      <w:pPr>
        <w:spacing w:line="560" w:lineRule="exact"/>
        <w:ind w:firstLine="707" w:firstLineChars="221"/>
        <w:rPr>
          <w:rFonts w:hint="eastAsia" w:ascii="Times New Roman" w:hAnsi="Times New Roman" w:eastAsia="仿宋_GB2312"/>
          <w:sz w:val="32"/>
          <w:szCs w:val="32"/>
          <w:lang w:val="zh-CN"/>
        </w:rPr>
      </w:pPr>
      <w:r>
        <w:rPr>
          <w:rFonts w:hint="eastAsia" w:ascii="Times New Roman" w:hAnsi="Times New Roman" w:eastAsia="仿宋_GB2312"/>
          <w:sz w:val="32"/>
          <w:szCs w:val="32"/>
          <w:lang w:val="zh-CN"/>
        </w:rPr>
        <w:t>根据2022年赛事情况，财政下达专项资金19.19万元，均用于开展赛事活动。</w:t>
      </w:r>
    </w:p>
    <w:p>
      <w:pPr>
        <w:autoSpaceDE w:val="0"/>
        <w:autoSpaceDN w:val="0"/>
        <w:adjustRightInd w:val="0"/>
        <w:spacing w:line="600" w:lineRule="exact"/>
        <w:ind w:firstLine="640" w:firstLineChars="200"/>
        <w:jc w:val="left"/>
        <w:rPr>
          <w:rFonts w:hint="eastAsia" w:ascii="Times New Roman" w:hAnsi="Times New Roman" w:eastAsia="楷体_GB2312"/>
          <w:kern w:val="0"/>
          <w:sz w:val="32"/>
          <w:szCs w:val="32"/>
        </w:rPr>
      </w:pPr>
      <w:r>
        <w:rPr>
          <w:rFonts w:ascii="Times New Roman" w:hAnsi="Times New Roman" w:eastAsia="楷体_GB2312"/>
          <w:kern w:val="0"/>
          <w:sz w:val="32"/>
          <w:szCs w:val="32"/>
        </w:rPr>
        <w:t>（二）资金计划、到位及使用情况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1．资金计划。</w:t>
      </w:r>
    </w:p>
    <w:p>
      <w:pPr>
        <w:spacing w:line="560" w:lineRule="exact"/>
        <w:ind w:firstLine="707" w:firstLineChars="221"/>
        <w:rPr>
          <w:rFonts w:hint="eastAsia" w:ascii="Times New Roman" w:hAnsi="Times New Roman" w:eastAsia="仿宋_GB2312"/>
          <w:sz w:val="32"/>
          <w:szCs w:val="32"/>
          <w:lang w:val="zh-CN"/>
        </w:rPr>
      </w:pPr>
      <w:r>
        <w:rPr>
          <w:rFonts w:hint="eastAsia" w:ascii="Times New Roman" w:hAnsi="Times New Roman" w:eastAsia="仿宋_GB2312"/>
          <w:sz w:val="32"/>
          <w:szCs w:val="32"/>
          <w:lang w:val="zh-CN"/>
        </w:rPr>
        <w:t>2022年社会体育赛事活动计划19.19万元，经费来源为财政拨款体彩公益金。</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2．资金到位。</w:t>
      </w:r>
    </w:p>
    <w:p>
      <w:pPr>
        <w:spacing w:line="560" w:lineRule="exact"/>
        <w:ind w:firstLine="707" w:firstLineChars="221"/>
        <w:rPr>
          <w:rFonts w:hint="eastAsia" w:ascii="Times New Roman" w:hAnsi="Times New Roman" w:eastAsia="仿宋_GB2312"/>
          <w:sz w:val="32"/>
          <w:szCs w:val="32"/>
          <w:lang w:val="zh-CN"/>
        </w:rPr>
      </w:pPr>
      <w:r>
        <w:rPr>
          <w:rFonts w:hint="eastAsia" w:ascii="Times New Roman" w:hAnsi="Times New Roman" w:eastAsia="仿宋_GB2312"/>
          <w:sz w:val="32"/>
          <w:szCs w:val="32"/>
          <w:lang w:val="zh-CN"/>
        </w:rPr>
        <w:t>2022年收到市财政局下达体育彩票公益金专项资金19.19万元，到位率100%，我单位收到此经费，按计划组织开展了相关赛事活动。</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3．资金使用。</w:t>
      </w:r>
    </w:p>
    <w:p>
      <w:pPr>
        <w:widowControl/>
        <w:wordWrap w:val="0"/>
        <w:spacing w:line="600" w:lineRule="exact"/>
        <w:ind w:firstLine="640" w:firstLineChars="200"/>
        <w:rPr>
          <w:rFonts w:ascii="仿宋" w:hAnsi="仿宋" w:eastAsia="仿宋" w:cs="仿宋"/>
          <w:color w:val="222222"/>
          <w:kern w:val="0"/>
          <w:sz w:val="32"/>
          <w:szCs w:val="32"/>
          <w:lang w:bidi="ar"/>
        </w:rPr>
      </w:pPr>
      <w:r>
        <w:rPr>
          <w:rFonts w:hint="eastAsia" w:ascii="Times New Roman" w:hAnsi="Times New Roman" w:eastAsia="仿宋_GB2312"/>
          <w:sz w:val="32"/>
          <w:szCs w:val="32"/>
          <w:lang w:val="zh-CN"/>
        </w:rPr>
        <w:t>社会体育赛事活动经费19.19万元，单位严格按照中央“八项规定”和省、市“十项规定”以及《党政机关厉行节约反对浪费条例》等相关规定开支，同时按照项目的开支范围、标准、依据及项目进度专款专用</w:t>
      </w:r>
      <w:r>
        <w:rPr>
          <w:rFonts w:hint="eastAsia" w:ascii="仿宋" w:hAnsi="仿宋" w:eastAsia="仿宋" w:cs="仿宋"/>
          <w:color w:val="222222"/>
          <w:kern w:val="0"/>
          <w:sz w:val="32"/>
          <w:szCs w:val="32"/>
          <w:lang w:bidi="ar"/>
        </w:rPr>
        <w:t>。</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（三）项目财务管理情况。</w:t>
      </w:r>
    </w:p>
    <w:p>
      <w:pPr>
        <w:widowControl/>
        <w:wordWrap w:val="0"/>
        <w:spacing w:line="600" w:lineRule="exact"/>
        <w:ind w:firstLine="640" w:firstLineChars="200"/>
        <w:rPr>
          <w:rFonts w:hint="eastAsia" w:ascii="Times New Roman" w:hAnsi="Times New Roman" w:eastAsia="仿宋_GB2312"/>
          <w:sz w:val="32"/>
          <w:szCs w:val="32"/>
          <w:lang w:val="zh-CN"/>
        </w:rPr>
      </w:pPr>
      <w:r>
        <w:rPr>
          <w:rFonts w:hint="eastAsia" w:ascii="Times New Roman" w:hAnsi="Times New Roman" w:eastAsia="仿宋_GB2312"/>
          <w:sz w:val="32"/>
          <w:szCs w:val="32"/>
          <w:lang w:val="zh-CN"/>
        </w:rPr>
        <w:t>为保证项目经费专款专用，单位制定了社会体育赛事活动管理相关制度，强化了专项经费的规范使用，同时单位财务管理制度健全，严格执行财务管理制度，账务处理及时，会计核算规范。</w:t>
      </w:r>
    </w:p>
    <w:p>
      <w:pPr>
        <w:numPr>
          <w:ilvl w:val="0"/>
          <w:numId w:val="6"/>
        </w:numPr>
        <w:autoSpaceDE w:val="0"/>
        <w:autoSpaceDN w:val="0"/>
        <w:adjustRightInd w:val="0"/>
        <w:spacing w:line="600" w:lineRule="exact"/>
        <w:jc w:val="left"/>
        <w:rPr>
          <w:rFonts w:ascii="Times New Roman" w:hAnsi="Times New Roman" w:eastAsia="黑体"/>
          <w:kern w:val="0"/>
          <w:sz w:val="32"/>
          <w:szCs w:val="32"/>
        </w:rPr>
      </w:pPr>
      <w:r>
        <w:rPr>
          <w:rFonts w:ascii="Times New Roman" w:hAnsi="Times New Roman" w:eastAsia="黑体"/>
          <w:kern w:val="0"/>
          <w:sz w:val="32"/>
          <w:szCs w:val="32"/>
        </w:rPr>
        <w:t>项目实施及管理情况</w:t>
      </w:r>
    </w:p>
    <w:p>
      <w:pPr>
        <w:widowControl/>
        <w:wordWrap w:val="0"/>
        <w:spacing w:line="600" w:lineRule="exact"/>
        <w:ind w:left="640"/>
        <w:rPr>
          <w:rFonts w:ascii="仿宋_GB2312" w:hAnsi="黑体" w:eastAsia="仿宋_GB2312" w:cs="Segoe UI"/>
          <w:color w:val="222222"/>
          <w:kern w:val="0"/>
          <w:sz w:val="32"/>
          <w:szCs w:val="32"/>
        </w:rPr>
      </w:pPr>
      <w:r>
        <w:rPr>
          <w:rFonts w:hint="eastAsia" w:ascii="仿宋" w:hAnsi="仿宋" w:eastAsia="仿宋" w:cs="仿宋"/>
          <w:color w:val="222222"/>
          <w:kern w:val="0"/>
          <w:sz w:val="32"/>
          <w:szCs w:val="32"/>
          <w:lang w:bidi="ar"/>
        </w:rPr>
        <w:t>（一）</w:t>
      </w:r>
      <w:r>
        <w:rPr>
          <w:rFonts w:hint="eastAsia" w:ascii="仿宋_GB2312" w:hAnsi="黑体" w:eastAsia="仿宋_GB2312" w:cs="Segoe UI"/>
          <w:color w:val="222222"/>
          <w:kern w:val="0"/>
          <w:sz w:val="32"/>
          <w:szCs w:val="32"/>
        </w:rPr>
        <w:t>项目决策依据</w:t>
      </w:r>
    </w:p>
    <w:p>
      <w:pPr>
        <w:widowControl/>
        <w:wordWrap w:val="0"/>
        <w:spacing w:line="600" w:lineRule="exact"/>
        <w:ind w:firstLine="640" w:firstLineChars="200"/>
        <w:rPr>
          <w:rFonts w:hint="eastAsia" w:ascii="Times New Roman" w:hAnsi="Times New Roman" w:eastAsia="仿宋_GB2312"/>
          <w:sz w:val="32"/>
          <w:szCs w:val="32"/>
          <w:lang w:val="zh-CN"/>
        </w:rPr>
      </w:pPr>
      <w:r>
        <w:rPr>
          <w:rFonts w:hint="eastAsia" w:ascii="Times New Roman" w:hAnsi="Times New Roman" w:eastAsia="仿宋_GB2312"/>
          <w:sz w:val="32"/>
          <w:szCs w:val="32"/>
          <w:lang w:val="zh-CN"/>
        </w:rPr>
        <w:t>我中心的职能就是组织全市社会体育赛事活动，为广大体育爱好者提供体育活动平台。此次组织的9个体育赛事项目，通过了多年的组织经验及社会论证，是我市群众参与度最高、参与人数最多的9个赛事活动。</w:t>
      </w:r>
    </w:p>
    <w:p>
      <w:pPr>
        <w:widowControl/>
        <w:snapToGrid w:val="0"/>
        <w:spacing w:after="300" w:line="560" w:lineRule="exact"/>
        <w:ind w:firstLine="630"/>
        <w:contextualSpacing/>
        <w:rPr>
          <w:rFonts w:ascii="仿宋" w:hAnsi="仿宋" w:eastAsia="仿宋" w:cs="仿宋"/>
          <w:color w:val="222222"/>
          <w:kern w:val="0"/>
          <w:sz w:val="32"/>
          <w:szCs w:val="32"/>
          <w:lang w:bidi="ar"/>
        </w:rPr>
      </w:pPr>
      <w:r>
        <w:rPr>
          <w:rFonts w:hint="eastAsia" w:ascii="仿宋" w:hAnsi="仿宋" w:eastAsia="仿宋" w:cs="仿宋"/>
          <w:color w:val="222222"/>
          <w:kern w:val="0"/>
          <w:sz w:val="32"/>
          <w:szCs w:val="32"/>
          <w:lang w:bidi="ar"/>
        </w:rPr>
        <w:t>（二）项目决策程序</w:t>
      </w:r>
    </w:p>
    <w:p>
      <w:pPr>
        <w:widowControl/>
        <w:wordWrap w:val="0"/>
        <w:spacing w:line="600" w:lineRule="exact"/>
        <w:ind w:firstLine="640" w:firstLineChars="200"/>
        <w:rPr>
          <w:rFonts w:hint="eastAsia" w:ascii="Times New Roman" w:hAnsi="Times New Roman" w:eastAsia="仿宋_GB2312"/>
          <w:sz w:val="32"/>
          <w:szCs w:val="32"/>
          <w:lang w:val="zh-CN"/>
        </w:rPr>
      </w:pPr>
      <w:r>
        <w:rPr>
          <w:rFonts w:hint="eastAsia" w:ascii="Times New Roman" w:hAnsi="Times New Roman" w:eastAsia="仿宋_GB2312"/>
          <w:sz w:val="32"/>
          <w:szCs w:val="32"/>
          <w:lang w:val="zh-CN"/>
        </w:rPr>
        <w:t>社会体育赛事活动经费由上级主管单位攀枝花市教育和体育局划拨我单位进行组织开展。</w:t>
      </w:r>
    </w:p>
    <w:p>
      <w:pPr>
        <w:widowControl/>
        <w:snapToGrid w:val="0"/>
        <w:spacing w:after="300" w:line="560" w:lineRule="exact"/>
        <w:ind w:firstLine="630"/>
        <w:contextualSpacing/>
        <w:rPr>
          <w:rFonts w:ascii="仿宋" w:hAnsi="仿宋" w:eastAsia="仿宋" w:cs="仿宋"/>
          <w:color w:val="222222"/>
          <w:kern w:val="0"/>
          <w:sz w:val="32"/>
          <w:szCs w:val="32"/>
          <w:lang w:bidi="ar"/>
        </w:rPr>
      </w:pPr>
      <w:r>
        <w:rPr>
          <w:rFonts w:hint="eastAsia" w:ascii="仿宋" w:hAnsi="仿宋" w:eastAsia="仿宋" w:cs="仿宋"/>
          <w:color w:val="222222"/>
          <w:kern w:val="0"/>
          <w:sz w:val="32"/>
          <w:szCs w:val="32"/>
          <w:lang w:bidi="ar"/>
        </w:rPr>
        <w:t>（三）组织机构</w:t>
      </w:r>
    </w:p>
    <w:p>
      <w:pPr>
        <w:widowControl/>
        <w:wordWrap w:val="0"/>
        <w:spacing w:line="600" w:lineRule="exact"/>
        <w:ind w:firstLine="640" w:firstLineChars="200"/>
        <w:rPr>
          <w:rFonts w:hint="eastAsia" w:ascii="Times New Roman" w:hAnsi="Times New Roman" w:eastAsia="仿宋_GB2312"/>
          <w:sz w:val="32"/>
          <w:szCs w:val="32"/>
          <w:lang w:val="zh-CN"/>
        </w:rPr>
      </w:pPr>
      <w:r>
        <w:rPr>
          <w:rFonts w:hint="eastAsia" w:ascii="Times New Roman" w:hAnsi="Times New Roman" w:eastAsia="仿宋_GB2312"/>
          <w:sz w:val="32"/>
          <w:szCs w:val="32"/>
          <w:lang w:val="zh-CN"/>
        </w:rPr>
        <w:t>成立赛事活动竞赛组，组长为中心主任（项目总负责），副组长为中心副主任（赛事活动执行），成员为5人（场地对接、赛事安全、疫情防控、宣传报道）、财务室（负责预算的管理及档案的收集）</w:t>
      </w:r>
    </w:p>
    <w:p>
      <w:pPr>
        <w:widowControl/>
        <w:snapToGrid w:val="0"/>
        <w:spacing w:after="300" w:line="560" w:lineRule="exact"/>
        <w:ind w:firstLine="630"/>
        <w:contextualSpacing/>
        <w:rPr>
          <w:rFonts w:ascii="仿宋" w:hAnsi="仿宋" w:eastAsia="仿宋" w:cs="仿宋"/>
          <w:color w:val="222222"/>
          <w:kern w:val="0"/>
          <w:sz w:val="32"/>
          <w:szCs w:val="32"/>
          <w:lang w:bidi="ar"/>
        </w:rPr>
      </w:pPr>
      <w:r>
        <w:rPr>
          <w:rFonts w:hint="eastAsia" w:ascii="仿宋" w:hAnsi="仿宋" w:eastAsia="仿宋" w:cs="仿宋"/>
          <w:color w:val="222222"/>
          <w:kern w:val="0"/>
          <w:sz w:val="32"/>
          <w:szCs w:val="32"/>
          <w:lang w:bidi="ar"/>
        </w:rPr>
        <w:t>（四）制度建设</w:t>
      </w:r>
    </w:p>
    <w:p>
      <w:pPr>
        <w:widowControl/>
        <w:wordWrap w:val="0"/>
        <w:spacing w:line="600" w:lineRule="exact"/>
        <w:ind w:firstLine="640" w:firstLineChars="200"/>
        <w:rPr>
          <w:rFonts w:hint="eastAsia" w:ascii="Times New Roman" w:hAnsi="Times New Roman" w:eastAsia="仿宋_GB2312"/>
          <w:sz w:val="32"/>
          <w:szCs w:val="32"/>
          <w:lang w:val="zh-CN"/>
        </w:rPr>
      </w:pPr>
      <w:r>
        <w:rPr>
          <w:rFonts w:hint="eastAsia" w:ascii="Times New Roman" w:hAnsi="Times New Roman" w:eastAsia="仿宋_GB2312"/>
          <w:sz w:val="32"/>
          <w:szCs w:val="32"/>
          <w:lang w:val="zh-CN"/>
        </w:rPr>
        <w:t>为加强赛风赛纪建设，规范本单位财务工作，加强会计核算与内部监督，提高财政资金使用效益，我单位根据《体育法》以及上级主管单位攀枝花市教育和体育局财务制度为指导，结合单位业务工作特点，成立各单项竞赛委员会、仲裁委员会、大会工作机构，制订并完善了包括内部财务控制、财务公开、重点支出管理、会计报销、资产管理、现金及账户管理等财务制度。</w:t>
      </w:r>
    </w:p>
    <w:p>
      <w:pPr>
        <w:widowControl/>
        <w:snapToGrid w:val="0"/>
        <w:spacing w:after="300" w:line="560" w:lineRule="exact"/>
        <w:ind w:firstLine="630"/>
        <w:contextualSpacing/>
        <w:rPr>
          <w:rFonts w:ascii="仿宋" w:hAnsi="仿宋" w:eastAsia="仿宋" w:cs="仿宋"/>
          <w:color w:val="222222"/>
          <w:kern w:val="0"/>
          <w:sz w:val="32"/>
          <w:szCs w:val="32"/>
          <w:lang w:bidi="ar"/>
        </w:rPr>
      </w:pPr>
      <w:r>
        <w:rPr>
          <w:rFonts w:hint="eastAsia" w:ascii="仿宋" w:hAnsi="仿宋" w:eastAsia="仿宋" w:cs="仿宋"/>
          <w:color w:val="222222"/>
          <w:kern w:val="0"/>
          <w:sz w:val="32"/>
          <w:szCs w:val="32"/>
          <w:lang w:bidi="ar"/>
        </w:rPr>
        <w:t>（五）过程控制</w:t>
      </w:r>
    </w:p>
    <w:p>
      <w:pPr>
        <w:widowControl/>
        <w:wordWrap w:val="0"/>
        <w:spacing w:line="600" w:lineRule="exact"/>
        <w:ind w:firstLine="640" w:firstLineChars="200"/>
        <w:rPr>
          <w:rFonts w:hint="eastAsia" w:ascii="Times New Roman" w:hAnsi="Times New Roman" w:eastAsia="仿宋_GB2312"/>
          <w:sz w:val="32"/>
          <w:szCs w:val="32"/>
          <w:lang w:val="zh-CN"/>
        </w:rPr>
      </w:pPr>
      <w:r>
        <w:rPr>
          <w:rFonts w:hint="eastAsia" w:ascii="Times New Roman" w:hAnsi="Times New Roman" w:eastAsia="仿宋_GB2312"/>
          <w:sz w:val="32"/>
          <w:szCs w:val="32"/>
          <w:lang w:val="zh-CN"/>
        </w:rPr>
        <w:t>在预算管理上：执行事前预算评审，事后进行结算评审，保证预算支出的有效性；在项目实施上，严格遵循财务相关手续；在日常管理上，制定《赛事活动突发事件应急预案》《疫情防控方案》，做到有规有矩、有章有程。如遇突发事件或不可抗力因素引起的突然情况，立即启动应急预案，上报上级单位，妥善处理。</w:t>
      </w:r>
    </w:p>
    <w:p>
      <w:pPr>
        <w:widowControl/>
        <w:wordWrap w:val="0"/>
        <w:spacing w:line="600" w:lineRule="exact"/>
        <w:ind w:left="640"/>
        <w:rPr>
          <w:rFonts w:ascii="Times New Roman" w:hAnsi="Times New Roman" w:eastAsia="黑体"/>
          <w:kern w:val="0"/>
          <w:sz w:val="32"/>
          <w:szCs w:val="32"/>
        </w:rPr>
      </w:pPr>
      <w:r>
        <w:rPr>
          <w:rFonts w:ascii="Times New Roman" w:hAnsi="Times New Roman" w:eastAsia="黑体"/>
          <w:kern w:val="0"/>
          <w:sz w:val="32"/>
          <w:szCs w:val="32"/>
        </w:rPr>
        <w:t>四、项目绩效情况</w:t>
      </w:r>
    </w:p>
    <w:p>
      <w:pPr>
        <w:widowControl/>
        <w:wordWrap w:val="0"/>
        <w:spacing w:line="600" w:lineRule="exact"/>
        <w:ind w:firstLine="640" w:firstLineChars="200"/>
        <w:rPr>
          <w:rFonts w:hint="eastAsia" w:ascii="Times New Roman" w:hAnsi="Times New Roman" w:eastAsia="仿宋_GB2312"/>
          <w:sz w:val="32"/>
          <w:szCs w:val="32"/>
          <w:lang w:val="zh-CN"/>
        </w:rPr>
      </w:pPr>
      <w:r>
        <w:rPr>
          <w:rFonts w:hint="eastAsia" w:ascii="Times New Roman" w:hAnsi="Times New Roman" w:eastAsia="仿宋_GB2312"/>
          <w:sz w:val="32"/>
          <w:szCs w:val="32"/>
          <w:lang w:val="zh-CN"/>
        </w:rPr>
        <w:t>总绩效目标：全年计划开展社会体育赛事活动18项，预计参与人数1.2万人，计划日期2022年1月1日开始，2022年11月结束。通过项目实施，培养群众体育健身意识，提高全民身体素质和健康水平，不断满足大众多层次多样化的健身休闲需求，提升幸福感和获得感，为经济发展新常态下扩大消费需求、拉动经济增长。</w:t>
      </w:r>
    </w:p>
    <w:p>
      <w:pPr>
        <w:widowControl/>
        <w:wordWrap w:val="0"/>
        <w:spacing w:line="600" w:lineRule="exact"/>
        <w:ind w:firstLine="640" w:firstLineChars="200"/>
        <w:rPr>
          <w:rFonts w:hint="eastAsia" w:ascii="Times New Roman" w:hAnsi="Times New Roman" w:eastAsia="仿宋_GB2312"/>
          <w:sz w:val="32"/>
          <w:szCs w:val="32"/>
          <w:lang w:val="zh-CN"/>
        </w:rPr>
      </w:pPr>
      <w:r>
        <w:rPr>
          <w:rFonts w:hint="eastAsia" w:ascii="Times New Roman" w:hAnsi="Times New Roman" w:eastAsia="仿宋_GB2312"/>
          <w:sz w:val="32"/>
          <w:szCs w:val="32"/>
          <w:lang w:val="zh-CN"/>
        </w:rPr>
        <w:t>产出指标</w:t>
      </w:r>
    </w:p>
    <w:p>
      <w:pPr>
        <w:widowControl/>
        <w:wordWrap w:val="0"/>
        <w:spacing w:line="600" w:lineRule="exact"/>
        <w:ind w:firstLine="640" w:firstLineChars="200"/>
        <w:rPr>
          <w:rFonts w:hint="eastAsia" w:ascii="Times New Roman" w:hAnsi="Times New Roman" w:eastAsia="仿宋_GB2312"/>
          <w:sz w:val="32"/>
          <w:szCs w:val="32"/>
          <w:lang w:val="zh-CN"/>
        </w:rPr>
      </w:pPr>
      <w:r>
        <w:rPr>
          <w:rFonts w:hint="eastAsia" w:ascii="Times New Roman" w:hAnsi="Times New Roman" w:eastAsia="仿宋_GB2312"/>
          <w:sz w:val="32"/>
          <w:szCs w:val="32"/>
          <w:lang w:val="zh-CN"/>
        </w:rPr>
        <w:t>1.产出数量指标：2022年初计划组织全市社会体育赛事活动18项，预计参与人数1.2万人。项目分别是：第四十八届元旦越野赛3000人、第十九届元宵登山活动3000人、攀枝花市第二届“云健身”网络运动会2000人、2022年羽协杯羽毛球比赛300人、2022年网协杯网球比赛100人、第七届乒协杯乒乓球比赛250人、2022年桥牌比赛100人、第九届五人制足球比赛400人、2022年气排球比赛200人、2022年三人制篮球比赛300人、全民健身日开赛仪式及系列赛事活动800人、十三届棋类比赛50人、第三十七届钓鱼比赛200人、第八届羽毛球比赛300人、第十八届乒乓球比赛200人、第三十六届网球比赛100人、第十九届足协杯足球比赛400人、第十六届篮协杯篮球比赛300人。由于疫情影响，部分赛事活动项目取消，参加人员受限等，实际完成9项，参与人数约6000人次。</w:t>
      </w:r>
    </w:p>
    <w:p>
      <w:pPr>
        <w:widowControl/>
        <w:wordWrap w:val="0"/>
        <w:spacing w:line="600" w:lineRule="exact"/>
        <w:ind w:firstLine="640" w:firstLineChars="200"/>
        <w:rPr>
          <w:rFonts w:hint="eastAsia" w:ascii="Times New Roman" w:hAnsi="Times New Roman" w:eastAsia="仿宋_GB2312"/>
          <w:sz w:val="32"/>
          <w:szCs w:val="32"/>
          <w:lang w:val="zh-CN"/>
        </w:rPr>
      </w:pPr>
      <w:r>
        <w:rPr>
          <w:rFonts w:hint="eastAsia" w:ascii="Times New Roman" w:hAnsi="Times New Roman" w:eastAsia="仿宋_GB2312"/>
          <w:sz w:val="32"/>
          <w:szCs w:val="32"/>
          <w:lang w:val="zh-CN"/>
        </w:rPr>
        <w:t>2.产出质量指标：市民参与社会体育赛事活动较2021年增长10%。</w:t>
      </w:r>
    </w:p>
    <w:p>
      <w:pPr>
        <w:widowControl/>
        <w:wordWrap w:val="0"/>
        <w:spacing w:line="600" w:lineRule="exact"/>
        <w:ind w:firstLine="640" w:firstLineChars="200"/>
        <w:rPr>
          <w:rFonts w:hint="eastAsia" w:ascii="Times New Roman" w:hAnsi="Times New Roman" w:eastAsia="仿宋_GB2312"/>
          <w:sz w:val="32"/>
          <w:szCs w:val="32"/>
          <w:lang w:val="zh-CN"/>
        </w:rPr>
      </w:pPr>
      <w:r>
        <w:rPr>
          <w:rFonts w:hint="eastAsia" w:ascii="Times New Roman" w:hAnsi="Times New Roman" w:eastAsia="仿宋_GB2312"/>
          <w:sz w:val="32"/>
          <w:szCs w:val="32"/>
          <w:lang w:val="zh-CN"/>
        </w:rPr>
        <w:t>3.产出进度指标：计划每月组织一场及以上社会体育赛事活动，11月30日完成全年项目进度。</w:t>
      </w:r>
    </w:p>
    <w:p>
      <w:pPr>
        <w:widowControl/>
        <w:wordWrap w:val="0"/>
        <w:spacing w:line="600" w:lineRule="exact"/>
        <w:ind w:firstLine="640" w:firstLineChars="200"/>
        <w:rPr>
          <w:rFonts w:hint="eastAsia" w:ascii="Times New Roman" w:hAnsi="Times New Roman" w:eastAsia="仿宋_GB2312"/>
          <w:sz w:val="32"/>
          <w:szCs w:val="32"/>
          <w:lang w:val="zh-CN"/>
        </w:rPr>
      </w:pPr>
      <w:r>
        <w:rPr>
          <w:rFonts w:hint="eastAsia" w:ascii="Times New Roman" w:hAnsi="Times New Roman" w:eastAsia="仿宋_GB2312"/>
          <w:sz w:val="32"/>
          <w:szCs w:val="32"/>
          <w:lang w:val="zh-CN"/>
        </w:rPr>
        <w:t>4.产出成本指标：社会体育赛事活动成本控制在20万元以内，合理安排预算支出，2022年赛事活动实际安排支出19.19万元。</w:t>
      </w:r>
    </w:p>
    <w:p>
      <w:pPr>
        <w:widowControl/>
        <w:wordWrap w:val="0"/>
        <w:spacing w:line="600" w:lineRule="exact"/>
        <w:ind w:firstLine="640" w:firstLineChars="200"/>
        <w:rPr>
          <w:rFonts w:hint="eastAsia" w:ascii="Times New Roman" w:hAnsi="Times New Roman" w:eastAsia="仿宋_GB2312"/>
          <w:sz w:val="32"/>
          <w:szCs w:val="32"/>
          <w:lang w:val="zh-CN"/>
        </w:rPr>
      </w:pPr>
      <w:r>
        <w:rPr>
          <w:rFonts w:hint="eastAsia" w:ascii="Times New Roman" w:hAnsi="Times New Roman" w:eastAsia="仿宋_GB2312"/>
          <w:sz w:val="32"/>
          <w:szCs w:val="32"/>
          <w:lang w:val="zh-CN"/>
        </w:rPr>
        <w:t>效果指标</w:t>
      </w:r>
    </w:p>
    <w:p>
      <w:pPr>
        <w:widowControl/>
        <w:wordWrap w:val="0"/>
        <w:spacing w:line="600" w:lineRule="exact"/>
        <w:ind w:firstLine="640" w:firstLineChars="200"/>
        <w:rPr>
          <w:rFonts w:hint="eastAsia" w:ascii="Times New Roman" w:hAnsi="Times New Roman" w:eastAsia="仿宋_GB2312"/>
          <w:sz w:val="32"/>
          <w:szCs w:val="32"/>
          <w:lang w:val="zh-CN"/>
        </w:rPr>
      </w:pPr>
      <w:r>
        <w:rPr>
          <w:rFonts w:hint="eastAsia" w:ascii="Times New Roman" w:hAnsi="Times New Roman" w:eastAsia="仿宋_GB2312"/>
          <w:sz w:val="32"/>
          <w:szCs w:val="32"/>
          <w:lang w:val="zh-CN"/>
        </w:rPr>
        <w:t>1.社会效益指标：培养群众体育健身意识，提高全民身体素质和健康水平，吸引广大市民参与群众体育健身活动，不断满足大众多层次多样化的健身休闲需求，提升幸福感和获得感。</w:t>
      </w:r>
    </w:p>
    <w:p>
      <w:pPr>
        <w:widowControl/>
        <w:wordWrap w:val="0"/>
        <w:spacing w:line="600" w:lineRule="exact"/>
        <w:ind w:firstLine="640" w:firstLineChars="200"/>
        <w:rPr>
          <w:rFonts w:hint="eastAsia" w:ascii="Times New Roman" w:hAnsi="Times New Roman" w:eastAsia="仿宋_GB2312"/>
          <w:sz w:val="32"/>
          <w:szCs w:val="32"/>
          <w:lang w:val="zh-CN"/>
        </w:rPr>
      </w:pPr>
      <w:r>
        <w:rPr>
          <w:rFonts w:hint="eastAsia" w:ascii="Times New Roman" w:hAnsi="Times New Roman" w:eastAsia="仿宋_GB2312"/>
          <w:sz w:val="32"/>
          <w:szCs w:val="32"/>
          <w:lang w:val="zh-CN"/>
        </w:rPr>
        <w:t>2.经济效益指标：为经济发展新常态下扩大健身人群消费意识、拉动经济增长，助力康养+运动。</w:t>
      </w:r>
    </w:p>
    <w:p>
      <w:pPr>
        <w:widowControl/>
        <w:wordWrap w:val="0"/>
        <w:spacing w:line="600" w:lineRule="exact"/>
        <w:ind w:firstLine="640" w:firstLineChars="200"/>
        <w:rPr>
          <w:rFonts w:hint="eastAsia" w:ascii="Times New Roman" w:hAnsi="Times New Roman" w:eastAsia="仿宋_GB2312"/>
          <w:sz w:val="32"/>
          <w:szCs w:val="32"/>
          <w:lang w:val="zh-CN"/>
        </w:rPr>
      </w:pPr>
      <w:r>
        <w:rPr>
          <w:rFonts w:hint="eastAsia" w:ascii="Times New Roman" w:hAnsi="Times New Roman" w:eastAsia="仿宋_GB2312"/>
          <w:sz w:val="32"/>
          <w:szCs w:val="32"/>
          <w:lang w:val="zh-CN"/>
        </w:rPr>
        <w:t>3.可持续影响指标：参与健身人数逐年增加，助力社会体育健康发展。</w:t>
      </w:r>
    </w:p>
    <w:p>
      <w:pPr>
        <w:widowControl/>
        <w:wordWrap w:val="0"/>
        <w:spacing w:line="600" w:lineRule="exact"/>
        <w:ind w:firstLine="640" w:firstLineChars="200"/>
        <w:rPr>
          <w:rFonts w:hint="eastAsia" w:ascii="Times New Roman" w:hAnsi="Times New Roman" w:eastAsia="仿宋_GB2312"/>
          <w:sz w:val="32"/>
          <w:szCs w:val="32"/>
          <w:lang w:val="zh-CN"/>
        </w:rPr>
      </w:pPr>
      <w:r>
        <w:rPr>
          <w:rFonts w:hint="eastAsia" w:ascii="Times New Roman" w:hAnsi="Times New Roman" w:eastAsia="仿宋_GB2312"/>
          <w:sz w:val="32"/>
          <w:szCs w:val="32"/>
          <w:lang w:val="zh-CN"/>
        </w:rPr>
        <w:t>4.服务对象满意度指标：通过体育赛事活动培训，使成年、老年体育爱好者满意度达到95%以上。</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五、评价结论及建议</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（一）评价结论。</w:t>
      </w:r>
    </w:p>
    <w:p>
      <w:pPr>
        <w:autoSpaceDE w:val="0"/>
        <w:autoSpaceDN w:val="0"/>
        <w:adjustRightInd w:val="0"/>
        <w:spacing w:line="600" w:lineRule="exact"/>
        <w:ind w:firstLine="640" w:firstLineChars="200"/>
        <w:jc w:val="left"/>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1、项目决策</w:t>
      </w:r>
    </w:p>
    <w:p>
      <w:pPr>
        <w:widowControl/>
        <w:wordWrap w:val="0"/>
        <w:spacing w:line="600" w:lineRule="exact"/>
        <w:ind w:firstLine="640" w:firstLineChars="200"/>
        <w:rPr>
          <w:rFonts w:hint="eastAsia" w:ascii="Times New Roman" w:hAnsi="Times New Roman" w:eastAsia="仿宋_GB2312"/>
          <w:sz w:val="32"/>
          <w:szCs w:val="32"/>
          <w:lang w:val="zh-CN"/>
        </w:rPr>
      </w:pPr>
      <w:r>
        <w:rPr>
          <w:rFonts w:hint="eastAsia" w:ascii="Times New Roman" w:hAnsi="Times New Roman" w:eastAsia="仿宋_GB2312"/>
          <w:sz w:val="32"/>
          <w:szCs w:val="32"/>
          <w:lang w:val="zh-CN"/>
        </w:rPr>
        <w:t>2022年在攀枝花市委、市政府的领导下，攀枝花市教育和体育局的努力推动下，赛事活动形成一定规模，为打造体育强市奠定坚实基础。</w:t>
      </w:r>
    </w:p>
    <w:p>
      <w:pPr>
        <w:autoSpaceDE w:val="0"/>
        <w:autoSpaceDN w:val="0"/>
        <w:adjustRightInd w:val="0"/>
        <w:spacing w:line="600" w:lineRule="exact"/>
        <w:ind w:firstLine="640" w:firstLineChars="200"/>
        <w:jc w:val="left"/>
        <w:rPr>
          <w:rFonts w:hint="eastAsia" w:ascii="Times New Roman" w:hAnsi="Times New Roman" w:eastAsia="仿宋_GB2312"/>
          <w:kern w:val="0"/>
          <w:sz w:val="32"/>
          <w:szCs w:val="32"/>
        </w:rPr>
      </w:pPr>
      <w:r>
        <w:rPr>
          <w:rFonts w:hint="eastAsia" w:ascii="仿宋" w:hAnsi="仿宋" w:eastAsia="仿宋" w:cs="仿宋"/>
          <w:color w:val="222222"/>
          <w:kern w:val="0"/>
          <w:sz w:val="32"/>
          <w:szCs w:val="32"/>
          <w:lang w:bidi="ar"/>
        </w:rPr>
        <w:t>2、</w:t>
      </w:r>
      <w:r>
        <w:rPr>
          <w:rFonts w:ascii="Times New Roman" w:hAnsi="Times New Roman" w:eastAsia="仿宋_GB2312"/>
          <w:kern w:val="0"/>
          <w:sz w:val="32"/>
          <w:szCs w:val="32"/>
        </w:rPr>
        <w:t>项目管理</w:t>
      </w:r>
    </w:p>
    <w:p>
      <w:pPr>
        <w:widowControl/>
        <w:wordWrap w:val="0"/>
        <w:spacing w:line="600" w:lineRule="exact"/>
        <w:ind w:firstLine="640" w:firstLineChars="200"/>
        <w:rPr>
          <w:rFonts w:hint="eastAsia" w:ascii="Times New Roman" w:hAnsi="Times New Roman" w:eastAsia="仿宋_GB2312"/>
          <w:sz w:val="32"/>
          <w:szCs w:val="32"/>
          <w:lang w:val="zh-CN"/>
        </w:rPr>
      </w:pPr>
      <w:r>
        <w:rPr>
          <w:rFonts w:hint="eastAsia" w:ascii="Times New Roman" w:hAnsi="Times New Roman" w:eastAsia="仿宋_GB2312"/>
          <w:sz w:val="32"/>
          <w:szCs w:val="32"/>
          <w:lang w:val="zh-CN"/>
        </w:rPr>
        <w:t xml:space="preserve">所有项目实行过程控制，首先，在预算管理上，执行事前预算评审，事后进行结算评审，保证预算支出的有效性；其次，在项目实施上，严格遵循财务相关手续；再有，在日常管理上，制定《赛事活动突发事件应急预案》《疫情防控方案》，做到有规有矩、有章有程；最后，如遇突发事件或不可抗力因素引起的突然情况，立即启动应急预案，上报上级单位，妥善处理。 </w:t>
      </w:r>
    </w:p>
    <w:p>
      <w:pPr>
        <w:autoSpaceDE w:val="0"/>
        <w:autoSpaceDN w:val="0"/>
        <w:adjustRightInd w:val="0"/>
        <w:spacing w:line="600" w:lineRule="exact"/>
        <w:ind w:firstLine="640" w:firstLineChars="200"/>
        <w:jc w:val="left"/>
        <w:rPr>
          <w:rFonts w:hint="eastAsia" w:ascii="Times New Roman" w:hAnsi="Times New Roman" w:eastAsia="仿宋_GB2312"/>
          <w:kern w:val="0"/>
          <w:sz w:val="32"/>
          <w:szCs w:val="32"/>
        </w:rPr>
      </w:pPr>
      <w:r>
        <w:rPr>
          <w:rFonts w:hint="eastAsia" w:ascii="仿宋" w:hAnsi="仿宋" w:eastAsia="仿宋" w:cs="仿宋"/>
          <w:sz w:val="32"/>
          <w:szCs w:val="32"/>
        </w:rPr>
        <w:t>3、</w:t>
      </w:r>
      <w:r>
        <w:rPr>
          <w:rFonts w:ascii="Times New Roman" w:hAnsi="Times New Roman" w:eastAsia="仿宋_GB2312"/>
          <w:kern w:val="0"/>
          <w:sz w:val="32"/>
          <w:szCs w:val="32"/>
        </w:rPr>
        <w:t>项目绩效</w:t>
      </w:r>
    </w:p>
    <w:p>
      <w:pPr>
        <w:widowControl/>
        <w:wordWrap w:val="0"/>
        <w:spacing w:line="600" w:lineRule="exact"/>
        <w:ind w:firstLine="640" w:firstLineChars="200"/>
        <w:rPr>
          <w:rFonts w:hint="eastAsia" w:ascii="Times New Roman" w:hAnsi="Times New Roman" w:eastAsia="仿宋_GB2312"/>
          <w:sz w:val="32"/>
          <w:szCs w:val="32"/>
          <w:lang w:val="zh-CN"/>
        </w:rPr>
      </w:pPr>
      <w:r>
        <w:rPr>
          <w:rFonts w:hint="eastAsia" w:ascii="Times New Roman" w:hAnsi="Times New Roman" w:eastAsia="仿宋_GB2312"/>
          <w:sz w:val="32"/>
          <w:szCs w:val="32"/>
          <w:lang w:val="zh-CN"/>
        </w:rPr>
        <w:t>为保证专项经费使用效率，单位应对项目的总体目标、产出指标、效果指标进行有效的设置，充分的论证，同时对指标进行事前、事中的执行进度进行跟踪并及时调整，以达到指标设置的科学性和有效性，保证财政资金的绩效性。</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（二）存在的问题。</w:t>
      </w:r>
    </w:p>
    <w:p>
      <w:pPr>
        <w:autoSpaceDE w:val="0"/>
        <w:autoSpaceDN w:val="0"/>
        <w:adjustRightInd w:val="0"/>
        <w:spacing w:line="600" w:lineRule="exact"/>
        <w:ind w:firstLine="640" w:firstLineChars="200"/>
        <w:jc w:val="left"/>
        <w:rPr>
          <w:rFonts w:ascii="仿宋" w:hAnsi="仿宋" w:eastAsia="仿宋" w:cs="仿宋"/>
          <w:color w:val="222222"/>
          <w:kern w:val="0"/>
          <w:sz w:val="32"/>
          <w:szCs w:val="32"/>
          <w:lang w:bidi="ar"/>
        </w:rPr>
      </w:pPr>
      <w:r>
        <w:rPr>
          <w:rFonts w:hint="eastAsia" w:ascii="Times New Roman" w:hAnsi="Times New Roman" w:eastAsia="仿宋_GB2312"/>
          <w:sz w:val="32"/>
          <w:szCs w:val="32"/>
          <w:lang w:val="zh-CN"/>
        </w:rPr>
        <w:t>项目的事前评估与项目的绩效评估未能事前、事中衔接，指标设置还不够科学，具有片面性。</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（三）相关建议。</w:t>
      </w:r>
    </w:p>
    <w:p>
      <w:pPr>
        <w:autoSpaceDE w:val="0"/>
        <w:autoSpaceDN w:val="0"/>
        <w:adjustRightInd w:val="0"/>
        <w:spacing w:line="600" w:lineRule="exact"/>
        <w:ind w:firstLine="640" w:firstLineChars="200"/>
        <w:jc w:val="left"/>
        <w:rPr>
          <w:rFonts w:hint="eastAsia" w:ascii="仿宋" w:hAnsi="仿宋" w:eastAsia="仿宋" w:cs="仿宋"/>
          <w:color w:val="222222"/>
          <w:kern w:val="0"/>
          <w:sz w:val="32"/>
          <w:szCs w:val="32"/>
          <w:lang w:bidi="ar"/>
        </w:rPr>
      </w:pPr>
      <w:r>
        <w:rPr>
          <w:rFonts w:hint="eastAsia" w:ascii="Times New Roman" w:hAnsi="Times New Roman" w:eastAsia="仿宋_GB2312"/>
          <w:sz w:val="32"/>
          <w:szCs w:val="32"/>
          <w:lang w:val="zh-CN"/>
        </w:rPr>
        <w:t>为保证财政资金的使用效率，建议财政的绩效事前评估与预算协调推进，加强财政预算的事前绩效评估，同时针对单位的具体情况，保证单位的运转经费（含基本和项目），这样才能保证单位绩效评估的有效性。</w:t>
      </w:r>
    </w:p>
    <w:p>
      <w:pPr>
        <w:pStyle w:val="3"/>
        <w:rPr>
          <w:rFonts w:hint="eastAsia"/>
        </w:rPr>
      </w:pPr>
    </w:p>
    <w:p>
      <w:pPr>
        <w:spacing w:line="560" w:lineRule="exact"/>
        <w:ind w:firstLine="707" w:firstLineChars="221"/>
        <w:rPr>
          <w:rFonts w:hint="eastAsia" w:ascii="Times New Roman" w:hAnsi="Times New Roman" w:eastAsia="仿宋_GB2312"/>
          <w:sz w:val="32"/>
          <w:szCs w:val="32"/>
        </w:rPr>
      </w:pPr>
      <w:r>
        <w:rPr>
          <w:rFonts w:hint="eastAsia" w:ascii="Times New Roman" w:hAnsi="Times New Roman" w:eastAsia="仿宋_GB2312"/>
          <w:sz w:val="32"/>
          <w:szCs w:val="32"/>
        </w:rPr>
        <w:br w:type="page"/>
      </w:r>
    </w:p>
    <w:p>
      <w:pPr>
        <w:spacing w:line="600" w:lineRule="exact"/>
        <w:jc w:val="center"/>
        <w:outlineLvl w:val="0"/>
        <w:rPr>
          <w:rFonts w:ascii="仿宋" w:hAnsi="仿宋" w:eastAsia="仿宋"/>
        </w:rPr>
      </w:pPr>
      <w:bookmarkStart w:id="57" w:name="_Toc15396618"/>
      <w:r>
        <w:rPr>
          <w:rFonts w:hint="eastAsia" w:ascii="黑体" w:hAnsi="黑体" w:eastAsia="黑体"/>
          <w:sz w:val="44"/>
          <w:szCs w:val="44"/>
        </w:rPr>
        <w:t>第</w:t>
      </w:r>
      <w:r>
        <w:rPr>
          <w:rStyle w:val="30"/>
          <w:rFonts w:hint="eastAsia" w:ascii="黑体" w:hAnsi="黑体" w:eastAsia="黑体"/>
          <w:b w:val="0"/>
        </w:rPr>
        <w:t>五部分 附表</w:t>
      </w:r>
      <w:bookmarkEnd w:id="55"/>
      <w:bookmarkEnd w:id="57"/>
      <w:bookmarkStart w:id="58" w:name="_Toc15396619"/>
    </w:p>
    <w:p>
      <w:pPr>
        <w:pStyle w:val="5"/>
        <w:rPr>
          <w:rFonts w:ascii="仿宋" w:hAnsi="仿宋" w:eastAsia="仿宋"/>
        </w:rPr>
      </w:pPr>
      <w:r>
        <w:rPr>
          <w:rFonts w:hint="eastAsia" w:ascii="仿宋" w:hAnsi="仿宋" w:eastAsia="仿宋"/>
          <w:b w:val="0"/>
        </w:rPr>
        <w:t>一、收</w:t>
      </w:r>
      <w:r>
        <w:rPr>
          <w:rStyle w:val="31"/>
          <w:rFonts w:hint="eastAsia" w:ascii="仿宋" w:hAnsi="仿宋" w:eastAsia="仿宋"/>
          <w:b w:val="0"/>
          <w:bCs w:val="0"/>
        </w:rPr>
        <w:t>入支出决算总表</w:t>
      </w:r>
      <w:bookmarkEnd w:id="58"/>
    </w:p>
    <w:p>
      <w:pPr>
        <w:pStyle w:val="5"/>
        <w:rPr>
          <w:rFonts w:ascii="仿宋" w:hAnsi="仿宋" w:eastAsia="仿宋"/>
        </w:rPr>
      </w:pPr>
      <w:bookmarkStart w:id="59" w:name="_Toc15396620"/>
      <w:r>
        <w:rPr>
          <w:rFonts w:hint="eastAsia" w:ascii="仿宋" w:hAnsi="仿宋" w:eastAsia="仿宋"/>
          <w:b w:val="0"/>
        </w:rPr>
        <w:t>二、收</w:t>
      </w:r>
      <w:r>
        <w:rPr>
          <w:rStyle w:val="31"/>
          <w:rFonts w:hint="eastAsia" w:ascii="仿宋" w:hAnsi="仿宋" w:eastAsia="仿宋"/>
          <w:b w:val="0"/>
          <w:bCs w:val="0"/>
        </w:rPr>
        <w:t>入决算表</w:t>
      </w:r>
      <w:bookmarkEnd w:id="59"/>
    </w:p>
    <w:p>
      <w:pPr>
        <w:pStyle w:val="5"/>
        <w:rPr>
          <w:rFonts w:ascii="仿宋" w:hAnsi="仿宋" w:eastAsia="仿宋"/>
        </w:rPr>
      </w:pPr>
      <w:bookmarkStart w:id="60" w:name="_Toc15396621"/>
      <w:r>
        <w:rPr>
          <w:rStyle w:val="31"/>
          <w:rFonts w:hint="eastAsia" w:ascii="仿宋" w:hAnsi="仿宋" w:eastAsia="仿宋"/>
          <w:b w:val="0"/>
          <w:bCs w:val="0"/>
        </w:rPr>
        <w:t>三、</w:t>
      </w:r>
      <w:r>
        <w:rPr>
          <w:rFonts w:hint="eastAsia" w:ascii="仿宋" w:hAnsi="仿宋" w:eastAsia="仿宋"/>
          <w:b w:val="0"/>
        </w:rPr>
        <w:t>支</w:t>
      </w:r>
      <w:r>
        <w:rPr>
          <w:rStyle w:val="31"/>
          <w:rFonts w:hint="eastAsia" w:ascii="仿宋" w:hAnsi="仿宋" w:eastAsia="仿宋"/>
          <w:b w:val="0"/>
          <w:bCs w:val="0"/>
        </w:rPr>
        <w:t>出决算表</w:t>
      </w:r>
      <w:bookmarkEnd w:id="60"/>
    </w:p>
    <w:p>
      <w:pPr>
        <w:pStyle w:val="5"/>
        <w:rPr>
          <w:rFonts w:ascii="仿宋" w:hAnsi="仿宋" w:eastAsia="仿宋"/>
          <w:b w:val="0"/>
        </w:rPr>
      </w:pPr>
      <w:bookmarkStart w:id="61" w:name="_Toc15396622"/>
      <w:r>
        <w:rPr>
          <w:rStyle w:val="31"/>
          <w:rFonts w:hint="eastAsia" w:ascii="仿宋" w:hAnsi="仿宋" w:eastAsia="仿宋"/>
          <w:b w:val="0"/>
          <w:bCs w:val="0"/>
        </w:rPr>
        <w:t>四、</w:t>
      </w:r>
      <w:r>
        <w:rPr>
          <w:rFonts w:hint="eastAsia" w:ascii="仿宋" w:hAnsi="仿宋" w:eastAsia="仿宋"/>
          <w:b w:val="0"/>
        </w:rPr>
        <w:t>财</w:t>
      </w:r>
      <w:r>
        <w:rPr>
          <w:rStyle w:val="31"/>
          <w:rFonts w:hint="eastAsia" w:ascii="仿宋" w:hAnsi="仿宋" w:eastAsia="仿宋"/>
          <w:b w:val="0"/>
          <w:bCs w:val="0"/>
        </w:rPr>
        <w:t>政拨款收入支出决算总表</w:t>
      </w:r>
      <w:bookmarkEnd w:id="61"/>
    </w:p>
    <w:p>
      <w:pPr>
        <w:pStyle w:val="5"/>
        <w:rPr>
          <w:rStyle w:val="31"/>
          <w:rFonts w:ascii="仿宋" w:hAnsi="仿宋" w:eastAsia="仿宋"/>
          <w:b w:val="0"/>
          <w:bCs w:val="0"/>
        </w:rPr>
      </w:pPr>
      <w:bookmarkStart w:id="62" w:name="_Toc15396623"/>
      <w:r>
        <w:rPr>
          <w:rStyle w:val="31"/>
          <w:rFonts w:hint="eastAsia" w:ascii="仿宋" w:hAnsi="仿宋" w:eastAsia="仿宋"/>
          <w:b w:val="0"/>
          <w:bCs w:val="0"/>
        </w:rPr>
        <w:t>五、</w:t>
      </w:r>
      <w:r>
        <w:rPr>
          <w:rFonts w:hint="eastAsia" w:ascii="仿宋" w:hAnsi="仿宋" w:eastAsia="仿宋"/>
          <w:b w:val="0"/>
        </w:rPr>
        <w:t>财</w:t>
      </w:r>
      <w:r>
        <w:rPr>
          <w:rStyle w:val="31"/>
          <w:rFonts w:hint="eastAsia" w:ascii="仿宋" w:hAnsi="仿宋" w:eastAsia="仿宋"/>
          <w:b w:val="0"/>
          <w:bCs w:val="0"/>
        </w:rPr>
        <w:t>政拨款支出决算明细表</w:t>
      </w:r>
      <w:bookmarkEnd w:id="62"/>
      <w:bookmarkStart w:id="63" w:name="_Toc15396624"/>
    </w:p>
    <w:p>
      <w:pPr>
        <w:pStyle w:val="5"/>
        <w:rPr>
          <w:rFonts w:ascii="仿宋" w:hAnsi="仿宋" w:eastAsia="仿宋"/>
        </w:rPr>
      </w:pPr>
      <w:r>
        <w:rPr>
          <w:rStyle w:val="31"/>
          <w:rFonts w:hint="eastAsia" w:ascii="仿宋" w:hAnsi="仿宋" w:eastAsia="仿宋"/>
          <w:b w:val="0"/>
          <w:bCs w:val="0"/>
        </w:rPr>
        <w:t>六、</w:t>
      </w:r>
      <w:r>
        <w:rPr>
          <w:rFonts w:hint="eastAsia" w:ascii="仿宋" w:hAnsi="仿宋" w:eastAsia="仿宋"/>
          <w:b w:val="0"/>
        </w:rPr>
        <w:t>一</w:t>
      </w:r>
      <w:r>
        <w:rPr>
          <w:rStyle w:val="31"/>
          <w:rFonts w:hint="eastAsia" w:ascii="仿宋" w:hAnsi="仿宋" w:eastAsia="仿宋"/>
          <w:b w:val="0"/>
          <w:bCs w:val="0"/>
        </w:rPr>
        <w:t>般公共预算财政拨款支出决算表</w:t>
      </w:r>
      <w:bookmarkEnd w:id="63"/>
    </w:p>
    <w:p>
      <w:pPr>
        <w:pStyle w:val="5"/>
        <w:rPr>
          <w:rFonts w:ascii="仿宋" w:hAnsi="仿宋" w:eastAsia="仿宋"/>
        </w:rPr>
      </w:pPr>
      <w:bookmarkStart w:id="64" w:name="_Toc15396625"/>
      <w:r>
        <w:rPr>
          <w:rStyle w:val="31"/>
          <w:rFonts w:hint="eastAsia" w:ascii="仿宋" w:hAnsi="仿宋" w:eastAsia="仿宋"/>
          <w:b w:val="0"/>
          <w:bCs w:val="0"/>
        </w:rPr>
        <w:t>七、</w:t>
      </w:r>
      <w:r>
        <w:rPr>
          <w:rFonts w:hint="eastAsia" w:ascii="仿宋" w:hAnsi="仿宋" w:eastAsia="仿宋"/>
          <w:b w:val="0"/>
        </w:rPr>
        <w:t>一</w:t>
      </w:r>
      <w:r>
        <w:rPr>
          <w:rStyle w:val="31"/>
          <w:rFonts w:hint="eastAsia" w:ascii="仿宋" w:hAnsi="仿宋" w:eastAsia="仿宋"/>
          <w:b w:val="0"/>
          <w:bCs w:val="0"/>
        </w:rPr>
        <w:t>般公共预算财政拨款支出决算明细表</w:t>
      </w:r>
      <w:bookmarkEnd w:id="64"/>
    </w:p>
    <w:p>
      <w:pPr>
        <w:pStyle w:val="5"/>
        <w:rPr>
          <w:rFonts w:ascii="仿宋" w:hAnsi="仿宋" w:eastAsia="仿宋"/>
        </w:rPr>
      </w:pPr>
      <w:bookmarkStart w:id="65" w:name="_Toc15396626"/>
      <w:r>
        <w:rPr>
          <w:rStyle w:val="31"/>
          <w:rFonts w:hint="eastAsia" w:ascii="仿宋" w:hAnsi="仿宋" w:eastAsia="仿宋"/>
          <w:b w:val="0"/>
          <w:bCs w:val="0"/>
        </w:rPr>
        <w:t>八、</w:t>
      </w:r>
      <w:r>
        <w:rPr>
          <w:rFonts w:hint="eastAsia" w:ascii="仿宋" w:hAnsi="仿宋" w:eastAsia="仿宋"/>
          <w:b w:val="0"/>
        </w:rPr>
        <w:t>一</w:t>
      </w:r>
      <w:r>
        <w:rPr>
          <w:rStyle w:val="31"/>
          <w:rFonts w:hint="eastAsia" w:ascii="仿宋" w:hAnsi="仿宋" w:eastAsia="仿宋"/>
          <w:b w:val="0"/>
          <w:bCs w:val="0"/>
        </w:rPr>
        <w:t>般公共预算财政拨款基本支出决算表</w:t>
      </w:r>
      <w:bookmarkEnd w:id="65"/>
    </w:p>
    <w:p>
      <w:pPr>
        <w:pStyle w:val="5"/>
        <w:rPr>
          <w:rFonts w:ascii="仿宋" w:hAnsi="仿宋" w:eastAsia="仿宋"/>
        </w:rPr>
      </w:pPr>
      <w:bookmarkStart w:id="66" w:name="_Toc15396627"/>
      <w:r>
        <w:rPr>
          <w:rStyle w:val="31"/>
          <w:rFonts w:hint="eastAsia" w:ascii="仿宋" w:hAnsi="仿宋" w:eastAsia="仿宋"/>
          <w:b w:val="0"/>
          <w:bCs w:val="0"/>
        </w:rPr>
        <w:t>九、</w:t>
      </w:r>
      <w:r>
        <w:rPr>
          <w:rFonts w:hint="eastAsia" w:ascii="仿宋" w:hAnsi="仿宋" w:eastAsia="仿宋"/>
          <w:b w:val="0"/>
        </w:rPr>
        <w:t>一</w:t>
      </w:r>
      <w:r>
        <w:rPr>
          <w:rStyle w:val="31"/>
          <w:rFonts w:hint="eastAsia" w:ascii="仿宋" w:hAnsi="仿宋" w:eastAsia="仿宋"/>
          <w:b w:val="0"/>
          <w:bCs w:val="0"/>
        </w:rPr>
        <w:t>般公共预算财政拨款项目支出决算表</w:t>
      </w:r>
      <w:bookmarkEnd w:id="66"/>
    </w:p>
    <w:p>
      <w:pPr>
        <w:pStyle w:val="5"/>
        <w:rPr>
          <w:rFonts w:ascii="仿宋" w:hAnsi="仿宋" w:eastAsia="仿宋"/>
        </w:rPr>
      </w:pPr>
      <w:bookmarkStart w:id="67" w:name="_Toc15396628"/>
      <w:r>
        <w:rPr>
          <w:rStyle w:val="31"/>
          <w:rFonts w:hint="eastAsia" w:ascii="仿宋" w:hAnsi="仿宋" w:eastAsia="仿宋"/>
          <w:b w:val="0"/>
          <w:bCs w:val="0"/>
        </w:rPr>
        <w:t>十、</w:t>
      </w:r>
      <w:bookmarkEnd w:id="67"/>
      <w:r>
        <w:rPr>
          <w:rFonts w:hint="eastAsia" w:ascii="仿宋" w:hAnsi="仿宋" w:eastAsia="仿宋"/>
          <w:b w:val="0"/>
        </w:rPr>
        <w:t>政</w:t>
      </w:r>
      <w:r>
        <w:rPr>
          <w:rStyle w:val="31"/>
          <w:rFonts w:hint="eastAsia" w:ascii="仿宋" w:hAnsi="仿宋" w:eastAsia="仿宋"/>
          <w:b w:val="0"/>
          <w:bCs w:val="0"/>
        </w:rPr>
        <w:t>府性基金预算财政拨款收入支出决算表</w:t>
      </w:r>
    </w:p>
    <w:p>
      <w:pPr>
        <w:pStyle w:val="5"/>
        <w:rPr>
          <w:rFonts w:hint="eastAsia" w:ascii="仿宋" w:hAnsi="仿宋" w:eastAsia="仿宋"/>
          <w:lang w:eastAsia="zh-CN"/>
        </w:rPr>
      </w:pPr>
      <w:bookmarkStart w:id="68" w:name="_Toc15396629"/>
      <w:r>
        <w:rPr>
          <w:rStyle w:val="31"/>
          <w:rFonts w:hint="eastAsia" w:ascii="仿宋" w:hAnsi="仿宋" w:eastAsia="仿宋"/>
          <w:b w:val="0"/>
          <w:bCs w:val="0"/>
        </w:rPr>
        <w:t>十一、</w:t>
      </w:r>
      <w:bookmarkEnd w:id="68"/>
      <w:r>
        <w:rPr>
          <w:rFonts w:hint="eastAsia" w:ascii="仿宋" w:hAnsi="仿宋" w:eastAsia="仿宋"/>
          <w:b w:val="0"/>
        </w:rPr>
        <w:t>国</w:t>
      </w:r>
      <w:r>
        <w:rPr>
          <w:rStyle w:val="31"/>
          <w:rFonts w:hint="eastAsia" w:ascii="仿宋" w:hAnsi="仿宋" w:eastAsia="仿宋"/>
          <w:b w:val="0"/>
          <w:bCs w:val="0"/>
        </w:rPr>
        <w:t>有资本经营预算财政拨款收入支出决算表</w:t>
      </w:r>
      <w:r>
        <w:rPr>
          <w:rStyle w:val="31"/>
          <w:rFonts w:hint="eastAsia" w:ascii="仿宋" w:hAnsi="仿宋" w:eastAsia="仿宋"/>
          <w:b w:val="0"/>
          <w:bCs w:val="0"/>
          <w:lang w:eastAsia="zh-CN"/>
        </w:rPr>
        <w:t>（此表无数据）</w:t>
      </w:r>
    </w:p>
    <w:p>
      <w:pPr>
        <w:pStyle w:val="5"/>
        <w:rPr>
          <w:rFonts w:ascii="仿宋" w:hAnsi="仿宋" w:eastAsia="仿宋"/>
        </w:rPr>
      </w:pPr>
      <w:bookmarkStart w:id="69" w:name="_Toc15396630"/>
      <w:r>
        <w:rPr>
          <w:rStyle w:val="31"/>
          <w:rFonts w:hint="eastAsia" w:ascii="仿宋" w:hAnsi="仿宋" w:eastAsia="仿宋"/>
          <w:b w:val="0"/>
          <w:bCs w:val="0"/>
        </w:rPr>
        <w:t>十二、</w:t>
      </w:r>
      <w:bookmarkEnd w:id="69"/>
      <w:r>
        <w:rPr>
          <w:rStyle w:val="31"/>
          <w:rFonts w:hint="eastAsia" w:ascii="仿宋" w:hAnsi="仿宋" w:eastAsia="仿宋"/>
          <w:b w:val="0"/>
          <w:bCs w:val="0"/>
        </w:rPr>
        <w:t>国有资本经营预算财政拨款支出决算表</w:t>
      </w:r>
      <w:r>
        <w:rPr>
          <w:rStyle w:val="31"/>
          <w:rFonts w:hint="eastAsia" w:ascii="仿宋" w:hAnsi="仿宋" w:eastAsia="仿宋"/>
          <w:b w:val="0"/>
          <w:bCs w:val="0"/>
          <w:lang w:eastAsia="zh-CN"/>
        </w:rPr>
        <w:t>（此表无数据）</w:t>
      </w:r>
    </w:p>
    <w:p>
      <w:pPr>
        <w:pStyle w:val="5"/>
        <w:rPr>
          <w:rFonts w:eastAsia="仿宋"/>
        </w:rPr>
      </w:pPr>
      <w:bookmarkStart w:id="70" w:name="_Toc15396631"/>
      <w:r>
        <w:rPr>
          <w:rStyle w:val="31"/>
          <w:rFonts w:hint="eastAsia" w:ascii="仿宋" w:hAnsi="仿宋" w:eastAsia="仿宋"/>
          <w:b w:val="0"/>
          <w:bCs w:val="0"/>
        </w:rPr>
        <w:t>十三、</w:t>
      </w:r>
      <w:bookmarkEnd w:id="70"/>
      <w:r>
        <w:rPr>
          <w:rStyle w:val="31"/>
          <w:rFonts w:hint="eastAsia" w:ascii="仿宋" w:hAnsi="仿宋" w:eastAsia="仿宋"/>
          <w:b w:val="0"/>
          <w:bCs w:val="0"/>
        </w:rPr>
        <w:t>财政拨款“三公”经费支出决算表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兰亭黑_GBK">
    <w:panose1 w:val="02000000000000000000"/>
    <w:charset w:val="86"/>
    <w:family w:val="script"/>
    <w:pitch w:val="default"/>
    <w:sig w:usb0="A00002BF" w:usb1="3ACF7CFA" w:usb2="00080016" w:usb3="00000000" w:csb0="00040001" w:csb1="00000000"/>
  </w:font>
  <w:font w:name="仿宋">
    <w:panose1 w:val="02010609060101010101"/>
    <w:charset w:val="86"/>
    <w:family w:val="modern"/>
    <w:pitch w:val="default"/>
    <w:sig w:usb0="800002BF" w:usb1="38CF7CFA" w:usb2="00000016" w:usb3="00000000" w:csb0="00040001" w:csb1="00000000"/>
  </w:font>
  <w:font w:name="??">
    <w:altName w:val="仿宋"/>
    <w:panose1 w:val="00000000000000000000"/>
    <w:charset w:val="00"/>
    <w:family w:val="roman"/>
    <w:pitch w:val="default"/>
    <w:sig w:usb0="00000000" w:usb1="00000000" w:usb2="00000000" w:usb3="00000000" w:csb0="00000000" w:csb1="00000000"/>
  </w:font>
  <w:font w:name="等线">
    <w:altName w:val="华文仿宋"/>
    <w:panose1 w:val="02010600030101010101"/>
    <w:charset w:val="86"/>
    <w:family w:val="auto"/>
    <w:pitch w:val="default"/>
    <w:sig w:usb0="00000000" w:usb1="00000000" w:usb2="00000016" w:usb3="00000000" w:csb0="0004000F"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Segoe UI">
    <w:altName w:val="Noto Naskh Arabic"/>
    <w:panose1 w:val="020B0502040204020203"/>
    <w:charset w:val="00"/>
    <w:family w:val="swiss"/>
    <w:pitch w:val="default"/>
    <w:sig w:usb0="00000000" w:usb1="00000000" w:usb2="00000009" w:usb3="00000000" w:csb0="000001F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3"/>
          <w:jc w:val="center"/>
        </w:pPr>
        <w:r>
          <w:fldChar w:fldCharType="begin"/>
        </w:r>
        <w:r>
          <w:instrText xml:space="preserve">PAGE   \* MERGEFORMAT</w:instrText>
        </w:r>
        <w:r>
          <w:fldChar w:fldCharType="separate"/>
        </w:r>
        <w:r>
          <w:rPr>
            <w:lang w:val="zh-CN"/>
          </w:rPr>
          <w:t>17</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EB1CAA44"/>
    <w:multiLevelType w:val="multilevel"/>
    <w:tmpl w:val="EB1CAA44"/>
    <w:lvl w:ilvl="0" w:tentative="0">
      <w:start w:val="1"/>
      <w:numFmt w:val="chineseCountingThousand"/>
      <w:lvlText w:val="（%1）"/>
      <w:legacy w:legacy="1" w:legacySpace="0" w:legacyIndent="630"/>
      <w:lvlJc w:val="left"/>
      <w:pPr>
        <w:ind w:left="1050" w:hanging="630"/>
      </w:pPr>
      <w:rPr>
        <w:color w:val="000000"/>
        <w:szCs w:val="32"/>
      </w:rPr>
    </w:lvl>
    <w:lvl w:ilvl="1" w:tentative="0">
      <w:start w:val="1"/>
      <w:numFmt w:val="lowerLetter"/>
      <w:lvlText w:val="%2)"/>
      <w:legacy w:legacy="1" w:legacySpace="0" w:legacyIndent="420"/>
      <w:lvlJc w:val="left"/>
      <w:pPr>
        <w:ind w:left="1260" w:hanging="420"/>
      </w:pPr>
    </w:lvl>
    <w:lvl w:ilvl="2" w:tentative="0">
      <w:start w:val="1"/>
      <w:numFmt w:val="lowerRoman"/>
      <w:lvlText w:val="%3."/>
      <w:legacy w:legacy="1" w:legacySpace="0" w:legacyIndent="420"/>
      <w:lvlJc w:val="right"/>
      <w:pPr>
        <w:ind w:left="1680" w:hanging="420"/>
      </w:pPr>
    </w:lvl>
    <w:lvl w:ilvl="3" w:tentative="0">
      <w:start w:val="1"/>
      <w:numFmt w:val="decimal"/>
      <w:lvlText w:val="%4."/>
      <w:legacy w:legacy="1" w:legacySpace="0" w:legacyIndent="420"/>
      <w:lvlJc w:val="left"/>
      <w:pPr>
        <w:ind w:left="2100" w:hanging="420"/>
      </w:pPr>
    </w:lvl>
    <w:lvl w:ilvl="4" w:tentative="0">
      <w:start w:val="1"/>
      <w:numFmt w:val="lowerLetter"/>
      <w:lvlText w:val="%5)"/>
      <w:legacy w:legacy="1" w:legacySpace="0" w:legacyIndent="420"/>
      <w:lvlJc w:val="left"/>
      <w:pPr>
        <w:ind w:left="2520" w:hanging="420"/>
      </w:pPr>
    </w:lvl>
    <w:lvl w:ilvl="5" w:tentative="0">
      <w:start w:val="1"/>
      <w:numFmt w:val="lowerRoman"/>
      <w:lvlText w:val="%6."/>
      <w:legacy w:legacy="1" w:legacySpace="0" w:legacyIndent="420"/>
      <w:lvlJc w:val="right"/>
      <w:pPr>
        <w:ind w:left="2940" w:hanging="420"/>
      </w:pPr>
    </w:lvl>
    <w:lvl w:ilvl="6" w:tentative="0">
      <w:start w:val="1"/>
      <w:numFmt w:val="decimal"/>
      <w:lvlText w:val="%7."/>
      <w:legacy w:legacy="1" w:legacySpace="0" w:legacyIndent="420"/>
      <w:lvlJc w:val="left"/>
      <w:pPr>
        <w:ind w:left="3360" w:hanging="420"/>
      </w:pPr>
    </w:lvl>
    <w:lvl w:ilvl="7" w:tentative="0">
      <w:start w:val="1"/>
      <w:numFmt w:val="lowerLetter"/>
      <w:lvlText w:val="%8)"/>
      <w:legacy w:legacy="1" w:legacySpace="0" w:legacyIndent="420"/>
      <w:lvlJc w:val="left"/>
      <w:pPr>
        <w:ind w:left="3780" w:hanging="420"/>
      </w:pPr>
    </w:lvl>
    <w:lvl w:ilvl="8" w:tentative="0">
      <w:start w:val="1"/>
      <w:numFmt w:val="lowerRoman"/>
      <w:lvlText w:val="%9."/>
      <w:legacy w:legacy="1" w:legacySpace="0" w:legacyIndent="420"/>
      <w:lvlJc w:val="right"/>
      <w:pPr>
        <w:ind w:left="4200" w:hanging="420"/>
      </w:pPr>
    </w:lvl>
  </w:abstractNum>
  <w:abstractNum w:abstractNumId="3">
    <w:nsid w:val="0FD16D87"/>
    <w:multiLevelType w:val="multilevel"/>
    <w:tmpl w:val="0FD16D87"/>
    <w:lvl w:ilvl="0" w:tentative="0">
      <w:start w:val="1"/>
      <w:numFmt w:val="japaneseCounting"/>
      <w:lvlText w:val="%1、"/>
      <w:lvlJc w:val="left"/>
      <w:pPr>
        <w:ind w:left="630" w:hanging="6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1674E2C"/>
    <w:multiLevelType w:val="multilevel"/>
    <w:tmpl w:val="11674E2C"/>
    <w:lvl w:ilvl="0" w:tentative="0">
      <w:start w:val="3"/>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36D0C"/>
    <w:rsid w:val="00142216"/>
    <w:rsid w:val="00144D6A"/>
    <w:rsid w:val="0014729F"/>
    <w:rsid w:val="00157BAB"/>
    <w:rsid w:val="001654D1"/>
    <w:rsid w:val="00174518"/>
    <w:rsid w:val="0018106D"/>
    <w:rsid w:val="001877A7"/>
    <w:rsid w:val="00191536"/>
    <w:rsid w:val="00196687"/>
    <w:rsid w:val="001C0962"/>
    <w:rsid w:val="001D7531"/>
    <w:rsid w:val="001E2FF1"/>
    <w:rsid w:val="001E737D"/>
    <w:rsid w:val="001F0592"/>
    <w:rsid w:val="001F7506"/>
    <w:rsid w:val="002006CD"/>
    <w:rsid w:val="00202B36"/>
    <w:rsid w:val="00204B7A"/>
    <w:rsid w:val="00204CDE"/>
    <w:rsid w:val="0021101A"/>
    <w:rsid w:val="00217081"/>
    <w:rsid w:val="00220536"/>
    <w:rsid w:val="00235629"/>
    <w:rsid w:val="00247B82"/>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46E63"/>
    <w:rsid w:val="0046709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25E15"/>
    <w:rsid w:val="005664BB"/>
    <w:rsid w:val="00566FFA"/>
    <w:rsid w:val="0057481D"/>
    <w:rsid w:val="0058486E"/>
    <w:rsid w:val="00585B33"/>
    <w:rsid w:val="0059014D"/>
    <w:rsid w:val="005B5C64"/>
    <w:rsid w:val="005B67C6"/>
    <w:rsid w:val="005C5337"/>
    <w:rsid w:val="005C6BD0"/>
    <w:rsid w:val="005D1C8B"/>
    <w:rsid w:val="005D468D"/>
    <w:rsid w:val="005D5CED"/>
    <w:rsid w:val="005D7D8C"/>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280B"/>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3DCE"/>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E4DB6"/>
    <w:rsid w:val="009F1185"/>
    <w:rsid w:val="009F18CD"/>
    <w:rsid w:val="009F2A13"/>
    <w:rsid w:val="009F5540"/>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AF0A50"/>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2575"/>
    <w:rsid w:val="00C533CC"/>
    <w:rsid w:val="00C5751C"/>
    <w:rsid w:val="00C61BFC"/>
    <w:rsid w:val="00C62B85"/>
    <w:rsid w:val="00C65438"/>
    <w:rsid w:val="00C87FD8"/>
    <w:rsid w:val="00C91381"/>
    <w:rsid w:val="00C91CBB"/>
    <w:rsid w:val="00CB4E70"/>
    <w:rsid w:val="00CC09B6"/>
    <w:rsid w:val="00CC666F"/>
    <w:rsid w:val="00CC6BAC"/>
    <w:rsid w:val="00CD1E3F"/>
    <w:rsid w:val="00CE44F6"/>
    <w:rsid w:val="00CE49DA"/>
    <w:rsid w:val="00CE7B61"/>
    <w:rsid w:val="00D00095"/>
    <w:rsid w:val="00D114F0"/>
    <w:rsid w:val="00D20620"/>
    <w:rsid w:val="00D254F7"/>
    <w:rsid w:val="00D26091"/>
    <w:rsid w:val="00D2685C"/>
    <w:rsid w:val="00D34E7C"/>
    <w:rsid w:val="00D34F17"/>
    <w:rsid w:val="00D35489"/>
    <w:rsid w:val="00D36AFE"/>
    <w:rsid w:val="00D51276"/>
    <w:rsid w:val="00D7035F"/>
    <w:rsid w:val="00DA634F"/>
    <w:rsid w:val="00DA65AC"/>
    <w:rsid w:val="00DB1913"/>
    <w:rsid w:val="00DC410D"/>
    <w:rsid w:val="00DC4B63"/>
    <w:rsid w:val="00DC5A81"/>
    <w:rsid w:val="00DC68CA"/>
    <w:rsid w:val="00DC7CBA"/>
    <w:rsid w:val="00DD73B7"/>
    <w:rsid w:val="00DF06E2"/>
    <w:rsid w:val="00DF28BC"/>
    <w:rsid w:val="00DF34B9"/>
    <w:rsid w:val="00E01053"/>
    <w:rsid w:val="00E07ACF"/>
    <w:rsid w:val="00E22135"/>
    <w:rsid w:val="00E331A1"/>
    <w:rsid w:val="00E33202"/>
    <w:rsid w:val="00E336A9"/>
    <w:rsid w:val="00E472B1"/>
    <w:rsid w:val="00E50624"/>
    <w:rsid w:val="00E5285B"/>
    <w:rsid w:val="00E568DF"/>
    <w:rsid w:val="00E64269"/>
    <w:rsid w:val="00E82267"/>
    <w:rsid w:val="00E853CE"/>
    <w:rsid w:val="00E867B6"/>
    <w:rsid w:val="00EA010F"/>
    <w:rsid w:val="00ED1B63"/>
    <w:rsid w:val="00ED3C1F"/>
    <w:rsid w:val="00ED4085"/>
    <w:rsid w:val="00ED420E"/>
    <w:rsid w:val="00ED6FBE"/>
    <w:rsid w:val="00EE2F57"/>
    <w:rsid w:val="00EF39C0"/>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5975B8"/>
    <w:rsid w:val="02143E91"/>
    <w:rsid w:val="066E0107"/>
    <w:rsid w:val="07955CB0"/>
    <w:rsid w:val="07996F6E"/>
    <w:rsid w:val="09551AE3"/>
    <w:rsid w:val="0A2032A3"/>
    <w:rsid w:val="0F98263C"/>
    <w:rsid w:val="0FBF416E"/>
    <w:rsid w:val="101860EC"/>
    <w:rsid w:val="10C055FF"/>
    <w:rsid w:val="10FC4EDD"/>
    <w:rsid w:val="113546AC"/>
    <w:rsid w:val="118107EC"/>
    <w:rsid w:val="134D0A06"/>
    <w:rsid w:val="13591622"/>
    <w:rsid w:val="13B04BE4"/>
    <w:rsid w:val="13D50BC4"/>
    <w:rsid w:val="16BB723D"/>
    <w:rsid w:val="1BE8440E"/>
    <w:rsid w:val="1C6B39E3"/>
    <w:rsid w:val="1D155CEE"/>
    <w:rsid w:val="1FF35744"/>
    <w:rsid w:val="23860B96"/>
    <w:rsid w:val="240371BF"/>
    <w:rsid w:val="26AE07C1"/>
    <w:rsid w:val="27F61EC9"/>
    <w:rsid w:val="29FD04D3"/>
    <w:rsid w:val="2C8A61B5"/>
    <w:rsid w:val="2DF04E50"/>
    <w:rsid w:val="2E983ECA"/>
    <w:rsid w:val="2F040D46"/>
    <w:rsid w:val="2F4E7A84"/>
    <w:rsid w:val="2F940229"/>
    <w:rsid w:val="2F9D0437"/>
    <w:rsid w:val="2FDB2273"/>
    <w:rsid w:val="3021208D"/>
    <w:rsid w:val="30D33D9C"/>
    <w:rsid w:val="319F7F4E"/>
    <w:rsid w:val="3304709D"/>
    <w:rsid w:val="36AA5135"/>
    <w:rsid w:val="376D39B2"/>
    <w:rsid w:val="37E16F03"/>
    <w:rsid w:val="38D469F0"/>
    <w:rsid w:val="3D98207C"/>
    <w:rsid w:val="3E78745D"/>
    <w:rsid w:val="44E268DA"/>
    <w:rsid w:val="47814DFD"/>
    <w:rsid w:val="47F164E1"/>
    <w:rsid w:val="4A627F82"/>
    <w:rsid w:val="4B0E749A"/>
    <w:rsid w:val="4B4F25DA"/>
    <w:rsid w:val="4B6A6246"/>
    <w:rsid w:val="4BE068DB"/>
    <w:rsid w:val="4C7803EF"/>
    <w:rsid w:val="4D577224"/>
    <w:rsid w:val="4EAB630A"/>
    <w:rsid w:val="4ECE2238"/>
    <w:rsid w:val="537E6D0A"/>
    <w:rsid w:val="54A037A9"/>
    <w:rsid w:val="568127FA"/>
    <w:rsid w:val="58D00434"/>
    <w:rsid w:val="58E40641"/>
    <w:rsid w:val="5AF92295"/>
    <w:rsid w:val="5CD71FC4"/>
    <w:rsid w:val="5D085E51"/>
    <w:rsid w:val="5FAC6333"/>
    <w:rsid w:val="5FEFEFA3"/>
    <w:rsid w:val="6C4A05C8"/>
    <w:rsid w:val="6E7E3605"/>
    <w:rsid w:val="6FD462F8"/>
    <w:rsid w:val="6FF5CC65"/>
    <w:rsid w:val="715C0E4B"/>
    <w:rsid w:val="72734D90"/>
    <w:rsid w:val="7328650E"/>
    <w:rsid w:val="73AD73D5"/>
    <w:rsid w:val="73B6EB34"/>
    <w:rsid w:val="73C42F1A"/>
    <w:rsid w:val="744731E5"/>
    <w:rsid w:val="76E3355F"/>
    <w:rsid w:val="778769C8"/>
    <w:rsid w:val="79E13990"/>
    <w:rsid w:val="79EE5BA4"/>
    <w:rsid w:val="7A894339"/>
    <w:rsid w:val="7DEEFEAF"/>
    <w:rsid w:val="7EEF11D3"/>
    <w:rsid w:val="7FA30C79"/>
    <w:rsid w:val="7FB7269E"/>
    <w:rsid w:val="7FC96657"/>
    <w:rsid w:val="BFEB2CEE"/>
    <w:rsid w:val="D8D6DB89"/>
    <w:rsid w:val="DB6F4CAB"/>
    <w:rsid w:val="DF6F9789"/>
    <w:rsid w:val="EF355B6A"/>
    <w:rsid w:val="F5B700F1"/>
    <w:rsid w:val="FFB6F12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4"/>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7"/>
    <w:qFormat/>
    <w:uiPriority w:val="99"/>
    <w:pPr>
      <w:spacing w:beforeLines="30"/>
    </w:pPr>
    <w:rPr>
      <w:rFonts w:ascii="仿宋_GB2312" w:eastAsia="仿宋_GB2312"/>
      <w:kern w:val="0"/>
      <w:sz w:val="30"/>
    </w:rPr>
  </w:style>
  <w:style w:type="paragraph" w:styleId="3">
    <w:name w:val="footer"/>
    <w:basedOn w:val="1"/>
    <w:link w:val="25"/>
    <w:qFormat/>
    <w:uiPriority w:val="99"/>
    <w:pPr>
      <w:tabs>
        <w:tab w:val="center" w:pos="4153"/>
        <w:tab w:val="right" w:pos="8306"/>
      </w:tabs>
      <w:snapToGrid w:val="0"/>
      <w:jc w:val="left"/>
    </w:pPr>
    <w:rPr>
      <w:rFonts w:ascii="Calibri" w:hAnsi="Calibri"/>
      <w:kern w:val="0"/>
      <w:sz w:val="18"/>
      <w:szCs w:val="18"/>
    </w:rPr>
  </w:style>
  <w:style w:type="paragraph" w:styleId="7">
    <w:name w:val="index 5"/>
    <w:next w:val="1"/>
    <w:qFormat/>
    <w:uiPriority w:val="0"/>
    <w:pPr>
      <w:widowControl w:val="0"/>
      <w:ind w:firstLine="200" w:firstLineChars="200"/>
      <w:jc w:val="left"/>
    </w:pPr>
    <w:rPr>
      <w:rFonts w:ascii="楷体_GB2312" w:hAnsi="方正兰亭黑_GBK" w:eastAsia="楷体_GB2312" w:cs="Arial"/>
      <w:kern w:val="2"/>
      <w:sz w:val="32"/>
      <w:szCs w:val="32"/>
      <w:lang w:val="en-US" w:eastAsia="zh-CN" w:bidi="ar-SA"/>
    </w:rPr>
  </w:style>
  <w:style w:type="paragraph" w:styleId="8">
    <w:name w:val="Body Text Indent"/>
    <w:basedOn w:val="1"/>
    <w:qFormat/>
    <w:uiPriority w:val="0"/>
    <w:pPr>
      <w:spacing w:after="120"/>
      <w:ind w:left="200" w:leftChars="200"/>
    </w:pPr>
    <w:rPr>
      <w:rFonts w:ascii="仿宋_GB2312"/>
      <w:szCs w:val="32"/>
    </w:rPr>
  </w:style>
  <w:style w:type="paragraph" w:styleId="9">
    <w:name w:val="toc 3"/>
    <w:basedOn w:val="1"/>
    <w:next w:val="1"/>
    <w:unhideWhenUsed/>
    <w:qFormat/>
    <w:uiPriority w:val="39"/>
    <w:pPr>
      <w:tabs>
        <w:tab w:val="right" w:leader="dot" w:pos="8296"/>
      </w:tabs>
      <w:ind w:left="840" w:leftChars="400"/>
    </w:pPr>
  </w:style>
  <w:style w:type="paragraph" w:styleId="10">
    <w:name w:val="Plain Text"/>
    <w:basedOn w:val="1"/>
    <w:qFormat/>
    <w:uiPriority w:val="0"/>
    <w:rPr>
      <w:rFonts w:ascii="宋体"/>
    </w:rPr>
  </w:style>
  <w:style w:type="paragraph" w:styleId="11">
    <w:name w:val="Balloon Text"/>
    <w:basedOn w:val="1"/>
    <w:link w:val="33"/>
    <w:semiHidden/>
    <w:unhideWhenUsed/>
    <w:qFormat/>
    <w:uiPriority w:val="99"/>
    <w:rPr>
      <w:sz w:val="18"/>
      <w:szCs w:val="18"/>
    </w:rPr>
  </w:style>
  <w:style w:type="paragraph" w:styleId="12">
    <w:name w:val="header"/>
    <w:basedOn w:val="1"/>
    <w:link w:val="23"/>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4">
    <w:name w:val="toc 2"/>
    <w:basedOn w:val="1"/>
    <w:next w:val="1"/>
    <w:unhideWhenUsed/>
    <w:qFormat/>
    <w:uiPriority w:val="39"/>
    <w:pPr>
      <w:tabs>
        <w:tab w:val="right" w:leader="dot" w:pos="8296"/>
      </w:tabs>
      <w:ind w:left="420" w:leftChars="200"/>
    </w:pPr>
  </w:style>
  <w:style w:type="paragraph" w:styleId="15">
    <w:name w:val="Body Text First Indent 2"/>
    <w:basedOn w:val="8"/>
    <w:unhideWhenUsed/>
    <w:qFormat/>
    <w:uiPriority w:val="99"/>
    <w:pPr>
      <w:ind w:firstLine="420" w:firstLineChars="200"/>
    </w:pPr>
  </w:style>
  <w:style w:type="character" w:styleId="18">
    <w:name w:val="Strong"/>
    <w:basedOn w:val="17"/>
    <w:qFormat/>
    <w:uiPriority w:val="99"/>
    <w:rPr>
      <w:b/>
    </w:rPr>
  </w:style>
  <w:style w:type="character" w:styleId="19">
    <w:name w:val="FollowedHyperlink"/>
    <w:basedOn w:val="17"/>
    <w:semiHidden/>
    <w:unhideWhenUsed/>
    <w:qFormat/>
    <w:uiPriority w:val="99"/>
    <w:rPr>
      <w:color w:val="954F72"/>
      <w:u w:val="single"/>
    </w:rPr>
  </w:style>
  <w:style w:type="character" w:styleId="20">
    <w:name w:val="Hyperlink"/>
    <w:basedOn w:val="17"/>
    <w:unhideWhenUsed/>
    <w:qFormat/>
    <w:uiPriority w:val="99"/>
    <w:rPr>
      <w:color w:val="0000FF" w:themeColor="hyperlink"/>
      <w:u w:val="single"/>
      <w14:textFill>
        <w14:solidFill>
          <w14:schemeClr w14:val="hlink"/>
        </w14:solidFill>
      </w14:textFill>
    </w:rPr>
  </w:style>
  <w:style w:type="paragraph" w:customStyle="1" w:styleId="21">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22">
    <w:name w:val="Header Char"/>
    <w:basedOn w:val="17"/>
    <w:semiHidden/>
    <w:qFormat/>
    <w:uiPriority w:val="99"/>
    <w:rPr>
      <w:rFonts w:ascii="Times New Roman" w:hAnsi="Times New Roman"/>
      <w:sz w:val="18"/>
      <w:szCs w:val="18"/>
    </w:rPr>
  </w:style>
  <w:style w:type="character" w:customStyle="1" w:styleId="23">
    <w:name w:val="页眉 字符"/>
    <w:link w:val="12"/>
    <w:semiHidden/>
    <w:qFormat/>
    <w:locked/>
    <w:uiPriority w:val="99"/>
    <w:rPr>
      <w:sz w:val="18"/>
    </w:rPr>
  </w:style>
  <w:style w:type="character" w:customStyle="1" w:styleId="24">
    <w:name w:val="Footer Char"/>
    <w:basedOn w:val="17"/>
    <w:semiHidden/>
    <w:qFormat/>
    <w:uiPriority w:val="99"/>
    <w:rPr>
      <w:rFonts w:ascii="Times New Roman" w:hAnsi="Times New Roman"/>
      <w:sz w:val="18"/>
      <w:szCs w:val="18"/>
    </w:rPr>
  </w:style>
  <w:style w:type="character" w:customStyle="1" w:styleId="25">
    <w:name w:val="页脚 字符"/>
    <w:link w:val="3"/>
    <w:qFormat/>
    <w:locked/>
    <w:uiPriority w:val="99"/>
    <w:rPr>
      <w:sz w:val="18"/>
    </w:rPr>
  </w:style>
  <w:style w:type="character" w:customStyle="1" w:styleId="26">
    <w:name w:val="Body Text Char"/>
    <w:basedOn w:val="17"/>
    <w:semiHidden/>
    <w:qFormat/>
    <w:uiPriority w:val="99"/>
    <w:rPr>
      <w:rFonts w:ascii="Times New Roman" w:hAnsi="Times New Roman"/>
      <w:szCs w:val="24"/>
    </w:rPr>
  </w:style>
  <w:style w:type="character" w:customStyle="1" w:styleId="27">
    <w:name w:val="正文文本 字符"/>
    <w:link w:val="2"/>
    <w:qFormat/>
    <w:locked/>
    <w:uiPriority w:val="99"/>
    <w:rPr>
      <w:rFonts w:ascii="仿宋_GB2312" w:hAnsi="Times New Roman" w:eastAsia="仿宋_GB2312"/>
      <w:sz w:val="24"/>
    </w:rPr>
  </w:style>
  <w:style w:type="paragraph" w:customStyle="1" w:styleId="28">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9">
    <w:name w:val="List Paragraph"/>
    <w:basedOn w:val="1"/>
    <w:qFormat/>
    <w:uiPriority w:val="34"/>
    <w:pPr>
      <w:ind w:firstLine="420" w:firstLineChars="200"/>
    </w:pPr>
  </w:style>
  <w:style w:type="character" w:customStyle="1" w:styleId="30">
    <w:name w:val="标题 1 字符"/>
    <w:basedOn w:val="17"/>
    <w:link w:val="4"/>
    <w:qFormat/>
    <w:uiPriority w:val="9"/>
    <w:rPr>
      <w:rFonts w:ascii="Times New Roman" w:hAnsi="Times New Roman"/>
      <w:b/>
      <w:bCs/>
      <w:kern w:val="44"/>
      <w:sz w:val="44"/>
      <w:szCs w:val="44"/>
    </w:rPr>
  </w:style>
  <w:style w:type="character" w:customStyle="1" w:styleId="31">
    <w:name w:val="标题 2 字符"/>
    <w:basedOn w:val="17"/>
    <w:link w:val="5"/>
    <w:qFormat/>
    <w:uiPriority w:val="9"/>
    <w:rPr>
      <w:rFonts w:asciiTheme="majorHAnsi" w:hAnsiTheme="majorHAnsi" w:eastAsiaTheme="majorEastAsia" w:cstheme="majorBidi"/>
      <w:b/>
      <w:bCs/>
      <w:kern w:val="2"/>
      <w:sz w:val="32"/>
      <w:szCs w:val="32"/>
    </w:rPr>
  </w:style>
  <w:style w:type="paragraph" w:customStyle="1" w:styleId="32">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3">
    <w:name w:val="批注框文本 字符"/>
    <w:basedOn w:val="17"/>
    <w:link w:val="11"/>
    <w:semiHidden/>
    <w:qFormat/>
    <w:uiPriority w:val="99"/>
    <w:rPr>
      <w:rFonts w:ascii="Times New Roman" w:hAnsi="Times New Roman"/>
      <w:kern w:val="2"/>
      <w:sz w:val="18"/>
      <w:szCs w:val="18"/>
    </w:rPr>
  </w:style>
  <w:style w:type="character" w:customStyle="1" w:styleId="34">
    <w:name w:val="标题 3 字符"/>
    <w:basedOn w:val="17"/>
    <w:link w:val="6"/>
    <w:qFormat/>
    <w:uiPriority w:val="9"/>
    <w:rPr>
      <w:rFonts w:ascii="Times New Roman" w:hAnsi="Times New Roman"/>
      <w:b/>
      <w:bCs/>
      <w:kern w:val="2"/>
      <w:sz w:val="32"/>
      <w:szCs w:val="32"/>
    </w:rPr>
  </w:style>
  <w:style w:type="paragraph" w:customStyle="1" w:styleId="35">
    <w:name w:val="TOC 标题2"/>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6">
    <w:name w:val="四号正文"/>
    <w:basedOn w:val="1"/>
    <w:qFormat/>
    <w:uiPriority w:val="0"/>
    <w:pPr>
      <w:spacing w:line="360" w:lineRule="auto"/>
    </w:pPr>
    <w:rPr>
      <w:rFonts w:ascii="??" w:hAnsi="??"/>
      <w:color w:val="000000"/>
      <w:kern w:val="0"/>
      <w:sz w:val="28"/>
      <w:szCs w:val="21"/>
      <w:lang w:val="zh-CN"/>
    </w:rPr>
  </w:style>
  <w:style w:type="paragraph" w:customStyle="1" w:styleId="37">
    <w:name w:val="TOC Heading"/>
    <w:basedOn w:val="4"/>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38">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40">
    <w:name w:val="xl6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color w:val="000000"/>
      <w:kern w:val="0"/>
      <w:sz w:val="18"/>
      <w:szCs w:val="18"/>
    </w:rPr>
  </w:style>
  <w:style w:type="paragraph" w:customStyle="1" w:styleId="41">
    <w:name w:val="xl64"/>
    <w:basedOn w:val="1"/>
    <w:qFormat/>
    <w:uiPriority w:val="0"/>
    <w:pPr>
      <w:widowControl/>
      <w:spacing w:before="100" w:beforeAutospacing="1" w:after="100" w:afterAutospacing="1"/>
      <w:jc w:val="left"/>
    </w:pPr>
    <w:rPr>
      <w:rFonts w:ascii="Courier New" w:hAnsi="Courier New" w:cs="Courier New"/>
      <w:color w:val="000000"/>
      <w:kern w:val="0"/>
      <w:sz w:val="18"/>
      <w:szCs w:val="18"/>
    </w:rPr>
  </w:style>
  <w:style w:type="paragraph" w:customStyle="1" w:styleId="42">
    <w:name w:val="xl6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18"/>
      <w:szCs w:val="18"/>
    </w:rPr>
  </w:style>
  <w:style w:type="paragraph" w:customStyle="1" w:styleId="43">
    <w:name w:val="xl6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18"/>
      <w:szCs w:val="18"/>
    </w:rPr>
  </w:style>
  <w:style w:type="paragraph" w:customStyle="1" w:styleId="44">
    <w:name w:val="xl6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18"/>
      <w:szCs w:val="18"/>
    </w:rPr>
  </w:style>
  <w:style w:type="paragraph" w:customStyle="1" w:styleId="45">
    <w:name w:val="xl6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微软雅黑" w:hAnsi="微软雅黑" w:eastAsia="微软雅黑" w:cs="宋体"/>
      <w:i/>
      <w:iCs/>
      <w:color w:val="000000"/>
      <w:kern w:val="0"/>
      <w:sz w:val="16"/>
      <w:szCs w:val="16"/>
    </w:rPr>
  </w:style>
  <w:style w:type="paragraph" w:customStyle="1" w:styleId="46">
    <w:name w:val="xl6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7">
    <w:name w:val="xl7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黑体" w:hAnsi="黑体" w:eastAsia="黑体" w:cs="宋体"/>
      <w:b/>
      <w:bCs/>
      <w:color w:val="000000"/>
      <w:kern w:val="0"/>
      <w:sz w:val="30"/>
      <w:szCs w:val="30"/>
    </w:rPr>
  </w:style>
  <w:style w:type="paragraph" w:customStyle="1" w:styleId="48">
    <w:name w:val="xl7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Courier New" w:hAnsi="Courier New" w:cs="Courier New"/>
      <w:color w:val="000000"/>
      <w:kern w:val="0"/>
      <w:sz w:val="18"/>
      <w:szCs w:val="18"/>
    </w:rPr>
  </w:style>
  <w:style w:type="paragraph" w:customStyle="1" w:styleId="49">
    <w:name w:val="xl7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Courier New" w:hAnsi="Courier New" w:cs="Courier New"/>
      <w:color w:val="000000"/>
      <w:kern w:val="0"/>
      <w:sz w:val="18"/>
      <w:szCs w:val="18"/>
    </w:rPr>
  </w:style>
  <w:style w:type="paragraph" w:customStyle="1" w:styleId="50">
    <w:name w:val="xl7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Courier New" w:hAnsi="Courier New" w:cs="Courier New"/>
      <w:i/>
      <w:iCs/>
      <w:color w:val="000000"/>
      <w:kern w:val="0"/>
      <w:sz w:val="18"/>
      <w:szCs w:val="18"/>
    </w:rPr>
  </w:style>
  <w:style w:type="paragraph" w:customStyle="1" w:styleId="51">
    <w:name w:val="xl7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i/>
      <w:iCs/>
      <w:color w:val="000000"/>
      <w:kern w:val="0"/>
      <w:sz w:val="16"/>
      <w:szCs w:val="16"/>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
        <c:rich>
          <a:bodyPr/>
          <a:lstStyle/>
          <a:p>
            <a:pPr>
              <a:defRPr/>
            </a:pPr>
          </a:p>
        </c:rich>
      </c:tx>
    </c:title>
    <c:autoTitleDeleted val="false"/>
    <c:plotArea>
      <c:layout>
        <c:manualLayout>
          <c:layoutTarget val="inner"/>
          <c:xMode val="edge"/>
          <c:yMode val="edge"/>
          <c:x val="0.063325"/>
          <c:y val="0.2205"/>
          <c:w val="0.92605"/>
          <c:h val="0.7084"/>
        </c:manualLayout>
      </c:layout>
      <c:barChart>
        <c:barDir val="col"/>
        <c:grouping val="clustered"/>
        <c:varyColors val="false"/>
        <c:ser>
          <c:idx val="0"/>
          <c:order val="0"/>
          <c:tx>
            <c:strRef>
              <c:f>Sheet1!$B$1</c:f>
              <c:strCache>
                <c:ptCount val="1"/>
                <c:pt idx="0">
                  <c:v>系列 1</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ext>
            </c:extLst>
          </c:dLbls>
          <c:cat>
            <c:strRef>
              <c:f>Sheet1!$A$2:$A$3</c:f>
              <c:strCache>
                <c:ptCount val="2"/>
                <c:pt idx="0">
                  <c:v>2021年收、支总计</c:v>
                </c:pt>
                <c:pt idx="1">
                  <c:v>2022年收、支总计</c:v>
                </c:pt>
              </c:strCache>
            </c:strRef>
          </c:cat>
          <c:val>
            <c:numRef>
              <c:f>Sheet1!$B$2:$B$3</c:f>
              <c:numCache>
                <c:formatCode>General</c:formatCode>
                <c:ptCount val="2"/>
                <c:pt idx="0">
                  <c:v>66037.9</c:v>
                </c:pt>
                <c:pt idx="1">
                  <c:v>70948.2</c:v>
                </c:pt>
              </c:numCache>
            </c:numRef>
          </c:val>
        </c:ser>
        <c:ser>
          <c:idx val="1"/>
          <c:order val="1"/>
          <c:tx>
            <c:strRef>
              <c:f>Sheet1!#REF!</c:f>
              <c:strCache>
                <c:ptCount val="1"/>
                <c:pt idx="0">
                  <c:v/>
                </c:pt>
              </c:strCache>
            </c:strRef>
          </c:tx>
          <c:spPr>
            <a:solidFill>
              <a:schemeClr val="accent2"/>
            </a:solidFill>
            <a:ln>
              <a:noFill/>
            </a:ln>
            <a:effectLst/>
          </c:spPr>
          <c:invertIfNegative val="false"/>
          <c:dLbls>
            <c:delete val="true"/>
          </c:dLbls>
          <c:cat>
            <c:strRef>
              <c:f>Sheet1!$A$2:$A$3</c:f>
              <c:strCache>
                <c:ptCount val="2"/>
                <c:pt idx="0">
                  <c:v>2021年收、支总计</c:v>
                </c:pt>
                <c:pt idx="1">
                  <c:v>2022年收、支总计</c:v>
                </c:pt>
              </c:strCache>
            </c:strRef>
          </c:cat>
          <c:val>
            <c:numRef>
              <c:f>Sheet1!#REF!</c:f>
              <c:numCache>
                <c:formatCode>General</c:formatCode>
                <c:ptCount val="1"/>
                <c:pt idx="0">
                  <c:v>1</c:v>
                </c:pt>
              </c:numCache>
            </c:numRef>
          </c:val>
        </c:ser>
        <c:ser>
          <c:idx val="2"/>
          <c:order val="2"/>
          <c:tx>
            <c:strRef>
              <c:f>Sheet1!#REF!</c:f>
              <c:strCache>
                <c:ptCount val="1"/>
                <c:pt idx="0">
                  <c:v/>
                </c:pt>
              </c:strCache>
            </c:strRef>
          </c:tx>
          <c:spPr>
            <a:solidFill>
              <a:schemeClr val="accent3"/>
            </a:solidFill>
            <a:ln>
              <a:noFill/>
            </a:ln>
            <a:effectLst/>
          </c:spPr>
          <c:invertIfNegative val="false"/>
          <c:dLbls>
            <c:delete val="true"/>
          </c:dLbls>
          <c:cat>
            <c:strRef>
              <c:f>Sheet1!$A$2:$A$3</c:f>
              <c:strCache>
                <c:ptCount val="2"/>
                <c:pt idx="0">
                  <c:v>2021年收、支总计</c:v>
                </c:pt>
                <c:pt idx="1">
                  <c:v>2022年收、支总计</c:v>
                </c:pt>
              </c:strCache>
            </c:strRef>
          </c:cat>
          <c:val>
            <c:numRef>
              <c:f>Sheet1!#REF!</c:f>
              <c:numCache>
                <c:formatCode>General</c:formatCode>
                <c:ptCount val="1"/>
                <c:pt idx="0">
                  <c:v>1</c:v>
                </c:pt>
              </c:numCache>
            </c:numRef>
          </c:val>
        </c:ser>
        <c:dLbls>
          <c:showLegendKey val="false"/>
          <c:showVal val="false"/>
          <c:showCatName val="false"/>
          <c:showSerName val="false"/>
          <c:showPercent val="false"/>
          <c:showBubbleSize val="false"/>
        </c:dLbls>
        <c:gapWidth val="219"/>
        <c:overlap val="-27"/>
        <c:axId val="146627200"/>
        <c:axId val="146633088"/>
      </c:barChart>
      <c:catAx>
        <c:axId val="146627200"/>
        <c:scaling>
          <c:orientation val="minMax"/>
        </c:scaling>
        <c:delete val="false"/>
        <c:axPos val="b"/>
        <c:numFmt formatCode="General" sourceLinked="fals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46633088"/>
        <c:crosses val="autoZero"/>
        <c:auto val="true"/>
        <c:lblAlgn val="ctr"/>
        <c:lblOffset val="100"/>
        <c:noMultiLvlLbl val="false"/>
      </c:catAx>
      <c:valAx>
        <c:axId val="146633088"/>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General" sourceLinked="true"/>
        <c:majorTickMark val="none"/>
        <c:minorTickMark val="none"/>
        <c:tickLblPos val="nextTo"/>
        <c:spPr>
          <a:noFill/>
          <a:ln w="6350" cap="flat" cmpd="sng" algn="ctr">
            <a:no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46627200"/>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tx>
            <c:strRef>
              <c:f>Sheet1!$B$1</c:f>
              <c:strCache>
                <c:ptCount val="1"/>
                <c:pt idx="0">
                  <c:v>销售额</c:v>
                </c:pt>
              </c:strCache>
            </c:strRef>
          </c:tx>
          <c:explosion val="0"/>
          <c:dPt>
            <c:idx val="0"/>
            <c:bubble3D val="false"/>
            <c:spPr>
              <a:solidFill>
                <a:schemeClr val="accent1"/>
              </a:solidFill>
              <a:ln w="19050">
                <a:solidFill>
                  <a:schemeClr val="lt1"/>
                </a:solidFill>
              </a:ln>
              <a:effectLst/>
            </c:spPr>
          </c:dPt>
          <c:dPt>
            <c:idx val="1"/>
            <c:bubble3D val="false"/>
          </c:dPt>
          <c:dPt>
            <c:idx val="2"/>
            <c:bubble3D val="false"/>
          </c:dPt>
          <c:dPt>
            <c:idx val="3"/>
            <c:bubble3D val="false"/>
          </c:dPt>
          <c:dLbls>
            <c:dLbl>
              <c:idx val="0"/>
              <c:layout>
                <c:manualLayout>
                  <c:x val="0.127828412852114"/>
                  <c:y val="-0.0188538020926756"/>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0915239467876843"/>
                  <c:y val="-0.0659451875984056"/>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200820066148181"/>
                  <c:y val="-0.0284476439399196"/>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3"/>
              <c:layout>
                <c:manualLayout>
                  <c:x val="-0.0942936638161844"/>
                  <c:y val="0.101810750193292"/>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Sheet1!$A$2:$A$5</c:f>
              <c:strCache>
                <c:ptCount val="4"/>
                <c:pt idx="0">
                  <c:v>一般公共预算财政拨款收入</c:v>
                </c:pt>
                <c:pt idx="1">
                  <c:v>政府性基金预算财政拨款收入</c:v>
                </c:pt>
                <c:pt idx="2">
                  <c:v>事业收入</c:v>
                </c:pt>
                <c:pt idx="3">
                  <c:v>其他收入</c:v>
                </c:pt>
              </c:strCache>
            </c:strRef>
          </c:cat>
          <c:val>
            <c:numRef>
              <c:f>Sheet1!$B$2:$B$5</c:f>
              <c:numCache>
                <c:formatCode>General</c:formatCode>
                <c:ptCount val="4"/>
                <c:pt idx="0">
                  <c:v>1129.44</c:v>
                </c:pt>
                <c:pt idx="1">
                  <c:v>596.67</c:v>
                </c:pt>
                <c:pt idx="2">
                  <c:v>3059.71</c:v>
                </c:pt>
                <c:pt idx="3">
                  <c:v>1759.06</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zero"/>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234226190476191"/>
          <c:y val="0.174085684430512"/>
          <c:w val="0.579166666666667"/>
          <c:h val="0.81337513061651"/>
        </c:manualLayout>
      </c:layout>
      <c:pieChart>
        <c:varyColors val="true"/>
        <c:ser>
          <c:idx val="0"/>
          <c:order val="0"/>
          <c:tx>
            <c:strRef>
              <c:f>Sheet1!$B$1</c:f>
              <c:strCache>
                <c:ptCount val="1"/>
                <c:pt idx="0">
                  <c:v>列1</c:v>
                </c:pt>
              </c:strCache>
            </c:strRef>
          </c:tx>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Lbls>
            <c:dLbl>
              <c:idx val="0"/>
              <c:layout>
                <c:manualLayout>
                  <c:x val="0.185310596947785"/>
                  <c:y val="-0.178401971731119"/>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116296039131571"/>
                  <c:y val="0.0222302788241201"/>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Sheet1!$A$2:$A$3</c:f>
              <c:strCache>
                <c:ptCount val="2"/>
                <c:pt idx="0">
                  <c:v>基本支出</c:v>
                </c:pt>
                <c:pt idx="1">
                  <c:v>项目支出</c:v>
                </c:pt>
              </c:strCache>
            </c:strRef>
          </c:cat>
          <c:val>
            <c:numRef>
              <c:f>Sheet1!$B$2:$B$3</c:f>
              <c:numCache>
                <c:formatCode>General</c:formatCode>
                <c:ptCount val="2"/>
                <c:pt idx="0">
                  <c:v>59289.02</c:v>
                </c:pt>
                <c:pt idx="1">
                  <c:v>11388.75</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manualLayout>
          <c:xMode val="edge"/>
          <c:yMode val="edge"/>
          <c:x val="0.0194196428571429"/>
          <c:y val="0.924137931034483"/>
        </c:manualLayou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zero"/>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081075"/>
          <c:y val="0.130916666666667"/>
          <c:w val="0.89155"/>
          <c:h val="0.743150000000001"/>
        </c:manualLayout>
      </c:layout>
      <c:barChart>
        <c:barDir val="col"/>
        <c:grouping val="clustered"/>
        <c:varyColors val="false"/>
        <c:ser>
          <c:idx val="0"/>
          <c:order val="0"/>
          <c:tx>
            <c:strRef>
              <c:f>Sheet1!$B$1</c:f>
              <c:strCache>
                <c:ptCount val="1"/>
                <c:pt idx="0">
                  <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ext>
            </c:extLst>
          </c:dLbls>
          <c:cat>
            <c:strRef>
              <c:f>Sheet1!$A$2:$A$3</c:f>
              <c:strCache>
                <c:ptCount val="2"/>
                <c:pt idx="0">
                  <c:v>2021年财政拨款收、支</c:v>
                </c:pt>
                <c:pt idx="1">
                  <c:v>2022年财政拨款收、支</c:v>
                </c:pt>
              </c:strCache>
            </c:strRef>
          </c:cat>
          <c:val>
            <c:numRef>
              <c:f>Sheet1!$B$2:$B$3</c:f>
              <c:numCache>
                <c:formatCode>General</c:formatCode>
                <c:ptCount val="2"/>
                <c:pt idx="0">
                  <c:v>66037.9</c:v>
                </c:pt>
                <c:pt idx="1">
                  <c:v>65900.24</c:v>
                </c:pt>
              </c:numCache>
            </c:numRef>
          </c:val>
        </c:ser>
        <c:ser>
          <c:idx val="1"/>
          <c:order val="1"/>
          <c:tx>
            <c:strRef>
              <c:f>Sheet1!#REF!</c:f>
              <c:strCache>
                <c:ptCount val="1"/>
                <c:pt idx="0">
                  <c:v/>
                </c:pt>
              </c:strCache>
            </c:strRef>
          </c:tx>
          <c:spPr>
            <a:solidFill>
              <a:schemeClr val="accent2"/>
            </a:solidFill>
            <a:ln>
              <a:noFill/>
            </a:ln>
            <a:effectLst/>
          </c:spPr>
          <c:invertIfNegative val="false"/>
          <c:dLbls>
            <c:delete val="true"/>
          </c:dLbls>
          <c:cat>
            <c:strRef>
              <c:f>Sheet1!$A$2:$A$3</c:f>
              <c:strCache>
                <c:ptCount val="2"/>
                <c:pt idx="0">
                  <c:v>2021年财政拨款收、支</c:v>
                </c:pt>
                <c:pt idx="1">
                  <c:v>2022年财政拨款收、支</c:v>
                </c:pt>
              </c:strCache>
            </c:strRef>
          </c:cat>
          <c:val>
            <c:numRef>
              <c:f>Sheet1!#REF!</c:f>
              <c:numCache>
                <c:formatCode>General</c:formatCode>
                <c:ptCount val="1"/>
                <c:pt idx="0">
                  <c:v>1</c:v>
                </c:pt>
              </c:numCache>
            </c:numRef>
          </c:val>
        </c:ser>
        <c:ser>
          <c:idx val="2"/>
          <c:order val="2"/>
          <c:tx>
            <c:strRef>
              <c:f>Sheet1!#REF!</c:f>
              <c:strCache>
                <c:ptCount val="1"/>
                <c:pt idx="0">
                  <c:v/>
                </c:pt>
              </c:strCache>
            </c:strRef>
          </c:tx>
          <c:spPr>
            <a:solidFill>
              <a:schemeClr val="accent3"/>
            </a:solidFill>
            <a:ln>
              <a:noFill/>
            </a:ln>
            <a:effectLst/>
          </c:spPr>
          <c:invertIfNegative val="false"/>
          <c:dLbls>
            <c:delete val="true"/>
          </c:dLbls>
          <c:cat>
            <c:strRef>
              <c:f>Sheet1!$A$2:$A$3</c:f>
              <c:strCache>
                <c:ptCount val="2"/>
                <c:pt idx="0">
                  <c:v>2021年财政拨款收、支</c:v>
                </c:pt>
                <c:pt idx="1">
                  <c:v>2022年财政拨款收、支</c:v>
                </c:pt>
              </c:strCache>
            </c:strRef>
          </c:cat>
          <c:val>
            <c:numRef>
              <c:f>Sheet1!#REF!</c:f>
              <c:numCache>
                <c:formatCode>General</c:formatCode>
                <c:ptCount val="1"/>
                <c:pt idx="0">
                  <c:v>1</c:v>
                </c:pt>
              </c:numCache>
            </c:numRef>
          </c:val>
        </c:ser>
        <c:dLbls>
          <c:showLegendKey val="false"/>
          <c:showVal val="true"/>
          <c:showCatName val="false"/>
          <c:showSerName val="false"/>
          <c:showPercent val="false"/>
          <c:showBubbleSize val="false"/>
        </c:dLbls>
        <c:gapWidth val="219"/>
        <c:overlap val="-27"/>
        <c:axId val="53216768"/>
        <c:axId val="53218304"/>
      </c:barChart>
      <c:catAx>
        <c:axId val="53216768"/>
        <c:scaling>
          <c:orientation val="minMax"/>
        </c:scaling>
        <c:delete val="false"/>
        <c:axPos val="b"/>
        <c:numFmt formatCode="General" sourceLinked="fals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53218304"/>
        <c:crosses val="autoZero"/>
        <c:auto val="true"/>
        <c:lblAlgn val="ctr"/>
        <c:lblOffset val="100"/>
        <c:noMultiLvlLbl val="false"/>
      </c:catAx>
      <c:valAx>
        <c:axId val="53218304"/>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General" sourceLinked="true"/>
        <c:majorTickMark val="none"/>
        <c:minorTickMark val="none"/>
        <c:tickLblPos val="nextTo"/>
        <c:spPr>
          <a:noFill/>
          <a:ln w="9525" cap="flat" cmpd="sng" algn="ctr">
            <a:no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53216768"/>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10445"/>
          <c:y val="0.0346666666666667"/>
          <c:w val="0.86805"/>
          <c:h val="0.845166666666667"/>
        </c:manualLayout>
      </c:layout>
      <c:barChart>
        <c:barDir val="col"/>
        <c:grouping val="clustered"/>
        <c:varyColors val="false"/>
        <c:ser>
          <c:idx val="0"/>
          <c:order val="0"/>
          <c:tx>
            <c:strRef>
              <c:f>Sheet1!$A$1</c:f>
              <c:strCache>
                <c:ptCount val="1"/>
                <c:pt idx="0">
                  <c:v>2021年一般公共预算财政拨款支出</c:v>
                </c:pt>
              </c:strCache>
            </c:strRef>
          </c:tx>
          <c:spPr>
            <a:solidFill>
              <a:schemeClr val="accent1"/>
            </a:solidFill>
            <a:ln>
              <a:noFill/>
            </a:ln>
            <a:effectLst/>
          </c:spPr>
          <c:invertIfNegative val="false"/>
          <c:dLbls>
            <c:dLbl>
              <c:idx val="0"/>
              <c:layout>
                <c:manualLayout>
                  <c:x val="-0.035625"/>
                  <c:y val="0.005"/>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ext>
            </c:extLst>
          </c:dLbls>
          <c:val>
            <c:numRef>
              <c:f>Sheet1!$A$2:$A$3</c:f>
              <c:numCache>
                <c:formatCode>General</c:formatCode>
                <c:ptCount val="2"/>
                <c:pt idx="0">
                  <c:v>63962.15</c:v>
                </c:pt>
              </c:numCache>
            </c:numRef>
          </c:val>
          <c:extLst>
            <c:ext xmlns:c15="http://schemas.microsoft.com/office/drawing/2012/chart" uri="{02D57815-91ED-43cb-92C2-25804820EDAC}">
              <c15:filteredCategoryTitle>
                <c15:cat>
                  <c:numRef>
                    <c:extLst>
                      <c:ext uri="{02D57815-91ED-43cb-92C2-25804820EDAC}">
                        <c15:formulaRef>
                          <c15:sqref>Sheet1!#REF!</c15:sqref>
                        </c15:formulaRef>
                      </c:ext>
                    </c:extLst>
                    <c:numCache>
                      <c:ptCount val="0"/>
                    </c:numCache>
                  </c:numRef>
                </c15:cat>
              </c15:filteredCategoryTitle>
            </c:ext>
          </c:extLst>
        </c:ser>
        <c:ser>
          <c:idx val="1"/>
          <c:order val="1"/>
          <c:tx>
            <c:strRef>
              <c:f>Sheet1!$B$1</c:f>
              <c:strCache>
                <c:ptCount val="1"/>
                <c:pt idx="0">
                  <c:v>2022年一般公共预算财政拨款支出</c:v>
                </c:pt>
              </c:strCache>
            </c:strRef>
          </c:tx>
          <c:spPr>
            <a:solidFill>
              <a:schemeClr val="accent2"/>
            </a:solidFill>
            <a:ln>
              <a:noFill/>
            </a:ln>
            <a:effectLst/>
          </c:spPr>
          <c:invertIfNegative val="false"/>
          <c:dLbls>
            <c:dLbl>
              <c:idx val="0"/>
              <c:layout>
                <c:manualLayout>
                  <c:x val="0.028125"/>
                  <c:y val="0.0025"/>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ext>
            </c:extLst>
          </c:dLbls>
          <c:val>
            <c:numRef>
              <c:f>Sheet1!$B$2:$B$3</c:f>
              <c:numCache>
                <c:formatCode>General</c:formatCode>
                <c:ptCount val="2"/>
                <c:pt idx="0">
                  <c:v>65020.2</c:v>
                </c:pt>
              </c:numCache>
            </c:numRef>
          </c:val>
          <c:extLst>
            <c:ext xmlns:c15="http://schemas.microsoft.com/office/drawing/2012/chart" uri="{02D57815-91ED-43cb-92C2-25804820EDAC}">
              <c15:filteredCategoryTitle>
                <c15:cat>
                  <c:numRef>
                    <c:extLst>
                      <c:ext uri="{02D57815-91ED-43cb-92C2-25804820EDAC}">
                        <c15:formulaRef>
                          <c15:sqref>Sheet1!#REF!</c15:sqref>
                        </c15:formulaRef>
                      </c:ext>
                    </c:extLst>
                    <c:numCache>
                      <c:ptCount val="0"/>
                    </c:numCache>
                  </c:numRef>
                </c15:cat>
              </c15:filteredCategoryTitle>
            </c:ext>
          </c:extLst>
        </c:ser>
        <c:ser>
          <c:idx val="2"/>
          <c:order val="2"/>
          <c:tx>
            <c:strRef>
              <c:f>Sheet1!#REF!</c:f>
              <c:strCache>
                <c:ptCount val="1"/>
                <c:pt idx="0">
                  <c:v/>
                </c:pt>
              </c:strCache>
            </c:strRef>
          </c:tx>
          <c:spPr>
            <a:solidFill>
              <a:schemeClr val="accent3"/>
            </a:solidFill>
            <a:ln>
              <a:noFill/>
            </a:ln>
            <a:effectLst/>
          </c:spPr>
          <c:invertIfNegative val="false"/>
          <c:dLbls>
            <c:delete val="true"/>
          </c:dLbls>
          <c:val>
            <c:numRef>
              <c:f>Sheet1!#REF!</c:f>
              <c:numCache>
                <c:formatCode>General</c:formatCode>
                <c:ptCount val="1"/>
                <c:pt idx="0">
                  <c:v>1</c:v>
                </c:pt>
              </c:numCache>
            </c:numRef>
          </c:val>
          <c:extLst>
            <c:ext xmlns:c15="http://schemas.microsoft.com/office/drawing/2012/chart" uri="{02D57815-91ED-43cb-92C2-25804820EDAC}">
              <c15:filteredCategoryTitle>
                <c15:cat>
                  <c:numRef>
                    <c:extLst>
                      <c:ext uri="{02D57815-91ED-43cb-92C2-25804820EDAC}">
                        <c15:formulaRef>
                          <c15:sqref>Sheet1!#REF!</c15:sqref>
                        </c15:formulaRef>
                      </c:ext>
                    </c:extLst>
                    <c:numCache>
                      <c:ptCount val="0"/>
                    </c:numCache>
                  </c:numRef>
                </c15:cat>
              </c15:filteredCategoryTitle>
            </c:ext>
          </c:extLst>
        </c:ser>
        <c:dLbls>
          <c:showLegendKey val="false"/>
          <c:showVal val="true"/>
          <c:showCatName val="false"/>
          <c:showSerName val="false"/>
          <c:showPercent val="false"/>
          <c:showBubbleSize val="false"/>
        </c:dLbls>
        <c:gapWidth val="219"/>
        <c:overlap val="-27"/>
        <c:axId val="183446912"/>
        <c:axId val="183452800"/>
      </c:barChart>
      <c:catAx>
        <c:axId val="183446912"/>
        <c:scaling>
          <c:orientation val="minMax"/>
        </c:scaling>
        <c:delete val="true"/>
        <c:axPos val="b"/>
        <c:majorTickMark val="none"/>
        <c:minorTickMark val="none"/>
        <c:tickLblPos val="nextTo"/>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83452800"/>
        <c:crosses val="autoZero"/>
        <c:auto val="true"/>
        <c:lblAlgn val="ctr"/>
        <c:lblOffset val="100"/>
        <c:noMultiLvlLbl val="false"/>
      </c:catAx>
      <c:valAx>
        <c:axId val="183452800"/>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General" sourceLinked="true"/>
        <c:majorTickMark val="none"/>
        <c:minorTickMark val="none"/>
        <c:tickLblPos val="nextTo"/>
        <c:spPr>
          <a:noFill/>
          <a:ln w="9525" cap="flat" cmpd="sng" algn="ctr">
            <a:no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83446912"/>
        <c:crosses val="autoZero"/>
        <c:crossBetween val="between"/>
      </c:valAx>
      <c:spPr>
        <a:noFill/>
        <a:ln>
          <a:noFill/>
        </a:ln>
        <a:effectLst/>
      </c:spPr>
    </c:plotArea>
    <c:legend>
      <c:legendPos val="b"/>
      <c:legendEntry>
        <c:idx val="2"/>
        <c:delete val="true"/>
      </c:legendEntry>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tx>
            <c:strRef>
              <c:f>Sheet1!$B$1</c:f>
              <c:strCache>
                <c:ptCount val="1"/>
                <c:pt idx="0">
                  <c:v>销售额</c:v>
                </c:pt>
              </c:strCache>
            </c:strRef>
          </c:tx>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dPt>
          <c:dPt>
            <c:idx val="4"/>
            <c:bubble3D val="false"/>
          </c:dPt>
          <c:dPt>
            <c:idx val="5"/>
            <c:bubble3D val="false"/>
          </c:dPt>
          <c:dLbls>
            <c:dLbl>
              <c:idx val="0"/>
              <c:layout>
                <c:manualLayout>
                  <c:x val="0.0622666046543792"/>
                  <c:y val="0.0381428666563687"/>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0561793779865685"/>
                  <c:y val="-0.043415923983795"/>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0713227398763513"/>
                  <c:y val="-0.00121330987510608"/>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3"/>
              <c:layout>
                <c:manualLayout>
                  <c:x val="-0.00174591689405145"/>
                  <c:y val="0.0686580016175394"/>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4"/>
              <c:layout>
                <c:manualLayout>
                  <c:x val="-0.084365881715242"/>
                  <c:y val="-0.132154845556208"/>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5"/>
              <c:layout>
                <c:manualLayout>
                  <c:x val="0.0520202165313729"/>
                  <c:y val="-0.00525470665179014"/>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Sheet1!$A$2:$A$7</c:f>
              <c:strCache>
                <c:ptCount val="6"/>
                <c:pt idx="0">
                  <c:v>教育支出类</c:v>
                </c:pt>
                <c:pt idx="1">
                  <c:v>社会保障和就业类</c:v>
                </c:pt>
                <c:pt idx="2">
                  <c:v>住房保障支出类</c:v>
                </c:pt>
                <c:pt idx="3">
                  <c:v>一般公共服务支出</c:v>
                </c:pt>
                <c:pt idx="4">
                  <c:v>文化旅游体育与传媒支出</c:v>
                </c:pt>
                <c:pt idx="5">
                  <c:v>卫生健康支出</c:v>
                </c:pt>
              </c:strCache>
            </c:strRef>
          </c:cat>
          <c:val>
            <c:numRef>
              <c:f>Sheet1!$B$2:$B$7</c:f>
              <c:numCache>
                <c:formatCode>General</c:formatCode>
                <c:ptCount val="6"/>
                <c:pt idx="0">
                  <c:v>973.17</c:v>
                </c:pt>
                <c:pt idx="1">
                  <c:v>96.85</c:v>
                </c:pt>
                <c:pt idx="2">
                  <c:v>64.41</c:v>
                </c:pt>
                <c:pt idx="3">
                  <c:v>8.04</c:v>
                </c:pt>
                <c:pt idx="4">
                  <c:v>2401.81</c:v>
                </c:pt>
                <c:pt idx="5">
                  <c:v>16.73</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zero"/>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tx>
            <c:strRef>
              <c:f>Sheet1!$B$1</c:f>
              <c:strCache>
                <c:ptCount val="1"/>
                <c:pt idx="0">
                  <c:v>列1</c:v>
                </c:pt>
              </c:strCache>
            </c:strRef>
          </c:tx>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Lbls>
            <c:dLbl>
              <c:idx val="0"/>
              <c:layout>
                <c:manualLayout>
                  <c:x val="0.130740520123204"/>
                  <c:y val="-0.0272951342520779"/>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125198733602344"/>
                  <c:y val="0.0182398850861248"/>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delete val="true"/>
            </c:dLbl>
            <c:dLbl>
              <c:idx val="3"/>
              <c:delete val="true"/>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Sheet1!$A$2:$A$5</c:f>
              <c:strCache>
                <c:ptCount val="4"/>
                <c:pt idx="0">
                  <c:v>公务用车购置及运行维护费支出</c:v>
                </c:pt>
                <c:pt idx="1">
                  <c:v>公务接待费支出</c:v>
                </c:pt>
              </c:strCache>
            </c:strRef>
          </c:cat>
          <c:val>
            <c:numRef>
              <c:f>Sheet1!$B$2:$B$5</c:f>
              <c:numCache>
                <c:formatCode>General</c:formatCode>
                <c:ptCount val="4"/>
                <c:pt idx="0">
                  <c:v>27.4</c:v>
                </c:pt>
                <c:pt idx="1">
                  <c:v>3.26</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egendEntry>
        <c:idx val="3"/>
        <c:delete val="true"/>
      </c:legendEntry>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zero"/>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22</Pages>
  <Words>1232</Words>
  <Characters>7025</Characters>
  <Lines>58</Lines>
  <Paragraphs>16</Paragraphs>
  <TotalTime>63</TotalTime>
  <ScaleCrop>false</ScaleCrop>
  <LinksUpToDate>false</LinksUpToDate>
  <CharactersWithSpaces>8241</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2020-08-06T17:49:00Z</dcterms:created>
  <dc:creator>曹颖</dc:creator>
  <cp:lastModifiedBy>user</cp:lastModifiedBy>
  <cp:lastPrinted>2023-08-01T18:35:00Z</cp:lastPrinted>
  <dcterms:modified xsi:type="dcterms:W3CDTF">2023-09-15T09:10:36Z</dcterms:modified>
  <dc:title>四川省***</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