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szCs w:val="21"/>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25797"/>
      <w:bookmarkStart w:id="3" w:name="_Toc15378441"/>
      <w:bookmarkStart w:id="4" w:name="_Toc15396475"/>
      <w:bookmarkStart w:id="5" w:name="_Toc15377193"/>
      <w:bookmarkStart w:id="6"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5237"/>
      <w:bookmarkStart w:id="8" w:name="_Toc15377426"/>
      <w:bookmarkStart w:id="9" w:name="_Toc15396598"/>
      <w:bookmarkStart w:id="10" w:name="_Toc15377194"/>
      <w:bookmarkStart w:id="11" w:name="_Toc15378442"/>
      <w:bookmarkStart w:id="12" w:name="_Toc15396476"/>
      <w:r>
        <w:rPr>
          <w:rFonts w:hint="eastAsia" w:ascii="方正小标宋简体" w:hAnsi="方正小标宋简体" w:eastAsia="方正小标宋简体" w:cs="方正小标宋简体"/>
          <w:sz w:val="72"/>
          <w:szCs w:val="72"/>
        </w:rPr>
        <w:t>攀枝花市</w:t>
      </w:r>
      <w:bookmarkEnd w:id="0"/>
      <w:bookmarkStart w:id="13" w:name="_Toc15306268"/>
      <w:r>
        <w:rPr>
          <w:rFonts w:hint="eastAsia" w:ascii="方正小标宋简体" w:hAnsi="方正小标宋简体" w:eastAsia="方正小标宋简体" w:cs="方正小标宋简体"/>
          <w:sz w:val="72"/>
          <w:szCs w:val="72"/>
        </w:rPr>
        <w:t>体育场馆中心</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15851"/>
      <w:r>
        <w:rPr>
          <w:rFonts w:hint="eastAsia" w:ascii="方正小标宋简体" w:hAnsi="方正小标宋简体" w:eastAsia="方正小标宋简体" w:cs="方正小标宋简体"/>
          <w:sz w:val="72"/>
          <w:szCs w:val="72"/>
        </w:rPr>
        <w:t>单位决算</w:t>
      </w:r>
      <w:bookmarkEnd w:id="8"/>
      <w:bookmarkEnd w:id="9"/>
      <w:bookmarkEnd w:id="10"/>
      <w:bookmarkEnd w:id="11"/>
      <w:bookmarkEnd w:id="12"/>
      <w:bookmarkEnd w:id="13"/>
      <w:bookmarkEnd w:id="14"/>
    </w:p>
    <w:p>
      <w:pPr>
        <w:widowControl/>
        <w:jc w:val="center"/>
      </w:pPr>
      <w:r>
        <w:rPr>
          <w:rFonts w:ascii="方正小标宋简体" w:hAnsi="宋体" w:eastAsia="方正小标宋简体"/>
          <w:sz w:val="36"/>
          <w:szCs w:val="36"/>
        </w:rPr>
        <w:br w:type="page"/>
      </w:r>
    </w:p>
    <w:sdt>
      <w:sdtPr>
        <w:rPr>
          <w:rFonts w:hint="eastAsia" w:ascii="黑体" w:hAnsi="黑体" w:eastAsia="黑体" w:cs="黑体"/>
          <w:sz w:val="48"/>
          <w:szCs w:val="48"/>
        </w:rPr>
        <w:id w:val="147459287"/>
        <w15:color w:val="DBDBDB"/>
        <w:docPartObj>
          <w:docPartGallery w:val="Table of Contents"/>
          <w:docPartUnique/>
        </w:docPartObj>
      </w:sdtPr>
      <w:sdtEndPr>
        <w:rPr>
          <w:rFonts w:hint="eastAsia" w:ascii="黑体" w:hAnsi="黑体" w:eastAsia="黑体" w:cstheme="minorBidi"/>
          <w:b/>
          <w:sz w:val="21"/>
          <w:szCs w:val="28"/>
        </w:rPr>
      </w:sdtEndPr>
      <w:sdtContent>
        <w:p>
          <w:pPr>
            <w:widowControl/>
            <w:jc w:val="center"/>
            <w:rPr>
              <w:rFonts w:ascii="黑体" w:hAnsi="黑体" w:eastAsia="黑体" w:cs="黑体"/>
              <w:sz w:val="48"/>
              <w:szCs w:val="48"/>
            </w:rPr>
          </w:pPr>
          <w:r>
            <w:rPr>
              <w:rFonts w:hint="eastAsia" w:ascii="黑体" w:hAnsi="黑体" w:eastAsia="黑体" w:cs="黑体"/>
              <w:sz w:val="48"/>
              <w:szCs w:val="48"/>
            </w:rPr>
            <w:t>目录</w:t>
          </w:r>
        </w:p>
        <w:p>
          <w:pPr>
            <w:pStyle w:val="10"/>
          </w:pPr>
          <w:r>
            <w:rPr>
              <w:rFonts w:hint="eastAsia"/>
            </w:rPr>
            <w:t>公开时间：2023年9月</w:t>
          </w:r>
          <w:r>
            <w:t>1</w:t>
          </w:r>
          <w:r>
            <w:rPr>
              <w:rFonts w:hint="default"/>
              <w:lang w:val="en"/>
            </w:rPr>
            <w:t>5</w:t>
          </w:r>
          <w:bookmarkStart w:id="105" w:name="_GoBack"/>
          <w:bookmarkEnd w:id="105"/>
          <w:r>
            <w:rPr>
              <w:rFonts w:hint="eastAsia"/>
            </w:rPr>
            <w:t>日</w:t>
          </w:r>
        </w:p>
        <w:p>
          <w:pPr>
            <w:pStyle w:val="30"/>
            <w:tabs>
              <w:tab w:val="right" w:leader="dot" w:pos="8306"/>
            </w:tabs>
            <w:rPr>
              <w:b/>
            </w:rPr>
          </w:pPr>
          <w:r>
            <w:rPr>
              <w:rFonts w:ascii="黑体" w:hAnsi="黑体" w:eastAsia="黑体"/>
              <w:sz w:val="28"/>
              <w:szCs w:val="28"/>
            </w:rPr>
            <w:fldChar w:fldCharType="begin"/>
          </w:r>
          <w:r>
            <w:rPr>
              <w:rFonts w:ascii="黑体" w:hAnsi="黑体" w:eastAsia="黑体"/>
              <w:sz w:val="28"/>
              <w:szCs w:val="28"/>
            </w:rPr>
            <w:instrText xml:space="preserve">TOC \o "1-2" \h \u </w:instrText>
          </w:r>
          <w:r>
            <w:rPr>
              <w:rFonts w:ascii="黑体" w:hAnsi="黑体" w:eastAsia="黑体"/>
              <w:sz w:val="28"/>
              <w:szCs w:val="28"/>
            </w:rPr>
            <w:fldChar w:fldCharType="separate"/>
          </w:r>
        </w:p>
        <w:p>
          <w:pPr>
            <w:pStyle w:val="30"/>
            <w:tabs>
              <w:tab w:val="right" w:leader="dot" w:pos="8306"/>
            </w:tabs>
            <w:rPr>
              <w:rFonts w:ascii="仿宋" w:hAnsi="仿宋" w:eastAsia="仿宋" w:cs="仿宋"/>
              <w:bCs/>
              <w:sz w:val="24"/>
              <w:szCs w:val="24"/>
            </w:rPr>
          </w:pPr>
          <w:r>
            <w:fldChar w:fldCharType="begin"/>
          </w:r>
          <w:r>
            <w:instrText xml:space="preserve"> HYPERLINK \l "_Toc20983" </w:instrText>
          </w:r>
          <w:r>
            <w:fldChar w:fldCharType="separate"/>
          </w:r>
          <w:r>
            <w:rPr>
              <w:rFonts w:hint="eastAsia" w:ascii="仿宋" w:hAnsi="仿宋" w:eastAsia="仿宋" w:cs="仿宋"/>
              <w:bCs/>
              <w:sz w:val="24"/>
              <w:szCs w:val="24"/>
            </w:rPr>
            <w:t>第一部分 单位概况</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_Toc20983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3</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"_Toc14848" </w:instrText>
          </w:r>
          <w:r>
            <w:fldChar w:fldCharType="separate"/>
          </w:r>
          <w:r>
            <w:rPr>
              <w:rFonts w:hint="eastAsia" w:asciiTheme="minorEastAsia" w:hAnsiTheme="minorEastAsia" w:cstheme="minorEastAsia"/>
              <w:sz w:val="24"/>
              <w:szCs w:val="24"/>
            </w:rPr>
            <w:t>一、 主要职责</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_Toc14848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3</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"_Toc14875" </w:instrText>
          </w:r>
          <w:r>
            <w:fldChar w:fldCharType="separate"/>
          </w:r>
          <w:r>
            <w:rPr>
              <w:rFonts w:hint="eastAsia" w:asciiTheme="minorEastAsia" w:hAnsiTheme="minorEastAsia" w:cstheme="minorEastAsia"/>
              <w:sz w:val="24"/>
              <w:szCs w:val="24"/>
            </w:rPr>
            <w:t>二、机构设置</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_Toc14875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3</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0"/>
            <w:tabs>
              <w:tab w:val="right" w:leader="dot" w:pos="8306"/>
            </w:tabs>
            <w:rPr>
              <w:b/>
            </w:rPr>
          </w:pPr>
          <w:r>
            <w:fldChar w:fldCharType="begin"/>
          </w:r>
          <w:r>
            <w:instrText xml:space="preserve"> HYPERLINK \l "_Toc6226" </w:instrText>
          </w:r>
          <w:r>
            <w:fldChar w:fldCharType="separate"/>
          </w:r>
          <w:r>
            <w:rPr>
              <w:rFonts w:hint="eastAsia" w:ascii="仿宋" w:hAnsi="仿宋" w:eastAsia="仿宋" w:cs="仿宋"/>
              <w:bCs/>
              <w:sz w:val="24"/>
              <w:szCs w:val="24"/>
            </w:rPr>
            <w:t>第二部分 2022年度单位决算情况说明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_Toc6226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4</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"_Toc3205" </w:instrText>
          </w:r>
          <w:r>
            <w:fldChar w:fldCharType="separate"/>
          </w:r>
          <w:r>
            <w:rPr>
              <w:rFonts w:hint="eastAsia" w:asciiTheme="minorEastAsia" w:hAnsiTheme="minorEastAsia" w:cstheme="minorEastAsia"/>
              <w:sz w:val="24"/>
              <w:szCs w:val="24"/>
            </w:rPr>
            <w:t>一、 收入支出决算总体情况说明</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_Toc3205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4</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"_Toc17427" </w:instrText>
          </w:r>
          <w:r>
            <w:fldChar w:fldCharType="separate"/>
          </w:r>
          <w:r>
            <w:rPr>
              <w:rFonts w:hint="eastAsia" w:asciiTheme="minorEastAsia" w:hAnsiTheme="minorEastAsia" w:cstheme="minorEastAsia"/>
              <w:sz w:val="24"/>
              <w:szCs w:val="24"/>
            </w:rPr>
            <w:t>二、 收入决算情况说明</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_Toc17427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4</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"_Toc4138" </w:instrText>
          </w:r>
          <w:r>
            <w:fldChar w:fldCharType="separate"/>
          </w:r>
          <w:r>
            <w:rPr>
              <w:rFonts w:hint="eastAsia" w:asciiTheme="minorEastAsia" w:hAnsiTheme="minorEastAsia" w:cstheme="minorEastAsia"/>
              <w:sz w:val="24"/>
              <w:szCs w:val="24"/>
            </w:rPr>
            <w:t>三、 支出决算情况说明</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_Toc4138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5</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"_Toc9811" </w:instrText>
          </w:r>
          <w:r>
            <w:fldChar w:fldCharType="separate"/>
          </w:r>
          <w:r>
            <w:rPr>
              <w:rFonts w:hint="eastAsia" w:asciiTheme="minorEastAsia" w:hAnsiTheme="minorEastAsia" w:cstheme="minorEastAsia"/>
              <w:sz w:val="24"/>
              <w:szCs w:val="24"/>
            </w:rPr>
            <w:t>四、财政拨款收入支出决算总体情况说明</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_Toc9811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6</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"_Toc16036" </w:instrText>
          </w:r>
          <w:r>
            <w:fldChar w:fldCharType="separate"/>
          </w:r>
          <w:r>
            <w:rPr>
              <w:rFonts w:hint="eastAsia" w:asciiTheme="minorEastAsia" w:hAnsiTheme="minorEastAsia" w:cstheme="minorEastAsia"/>
              <w:sz w:val="24"/>
              <w:szCs w:val="24"/>
            </w:rPr>
            <w:t>六、一般公共预算财政拨款基本支出决算情况说明</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_Toc16036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9</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"_Toc31717" </w:instrText>
          </w:r>
          <w:r>
            <w:fldChar w:fldCharType="separate"/>
          </w:r>
          <w:r>
            <w:rPr>
              <w:rFonts w:hint="eastAsia" w:asciiTheme="minorEastAsia" w:hAnsiTheme="minorEastAsia" w:cstheme="minorEastAsia"/>
              <w:sz w:val="24"/>
              <w:szCs w:val="24"/>
            </w:rPr>
            <w:t>七、财政拨款“三公”经费支出决算情况说明</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_Toc31717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9</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"_Toc10601" </w:instrText>
          </w:r>
          <w:r>
            <w:fldChar w:fldCharType="separate"/>
          </w:r>
          <w:r>
            <w:rPr>
              <w:rFonts w:hint="eastAsia" w:asciiTheme="minorEastAsia" w:hAnsiTheme="minorEastAsia" w:cstheme="minorEastAsia"/>
              <w:sz w:val="24"/>
              <w:szCs w:val="24"/>
            </w:rPr>
            <w:t>八、政府性基金预算支出决算情况说明</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_Toc10601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"_Toc17720" </w:instrText>
          </w:r>
          <w:r>
            <w:fldChar w:fldCharType="separate"/>
          </w:r>
          <w:r>
            <w:rPr>
              <w:rFonts w:hint="eastAsia" w:asciiTheme="minorEastAsia" w:hAnsiTheme="minorEastAsia" w:cstheme="minorEastAsia"/>
              <w:sz w:val="24"/>
              <w:szCs w:val="24"/>
            </w:rPr>
            <w:t>九、 国有资本经营预算支出决算情况说明</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_Toc17720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"_Toc18476" </w:instrText>
          </w:r>
          <w:r>
            <w:fldChar w:fldCharType="separate"/>
          </w:r>
          <w:r>
            <w:rPr>
              <w:rFonts w:hint="eastAsia" w:asciiTheme="minorEastAsia" w:hAnsiTheme="minorEastAsia" w:cstheme="minorEastAsia"/>
              <w:sz w:val="24"/>
              <w:szCs w:val="24"/>
            </w:rPr>
            <w:t>十、 其他重要事项的情况说明</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_Toc18476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0"/>
            <w:tabs>
              <w:tab w:val="right" w:leader="dot" w:pos="8306"/>
            </w:tabs>
            <w:rPr>
              <w:rFonts w:ascii="仿宋" w:hAnsi="仿宋" w:eastAsia="仿宋" w:cs="仿宋"/>
              <w:bCs/>
              <w:sz w:val="24"/>
              <w:szCs w:val="24"/>
            </w:rPr>
          </w:pPr>
          <w:r>
            <w:fldChar w:fldCharType="begin"/>
          </w:r>
          <w:r>
            <w:instrText xml:space="preserve"> HYPERLINK \l "_Toc12761" </w:instrText>
          </w:r>
          <w:r>
            <w:fldChar w:fldCharType="separate"/>
          </w:r>
          <w:r>
            <w:rPr>
              <w:rFonts w:hint="eastAsia" w:ascii="仿宋" w:hAnsi="仿宋" w:eastAsia="仿宋" w:cs="仿宋"/>
              <w:bCs/>
              <w:sz w:val="24"/>
              <w:szCs w:val="24"/>
            </w:rPr>
            <w:t>第三部分 名词解释</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_Toc12761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14</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30"/>
            <w:tabs>
              <w:tab w:val="right" w:leader="dot" w:pos="8306"/>
            </w:tabs>
            <w:rPr>
              <w:rFonts w:ascii="仿宋" w:hAnsi="仿宋" w:eastAsia="仿宋" w:cs="仿宋"/>
              <w:bCs/>
              <w:sz w:val="24"/>
              <w:szCs w:val="24"/>
            </w:rPr>
          </w:pPr>
          <w:r>
            <w:fldChar w:fldCharType="begin"/>
          </w:r>
          <w:r>
            <w:instrText xml:space="preserve"> HYPERLINK \l "_Toc31778" </w:instrText>
          </w:r>
          <w:r>
            <w:fldChar w:fldCharType="separate"/>
          </w:r>
          <w:r>
            <w:rPr>
              <w:rFonts w:hint="eastAsia" w:ascii="仿宋" w:hAnsi="仿宋" w:eastAsia="仿宋" w:cs="仿宋"/>
              <w:bCs/>
              <w:sz w:val="24"/>
              <w:szCs w:val="24"/>
            </w:rPr>
            <w:t>第四部分 附件</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_Toc31778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17</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30"/>
            <w:tabs>
              <w:tab w:val="right" w:leader="dot" w:pos="8306"/>
            </w:tabs>
            <w:rPr>
              <w:rFonts w:ascii="仿宋" w:hAnsi="仿宋" w:eastAsia="仿宋" w:cs="仿宋"/>
              <w:bCs/>
              <w:sz w:val="24"/>
              <w:szCs w:val="24"/>
            </w:rPr>
          </w:pPr>
          <w:r>
            <w:fldChar w:fldCharType="begin"/>
          </w:r>
          <w:r>
            <w:instrText xml:space="preserve"> HYPERLINK \l "_Toc19964" </w:instrText>
          </w:r>
          <w:r>
            <w:fldChar w:fldCharType="separate"/>
          </w:r>
          <w:r>
            <w:rPr>
              <w:rFonts w:hint="eastAsia" w:ascii="仿宋" w:hAnsi="仿宋" w:eastAsia="仿宋" w:cs="仿宋"/>
              <w:bCs/>
              <w:sz w:val="24"/>
              <w:szCs w:val="24"/>
            </w:rPr>
            <w:t>第五部分 附表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_Toc19964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18</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"_Toc5213" </w:instrText>
          </w:r>
          <w:r>
            <w:fldChar w:fldCharType="separate"/>
          </w:r>
          <w:r>
            <w:rPr>
              <w:rFonts w:hint="eastAsia" w:asciiTheme="minorEastAsia" w:hAnsiTheme="minorEastAsia" w:cstheme="minorEastAsia"/>
              <w:sz w:val="24"/>
              <w:szCs w:val="24"/>
            </w:rPr>
            <w:t>一、收入支出决算总表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_Toc5213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"_Toc14590" </w:instrText>
          </w:r>
          <w:r>
            <w:fldChar w:fldCharType="separate"/>
          </w:r>
          <w:r>
            <w:rPr>
              <w:rFonts w:hint="eastAsia" w:asciiTheme="minorEastAsia" w:hAnsiTheme="minorEastAsia" w:cstheme="minorEastAsia"/>
              <w:sz w:val="24"/>
              <w:szCs w:val="24"/>
            </w:rPr>
            <w:t>二、收入决算表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_Toc14590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"_Toc1538" </w:instrText>
          </w:r>
          <w:r>
            <w:fldChar w:fldCharType="separate"/>
          </w:r>
          <w:r>
            <w:rPr>
              <w:rFonts w:hint="eastAsia" w:asciiTheme="minorEastAsia" w:hAnsiTheme="minorEastAsia" w:cstheme="minorEastAsia"/>
              <w:sz w:val="24"/>
              <w:szCs w:val="24"/>
            </w:rPr>
            <w:t>三、支出决算表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_Toc1538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"_Toc18350" </w:instrText>
          </w:r>
          <w:r>
            <w:fldChar w:fldCharType="separate"/>
          </w:r>
          <w:r>
            <w:rPr>
              <w:rFonts w:hint="eastAsia" w:asciiTheme="minorEastAsia" w:hAnsiTheme="minorEastAsia" w:cstheme="minorEastAsia"/>
              <w:sz w:val="24"/>
              <w:szCs w:val="24"/>
            </w:rPr>
            <w:t>四、财政拨款收入支出决算总表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_Toc18350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"_Toc15408" </w:instrText>
          </w:r>
          <w:r>
            <w:fldChar w:fldCharType="separate"/>
          </w:r>
          <w:r>
            <w:rPr>
              <w:rFonts w:hint="eastAsia" w:asciiTheme="minorEastAsia" w:hAnsiTheme="minorEastAsia" w:cstheme="minorEastAsia"/>
              <w:sz w:val="24"/>
              <w:szCs w:val="24"/>
            </w:rPr>
            <w:t>五、财政拨款支出决算明细表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_Toc15408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"_Toc22283" </w:instrText>
          </w:r>
          <w:r>
            <w:fldChar w:fldCharType="separate"/>
          </w:r>
          <w:r>
            <w:rPr>
              <w:rFonts w:hint="eastAsia" w:asciiTheme="minorEastAsia" w:hAnsiTheme="minorEastAsia" w:cstheme="minorEastAsia"/>
              <w:sz w:val="24"/>
              <w:szCs w:val="24"/>
            </w:rPr>
            <w:t>六、一般公共预算财政拨款支出决算表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_Toc22283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"_Toc28292" </w:instrText>
          </w:r>
          <w:r>
            <w:fldChar w:fldCharType="separate"/>
          </w:r>
          <w:r>
            <w:rPr>
              <w:rFonts w:hint="eastAsia" w:asciiTheme="minorEastAsia" w:hAnsiTheme="minorEastAsia" w:cstheme="minorEastAsia"/>
              <w:sz w:val="24"/>
              <w:szCs w:val="24"/>
            </w:rPr>
            <w:t>七、一般公共预算财政拨款支出决算明细表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_Toc28292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"_Toc15471" </w:instrText>
          </w:r>
          <w:r>
            <w:fldChar w:fldCharType="separate"/>
          </w:r>
          <w:r>
            <w:rPr>
              <w:rFonts w:hint="eastAsia" w:asciiTheme="minorEastAsia" w:hAnsiTheme="minorEastAsia" w:cstheme="minorEastAsia"/>
              <w:sz w:val="24"/>
              <w:szCs w:val="24"/>
            </w:rPr>
            <w:t>八、一般公共预算财政拨款基本支出决算表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_Toc15471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"_Toc28762" </w:instrText>
          </w:r>
          <w:r>
            <w:fldChar w:fldCharType="separate"/>
          </w:r>
          <w:r>
            <w:rPr>
              <w:rFonts w:hint="eastAsia" w:asciiTheme="minorEastAsia" w:hAnsiTheme="minorEastAsia" w:cstheme="minorEastAsia"/>
              <w:sz w:val="24"/>
              <w:szCs w:val="24"/>
            </w:rPr>
            <w:t>九、一般公共预算财政拨款项目支出决算表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_Toc28762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"_Toc11142" </w:instrText>
          </w:r>
          <w:r>
            <w:fldChar w:fldCharType="separate"/>
          </w:r>
          <w:r>
            <w:rPr>
              <w:rFonts w:hint="eastAsia" w:asciiTheme="minorEastAsia" w:hAnsiTheme="minorEastAsia" w:cstheme="minorEastAsia"/>
              <w:sz w:val="24"/>
              <w:szCs w:val="24"/>
            </w:rPr>
            <w:t>十、政府性基金预算财政拨款收入支出决算表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_Toc11142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"_Toc9575" </w:instrText>
          </w:r>
          <w:r>
            <w:fldChar w:fldCharType="separate"/>
          </w:r>
          <w:r>
            <w:rPr>
              <w:rFonts w:hint="eastAsia" w:asciiTheme="minorEastAsia" w:hAnsiTheme="minorEastAsia" w:cstheme="minorEastAsia"/>
              <w:sz w:val="24"/>
              <w:szCs w:val="24"/>
            </w:rPr>
            <w:t>十一、国有资本经营预算财政拨款收入支出决算表（此表无数据）</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_Toc9575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"_Toc25861" </w:instrText>
          </w:r>
          <w:r>
            <w:fldChar w:fldCharType="separate"/>
          </w:r>
          <w:r>
            <w:rPr>
              <w:rFonts w:hint="eastAsia" w:asciiTheme="minorEastAsia" w:hAnsiTheme="minorEastAsia" w:cstheme="minorEastAsia"/>
              <w:sz w:val="24"/>
              <w:szCs w:val="24"/>
            </w:rPr>
            <w:t>十二、国有资本经营预算财政拨款支出决算表（此表无数据）</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_Toc25861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pStyle w:val="31"/>
            <w:tabs>
              <w:tab w:val="right" w:leader="dot" w:pos="8306"/>
            </w:tabs>
            <w:ind w:left="420"/>
            <w:rPr>
              <w:rFonts w:asciiTheme="minorEastAsia" w:hAnsiTheme="minorEastAsia" w:cstheme="minorEastAsia"/>
              <w:sz w:val="24"/>
              <w:szCs w:val="24"/>
            </w:rPr>
          </w:pPr>
          <w:r>
            <w:fldChar w:fldCharType="begin"/>
          </w:r>
          <w:r>
            <w:instrText xml:space="preserve"> HYPERLINK \l "_Toc20507" </w:instrText>
          </w:r>
          <w:r>
            <w:fldChar w:fldCharType="separate"/>
          </w:r>
          <w:r>
            <w:rPr>
              <w:rFonts w:hint="eastAsia" w:asciiTheme="minorEastAsia" w:hAnsiTheme="minorEastAsia" w:cstheme="minorEastAsia"/>
              <w:sz w:val="24"/>
              <w:szCs w:val="24"/>
            </w:rPr>
            <w:t>十三、财政拨款“三公”经费支出决算表</w:t>
          </w:r>
          <w:r>
            <w:rPr>
              <w:rFonts w:hint="eastAsia" w:asciiTheme="minorEastAsia" w:hAnsiTheme="minorEastAsia" w:cstheme="minorEastAsia"/>
              <w:sz w:val="24"/>
              <w:szCs w:val="24"/>
            </w:rPr>
            <w:tab/>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PAGEREF _Toc20507 \h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fldChar w:fldCharType="end"/>
          </w:r>
        </w:p>
        <w:p>
          <w:pPr>
            <w:widowControl/>
            <w:jc w:val="center"/>
            <w:rPr>
              <w:rFonts w:ascii="黑体" w:hAnsi="黑体" w:eastAsia="黑体" w:cstheme="minorBidi"/>
              <w:sz w:val="28"/>
              <w:szCs w:val="28"/>
            </w:rPr>
          </w:pPr>
          <w:r>
            <w:rPr>
              <w:rFonts w:ascii="黑体" w:hAnsi="黑体" w:eastAsia="黑体" w:cstheme="minorBidi"/>
              <w:b/>
              <w:szCs w:val="28"/>
            </w:rPr>
            <w:fldChar w:fldCharType="end"/>
          </w:r>
        </w:p>
      </w:sdtContent>
    </w:sdt>
    <w:p>
      <w:pPr>
        <w:widowControl/>
        <w:spacing w:line="440" w:lineRule="exact"/>
        <w:jc w:val="left"/>
        <w:rPr>
          <w:rFonts w:ascii="仿宋" w:hAnsi="仿宋" w:eastAsia="仿宋"/>
          <w:bCs/>
          <w:kern w:val="44"/>
          <w:sz w:val="24"/>
        </w:rPr>
      </w:pPr>
      <w:bookmarkStart w:id="15" w:name="_Toc15396599"/>
      <w:bookmarkStart w:id="16" w:name="_Toc15377196"/>
      <w:r>
        <w:rPr>
          <w:rFonts w:ascii="仿宋" w:hAnsi="仿宋" w:eastAsia="仿宋"/>
          <w:b/>
          <w:sz w:val="24"/>
        </w:rPr>
        <w:br w:type="page"/>
      </w:r>
    </w:p>
    <w:p>
      <w:pPr>
        <w:pStyle w:val="2"/>
        <w:ind w:firstLine="2200" w:firstLineChars="500"/>
        <w:rPr>
          <w:rStyle w:val="24"/>
          <w:rFonts w:ascii="黑体" w:hAnsi="黑体" w:eastAsia="黑体"/>
          <w:b/>
          <w:bCs w:val="0"/>
        </w:rPr>
      </w:pPr>
      <w:bookmarkStart w:id="17" w:name="_Toc20983"/>
      <w:r>
        <w:rPr>
          <w:rFonts w:hint="eastAsia" w:ascii="黑体" w:hAnsi="黑体" w:eastAsia="黑体"/>
          <w:b w:val="0"/>
        </w:rPr>
        <w:t>第一部分 单位</w:t>
      </w:r>
      <w:r>
        <w:rPr>
          <w:rStyle w:val="24"/>
          <w:rFonts w:hint="eastAsia" w:ascii="黑体" w:hAnsi="黑体" w:eastAsia="黑体"/>
          <w:b w:val="0"/>
          <w:bCs w:val="0"/>
        </w:rPr>
        <w:t>概况</w:t>
      </w:r>
      <w:bookmarkEnd w:id="15"/>
      <w:bookmarkEnd w:id="16"/>
      <w:bookmarkEnd w:id="17"/>
    </w:p>
    <w:p>
      <w:pPr>
        <w:widowControl/>
        <w:jc w:val="left"/>
        <w:rPr>
          <w:rFonts w:ascii="黑体" w:eastAsia="黑体"/>
          <w:sz w:val="32"/>
          <w:szCs w:val="32"/>
        </w:rPr>
      </w:pPr>
    </w:p>
    <w:p>
      <w:pPr>
        <w:pStyle w:val="3"/>
        <w:numPr>
          <w:ilvl w:val="0"/>
          <w:numId w:val="1"/>
        </w:numPr>
        <w:rPr>
          <w:rStyle w:val="25"/>
          <w:rFonts w:ascii="黑体" w:hAnsi="黑体" w:eastAsia="黑体"/>
          <w:b w:val="0"/>
          <w:bCs w:val="0"/>
        </w:rPr>
      </w:pPr>
      <w:bookmarkStart w:id="18" w:name="_Toc14848"/>
      <w:bookmarkStart w:id="19" w:name="_Toc15396600"/>
      <w:bookmarkStart w:id="20" w:name="_Toc15377197"/>
      <w:r>
        <w:rPr>
          <w:rStyle w:val="25"/>
          <w:rFonts w:hint="eastAsia" w:ascii="黑体" w:hAnsi="黑体" w:eastAsia="黑体"/>
          <w:b w:val="0"/>
          <w:bCs w:val="0"/>
        </w:rPr>
        <w:t>主要职责</w:t>
      </w:r>
      <w:bookmarkEnd w:id="18"/>
    </w:p>
    <w:p>
      <w:pPr>
        <w:ind w:firstLine="640" w:firstLineChars="200"/>
        <w:rPr>
          <w:rFonts w:ascii="仿宋" w:hAnsi="仿宋" w:eastAsia="仿宋" w:cs="仿宋"/>
          <w:sz w:val="32"/>
          <w:szCs w:val="32"/>
        </w:rPr>
      </w:pPr>
      <w:bookmarkStart w:id="21" w:name="_Toc31989"/>
      <w:r>
        <w:rPr>
          <w:rFonts w:hint="eastAsia" w:ascii="仿宋" w:hAnsi="仿宋" w:eastAsia="仿宋"/>
          <w:sz w:val="32"/>
          <w:szCs w:val="32"/>
        </w:rPr>
        <w:t>做好场馆的维护、管理和养护，保证安全使用；为市民提供免费低收费健身场地服务及应急避难场所；为全市文化、体育等大型活动提供场所，开展社会热点体育项目的辅导、培训；拓宽体育产业渠道，引进高水平体育竞赛活动；为全市业余训练项目提供训练、比赛场地，承担游泳、赛艇、皮划艇、羽毛球、乒乓球、网球、少儿棒球、跆拳道8个项目的业余训练工作及省级以上重大赛事的参赛任务，向省级各类专业运动队输送优秀运动员，并为社会培训体育骨干；免费为全市体育场馆建设提供咨询服务和相关技术指导。</w:t>
      </w:r>
      <w:r>
        <w:rPr>
          <w:rFonts w:hint="eastAsia" w:ascii="仿宋" w:hAnsi="仿宋" w:eastAsia="仿宋"/>
          <w:kern w:val="0"/>
          <w:sz w:val="32"/>
          <w:szCs w:val="32"/>
        </w:rPr>
        <w:t>承办市教育和体育局交办的其他事项。</w:t>
      </w:r>
      <w:bookmarkEnd w:id="21"/>
    </w:p>
    <w:p>
      <w:pPr>
        <w:pStyle w:val="3"/>
        <w:numPr>
          <w:ilvl w:val="0"/>
          <w:numId w:val="1"/>
        </w:numPr>
        <w:rPr>
          <w:rFonts w:ascii="仿宋" w:hAnsi="仿宋" w:eastAsia="仿宋"/>
          <w:kern w:val="0"/>
        </w:rPr>
      </w:pPr>
      <w:bookmarkStart w:id="22" w:name="_Toc14875"/>
      <w:r>
        <w:rPr>
          <w:rFonts w:hint="eastAsia" w:ascii="黑体" w:hAnsi="黑体" w:eastAsia="黑体"/>
          <w:b w:val="0"/>
        </w:rPr>
        <w:t>机构设置</w:t>
      </w:r>
      <w:bookmarkEnd w:id="19"/>
      <w:bookmarkEnd w:id="20"/>
      <w:bookmarkEnd w:id="22"/>
    </w:p>
    <w:p>
      <w:pPr>
        <w:ind w:firstLine="640" w:firstLineChars="200"/>
        <w:rPr>
          <w:rFonts w:ascii="仿宋" w:hAnsi="仿宋" w:eastAsia="仿宋"/>
          <w:sz w:val="32"/>
          <w:szCs w:val="32"/>
        </w:rPr>
      </w:pPr>
      <w:r>
        <w:rPr>
          <w:rFonts w:hint="eastAsia" w:ascii="仿宋" w:hAnsi="仿宋" w:eastAsia="仿宋"/>
          <w:sz w:val="32"/>
          <w:szCs w:val="32"/>
        </w:rPr>
        <w:t>攀枝花市体育场馆中心是市教育和体育局下属独立核算差额拨款事业单位，单位事业编制31人，内设机构4个。</w:t>
      </w:r>
    </w:p>
    <w:p>
      <w:pPr>
        <w:rPr>
          <w:rFonts w:ascii="仿宋" w:hAnsi="仿宋" w:eastAsia="仿宋"/>
          <w:sz w:val="32"/>
          <w:szCs w:val="32"/>
        </w:rPr>
      </w:pPr>
    </w:p>
    <w:p>
      <w:pPr>
        <w:pStyle w:val="5"/>
        <w:spacing w:before="93"/>
      </w:pPr>
    </w:p>
    <w:p>
      <w:pPr>
        <w:pStyle w:val="2"/>
        <w:ind w:right="440"/>
        <w:jc w:val="center"/>
        <w:rPr>
          <w:rStyle w:val="24"/>
          <w:rFonts w:ascii="黑体" w:hAnsi="黑体" w:eastAsia="黑体"/>
          <w:b w:val="0"/>
          <w:bCs/>
        </w:rPr>
      </w:pPr>
      <w:bookmarkStart w:id="23" w:name="_Toc15377204"/>
      <w:bookmarkStart w:id="24" w:name="_Toc6226"/>
      <w:bookmarkStart w:id="25"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23"/>
      <w:bookmarkEnd w:id="24"/>
      <w:bookmarkEnd w:id="25"/>
    </w:p>
    <w:p/>
    <w:p>
      <w:pPr>
        <w:pStyle w:val="23"/>
        <w:numPr>
          <w:ilvl w:val="0"/>
          <w:numId w:val="2"/>
        </w:numPr>
        <w:spacing w:line="600" w:lineRule="exact"/>
        <w:ind w:firstLineChars="0"/>
        <w:outlineLvl w:val="1"/>
        <w:rPr>
          <w:rStyle w:val="25"/>
          <w:rFonts w:ascii="黑体" w:hAnsi="黑体" w:eastAsia="黑体"/>
          <w:b w:val="0"/>
        </w:rPr>
      </w:pPr>
      <w:bookmarkStart w:id="26" w:name="_Toc15396603"/>
      <w:bookmarkStart w:id="27" w:name="_Toc3205"/>
      <w:bookmarkStart w:id="28"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26"/>
      <w:bookmarkEnd w:id="27"/>
      <w:bookmarkEnd w:id="28"/>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2022年度收、支总计1456.66万元。与2021年相比，收、支总计各增加281.01万元，增长23.90</w:t>
      </w:r>
      <w:r>
        <w:rPr>
          <w:rFonts w:ascii="仿宋" w:hAnsi="仿宋" w:eastAsia="仿宋"/>
          <w:sz w:val="32"/>
          <w:szCs w:val="32"/>
        </w:rPr>
        <w:t>%</w:t>
      </w:r>
      <w:r>
        <w:rPr>
          <w:rFonts w:hint="eastAsia" w:ascii="仿宋" w:hAnsi="仿宋" w:eastAsia="仿宋"/>
          <w:sz w:val="32"/>
          <w:szCs w:val="32"/>
        </w:rPr>
        <w:t>。主要变动原因是2022年结转了300万体育馆升级改造费，教育附加减少，体育彩票公益金支出较2021年多。</w:t>
      </w:r>
    </w:p>
    <w:p>
      <w:pPr>
        <w:pStyle w:val="5"/>
        <w:spacing w:before="93"/>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9" w:name="_Toc15396604"/>
      <w:bookmarkStart w:id="30" w:name="_Toc17427"/>
      <w:bookmarkStart w:id="31" w:name="_Toc15377206"/>
      <w:r>
        <w:rPr>
          <w:rFonts w:hint="eastAsia" w:ascii="黑体" w:hAnsi="黑体" w:eastAsia="黑体"/>
          <w:sz w:val="32"/>
          <w:szCs w:val="32"/>
        </w:rPr>
        <w:t>收</w:t>
      </w:r>
      <w:r>
        <w:rPr>
          <w:rStyle w:val="25"/>
          <w:rFonts w:hint="eastAsia" w:ascii="黑体" w:hAnsi="黑体" w:eastAsia="黑体"/>
          <w:b w:val="0"/>
        </w:rPr>
        <w:t>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32" w:name="_Toc24294"/>
      <w:r>
        <w:rPr>
          <w:rFonts w:ascii="仿宋" w:hAnsi="仿宋" w:eastAsia="仿宋"/>
          <w:sz w:val="32"/>
          <w:szCs w:val="32"/>
        </w:rPr>
        <w:t>20</w:t>
      </w:r>
      <w:r>
        <w:rPr>
          <w:rFonts w:hint="eastAsia" w:ascii="仿宋" w:hAnsi="仿宋" w:eastAsia="仿宋"/>
          <w:sz w:val="32"/>
          <w:szCs w:val="32"/>
        </w:rPr>
        <w:t>22年本年收入合计1441.27万元，其中：一般公共预算财政拨款收入1184.74万元，占82.20</w:t>
      </w:r>
      <w:r>
        <w:rPr>
          <w:rFonts w:ascii="仿宋" w:hAnsi="仿宋" w:eastAsia="仿宋"/>
          <w:sz w:val="32"/>
          <w:szCs w:val="32"/>
        </w:rPr>
        <w:t>%</w:t>
      </w:r>
      <w:r>
        <w:rPr>
          <w:rFonts w:hint="eastAsia" w:ascii="仿宋" w:hAnsi="仿宋" w:eastAsia="仿宋"/>
          <w:sz w:val="32"/>
          <w:szCs w:val="32"/>
        </w:rPr>
        <w:t>；政府性基金预算财政拨款收入256.53万元，占17.80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2"/>
    </w:p>
    <w:p>
      <w:pPr>
        <w:pStyle w:val="5"/>
        <w:spacing w:before="93"/>
        <w:rPr>
          <w:rFonts w:ascii="仿宋" w:hAnsi="仿宋" w:eastAsia="仿宋"/>
          <w:sz w:val="32"/>
          <w:szCs w:val="32"/>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33" w:name="_Toc15377207"/>
      <w:bookmarkStart w:id="34" w:name="_Toc4138"/>
      <w:bookmarkStart w:id="35" w:name="_Toc15396605"/>
      <w:r>
        <w:rPr>
          <w:rFonts w:hint="eastAsia" w:ascii="黑体" w:hAnsi="黑体" w:eastAsia="黑体"/>
          <w:sz w:val="32"/>
          <w:szCs w:val="32"/>
        </w:rPr>
        <w:t>支</w:t>
      </w:r>
      <w:r>
        <w:rPr>
          <w:rStyle w:val="25"/>
          <w:rFonts w:hint="eastAsia" w:ascii="黑体" w:hAnsi="黑体" w:eastAsia="黑体"/>
          <w:b w:val="0"/>
        </w:rPr>
        <w:t>出决算情况说明</w:t>
      </w:r>
      <w:bookmarkEnd w:id="33"/>
      <w:bookmarkEnd w:id="34"/>
      <w:bookmarkEnd w:id="35"/>
    </w:p>
    <w:p>
      <w:pPr>
        <w:spacing w:line="600" w:lineRule="exact"/>
        <w:ind w:firstLine="640" w:firstLineChars="200"/>
        <w:outlineLvl w:val="1"/>
        <w:rPr>
          <w:rFonts w:ascii="仿宋" w:hAnsi="仿宋" w:eastAsia="仿宋"/>
          <w:sz w:val="32"/>
          <w:szCs w:val="32"/>
          <w:shd w:val="pct10" w:color="auto" w:fill="FFFFFF"/>
        </w:rPr>
      </w:pPr>
      <w:bookmarkStart w:id="36" w:name="_Toc25751"/>
      <w:r>
        <w:rPr>
          <w:rFonts w:ascii="仿宋" w:hAnsi="仿宋" w:eastAsia="仿宋"/>
          <w:sz w:val="32"/>
          <w:szCs w:val="32"/>
        </w:rPr>
        <w:t>20</w:t>
      </w:r>
      <w:r>
        <w:rPr>
          <w:rFonts w:hint="eastAsia" w:ascii="仿宋" w:hAnsi="仿宋" w:eastAsia="仿宋"/>
          <w:sz w:val="32"/>
          <w:szCs w:val="32"/>
        </w:rPr>
        <w:t>22年本年支出合计1456.66万元，其中：基本支出634.01万元，占43.52</w:t>
      </w:r>
      <w:r>
        <w:rPr>
          <w:rFonts w:ascii="仿宋" w:hAnsi="仿宋" w:eastAsia="仿宋"/>
          <w:sz w:val="32"/>
          <w:szCs w:val="32"/>
        </w:rPr>
        <w:t>%</w:t>
      </w:r>
      <w:r>
        <w:rPr>
          <w:rFonts w:hint="eastAsia" w:ascii="仿宋" w:hAnsi="仿宋" w:eastAsia="仿宋"/>
          <w:sz w:val="32"/>
          <w:szCs w:val="32"/>
        </w:rPr>
        <w:t>；项目支出822.65万元，占56.48</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6"/>
    </w:p>
    <w:p>
      <w:pPr>
        <w:pStyle w:val="5"/>
        <w:spacing w:before="93"/>
        <w:rPr>
          <w:rFonts w:ascii="仿宋" w:hAnsi="仿宋" w:eastAsia="仿宋"/>
          <w:sz w:val="32"/>
          <w:szCs w:val="32"/>
          <w:shd w:val="pct10" w:color="auto" w:fill="FFFFFF"/>
        </w:rPr>
      </w:pP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37" w:name="_Toc9811"/>
      <w:bookmarkStart w:id="38" w:name="_Toc15377208"/>
      <w:bookmarkStart w:id="39"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7"/>
      <w:bookmarkEnd w:id="38"/>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22年财政拨款收、支总计1441.27万元。与</w:t>
      </w:r>
      <w:r>
        <w:rPr>
          <w:rFonts w:ascii="仿宋" w:hAnsi="仿宋" w:eastAsia="仿宋"/>
          <w:sz w:val="32"/>
          <w:szCs w:val="32"/>
        </w:rPr>
        <w:t>20</w:t>
      </w:r>
      <w:r>
        <w:rPr>
          <w:rFonts w:hint="eastAsia" w:ascii="仿宋" w:hAnsi="仿宋" w:eastAsia="仿宋"/>
          <w:sz w:val="32"/>
          <w:szCs w:val="32"/>
        </w:rPr>
        <w:t>21年相比，财政拨款收、支总计各增加265.62万元，增长22.59</w:t>
      </w:r>
      <w:r>
        <w:rPr>
          <w:rFonts w:ascii="仿宋" w:hAnsi="仿宋" w:eastAsia="仿宋"/>
          <w:sz w:val="32"/>
          <w:szCs w:val="32"/>
        </w:rPr>
        <w:t>%</w:t>
      </w:r>
      <w:r>
        <w:rPr>
          <w:rFonts w:hint="eastAsia" w:ascii="仿宋" w:hAnsi="仿宋" w:eastAsia="仿宋"/>
          <w:sz w:val="32"/>
          <w:szCs w:val="32"/>
        </w:rPr>
        <w:t>。主要变动原因是2022年结转了300万体育馆升级改造费，以及体育彩票公益金支出较2021年多。</w:t>
      </w:r>
    </w:p>
    <w:p>
      <w:pPr>
        <w:pStyle w:val="5"/>
        <w:spacing w:before="93"/>
        <w:rPr>
          <w:rFonts w:ascii="仿宋" w:hAnsi="仿宋" w:eastAsia="仿宋"/>
          <w:sz w:val="32"/>
          <w:szCs w:val="32"/>
        </w:rPr>
      </w:pPr>
      <w: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25"/>
          <w:rFonts w:ascii="黑体" w:hAnsi="黑体" w:eastAsia="黑体"/>
          <w:b w:val="0"/>
        </w:rPr>
      </w:pPr>
      <w:bookmarkStart w:id="40" w:name="_Toc32010"/>
      <w:bookmarkStart w:id="41" w:name="_Toc15396607"/>
      <w:bookmarkStart w:id="42"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40"/>
      <w:bookmarkEnd w:id="41"/>
      <w:bookmarkEnd w:id="42"/>
    </w:p>
    <w:p>
      <w:pPr>
        <w:spacing w:line="600" w:lineRule="exact"/>
        <w:ind w:firstLine="642" w:firstLineChars="200"/>
        <w:outlineLvl w:val="2"/>
        <w:rPr>
          <w:rFonts w:ascii="仿宋" w:hAnsi="仿宋" w:eastAsia="仿宋"/>
          <w:b/>
          <w:sz w:val="32"/>
          <w:szCs w:val="32"/>
        </w:rPr>
      </w:pPr>
      <w:bookmarkStart w:id="43" w:name="_Toc15377210"/>
      <w:r>
        <w:rPr>
          <w:rFonts w:hint="eastAsia" w:ascii="仿宋" w:hAnsi="仿宋" w:eastAsia="仿宋"/>
          <w:b/>
          <w:sz w:val="32"/>
          <w:szCs w:val="32"/>
        </w:rPr>
        <w:t>（一）一般公共预算财政拨款支出决算总体情况</w:t>
      </w:r>
      <w:bookmarkEnd w:id="4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22年一般公共预算财政拨款支出1200.13万元，占本年支出合计的82.39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21年相比，一般公共预算财政拨款支出增加498.85万元，增长71.13</w:t>
      </w:r>
      <w:r>
        <w:rPr>
          <w:rFonts w:ascii="仿宋" w:hAnsi="仿宋" w:eastAsia="仿宋"/>
          <w:sz w:val="32"/>
          <w:szCs w:val="32"/>
        </w:rPr>
        <w:t>%</w:t>
      </w:r>
      <w:r>
        <w:rPr>
          <w:rFonts w:hint="eastAsia" w:ascii="仿宋" w:hAnsi="仿宋" w:eastAsia="仿宋"/>
          <w:sz w:val="32"/>
          <w:szCs w:val="32"/>
        </w:rPr>
        <w:t>。主要变动原因是2022年结转了300万体育馆升级改造费，教育附加减少。</w:t>
      </w:r>
    </w:p>
    <w:p>
      <w:pPr>
        <w:spacing w:line="600" w:lineRule="exact"/>
        <w:ind w:firstLine="640" w:firstLineChars="200"/>
        <w:rPr>
          <w:rFonts w:ascii="仿宋" w:hAnsi="仿宋" w:eastAsia="仿宋"/>
          <w:sz w:val="32"/>
          <w:szCs w:val="32"/>
        </w:rPr>
      </w:pPr>
    </w:p>
    <w:p>
      <w:pPr>
        <w:pStyle w:val="5"/>
        <w:spacing w:before="93"/>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44" w:name="_Toc15377211"/>
      <w:r>
        <w:rPr>
          <w:rFonts w:hint="eastAsia" w:ascii="仿宋" w:hAnsi="仿宋" w:eastAsia="仿宋"/>
          <w:b/>
          <w:sz w:val="32"/>
          <w:szCs w:val="32"/>
        </w:rPr>
        <w:t>（二）一般公共预算财政拨款支出决算结构情况</w:t>
      </w:r>
      <w:bookmarkEnd w:id="44"/>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22年一般公共预算财政拨款支出1200.13万元，主要用于以下方面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支出0</w:t>
      </w: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教育支出0</w:t>
      </w: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支出0</w:t>
      </w: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文化旅游体育与传媒支出1110.72万元，占92.55</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支出41.61</w:t>
      </w:r>
      <w:r>
        <w:rPr>
          <w:rFonts w:hint="eastAsia" w:ascii="仿宋" w:hAnsi="仿宋" w:eastAsia="仿宋"/>
          <w:sz w:val="32"/>
          <w:szCs w:val="32"/>
        </w:rPr>
        <w:t>万元，占3.47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卫生健康支出0</w:t>
      </w: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47.80万元，占3.98</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pStyle w:val="5"/>
        <w:spacing w:before="93"/>
      </w:pP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45" w:name="_Toc15377212"/>
      <w:r>
        <w:rPr>
          <w:rFonts w:hint="eastAsia" w:ascii="仿宋" w:hAnsi="仿宋" w:eastAsia="仿宋"/>
          <w:b/>
          <w:sz w:val="32"/>
          <w:szCs w:val="32"/>
        </w:rPr>
        <w:t>（三）一般公共预算财政拨款支出决算具体情况</w:t>
      </w:r>
      <w:bookmarkEnd w:id="45"/>
    </w:p>
    <w:p>
      <w:pPr>
        <w:spacing w:line="600" w:lineRule="exact"/>
        <w:ind w:firstLine="642" w:firstLineChars="200"/>
        <w:outlineLvl w:val="1"/>
        <w:rPr>
          <w:rFonts w:ascii="仿宋" w:hAnsi="仿宋" w:eastAsia="仿宋"/>
          <w:b/>
          <w:sz w:val="32"/>
          <w:szCs w:val="32"/>
        </w:rPr>
      </w:pPr>
      <w:bookmarkStart w:id="46" w:name="_Toc15377213"/>
      <w:bookmarkStart w:id="47" w:name="_Toc23121"/>
      <w:bookmarkStart w:id="48" w:name="_Toc15378460"/>
      <w:bookmarkStart w:id="49" w:name="_Toc15377444"/>
      <w:r>
        <w:rPr>
          <w:rFonts w:hint="eastAsia" w:ascii="仿宋" w:hAnsi="仿宋" w:eastAsia="仿宋"/>
          <w:b/>
          <w:sz w:val="32"/>
          <w:szCs w:val="32"/>
        </w:rPr>
        <w:t>2022年一般公共预算支出决算数为1200.13</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46"/>
      <w:bookmarkEnd w:id="47"/>
      <w:bookmarkEnd w:id="48"/>
      <w:bookmarkEnd w:id="49"/>
      <w:r>
        <w:rPr>
          <w:rFonts w:ascii="仿宋" w:hAnsi="仿宋" w:eastAsia="仿宋"/>
          <w:b/>
          <w:sz w:val="32"/>
          <w:szCs w:val="32"/>
        </w:rPr>
        <w:t xml:space="preserve"> </w:t>
      </w:r>
    </w:p>
    <w:p>
      <w:pPr>
        <w:spacing w:line="600" w:lineRule="exact"/>
        <w:ind w:firstLine="642" w:firstLineChars="200"/>
        <w:rPr>
          <w:rStyle w:val="14"/>
          <w:rFonts w:ascii="仿宋" w:hAnsi="仿宋" w:eastAsia="仿宋"/>
          <w:b w:val="0"/>
          <w:bCs/>
          <w:sz w:val="32"/>
          <w:szCs w:val="32"/>
        </w:rPr>
      </w:pPr>
      <w:r>
        <w:rPr>
          <w:rStyle w:val="14"/>
          <w:rFonts w:hint="eastAsia" w:ascii="仿宋" w:hAnsi="仿宋" w:eastAsia="仿宋"/>
          <w:bCs/>
          <w:sz w:val="32"/>
          <w:szCs w:val="32"/>
        </w:rPr>
        <w:t>1</w:t>
      </w:r>
      <w:r>
        <w:rPr>
          <w:rStyle w:val="14"/>
          <w:rFonts w:ascii="仿宋" w:hAnsi="仿宋" w:eastAsia="仿宋"/>
          <w:bCs/>
          <w:sz w:val="32"/>
          <w:szCs w:val="32"/>
        </w:rPr>
        <w:t>.</w:t>
      </w:r>
      <w:r>
        <w:rPr>
          <w:rStyle w:val="14"/>
          <w:rFonts w:hint="eastAsia" w:ascii="仿宋" w:hAnsi="仿宋" w:eastAsia="仿宋"/>
          <w:bCs/>
          <w:sz w:val="32"/>
          <w:szCs w:val="32"/>
        </w:rPr>
        <w:t>207文化旅游体育与传媒（类）20703体育（款）2070307体育场馆（项）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支出决算为190.83万元，完成预算100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5"/>
        <w:spacing w:before="93"/>
        <w:ind w:firstLine="642" w:firstLineChars="200"/>
        <w:rPr>
          <w:rStyle w:val="14"/>
          <w:rFonts w:ascii="仿宋" w:hAnsi="仿宋" w:eastAsia="仿宋"/>
          <w:b w:val="0"/>
          <w:bCs/>
          <w:sz w:val="32"/>
          <w:szCs w:val="32"/>
        </w:rPr>
      </w:pPr>
      <w:r>
        <w:rPr>
          <w:rStyle w:val="14"/>
          <w:rFonts w:hint="eastAsia" w:ascii="仿宋" w:hAnsi="仿宋" w:eastAsia="仿宋"/>
          <w:bCs/>
          <w:sz w:val="32"/>
          <w:szCs w:val="32"/>
        </w:rPr>
        <w:t>2.207文化旅游体育与传媒（类）20703体育（款）2070399其他体育支出（项）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支出决算为916.18万元，完成预算100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5"/>
        <w:spacing w:before="93"/>
        <w:ind w:firstLine="642" w:firstLineChars="200"/>
        <w:rPr>
          <w:rStyle w:val="14"/>
          <w:rFonts w:ascii="仿宋" w:hAnsi="仿宋" w:eastAsia="仿宋"/>
          <w:b w:val="0"/>
          <w:bCs/>
          <w:sz w:val="32"/>
          <w:szCs w:val="32"/>
        </w:rPr>
      </w:pPr>
      <w:r>
        <w:rPr>
          <w:rStyle w:val="14"/>
          <w:rFonts w:hint="eastAsia" w:ascii="仿宋" w:hAnsi="仿宋" w:eastAsia="仿宋"/>
          <w:bCs/>
          <w:sz w:val="32"/>
          <w:szCs w:val="32"/>
        </w:rPr>
        <w:t>3.207文化旅游体育与传媒（类）20799其他文化旅游体育与传媒支出（款）2079999其他文化旅游体育与传媒支出（项）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支出决算为3.71万元，完成预算100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4"/>
          <w:rFonts w:hint="eastAsia" w:ascii="仿宋" w:hAnsi="仿宋" w:eastAsia="仿宋"/>
          <w:bCs/>
          <w:sz w:val="32"/>
          <w:szCs w:val="32"/>
        </w:rPr>
        <w:t>4</w:t>
      </w:r>
      <w:r>
        <w:rPr>
          <w:rStyle w:val="14"/>
          <w:rFonts w:ascii="仿宋" w:hAnsi="仿宋" w:eastAsia="仿宋"/>
          <w:bCs/>
          <w:sz w:val="32"/>
          <w:szCs w:val="32"/>
        </w:rPr>
        <w:t>.</w:t>
      </w:r>
      <w:r>
        <w:rPr>
          <w:rStyle w:val="14"/>
          <w:rFonts w:hint="eastAsia" w:ascii="仿宋" w:hAnsi="仿宋" w:eastAsia="仿宋"/>
          <w:bCs/>
          <w:sz w:val="32"/>
          <w:szCs w:val="32"/>
        </w:rPr>
        <w:t>208社会保障和就业（类）20805行政事业单位养老支出（款）2080505机关事业单位基本养老保险缴费支出（项）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支出决算为41.61万元，完成预算100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4"/>
          <w:rFonts w:hint="eastAsia" w:ascii="仿宋" w:hAnsi="仿宋" w:eastAsia="仿宋"/>
          <w:bCs/>
          <w:sz w:val="32"/>
          <w:szCs w:val="32"/>
        </w:rPr>
        <w:t>5</w:t>
      </w:r>
      <w:r>
        <w:rPr>
          <w:rStyle w:val="14"/>
          <w:rFonts w:ascii="仿宋" w:hAnsi="仿宋" w:eastAsia="仿宋"/>
          <w:bCs/>
          <w:sz w:val="32"/>
          <w:szCs w:val="32"/>
        </w:rPr>
        <w:t>.</w:t>
      </w:r>
      <w:r>
        <w:rPr>
          <w:rStyle w:val="14"/>
          <w:rFonts w:hint="eastAsia" w:ascii="仿宋" w:hAnsi="仿宋" w:eastAsia="仿宋"/>
          <w:bCs/>
          <w:sz w:val="32"/>
          <w:szCs w:val="32"/>
        </w:rPr>
        <w:t>221</w:t>
      </w:r>
      <w:r>
        <w:rPr>
          <w:rFonts w:hint="eastAsia" w:ascii="仿宋" w:hAnsi="仿宋" w:eastAsia="仿宋"/>
          <w:b/>
          <w:bCs/>
          <w:sz w:val="32"/>
          <w:szCs w:val="32"/>
        </w:rPr>
        <w:t>住房保障支出</w:t>
      </w:r>
      <w:r>
        <w:rPr>
          <w:rStyle w:val="14"/>
          <w:rFonts w:hint="eastAsia" w:ascii="仿宋" w:hAnsi="仿宋" w:eastAsia="仿宋"/>
          <w:bCs/>
          <w:sz w:val="32"/>
          <w:szCs w:val="32"/>
        </w:rPr>
        <w:t>（类）22102住房改革支出（款）2210201住房公积金（项）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支出决算为47.80万元，完成预算100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5"/>
        </w:rPr>
      </w:pPr>
      <w:bookmarkStart w:id="50" w:name="_Toc15377214"/>
      <w:bookmarkStart w:id="51" w:name="_Toc16036"/>
      <w:bookmarkStart w:id="52"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0"/>
      <w:bookmarkEnd w:id="51"/>
      <w:bookmarkEnd w:id="52"/>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22年一般公共预算财政拨款基本支出634.01万元，其中：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586.35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47.66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25"/>
          <w:rFonts w:ascii="黑体" w:hAnsi="黑体" w:eastAsia="黑体"/>
          <w:b w:val="0"/>
        </w:rPr>
      </w:pPr>
      <w:bookmarkStart w:id="53" w:name="_Toc15377215"/>
      <w:bookmarkStart w:id="54" w:name="_Toc31717"/>
      <w:bookmarkStart w:id="55"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53"/>
      <w:bookmarkEnd w:id="54"/>
      <w:bookmarkEnd w:id="55"/>
    </w:p>
    <w:p>
      <w:pPr>
        <w:spacing w:line="600" w:lineRule="exact"/>
        <w:ind w:firstLine="640"/>
        <w:outlineLvl w:val="2"/>
        <w:rPr>
          <w:rFonts w:ascii="仿宋" w:hAnsi="仿宋" w:eastAsia="仿宋"/>
          <w:b/>
          <w:sz w:val="32"/>
          <w:szCs w:val="32"/>
        </w:rPr>
      </w:pPr>
      <w:bookmarkStart w:id="56" w:name="_Toc15377216"/>
      <w:r>
        <w:rPr>
          <w:rFonts w:hint="eastAsia" w:ascii="仿宋" w:hAnsi="仿宋" w:eastAsia="仿宋"/>
          <w:b/>
          <w:sz w:val="32"/>
          <w:szCs w:val="32"/>
        </w:rPr>
        <w:t>（一）“三公”经费财政拨款支出决算总体情况说明</w:t>
      </w:r>
      <w:bookmarkEnd w:id="5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22年“三公”经费财政拨款支出决算为1.25万元，完成预算55.02</w:t>
      </w:r>
      <w:r>
        <w:rPr>
          <w:rFonts w:ascii="仿宋" w:hAnsi="仿宋" w:eastAsia="仿宋"/>
          <w:sz w:val="32"/>
          <w:szCs w:val="32"/>
        </w:rPr>
        <w:t>%</w:t>
      </w:r>
      <w:r>
        <w:rPr>
          <w:rFonts w:hint="eastAsia" w:ascii="仿宋" w:hAnsi="仿宋" w:eastAsia="仿宋"/>
          <w:sz w:val="32"/>
          <w:szCs w:val="32"/>
        </w:rPr>
        <w:t>，较上年减少1.21万元，下降49.19%。决算数小于预算数的主要原因是</w:t>
      </w:r>
      <w:r>
        <w:rPr>
          <w:rFonts w:hint="eastAsia" w:ascii="仿宋_GB2312" w:eastAsia="仿宋_GB2312"/>
          <w:sz w:val="32"/>
          <w:szCs w:val="32"/>
        </w:rPr>
        <w:t>主要原因是执行政府过苦日子，紧日子的要求，厉行节约，提倡减少“三公”经费的使用</w:t>
      </w:r>
      <w:r>
        <w:rPr>
          <w:rFonts w:hint="eastAsia" w:ascii="仿宋" w:hAnsi="仿宋" w:eastAsia="仿宋"/>
          <w:sz w:val="32"/>
          <w:szCs w:val="32"/>
        </w:rPr>
        <w:t>。</w:t>
      </w:r>
    </w:p>
    <w:p>
      <w:pPr>
        <w:pStyle w:val="5"/>
        <w:spacing w:before="93"/>
      </w:pPr>
      <w:r>
        <w:drawing>
          <wp:inline distT="0" distB="0" distL="114300" distR="114300">
            <wp:extent cx="4572000" cy="2743200"/>
            <wp:effectExtent l="4445" t="4445" r="1460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outlineLvl w:val="2"/>
        <w:rPr>
          <w:rFonts w:ascii="仿宋" w:hAnsi="仿宋" w:eastAsia="仿宋"/>
          <w:b/>
          <w:sz w:val="32"/>
          <w:szCs w:val="32"/>
        </w:rPr>
      </w:pPr>
      <w:bookmarkStart w:id="57" w:name="_Toc15377217"/>
      <w:r>
        <w:rPr>
          <w:rFonts w:hint="eastAsia" w:ascii="仿宋" w:hAnsi="仿宋" w:eastAsia="仿宋"/>
          <w:b/>
          <w:sz w:val="32"/>
          <w:szCs w:val="32"/>
        </w:rPr>
        <w:t>（二）“三公”经费财政拨款支出决算具体情况说明</w:t>
      </w:r>
      <w:bookmarkEnd w:id="5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；公务用车购置及运行维护费支出决算1.02万元，占8</w:t>
      </w:r>
      <w:r>
        <w:rPr>
          <w:rFonts w:ascii="仿宋" w:hAnsi="仿宋" w:eastAsia="仿宋"/>
          <w:sz w:val="32"/>
          <w:szCs w:val="32"/>
        </w:rPr>
        <w:t>1.6%</w:t>
      </w:r>
      <w:r>
        <w:rPr>
          <w:rFonts w:hint="eastAsia" w:ascii="仿宋" w:hAnsi="仿宋" w:eastAsia="仿宋"/>
          <w:sz w:val="32"/>
          <w:szCs w:val="32"/>
        </w:rPr>
        <w:t>；公务接待费支出决算0.23万元，占18</w:t>
      </w:r>
      <w:r>
        <w:rPr>
          <w:rFonts w:ascii="仿宋" w:hAnsi="仿宋" w:eastAsia="仿宋"/>
          <w:sz w:val="32"/>
          <w:szCs w:val="32"/>
        </w:rPr>
        <w:t>.4%</w:t>
      </w:r>
      <w:r>
        <w:rPr>
          <w:rFonts w:hint="eastAsia" w:ascii="仿宋" w:hAnsi="仿宋" w:eastAsia="仿宋"/>
          <w:sz w:val="32"/>
          <w:szCs w:val="32"/>
        </w:rPr>
        <w:t>。具体情况如下：</w:t>
      </w:r>
    </w:p>
    <w:p>
      <w:pPr>
        <w:pStyle w:val="5"/>
        <w:spacing w:before="93"/>
      </w:pPr>
      <w:r>
        <w:drawing>
          <wp:inline distT="0" distB="0" distL="114300" distR="114300">
            <wp:extent cx="4572000" cy="2743200"/>
            <wp:effectExtent l="4445" t="4445" r="1460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公务用车购置及运行维护费支出1.02</w:t>
      </w:r>
      <w:r>
        <w:rPr>
          <w:rFonts w:hint="eastAsia" w:ascii="仿宋_GB2312" w:eastAsia="仿宋_GB2312"/>
          <w:sz w:val="32"/>
          <w:szCs w:val="32"/>
        </w:rPr>
        <w:t>万元,</w:t>
      </w:r>
      <w:r>
        <w:rPr>
          <w:rStyle w:val="14"/>
          <w:rFonts w:hint="eastAsia" w:ascii="仿宋" w:hAnsi="仿宋" w:eastAsia="仿宋"/>
          <w:b w:val="0"/>
          <w:bCs/>
          <w:sz w:val="32"/>
          <w:szCs w:val="32"/>
        </w:rPr>
        <w:t>完成预算62.96</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21年减少0.6万元，降37.04</w:t>
      </w:r>
      <w:r>
        <w:rPr>
          <w:rFonts w:ascii="仿宋_GB2312" w:eastAsia="仿宋_GB2312"/>
          <w:sz w:val="32"/>
          <w:szCs w:val="32"/>
        </w:rPr>
        <w:t>%</w:t>
      </w:r>
      <w:r>
        <w:rPr>
          <w:rFonts w:hint="eastAsia" w:ascii="仿宋_GB2312" w:eastAsia="仿宋_GB2312"/>
          <w:sz w:val="32"/>
          <w:szCs w:val="32"/>
        </w:rPr>
        <w:t>。主要原因是厉行节约，合理运用公务车，减少公务车日常开销。</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公务用车运行维护费支出1.02</w:t>
      </w:r>
      <w:r>
        <w:rPr>
          <w:rFonts w:hint="eastAsia" w:ascii="仿宋_GB2312" w:eastAsia="仿宋_GB2312"/>
          <w:sz w:val="32"/>
          <w:szCs w:val="32"/>
        </w:rPr>
        <w:t>万元。主要用于日常出差、备战省运会等所需的公务用车燃料费、维修</w:t>
      </w:r>
      <w:r>
        <w:rPr>
          <w:rFonts w:hint="eastAsia" w:ascii="仿宋_GB2312" w:eastAsia="仿宋_GB2312"/>
          <w:color w:val="000000" w:themeColor="text1"/>
          <w:sz w:val="32"/>
          <w:szCs w:val="32"/>
          <w14:textFill>
            <w14:solidFill>
              <w14:schemeClr w14:val="tx1"/>
            </w14:solidFill>
          </w14:textFill>
        </w:rPr>
        <w:t>费、过路过桥费、保险费等支出</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公务接待费支出0.23</w:t>
      </w:r>
      <w:r>
        <w:rPr>
          <w:rFonts w:hint="eastAsia" w:ascii="仿宋_GB2312" w:eastAsia="仿宋_GB2312"/>
          <w:sz w:val="32"/>
          <w:szCs w:val="32"/>
        </w:rPr>
        <w:t>万元，</w:t>
      </w:r>
      <w:r>
        <w:rPr>
          <w:rStyle w:val="14"/>
          <w:rFonts w:hint="eastAsia" w:ascii="仿宋" w:hAnsi="仿宋" w:eastAsia="仿宋"/>
          <w:b w:val="0"/>
          <w:bCs/>
          <w:sz w:val="32"/>
          <w:szCs w:val="32"/>
        </w:rPr>
        <w:t>完成预算34.33</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21年增加0.11万元，增长91.67</w:t>
      </w:r>
      <w:r>
        <w:rPr>
          <w:rFonts w:ascii="仿宋_GB2312" w:eastAsia="仿宋_GB2312"/>
          <w:sz w:val="32"/>
          <w:szCs w:val="32"/>
        </w:rPr>
        <w:t>%</w:t>
      </w:r>
      <w:r>
        <w:rPr>
          <w:rFonts w:hint="eastAsia" w:ascii="仿宋_GB2312" w:eastAsia="仿宋_GB2312"/>
          <w:sz w:val="32"/>
          <w:szCs w:val="32"/>
        </w:rPr>
        <w:t>。主要原因是比2021年多出1批公务接待。其中：</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国内公务接待支出0.23</w:t>
      </w:r>
      <w:r>
        <w:rPr>
          <w:rFonts w:hint="eastAsia" w:ascii="仿宋_GB2312" w:eastAsia="仿宋_GB2312"/>
          <w:color w:val="000000" w:themeColor="text1"/>
          <w:sz w:val="32"/>
          <w:szCs w:val="32"/>
          <w14:textFill>
            <w14:solidFill>
              <w14:schemeClr w14:val="tx1"/>
            </w14:solidFill>
          </w14:textFill>
        </w:rPr>
        <w:t>万元，主要用于餐饮费支出。国内公务接待2批次，1</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人次（不包括陪同人员），共计支出0.23万元，具体内容包括：接待省体育局游泳振兴工作组来攀调研——游泳项目实地考察，接待金额0</w:t>
      </w:r>
      <w:r>
        <w:rPr>
          <w:rFonts w:ascii="仿宋_GB2312" w:eastAsia="仿宋_GB2312"/>
          <w:color w:val="000000" w:themeColor="text1"/>
          <w:sz w:val="32"/>
          <w:szCs w:val="32"/>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万元；接待四川省体育局“关于攀枝花市、凉山州开展专项调研工作”，接待金额0</w:t>
      </w:r>
      <w:r>
        <w:rPr>
          <w:rFonts w:ascii="仿宋_GB2312" w:eastAsia="仿宋_GB2312"/>
          <w:color w:val="000000" w:themeColor="text1"/>
          <w:sz w:val="32"/>
          <w:szCs w:val="32"/>
          <w14:textFill>
            <w14:solidFill>
              <w14:schemeClr w14:val="tx1"/>
            </w14:solidFill>
          </w14:textFill>
        </w:rPr>
        <w:t>.08</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外事接待支出0</w:t>
      </w:r>
      <w:r>
        <w:rPr>
          <w:rFonts w:hint="eastAsia" w:ascii="仿宋_GB2312" w:eastAsia="仿宋_GB2312"/>
          <w:sz w:val="32"/>
          <w:szCs w:val="32"/>
        </w:rPr>
        <w:t>万元。外事接待0批次，0人次（不包括陪同人员），共计支出0万元。</w:t>
      </w:r>
    </w:p>
    <w:p>
      <w:pPr>
        <w:spacing w:line="600" w:lineRule="exact"/>
        <w:ind w:firstLine="640"/>
        <w:rPr>
          <w:rFonts w:ascii="黑体" w:eastAsia="黑体"/>
          <w:sz w:val="32"/>
          <w:szCs w:val="32"/>
        </w:rPr>
      </w:pPr>
      <w:bookmarkStart w:id="58" w:name="_Toc15377218"/>
      <w:bookmarkStart w:id="59" w:name="_Toc15396610"/>
    </w:p>
    <w:p>
      <w:pPr>
        <w:spacing w:line="600" w:lineRule="exact"/>
        <w:ind w:firstLine="640"/>
        <w:outlineLvl w:val="1"/>
        <w:rPr>
          <w:rStyle w:val="25"/>
          <w:rFonts w:ascii="黑体" w:hAnsi="黑体" w:eastAsia="黑体"/>
        </w:rPr>
      </w:pPr>
      <w:bookmarkStart w:id="60" w:name="_Toc10601"/>
      <w:r>
        <w:rPr>
          <w:rFonts w:hint="eastAsia" w:ascii="黑体" w:eastAsia="黑体"/>
          <w:sz w:val="32"/>
          <w:szCs w:val="32"/>
        </w:rPr>
        <w:t>八、</w:t>
      </w:r>
      <w:r>
        <w:rPr>
          <w:rStyle w:val="25"/>
          <w:rFonts w:hint="eastAsia" w:ascii="黑体" w:hAnsi="黑体" w:eastAsia="黑体"/>
          <w:b w:val="0"/>
        </w:rPr>
        <w:t>政府性基金预算支出决算情况说明</w:t>
      </w:r>
      <w:bookmarkEnd w:id="58"/>
      <w:bookmarkEnd w:id="59"/>
      <w:bookmarkEnd w:id="6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22年政府性基金预算财政拨款支出256.53万元。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5"/>
          <w:rFonts w:ascii="黑体" w:hAnsi="黑体" w:eastAsia="黑体"/>
          <w:b w:val="0"/>
        </w:rPr>
      </w:pPr>
      <w:bookmarkStart w:id="61" w:name="_Toc15377219"/>
      <w:bookmarkStart w:id="62" w:name="_Toc17720"/>
      <w:bookmarkStart w:id="63" w:name="_Toc15396611"/>
      <w:r>
        <w:rPr>
          <w:rStyle w:val="25"/>
          <w:rFonts w:hint="eastAsia" w:ascii="黑体" w:hAnsi="黑体" w:eastAsia="黑体"/>
          <w:b w:val="0"/>
        </w:rPr>
        <w:t>国有资本经营预算支出决算情况说明</w:t>
      </w:r>
      <w:bookmarkEnd w:id="61"/>
      <w:bookmarkEnd w:id="62"/>
      <w:bookmarkEnd w:id="6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5"/>
          <w:rFonts w:ascii="黑体" w:hAnsi="黑体" w:eastAsia="黑体"/>
          <w:b w:val="0"/>
        </w:rPr>
      </w:pPr>
      <w:bookmarkStart w:id="64" w:name="_Toc15396612"/>
      <w:bookmarkStart w:id="65" w:name="_Toc18476"/>
      <w:bookmarkStart w:id="66" w:name="_Toc15377221"/>
      <w:r>
        <w:rPr>
          <w:rStyle w:val="25"/>
          <w:rFonts w:hint="eastAsia" w:ascii="黑体" w:hAnsi="黑体" w:eastAsia="黑体"/>
          <w:b w:val="0"/>
        </w:rPr>
        <w:t>其他重要事项的情况说明</w:t>
      </w:r>
      <w:bookmarkEnd w:id="64"/>
      <w:bookmarkEnd w:id="65"/>
      <w:bookmarkEnd w:id="66"/>
    </w:p>
    <w:p>
      <w:pPr>
        <w:spacing w:line="600" w:lineRule="exact"/>
        <w:ind w:firstLine="642" w:firstLineChars="200"/>
        <w:outlineLvl w:val="2"/>
        <w:rPr>
          <w:rFonts w:ascii="仿宋" w:hAnsi="仿宋" w:eastAsia="仿宋"/>
          <w:sz w:val="32"/>
          <w:szCs w:val="32"/>
        </w:rPr>
      </w:pPr>
      <w:bookmarkStart w:id="67" w:name="_Toc15377222"/>
      <w:r>
        <w:rPr>
          <w:rFonts w:hint="eastAsia" w:ascii="仿宋" w:hAnsi="仿宋" w:eastAsia="仿宋"/>
          <w:b/>
          <w:sz w:val="32"/>
          <w:szCs w:val="32"/>
        </w:rPr>
        <w:t>（一）机关运行经费支出情况</w:t>
      </w:r>
      <w:bookmarkEnd w:id="6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22年，攀枝花市体育场馆中心机关运行经费支出0万元，与</w:t>
      </w:r>
      <w:r>
        <w:rPr>
          <w:rFonts w:ascii="仿宋_GB2312" w:eastAsia="仿宋_GB2312"/>
          <w:sz w:val="32"/>
          <w:szCs w:val="32"/>
        </w:rPr>
        <w:t>20</w:t>
      </w:r>
      <w:r>
        <w:rPr>
          <w:rFonts w:hint="eastAsia" w:ascii="仿宋_GB2312" w:eastAsia="仿宋_GB2312"/>
          <w:sz w:val="32"/>
          <w:szCs w:val="32"/>
        </w:rPr>
        <w:t>21年决算数持平。</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68" w:name="_Toc15377223"/>
      <w:r>
        <w:rPr>
          <w:rFonts w:hint="eastAsia" w:ascii="仿宋" w:hAnsi="仿宋" w:eastAsia="仿宋"/>
          <w:b/>
          <w:sz w:val="32"/>
          <w:szCs w:val="32"/>
        </w:rPr>
        <w:t>（二）政府采购支出情况</w:t>
      </w:r>
      <w:bookmarkEnd w:id="68"/>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22年，攀枝花市体育场馆中心政府采购支出总额188.25万元，其中：政府采购货物支出188.25万元、政府采购工程支出0万元、政府采购服务支出0万元。主要用于全民健身补短板工程货物购置。授予中小企业合同金额188.25万元，占政府采购支出总额的100</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，其中：授予小微企业合同金额0万元，占政府采购支出总额的0</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69" w:name="_Toc15377224"/>
      <w:r>
        <w:rPr>
          <w:rFonts w:hint="eastAsia" w:ascii="仿宋" w:hAnsi="仿宋" w:eastAsia="仿宋"/>
          <w:b/>
          <w:sz w:val="32"/>
          <w:szCs w:val="32"/>
        </w:rPr>
        <w:t>（三）国有资产占有使用情况</w:t>
      </w:r>
      <w:bookmarkEnd w:id="6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日，攀枝花市体育场馆中心共有车辆1辆，其中：主要领导干部用车0辆、机要通信用车0辆、应急保障用车0辆、其他用车1辆。</w:t>
      </w:r>
      <w:r>
        <w:rPr>
          <w:rFonts w:hint="eastAsia" w:ascii="仿宋_GB2312" w:eastAsia="仿宋_GB2312"/>
          <w:color w:val="000000"/>
          <w:sz w:val="32"/>
          <w:szCs w:val="32"/>
        </w:rPr>
        <w:t>其他用车主要是为单位正常运转、完成日常工作任务以及承担全市体育事业发展相关工作任务及完成各专项业务等用车</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outlineLvl w:val="2"/>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（四）预算绩效管理情况</w:t>
      </w:r>
    </w:p>
    <w:p>
      <w:pPr>
        <w:pStyle w:val="5"/>
        <w:spacing w:before="93"/>
        <w:ind w:firstLine="640" w:firstLineChars="200"/>
        <w:rPr>
          <w:color w:val="000000" w:themeColor="text1"/>
          <w:highlight w:val="yellow"/>
          <w14:textFill>
            <w14:solidFill>
              <w14:schemeClr w14:val="tx1"/>
            </w14:solidFill>
          </w14:textFill>
        </w:rPr>
      </w:pPr>
      <w:r>
        <w:rPr>
          <w:rFonts w:hint="eastAsia" w:hAnsi="仿宋_GB2312" w:cs="仿宋_GB2312"/>
          <w:color w:val="000000" w:themeColor="text1"/>
          <w:sz w:val="32"/>
          <w:szCs w:val="32"/>
          <w14:textFill>
            <w14:solidFill>
              <w14:schemeClr w14:val="tx1"/>
            </w14:solidFill>
          </w14:textFill>
        </w:rPr>
        <w:t>根据预算绩效管理要求，本单位在2022年度预算编制阶段，组织对51040021R000000053342-带薪年休假经费（事业）项目等</w:t>
      </w:r>
      <w:r>
        <w:rPr>
          <w:rFonts w:hint="eastAsia" w:hAnsi="仿宋_GB2312" w:cs="仿宋_GB2312"/>
          <w:color w:val="000000" w:themeColor="text1"/>
          <w:sz w:val="32"/>
          <w:szCs w:val="32"/>
          <w:lang w:val="en-US" w:eastAsia="zh-CN"/>
          <w14:textFill>
            <w14:solidFill>
              <w14:schemeClr w14:val="tx1"/>
            </w14:solidFill>
          </w14:textFill>
        </w:rPr>
        <w:t>27</w:t>
      </w:r>
      <w:r>
        <w:rPr>
          <w:rFonts w:hint="eastAsia" w:hAnsi="仿宋_GB2312" w:cs="仿宋_GB2312"/>
          <w:color w:val="000000" w:themeColor="text1"/>
          <w:sz w:val="32"/>
          <w:szCs w:val="32"/>
          <w14:textFill>
            <w14:solidFill>
              <w14:schemeClr w14:val="tx1"/>
            </w14:solidFill>
          </w14:textFill>
        </w:rPr>
        <w:t>个项目开展了预算事前绩效评估，对</w:t>
      </w:r>
      <w:r>
        <w:rPr>
          <w:rFonts w:hint="eastAsia" w:hAnsi="仿宋_GB2312" w:cs="仿宋_GB2312"/>
          <w:color w:val="000000" w:themeColor="text1"/>
          <w:sz w:val="32"/>
          <w:szCs w:val="32"/>
          <w:lang w:val="en-US" w:eastAsia="zh-CN"/>
          <w14:textFill>
            <w14:solidFill>
              <w14:schemeClr w14:val="tx1"/>
            </w14:solidFill>
          </w14:textFill>
        </w:rPr>
        <w:t>27</w:t>
      </w:r>
      <w:r>
        <w:rPr>
          <w:rFonts w:hint="eastAsia" w:hAnsi="仿宋_GB2312" w:cs="仿宋_GB2312"/>
          <w:color w:val="000000" w:themeColor="text1"/>
          <w:sz w:val="32"/>
          <w:szCs w:val="32"/>
          <w14:textFill>
            <w14:solidFill>
              <w14:schemeClr w14:val="tx1"/>
            </w14:solidFill>
          </w14:textFill>
        </w:rPr>
        <w:t>个项目编制了绩效目标，预算执行过程中，选取</w:t>
      </w:r>
      <w:r>
        <w:rPr>
          <w:rFonts w:hint="eastAsia" w:hAnsi="仿宋_GB2312" w:cs="仿宋_GB2312"/>
          <w:color w:val="000000" w:themeColor="text1"/>
          <w:sz w:val="32"/>
          <w:szCs w:val="32"/>
          <w:lang w:val="en-US" w:eastAsia="zh-CN"/>
          <w14:textFill>
            <w14:solidFill>
              <w14:schemeClr w14:val="tx1"/>
            </w14:solidFill>
          </w14:textFill>
        </w:rPr>
        <w:t>27</w:t>
      </w:r>
      <w:r>
        <w:rPr>
          <w:rFonts w:hint="eastAsia" w:hAnsi="仿宋_GB2312" w:cs="仿宋_GB2312"/>
          <w:color w:val="000000" w:themeColor="text1"/>
          <w:sz w:val="32"/>
          <w:szCs w:val="32"/>
          <w14:textFill>
            <w14:solidFill>
              <w14:schemeClr w14:val="tx1"/>
            </w14:solidFill>
          </w14:textFill>
        </w:rPr>
        <w:t>个项目开展绩效监控，组织对</w:t>
      </w:r>
      <w:r>
        <w:rPr>
          <w:rFonts w:hint="eastAsia" w:hAnsi="仿宋_GB2312" w:cs="仿宋_GB2312"/>
          <w:color w:val="000000" w:themeColor="text1"/>
          <w:sz w:val="32"/>
          <w:szCs w:val="32"/>
          <w:lang w:val="en-US" w:eastAsia="zh-CN"/>
          <w14:textFill>
            <w14:solidFill>
              <w14:schemeClr w14:val="tx1"/>
            </w14:solidFill>
          </w14:textFill>
        </w:rPr>
        <w:t>27</w:t>
      </w:r>
      <w:r>
        <w:rPr>
          <w:rFonts w:hint="eastAsia" w:hAnsi="仿宋_GB2312" w:cs="仿宋_GB2312"/>
          <w:color w:val="000000" w:themeColor="text1"/>
          <w:sz w:val="32"/>
          <w:szCs w:val="32"/>
          <w14:textFill>
            <w14:solidFill>
              <w14:schemeClr w14:val="tx1"/>
            </w14:solidFill>
          </w14:textFill>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70" w:name="_Toc12761"/>
      <w:bookmarkStart w:id="71" w:name="_Toc15396613"/>
      <w:bookmarkStart w:id="72" w:name="_Toc15377225"/>
      <w:r>
        <w:rPr>
          <w:rFonts w:hint="eastAsia" w:ascii="黑体" w:hAnsi="黑体" w:eastAsia="黑体"/>
          <w:sz w:val="44"/>
          <w:szCs w:val="44"/>
        </w:rPr>
        <w:t>名</w:t>
      </w:r>
      <w:r>
        <w:rPr>
          <w:rStyle w:val="24"/>
          <w:rFonts w:hint="eastAsia" w:ascii="黑体" w:hAnsi="黑体" w:eastAsia="黑体"/>
          <w:b w:val="0"/>
        </w:rPr>
        <w:t>词解释</w:t>
      </w:r>
      <w:bookmarkEnd w:id="70"/>
      <w:bookmarkEnd w:id="71"/>
      <w:bookmarkEnd w:id="72"/>
    </w:p>
    <w:p>
      <w:pPr>
        <w:pStyle w:val="5"/>
        <w:spacing w:before="93"/>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207文化体育与传媒（类）20703体育（款）2070307体育场馆（项）：指反映体育场馆建设及维护等方面的支出。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207文化体育与传媒（类）20703体育（款）2070399其他体育支出（项）：指用于其他体育方面的支出。</w:t>
      </w:r>
    </w:p>
    <w:p>
      <w:pPr>
        <w:pStyle w:val="5"/>
        <w:spacing w:before="93"/>
        <w:ind w:firstLine="640" w:firstLineChars="200"/>
      </w:pPr>
      <w:r>
        <w:rPr>
          <w:rStyle w:val="14"/>
          <w:rFonts w:hint="eastAsia" w:eastAsia="仿宋"/>
          <w:b w:val="0"/>
          <w:sz w:val="32"/>
          <w:szCs w:val="32"/>
        </w:rPr>
        <w:t>11.</w:t>
      </w:r>
      <w:r>
        <w:rPr>
          <w:rStyle w:val="14"/>
          <w:rFonts w:hint="eastAsia" w:eastAsia="仿宋" w:asciiTheme="minorHAnsi" w:hAnsiTheme="minorHAnsi" w:cstheme="minorBidi"/>
          <w:b w:val="0"/>
          <w:sz w:val="32"/>
          <w:szCs w:val="32"/>
        </w:rPr>
        <w:t>207文化旅游体育与传媒（类）20799其他文化旅游体育与传媒支出（款）2079999其他文化旅游体育与传媒支出（项）：</w:t>
      </w:r>
      <w:r>
        <w:rPr>
          <w:rStyle w:val="14"/>
          <w:rFonts w:eastAsia="仿宋"/>
          <w:b w:val="0"/>
          <w:sz w:val="32"/>
          <w:szCs w:val="32"/>
        </w:rPr>
        <w:t>指</w:t>
      </w:r>
      <w:r>
        <w:rPr>
          <w:rStyle w:val="14"/>
          <w:rFonts w:hint="eastAsia" w:eastAsia="仿宋"/>
          <w:b w:val="0"/>
          <w:sz w:val="32"/>
          <w:szCs w:val="32"/>
        </w:rPr>
        <w:t>反映</w:t>
      </w:r>
      <w:r>
        <w:rPr>
          <w:rStyle w:val="14"/>
          <w:rFonts w:eastAsia="仿宋"/>
          <w:b w:val="0"/>
          <w:sz w:val="32"/>
          <w:szCs w:val="32"/>
        </w:rPr>
        <w:t>除上述项目以外其他用于文化旅游体育与传媒方面的支出。</w:t>
      </w:r>
    </w:p>
    <w:p>
      <w:pPr>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208社会保障和就业（类）20805行政事业单位养老支出（款）2080505机关事业单位基本养老保险缴费支出（项）：指反映机关事业单位实施养老保险制度由单位缴纳的基本养老保险费支出。</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221住房保障（类）22102住房改革支出（款）2210201住房公积金（项）：指反映行政事业单位按人力资源和社会保障部、财政部规定的基本工资和津贴补贴以及规定比例为职工缴纳的住房公积金。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229</w:t>
      </w:r>
      <w:r>
        <w:rPr>
          <w:rFonts w:hint="eastAsia" w:ascii="仿宋_GB2312" w:eastAsia="仿宋_GB2312"/>
          <w:sz w:val="32"/>
          <w:szCs w:val="32"/>
        </w:rPr>
        <w:tab/>
      </w:r>
      <w:r>
        <w:rPr>
          <w:rFonts w:hint="eastAsia" w:ascii="仿宋_GB2312" w:eastAsia="仿宋_GB2312"/>
          <w:sz w:val="32"/>
          <w:szCs w:val="32"/>
        </w:rPr>
        <w:t>其他支出（类）22960彩票公益金安排的支出（款）2296003用于体育事业的彩票公益金支出（项）：指反映用于体育事业的彩票公益金支出。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19</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outlineLvl w:val="0"/>
        <w:rPr>
          <w:rStyle w:val="24"/>
          <w:rFonts w:ascii="黑体" w:hAnsi="黑体" w:eastAsia="黑体"/>
          <w:b w:val="0"/>
        </w:rPr>
      </w:pPr>
      <w:bookmarkStart w:id="73" w:name="_Toc15377226"/>
      <w:r>
        <w:rPr>
          <w:rFonts w:ascii="宋体"/>
          <w:b/>
          <w:sz w:val="44"/>
          <w:szCs w:val="44"/>
        </w:rPr>
        <w:br w:type="page"/>
      </w:r>
      <w:bookmarkStart w:id="74" w:name="_Toc31778"/>
      <w:bookmarkStart w:id="75" w:name="_Toc15396614"/>
      <w:r>
        <w:rPr>
          <w:rFonts w:hint="eastAsia" w:ascii="黑体" w:hAnsi="黑体" w:eastAsia="黑体"/>
          <w:sz w:val="44"/>
          <w:szCs w:val="44"/>
        </w:rPr>
        <w:t>第</w:t>
      </w:r>
      <w:r>
        <w:rPr>
          <w:rStyle w:val="24"/>
          <w:rFonts w:hint="eastAsia" w:ascii="黑体" w:hAnsi="黑体" w:eastAsia="黑体"/>
          <w:b w:val="0"/>
        </w:rPr>
        <w:t>四部分 附件</w:t>
      </w:r>
      <w:bookmarkEnd w:id="74"/>
      <w:bookmarkEnd w:id="75"/>
    </w:p>
    <w:p>
      <w:pPr>
        <w:spacing w:line="572" w:lineRule="exact"/>
        <w:jc w:val="left"/>
        <w:rPr>
          <w:rFonts w:ascii="仿宋_GB2312" w:hAnsi="仿宋_GB2312" w:eastAsia="仿宋_GB2312" w:cs="仿宋_GB2312"/>
          <w:sz w:val="32"/>
          <w:szCs w:val="32"/>
        </w:rPr>
      </w:pPr>
    </w:p>
    <w:p>
      <w:pPr>
        <w:spacing w:line="600" w:lineRule="exact"/>
        <w:jc w:val="center"/>
        <w:outlineLvl w:val="1"/>
        <w:rPr>
          <w:rFonts w:ascii="宋体" w:hAnsi="宋体" w:cs="宋体"/>
          <w:kern w:val="0"/>
          <w:sz w:val="32"/>
          <w:szCs w:val="32"/>
        </w:rPr>
      </w:pPr>
      <w:bookmarkStart w:id="76" w:name="_Toc10889"/>
      <w:bookmarkStart w:id="77" w:name="_Toc15396618"/>
      <w:r>
        <w:rPr>
          <w:rFonts w:hint="eastAsia" w:ascii="宋体" w:hAnsi="宋体" w:cs="宋体"/>
          <w:kern w:val="0"/>
          <w:sz w:val="32"/>
          <w:szCs w:val="32"/>
        </w:rPr>
        <w:t>部门预算项目支出绩效自评表（2022年度）见附件一</w:t>
      </w:r>
      <w:bookmarkEnd w:id="76"/>
    </w:p>
    <w:p>
      <w:pPr>
        <w:spacing w:line="600" w:lineRule="exact"/>
        <w:jc w:val="left"/>
        <w:rPr>
          <w:rFonts w:ascii="仿宋_GB2312" w:hAnsi="Calibri" w:eastAsia="仿宋_GB2312" w:cs="仿宋"/>
          <w:kern w:val="0"/>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spacing w:line="600" w:lineRule="exact"/>
        <w:jc w:val="center"/>
        <w:outlineLvl w:val="0"/>
        <w:rPr>
          <w:rFonts w:ascii="仿宋" w:hAnsi="仿宋" w:eastAsia="仿宋"/>
        </w:rPr>
      </w:pPr>
      <w:bookmarkStart w:id="78" w:name="_Toc19964"/>
      <w:r>
        <w:rPr>
          <w:rFonts w:hint="eastAsia" w:ascii="黑体" w:hAnsi="黑体" w:eastAsia="黑体"/>
          <w:sz w:val="44"/>
          <w:szCs w:val="44"/>
        </w:rPr>
        <w:t>第</w:t>
      </w:r>
      <w:r>
        <w:rPr>
          <w:rStyle w:val="24"/>
          <w:rFonts w:hint="eastAsia" w:ascii="黑体" w:hAnsi="黑体" w:eastAsia="黑体"/>
          <w:b w:val="0"/>
        </w:rPr>
        <w:t>五部分 附表</w:t>
      </w:r>
      <w:bookmarkEnd w:id="73"/>
      <w:bookmarkEnd w:id="77"/>
      <w:bookmarkEnd w:id="78"/>
      <w:bookmarkStart w:id="79" w:name="_Toc15396619"/>
    </w:p>
    <w:p>
      <w:pPr>
        <w:pStyle w:val="3"/>
        <w:rPr>
          <w:rFonts w:ascii="仿宋" w:hAnsi="仿宋" w:eastAsia="仿宋"/>
        </w:rPr>
      </w:pPr>
      <w:bookmarkStart w:id="80" w:name="_Toc5213"/>
      <w:r>
        <w:rPr>
          <w:rFonts w:hint="eastAsia" w:ascii="仿宋" w:hAnsi="仿宋" w:eastAsia="仿宋"/>
          <w:b w:val="0"/>
        </w:rPr>
        <w:t>一、收</w:t>
      </w:r>
      <w:r>
        <w:rPr>
          <w:rStyle w:val="25"/>
          <w:rFonts w:hint="eastAsia" w:ascii="仿宋" w:hAnsi="仿宋" w:eastAsia="仿宋"/>
          <w:b w:val="0"/>
          <w:bCs w:val="0"/>
        </w:rPr>
        <w:t>入支出决算总表</w:t>
      </w:r>
      <w:bookmarkEnd w:id="79"/>
      <w:bookmarkEnd w:id="80"/>
    </w:p>
    <w:p>
      <w:pPr>
        <w:pStyle w:val="3"/>
        <w:rPr>
          <w:rFonts w:ascii="仿宋" w:hAnsi="仿宋" w:eastAsia="仿宋"/>
        </w:rPr>
      </w:pPr>
      <w:bookmarkStart w:id="81" w:name="_Toc14590"/>
      <w:bookmarkStart w:id="82" w:name="_Toc15396620"/>
      <w:r>
        <w:rPr>
          <w:rFonts w:hint="eastAsia" w:ascii="仿宋" w:hAnsi="仿宋" w:eastAsia="仿宋"/>
          <w:b w:val="0"/>
        </w:rPr>
        <w:t>二、收</w:t>
      </w:r>
      <w:r>
        <w:rPr>
          <w:rStyle w:val="25"/>
          <w:rFonts w:hint="eastAsia" w:ascii="仿宋" w:hAnsi="仿宋" w:eastAsia="仿宋"/>
          <w:b w:val="0"/>
          <w:bCs w:val="0"/>
        </w:rPr>
        <w:t>入决算表</w:t>
      </w:r>
      <w:bookmarkEnd w:id="81"/>
      <w:bookmarkEnd w:id="82"/>
    </w:p>
    <w:p>
      <w:pPr>
        <w:pStyle w:val="3"/>
        <w:rPr>
          <w:rFonts w:ascii="仿宋" w:hAnsi="仿宋" w:eastAsia="仿宋"/>
        </w:rPr>
      </w:pPr>
      <w:bookmarkStart w:id="83" w:name="_Toc1538"/>
      <w:bookmarkStart w:id="84"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83"/>
      <w:bookmarkEnd w:id="84"/>
    </w:p>
    <w:p>
      <w:pPr>
        <w:pStyle w:val="3"/>
        <w:rPr>
          <w:rFonts w:ascii="仿宋" w:hAnsi="仿宋" w:eastAsia="仿宋"/>
          <w:b w:val="0"/>
        </w:rPr>
      </w:pPr>
      <w:bookmarkStart w:id="85" w:name="_Toc15396622"/>
      <w:bookmarkStart w:id="86" w:name="_Toc18350"/>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85"/>
      <w:bookmarkEnd w:id="86"/>
    </w:p>
    <w:p>
      <w:pPr>
        <w:pStyle w:val="3"/>
        <w:rPr>
          <w:rStyle w:val="25"/>
          <w:rFonts w:ascii="仿宋" w:hAnsi="仿宋" w:eastAsia="仿宋"/>
          <w:b w:val="0"/>
          <w:bCs w:val="0"/>
        </w:rPr>
      </w:pPr>
      <w:bookmarkStart w:id="87" w:name="_Toc15396623"/>
      <w:bookmarkStart w:id="88" w:name="_Toc15408"/>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87"/>
      <w:bookmarkEnd w:id="88"/>
      <w:bookmarkStart w:id="89" w:name="_Toc15396624"/>
    </w:p>
    <w:p>
      <w:pPr>
        <w:pStyle w:val="3"/>
        <w:rPr>
          <w:rFonts w:ascii="仿宋" w:hAnsi="仿宋" w:eastAsia="仿宋"/>
        </w:rPr>
      </w:pPr>
      <w:bookmarkStart w:id="90" w:name="_Toc22283"/>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89"/>
      <w:bookmarkEnd w:id="90"/>
    </w:p>
    <w:p>
      <w:pPr>
        <w:pStyle w:val="3"/>
        <w:rPr>
          <w:rFonts w:ascii="仿宋" w:hAnsi="仿宋" w:eastAsia="仿宋"/>
        </w:rPr>
      </w:pPr>
      <w:bookmarkStart w:id="91" w:name="_Toc15396625"/>
      <w:bookmarkStart w:id="92" w:name="_Toc28292"/>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91"/>
      <w:bookmarkEnd w:id="92"/>
    </w:p>
    <w:p>
      <w:pPr>
        <w:pStyle w:val="3"/>
        <w:rPr>
          <w:rFonts w:ascii="仿宋" w:hAnsi="仿宋" w:eastAsia="仿宋"/>
        </w:rPr>
      </w:pPr>
      <w:bookmarkStart w:id="93" w:name="_Toc15471"/>
      <w:bookmarkStart w:id="94"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93"/>
      <w:bookmarkEnd w:id="94"/>
    </w:p>
    <w:p>
      <w:pPr>
        <w:pStyle w:val="3"/>
        <w:rPr>
          <w:rFonts w:ascii="仿宋" w:hAnsi="仿宋" w:eastAsia="仿宋"/>
        </w:rPr>
      </w:pPr>
      <w:bookmarkStart w:id="95" w:name="_Toc28762"/>
      <w:bookmarkStart w:id="96"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95"/>
      <w:bookmarkEnd w:id="96"/>
    </w:p>
    <w:p>
      <w:pPr>
        <w:pStyle w:val="3"/>
        <w:rPr>
          <w:rFonts w:ascii="仿宋" w:hAnsi="仿宋" w:eastAsia="仿宋"/>
        </w:rPr>
      </w:pPr>
      <w:bookmarkStart w:id="97" w:name="_Toc15396628"/>
      <w:bookmarkStart w:id="98" w:name="_Toc11142"/>
      <w:r>
        <w:rPr>
          <w:rStyle w:val="25"/>
          <w:rFonts w:hint="eastAsia" w:ascii="仿宋" w:hAnsi="仿宋" w:eastAsia="仿宋"/>
          <w:b w:val="0"/>
          <w:bCs w:val="0"/>
        </w:rPr>
        <w:t>十、</w:t>
      </w:r>
      <w:bookmarkEnd w:id="97"/>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98"/>
    </w:p>
    <w:p>
      <w:pPr>
        <w:pStyle w:val="3"/>
        <w:ind w:left="960" w:hanging="960" w:hangingChars="300"/>
        <w:rPr>
          <w:rFonts w:ascii="仿宋" w:hAnsi="仿宋" w:eastAsia="仿宋"/>
        </w:rPr>
      </w:pPr>
      <w:bookmarkStart w:id="99" w:name="_Toc15396629"/>
      <w:bookmarkStart w:id="100" w:name="_Toc9575"/>
      <w:r>
        <w:rPr>
          <w:rStyle w:val="25"/>
          <w:rFonts w:hint="eastAsia" w:ascii="仿宋" w:hAnsi="仿宋" w:eastAsia="仿宋"/>
          <w:b w:val="0"/>
          <w:bCs w:val="0"/>
        </w:rPr>
        <w:t>十一、</w:t>
      </w:r>
      <w:bookmarkEnd w:id="99"/>
      <w:r>
        <w:rPr>
          <w:rFonts w:hint="eastAsia" w:ascii="仿宋" w:hAnsi="仿宋" w:eastAsia="仿宋"/>
          <w:b w:val="0"/>
        </w:rPr>
        <w:t>国</w:t>
      </w:r>
      <w:r>
        <w:rPr>
          <w:rStyle w:val="25"/>
          <w:rFonts w:hint="eastAsia" w:ascii="仿宋" w:hAnsi="仿宋" w:eastAsia="仿宋"/>
          <w:b w:val="0"/>
          <w:bCs w:val="0"/>
        </w:rPr>
        <w:t>有资本经营预算财政拨款收入支出决算表（此表无数据）</w:t>
      </w:r>
      <w:bookmarkEnd w:id="100"/>
    </w:p>
    <w:p>
      <w:pPr>
        <w:pStyle w:val="3"/>
        <w:rPr>
          <w:rFonts w:ascii="仿宋" w:hAnsi="仿宋" w:eastAsia="仿宋"/>
        </w:rPr>
      </w:pPr>
      <w:bookmarkStart w:id="101" w:name="_Toc15396630"/>
      <w:bookmarkStart w:id="102" w:name="_Toc25861"/>
      <w:r>
        <w:rPr>
          <w:rStyle w:val="25"/>
          <w:rFonts w:hint="eastAsia" w:ascii="仿宋" w:hAnsi="仿宋" w:eastAsia="仿宋"/>
          <w:b w:val="0"/>
          <w:bCs w:val="0"/>
        </w:rPr>
        <w:t>十二、</w:t>
      </w:r>
      <w:bookmarkEnd w:id="101"/>
      <w:r>
        <w:rPr>
          <w:rStyle w:val="25"/>
          <w:rFonts w:hint="eastAsia" w:ascii="仿宋" w:hAnsi="仿宋" w:eastAsia="仿宋"/>
          <w:b w:val="0"/>
          <w:bCs w:val="0"/>
        </w:rPr>
        <w:t>国有资本经营预算财政拨款支出决算表（此表无数据）</w:t>
      </w:r>
      <w:bookmarkEnd w:id="102"/>
    </w:p>
    <w:p>
      <w:pPr>
        <w:pStyle w:val="3"/>
        <w:rPr>
          <w:rFonts w:eastAsia="仿宋"/>
        </w:rPr>
      </w:pPr>
      <w:bookmarkStart w:id="103" w:name="_Toc15396631"/>
      <w:bookmarkStart w:id="104" w:name="_Toc20507"/>
      <w:r>
        <w:rPr>
          <w:rStyle w:val="25"/>
          <w:rFonts w:hint="eastAsia" w:ascii="仿宋" w:hAnsi="仿宋" w:eastAsia="仿宋"/>
          <w:b w:val="0"/>
          <w:bCs w:val="0"/>
        </w:rPr>
        <w:t>十三、</w:t>
      </w:r>
      <w:bookmarkEnd w:id="103"/>
      <w:r>
        <w:rPr>
          <w:rStyle w:val="25"/>
          <w:rFonts w:hint="eastAsia" w:ascii="仿宋" w:hAnsi="仿宋" w:eastAsia="仿宋"/>
          <w:b w:val="0"/>
          <w:bCs w:val="0"/>
        </w:rPr>
        <w:t>财政拨款“三公”经费支出决算表</w:t>
      </w:r>
      <w:bookmarkEnd w:id="104"/>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0NjI2MWU0OWMwYmZiMTZhNGRmZGEyOTc0ZTIxMjkifQ=="/>
  </w:docVars>
  <w:rsids>
    <w:rsidRoot w:val="00F1361C"/>
    <w:rsid w:val="000222C6"/>
    <w:rsid w:val="0002549F"/>
    <w:rsid w:val="000468DB"/>
    <w:rsid w:val="0006487A"/>
    <w:rsid w:val="00065F8F"/>
    <w:rsid w:val="00070A43"/>
    <w:rsid w:val="000768F2"/>
    <w:rsid w:val="0009184B"/>
    <w:rsid w:val="00094236"/>
    <w:rsid w:val="00094B1F"/>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0DC2"/>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1454"/>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1A"/>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453D"/>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361F"/>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190415"/>
    <w:rsid w:val="053A62B5"/>
    <w:rsid w:val="0861440E"/>
    <w:rsid w:val="0A2032A3"/>
    <w:rsid w:val="0B8A37D8"/>
    <w:rsid w:val="0CC13D97"/>
    <w:rsid w:val="0DCD54AC"/>
    <w:rsid w:val="0F9414C7"/>
    <w:rsid w:val="10C055FF"/>
    <w:rsid w:val="118107EC"/>
    <w:rsid w:val="11DD6519"/>
    <w:rsid w:val="129753AC"/>
    <w:rsid w:val="12AD47FA"/>
    <w:rsid w:val="14B30CCD"/>
    <w:rsid w:val="1558456A"/>
    <w:rsid w:val="16BB723D"/>
    <w:rsid w:val="18015F3F"/>
    <w:rsid w:val="1BE8440E"/>
    <w:rsid w:val="1D155CEE"/>
    <w:rsid w:val="1FB042F7"/>
    <w:rsid w:val="204C750C"/>
    <w:rsid w:val="20F57F95"/>
    <w:rsid w:val="227E656F"/>
    <w:rsid w:val="235D1B4E"/>
    <w:rsid w:val="23C916DC"/>
    <w:rsid w:val="240371BF"/>
    <w:rsid w:val="25711CC6"/>
    <w:rsid w:val="25C741E6"/>
    <w:rsid w:val="27692EE6"/>
    <w:rsid w:val="27842671"/>
    <w:rsid w:val="282E3EE4"/>
    <w:rsid w:val="29FD04D3"/>
    <w:rsid w:val="29FD225E"/>
    <w:rsid w:val="2ABE7A3E"/>
    <w:rsid w:val="2AFD7247"/>
    <w:rsid w:val="2C0B3917"/>
    <w:rsid w:val="2CA234A8"/>
    <w:rsid w:val="2DAE1EFE"/>
    <w:rsid w:val="2DF9613D"/>
    <w:rsid w:val="2EFA178C"/>
    <w:rsid w:val="30B46D73"/>
    <w:rsid w:val="319F7F4E"/>
    <w:rsid w:val="33344CEC"/>
    <w:rsid w:val="33616812"/>
    <w:rsid w:val="383D272C"/>
    <w:rsid w:val="39512CD3"/>
    <w:rsid w:val="39AE70AB"/>
    <w:rsid w:val="3C0C0783"/>
    <w:rsid w:val="3C1F0000"/>
    <w:rsid w:val="3F9F3A96"/>
    <w:rsid w:val="40734096"/>
    <w:rsid w:val="41E77BF5"/>
    <w:rsid w:val="44E75AE8"/>
    <w:rsid w:val="48BF60AB"/>
    <w:rsid w:val="493C27E9"/>
    <w:rsid w:val="496F39ED"/>
    <w:rsid w:val="49CF4DBC"/>
    <w:rsid w:val="49FF41D3"/>
    <w:rsid w:val="4B6C4CC7"/>
    <w:rsid w:val="4BE068DB"/>
    <w:rsid w:val="4BF6002B"/>
    <w:rsid w:val="4ECE2238"/>
    <w:rsid w:val="510529E2"/>
    <w:rsid w:val="51DB4B86"/>
    <w:rsid w:val="53F94893"/>
    <w:rsid w:val="55333C3E"/>
    <w:rsid w:val="59912F94"/>
    <w:rsid w:val="5B7D57E1"/>
    <w:rsid w:val="649A42B2"/>
    <w:rsid w:val="64CA39A1"/>
    <w:rsid w:val="66251BD5"/>
    <w:rsid w:val="66B37671"/>
    <w:rsid w:val="69591AB7"/>
    <w:rsid w:val="69630ADE"/>
    <w:rsid w:val="6A9F47FA"/>
    <w:rsid w:val="6C4A05C8"/>
    <w:rsid w:val="6D3B1A89"/>
    <w:rsid w:val="71BF4EC2"/>
    <w:rsid w:val="72734D90"/>
    <w:rsid w:val="73731112"/>
    <w:rsid w:val="7412278C"/>
    <w:rsid w:val="76377AFB"/>
    <w:rsid w:val="78BD3DE4"/>
    <w:rsid w:val="79E7B28D"/>
    <w:rsid w:val="7F9F20EE"/>
    <w:rsid w:val="7F9F2927"/>
    <w:rsid w:val="9E3A10E2"/>
    <w:rsid w:val="EDEB776A"/>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8.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F:\&#25856;&#26525;&#33457;&#24066;&#20307;&#32946;&#22330;&#39302;&#20013;&#24515;2021&#24180;&#20915;&#31639;&#20844;&#24320;\&#25856;&#26525;&#33457;&#24066;&#20307;&#32946;&#22330;&#39302;&#20013;&#24515;2021&#24180;&#21333;&#20301;&#20915;&#31639;&#20844;&#24320;&#25253;&#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25856;&#26525;&#33457;&#24066;&#20307;&#32946;&#22330;&#39302;&#20013;&#24515;2021&#24180;&#20915;&#31639;&#20844;&#24320;\&#25856;&#26525;&#33457;&#24066;&#20307;&#32946;&#22330;&#39302;&#20013;&#24515;2021&#24180;&#21333;&#20301;&#20915;&#31639;&#20844;&#24320;&#25253;&#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25856;&#26525;&#33457;&#24066;&#20307;&#32946;&#22330;&#39302;&#20013;&#24515;2021&#24180;&#20915;&#31639;&#20844;&#24320;\&#25856;&#26525;&#33457;&#24066;&#20307;&#32946;&#22330;&#39302;&#20013;&#24515;2021&#24180;&#21333;&#20301;&#20915;&#31639;&#20844;&#24320;&#25253;&#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25856;&#26525;&#33457;&#24066;&#20307;&#32946;&#22330;&#39302;&#20013;&#24515;2021&#24180;&#20915;&#31639;&#20844;&#24320;\&#25856;&#26525;&#33457;&#24066;&#20307;&#32946;&#22330;&#39302;&#20013;&#24515;2021&#24180;&#21333;&#20301;&#20915;&#31639;&#20844;&#24320;&#25253;&#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25856;&#26525;&#33457;&#24066;&#20307;&#32946;&#22330;&#39302;&#20013;&#24515;2021&#24180;&#20915;&#31639;&#20844;&#24320;\&#25856;&#26525;&#33457;&#24066;&#20307;&#32946;&#22330;&#39302;&#20013;&#24515;2021&#24180;&#21333;&#20301;&#20915;&#31639;&#20844;&#24320;&#25253;&#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5856;&#26525;&#33457;&#24066;&#20307;&#32946;&#22330;&#39302;&#20013;&#24515;2021&#24180;&#20915;&#31639;&#20844;&#24320;\&#25856;&#26525;&#33457;&#24066;&#20307;&#32946;&#22330;&#39302;&#20013;&#24515;2021&#24180;&#21333;&#20301;&#20915;&#31639;&#20844;&#24320;&#25253;&#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25856;&#26525;&#33457;&#24066;&#20307;&#32946;&#22330;&#39302;&#20013;&#24515;2021&#24180;&#20915;&#31639;&#20844;&#24320;\&#25856;&#26525;&#33457;&#24066;&#20307;&#32946;&#22330;&#39302;&#20013;&#24515;2021&#24180;&#21333;&#20301;&#20915;&#31639;&#20844;&#24320;&#25253;&#34920;.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5856;&#26525;&#33457;&#24066;&#20307;&#32946;&#22330;&#39302;&#20013;&#24515;2021&#24180;&#20915;&#31639;&#20844;&#24320;\&#25856;&#26525;&#33457;&#24066;&#20307;&#32946;&#22330;&#39302;&#20013;&#24515;2021&#24180;&#21333;&#20301;&#20915;&#31639;&#20844;&#24320;&#25253;&#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endParaRPr lang="zh-CN" altLang="en-US"/>
          </a:p>
        </c:rich>
      </c:tx>
      <c:layout>
        <c:manualLayout>
          <c:xMode val="edge"/>
          <c:yMode val="edge"/>
          <c:x val="0.276944444444444"/>
          <c:y val="0.00694444444444444"/>
        </c:manualLayout>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Pt>
            <c:idx val="1"/>
            <c:invertIfNegative val="false"/>
            <c:bubble3D val="false"/>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[攀枝花市体育场馆中心2021年单位决算公开报表.XLS]Sheet1!$I$15:$I$16</c:f>
              <c:strCache>
                <c:ptCount val="2"/>
                <c:pt idx="0">
                  <c:v>2021年</c:v>
                </c:pt>
                <c:pt idx="1">
                  <c:v>2022年</c:v>
                </c:pt>
              </c:strCache>
            </c:strRef>
          </c:cat>
          <c:val>
            <c:numRef>
              <c:f>[攀枝花市体育场馆中心2021年单位决算公开报表.XLS]Sheet1!$J$15:$J$16</c:f>
              <c:numCache>
                <c:formatCode>General</c:formatCode>
                <c:ptCount val="2"/>
                <c:pt idx="0">
                  <c:v>1175.65</c:v>
                </c:pt>
                <c:pt idx="1">
                  <c:v>1456.66</c:v>
                </c:pt>
              </c:numCache>
            </c:numRef>
          </c:val>
        </c:ser>
        <c:dLbls>
          <c:showLegendKey val="false"/>
          <c:showVal val="true"/>
          <c:showCatName val="false"/>
          <c:showSerName val="false"/>
          <c:showPercent val="false"/>
          <c:showBubbleSize val="false"/>
        </c:dLbls>
        <c:gapWidth val="219"/>
        <c:overlap val="-27"/>
        <c:axId val="60540849"/>
        <c:axId val="276341543"/>
      </c:barChart>
      <c:catAx>
        <c:axId val="60540849"/>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76341543"/>
        <c:crosses val="autoZero"/>
        <c:auto val="true"/>
        <c:lblAlgn val="ctr"/>
        <c:lblOffset val="100"/>
        <c:noMultiLvlLbl val="false"/>
      </c:catAx>
      <c:valAx>
        <c:axId val="27634154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0540849"/>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endParaRPr lang="zh-CN" altLang="en-US"/>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[攀枝花市体育场馆中心2021年单位决算公开报表.XLS]Sheet1!$H$47:$H$48</c:f>
              <c:strCache>
                <c:ptCount val="2"/>
                <c:pt idx="0">
                  <c:v>一般公共预算财政拨款收入</c:v>
                </c:pt>
                <c:pt idx="1">
                  <c:v>政府性基金预算财政拨款收入</c:v>
                </c:pt>
              </c:strCache>
            </c:strRef>
          </c:cat>
          <c:val>
            <c:numRef>
              <c:f>[攀枝花市体育场馆中心2021年单位决算公开报表.XLS]Sheet1!$I$47:$I$48</c:f>
              <c:numCache>
                <c:formatCode>#,##0.00</c:formatCode>
                <c:ptCount val="2"/>
                <c:pt idx="0">
                  <c:v>1184.74</c:v>
                </c:pt>
                <c:pt idx="1">
                  <c:v>256.53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endParaRPr lang="zh-CN" altLang="en-US"/>
          </a:p>
        </c:rich>
      </c:tx>
      <c:layout>
        <c:manualLayout>
          <c:xMode val="edge"/>
          <c:yMode val="edge"/>
          <c:x val="0.358194444444444"/>
          <c:y val="0.0486111111111111"/>
        </c:manualLayout>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[攀枝花市体育场馆中心2021年单位决算公开报表.XLS]Sheet1!$H$70:$H$71</c:f>
              <c:strCache>
                <c:ptCount val="2"/>
                <c:pt idx="0">
                  <c:v>基本支出</c:v>
                </c:pt>
                <c:pt idx="1">
                  <c:v>项目支出</c:v>
                </c:pt>
              </c:strCache>
            </c:strRef>
          </c:cat>
          <c:val>
            <c:numRef>
              <c:f>[攀枝花市体育场馆中心2021年单位决算公开报表.XLS]Sheet1!$I$70:$I$71</c:f>
              <c:numCache>
                <c:formatCode>General</c:formatCode>
                <c:ptCount val="2"/>
                <c:pt idx="0">
                  <c:v>634.01</c:v>
                </c:pt>
                <c:pt idx="1">
                  <c:v>822.65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endParaRPr lang="zh-CN" altLang="en-US"/>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Pt>
            <c:idx val="1"/>
            <c:invertIfNegative val="false"/>
            <c:bubble3D val="false"/>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[攀枝花市体育场馆中心2021年单位决算公开报表.XLS]Sheet1!$H$85:$H$86</c:f>
              <c:strCache>
                <c:ptCount val="2"/>
                <c:pt idx="0">
                  <c:v>2021年</c:v>
                </c:pt>
                <c:pt idx="1">
                  <c:v>2022年</c:v>
                </c:pt>
              </c:strCache>
            </c:strRef>
          </c:cat>
          <c:val>
            <c:numRef>
              <c:f>[攀枝花市体育场馆中心2021年单位决算公开报表.XLS]Sheet1!$I$85:$I$86</c:f>
              <c:numCache>
                <c:formatCode>General</c:formatCode>
                <c:ptCount val="2"/>
                <c:pt idx="0">
                  <c:v>1175.65</c:v>
                </c:pt>
                <c:pt idx="1">
                  <c:v>1441.27</c:v>
                </c:pt>
              </c:numCache>
            </c:numRef>
          </c:val>
        </c:ser>
        <c:dLbls>
          <c:showLegendKey val="false"/>
          <c:showVal val="true"/>
          <c:showCatName val="false"/>
          <c:showSerName val="false"/>
          <c:showPercent val="false"/>
          <c:showBubbleSize val="false"/>
        </c:dLbls>
        <c:gapWidth val="219"/>
        <c:overlap val="-27"/>
        <c:axId val="260837775"/>
        <c:axId val="708129699"/>
      </c:barChart>
      <c:catAx>
        <c:axId val="260837775"/>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08129699"/>
        <c:crosses val="autoZero"/>
        <c:auto val="true"/>
        <c:lblAlgn val="ctr"/>
        <c:lblOffset val="100"/>
        <c:noMultiLvlLbl val="false"/>
      </c:catAx>
      <c:valAx>
        <c:axId val="70812969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60837775"/>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endParaRPr lang="zh-CN" altLang="en-US"/>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Pt>
            <c:idx val="1"/>
            <c:invertIfNegative val="false"/>
            <c:bubble3D val="false"/>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[攀枝花市体育场馆中心2021年单位决算公开报表.XLS]Sheet1!$H$92:$H$93</c:f>
              <c:strCache>
                <c:ptCount val="2"/>
                <c:pt idx="0">
                  <c:v>2021年</c:v>
                </c:pt>
                <c:pt idx="1">
                  <c:v>2022年</c:v>
                </c:pt>
              </c:strCache>
            </c:strRef>
          </c:cat>
          <c:val>
            <c:numRef>
              <c:f>[攀枝花市体育场馆中心2021年单位决算公开报表.XLS]Sheet1!$I$92:$I$93</c:f>
              <c:numCache>
                <c:formatCode>General</c:formatCode>
                <c:ptCount val="2"/>
                <c:pt idx="0">
                  <c:v>701.28</c:v>
                </c:pt>
                <c:pt idx="1">
                  <c:v>1200.13</c:v>
                </c:pt>
              </c:numCache>
            </c:numRef>
          </c:val>
        </c:ser>
        <c:dLbls>
          <c:showLegendKey val="false"/>
          <c:showVal val="true"/>
          <c:showCatName val="false"/>
          <c:showSerName val="false"/>
          <c:showPercent val="false"/>
          <c:showBubbleSize val="false"/>
        </c:dLbls>
        <c:gapWidth val="219"/>
        <c:overlap val="-27"/>
        <c:axId val="761277047"/>
        <c:axId val="405976015"/>
      </c:barChart>
      <c:catAx>
        <c:axId val="761277047"/>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05976015"/>
        <c:crosses val="autoZero"/>
        <c:auto val="true"/>
        <c:lblAlgn val="ctr"/>
        <c:lblOffset val="100"/>
        <c:noMultiLvlLbl val="false"/>
      </c:catAx>
      <c:valAx>
        <c:axId val="405976015"/>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6127704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endParaRPr lang="zh-CN" altLang="en-US"/>
          </a:p>
        </c:rich>
      </c:tx>
      <c:layout>
        <c:manualLayout>
          <c:xMode val="edge"/>
          <c:yMode val="edge"/>
          <c:x val="0.191527777777778"/>
          <c:y val="0.00694444444444444"/>
        </c:manualLayout>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6"/>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117799702942009"/>
                  <c:y val="-0.20240161248238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358112386890469"/>
                  <c:y val="0.011729799890412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504968517004667"/>
                  <c:y val="0.001455016506775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[攀枝花市体育场馆中心2021年单位决算公开报表.XLS]Sheet1!$H$120:$H$122</c:f>
              <c:strCache>
                <c:ptCount val="3"/>
                <c:pt idx="0">
                  <c:v>文化旅游体育与传媒支出</c:v>
                </c:pt>
                <c:pt idx="1">
                  <c:v>社会保障和就业支出</c:v>
                </c:pt>
                <c:pt idx="2">
                  <c:v>住房保障支出</c:v>
                </c:pt>
              </c:strCache>
            </c:strRef>
          </c:cat>
          <c:val>
            <c:numRef>
              <c:f>[攀枝花市体育场馆中心2021年单位决算公开报表.XLS]Sheet1!$I$120:$I$122</c:f>
              <c:numCache>
                <c:formatCode>General</c:formatCode>
                <c:ptCount val="3"/>
                <c:pt idx="0">
                  <c:v>1110.72</c:v>
                </c:pt>
                <c:pt idx="1">
                  <c:v>41.61</c:v>
                </c:pt>
                <c:pt idx="2">
                  <c:v>47.8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a:ln>
              <a:noFill/>
            </a:ln>
            <a:effectLst/>
          </c:spPr>
          <c:invertIfNegative val="false"/>
          <c:dPt>
            <c:idx val="1"/>
            <c:invertIfNegative val="false"/>
            <c:bubble3D val="false"/>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[攀枝花市体育场馆中心2021年单位决算公开报表.XLS]Sheet1!$H$141:$H$142</c:f>
              <c:strCache>
                <c:ptCount val="2"/>
                <c:pt idx="0">
                  <c:v>2021年</c:v>
                </c:pt>
                <c:pt idx="1">
                  <c:v>2022年</c:v>
                </c:pt>
              </c:strCache>
            </c:strRef>
          </c:cat>
          <c:val>
            <c:numRef>
              <c:f>[攀枝花市体育场馆中心2021年单位决算公开报表.XLS]Sheet1!$I$141:$I$142</c:f>
              <c:numCache>
                <c:formatCode>General</c:formatCode>
                <c:ptCount val="2"/>
                <c:pt idx="0">
                  <c:v>2.46</c:v>
                </c:pt>
                <c:pt idx="1">
                  <c:v>1.25</c:v>
                </c:pt>
              </c:numCache>
            </c:numRef>
          </c:val>
        </c:ser>
        <c:dLbls>
          <c:showLegendKey val="false"/>
          <c:showVal val="true"/>
          <c:showCatName val="false"/>
          <c:showSerName val="false"/>
          <c:showPercent val="false"/>
          <c:showBubbleSize val="false"/>
        </c:dLbls>
        <c:gapWidth val="219"/>
        <c:overlap val="-27"/>
        <c:axId val="771548340"/>
        <c:axId val="781557841"/>
      </c:barChart>
      <c:catAx>
        <c:axId val="771548340"/>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81557841"/>
        <c:crosses val="autoZero"/>
        <c:auto val="true"/>
        <c:lblAlgn val="ctr"/>
        <c:lblOffset val="100"/>
        <c:noMultiLvlLbl val="false"/>
      </c:catAx>
      <c:valAx>
        <c:axId val="781557841"/>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7154834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endParaRPr lang="zh-CN" altLang="en-US"/>
          </a:p>
        </c:rich>
      </c:tx>
      <c:layout>
        <c:manualLayout>
          <c:xMode val="edge"/>
          <c:yMode val="edge"/>
          <c:x val="0.241527777777778"/>
          <c:y val="0.0104166666666667"/>
        </c:manualLayout>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[攀枝花市体育场馆中心2021年单位决算公开报表.XLS]Sheet1!$K$153:$K$154</c:f>
              <c:strCache>
                <c:ptCount val="2"/>
                <c:pt idx="0">
                  <c:v>公务用车购置及运行维护费</c:v>
                </c:pt>
                <c:pt idx="1">
                  <c:v>公务接待费</c:v>
                </c:pt>
              </c:strCache>
            </c:strRef>
          </c:cat>
          <c:val>
            <c:numRef>
              <c:f>[攀枝花市体育场馆中心2021年单位决算公开报表.XLS]Sheet1!$L$153:$L$154</c:f>
              <c:numCache>
                <c:formatCode>General</c:formatCode>
                <c:ptCount val="2"/>
                <c:pt idx="0">
                  <c:v>1.02</c:v>
                </c:pt>
                <c:pt idx="1">
                  <c:v>0.23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5057</Words>
  <Characters>2469</Characters>
  <Lines>20</Lines>
  <Paragraphs>15</Paragraphs>
  <TotalTime>0</TotalTime>
  <ScaleCrop>false</ScaleCrop>
  <LinksUpToDate>false</LinksUpToDate>
  <CharactersWithSpaces>7511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2023-09-15T11:33:48Z</dcterms:modified>
  <dc:title>四川省***</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2905D69C9FBD437A91C9DD05ABC306DC_12</vt:lpwstr>
  </property>
</Properties>
</file>