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96475"/>
      <w:bookmarkStart w:id="4" w:name="_Toc15378441"/>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06268"/>
      <w:bookmarkStart w:id="9" w:name="_Toc15377194"/>
      <w:bookmarkStart w:id="10" w:name="_Toc15396476"/>
      <w:bookmarkStart w:id="11" w:name="_Toc15377426"/>
      <w:r>
        <w:rPr>
          <w:rFonts w:hint="eastAsia" w:ascii="方正小标宋简体" w:hAnsi="方正小标宋简体" w:eastAsia="方正小标宋简体" w:cs="方正小标宋简体"/>
          <w:sz w:val="72"/>
          <w:szCs w:val="72"/>
        </w:rPr>
        <w:t>四川省攀枝花开放大学单位决算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15</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rPr>
        <w:t>4</w:t>
      </w:r>
    </w:p>
    <w:p>
      <w:pPr>
        <w:pStyle w:val="11"/>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rPr>
        <w:t>4</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szCs w:val="24"/>
        </w:rPr>
        <w:tab/>
      </w:r>
      <w:r>
        <w:rPr>
          <w:rFonts w:hint="eastAsia" w:cstheme="minorBidi"/>
          <w:sz w:val="24"/>
          <w:szCs w:val="24"/>
        </w:rPr>
        <w:t>5</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hint="eastAsia" w:cstheme="minorBidi"/>
          <w:sz w:val="24"/>
        </w:rPr>
        <w:t>6</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hint="eastAsia" w:cstheme="minorBidi"/>
          <w:sz w:val="24"/>
        </w:rPr>
        <w:t>6</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b/>
          <w:bCs/>
          <w:sz w:val="24"/>
        </w:rPr>
      </w:pPr>
      <w:r>
        <w:rPr>
          <w:rFonts w:hint="eastAsia"/>
          <w:sz w:val="24"/>
        </w:rPr>
        <w:t>六、一般公共预算财政拨款基本支出决算情况说明</w:t>
      </w:r>
      <w:r>
        <w:rPr>
          <w:rFonts w:cstheme="minorBidi"/>
          <w:sz w:val="24"/>
        </w:rPr>
        <w:tab/>
      </w:r>
      <w:r>
        <w:rPr>
          <w:rFonts w:hint="eastAsia" w:cstheme="minorBidi"/>
          <w:sz w:val="24"/>
        </w:rPr>
        <w:t>9</w:t>
      </w:r>
    </w:p>
    <w:p>
      <w:pPr>
        <w:pStyle w:val="11"/>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hint="eastAsia" w:cstheme="minorBidi"/>
          <w:sz w:val="24"/>
        </w:rPr>
        <w:t>10</w:t>
      </w:r>
    </w:p>
    <w:p>
      <w:pPr>
        <w:pStyle w:val="11"/>
        <w:adjustRightInd w:val="0"/>
        <w:snapToGrid w:val="0"/>
        <w:spacing w:line="440" w:lineRule="exact"/>
        <w:jc w:val="left"/>
        <w:rPr>
          <w:rFonts w:hint="eastAsia" w:ascii="仿宋" w:hAnsi="仿宋" w:eastAsia="宋体" w:cstheme="minorBidi"/>
          <w:sz w:val="24"/>
          <w:lang w:eastAsia="zh-CN"/>
        </w:rPr>
      </w:pPr>
      <w:r>
        <w:rPr>
          <w:rFonts w:hint="eastAsia"/>
          <w:sz w:val="24"/>
        </w:rPr>
        <w:t>八、政府性基金预算支出决算情况说明</w:t>
      </w:r>
      <w:r>
        <w:rPr>
          <w:rFonts w:cstheme="minorBidi"/>
          <w:sz w:val="24"/>
        </w:rPr>
        <w:tab/>
      </w:r>
      <w:r>
        <w:rPr>
          <w:rFonts w:hint="eastAsia" w:cstheme="minorBidi"/>
          <w:sz w:val="24"/>
        </w:rPr>
        <w:t>1</w:t>
      </w:r>
      <w:r>
        <w:rPr>
          <w:rFonts w:hint="eastAsia" w:cstheme="minorBidi"/>
          <w:sz w:val="24"/>
          <w:lang w:val="en-US" w:eastAsia="zh-CN"/>
        </w:rPr>
        <w:t>3</w:t>
      </w:r>
    </w:p>
    <w:p>
      <w:pPr>
        <w:pStyle w:val="11"/>
        <w:adjustRightInd w:val="0"/>
        <w:snapToGrid w:val="0"/>
        <w:spacing w:line="440" w:lineRule="exact"/>
        <w:jc w:val="left"/>
        <w:rPr>
          <w:rFonts w:hint="eastAsia" w:cstheme="minorBidi"/>
          <w:sz w:val="24"/>
          <w:lang w:val="en-US" w:eastAsia="zh-CN"/>
        </w:rPr>
      </w:pPr>
      <w:r>
        <w:rPr>
          <w:rFonts w:hint="eastAsia"/>
          <w:sz w:val="24"/>
        </w:rPr>
        <w:t>九、国有资本经营预算支出决算情况说明</w:t>
      </w:r>
      <w:r>
        <w:rPr>
          <w:rFonts w:cstheme="minorBidi"/>
          <w:sz w:val="24"/>
        </w:rPr>
        <w:tab/>
      </w:r>
      <w:r>
        <w:rPr>
          <w:rFonts w:hint="eastAsia" w:cstheme="minorBidi"/>
          <w:sz w:val="24"/>
        </w:rPr>
        <w:t>1</w:t>
      </w:r>
      <w:r>
        <w:rPr>
          <w:rFonts w:hint="eastAsia" w:cstheme="minorBidi"/>
          <w:sz w:val="24"/>
          <w:lang w:val="en-US" w:eastAsia="zh-CN"/>
        </w:rPr>
        <w:t>3</w:t>
      </w:r>
    </w:p>
    <w:p>
      <w:pPr>
        <w:pStyle w:val="11"/>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13</w:t>
      </w:r>
    </w:p>
    <w:p>
      <w:pPr>
        <w:pStyle w:val="10"/>
        <w:adjustRightInd w:val="0"/>
        <w:snapToGrid w:val="0"/>
        <w:spacing w:before="0" w:line="440" w:lineRule="exact"/>
        <w:jc w:val="left"/>
        <w:rPr>
          <w:rFonts w:hint="eastAsia" w:eastAsia="仿宋" w:cstheme="minorBidi"/>
          <w:sz w:val="24"/>
          <w:szCs w:val="24"/>
          <w:lang w:eastAsia="zh-CN"/>
        </w:rPr>
      </w:pPr>
      <w:r>
        <w:rPr>
          <w:rFonts w:hint="eastAsia"/>
          <w:sz w:val="24"/>
        </w:rPr>
        <w:t>第三部分</w:t>
      </w:r>
      <w:r>
        <w:rPr>
          <w:sz w:val="24"/>
        </w:rPr>
        <w:t xml:space="preserve"> </w:t>
      </w:r>
      <w:r>
        <w:rPr>
          <w:rFonts w:hint="eastAsia"/>
          <w:sz w:val="24"/>
        </w:rPr>
        <w:t>名词解释</w:t>
      </w:r>
      <w:r>
        <w:rPr>
          <w:rFonts w:cstheme="minorBidi"/>
          <w:sz w:val="24"/>
          <w:szCs w:val="24"/>
        </w:rPr>
        <w:tab/>
      </w:r>
      <w:r>
        <w:rPr>
          <w:rFonts w:hint="eastAsia" w:cstheme="minorBidi"/>
          <w:sz w:val="24"/>
          <w:szCs w:val="24"/>
        </w:rPr>
        <w:t>1</w:t>
      </w:r>
      <w:r>
        <w:rPr>
          <w:rFonts w:hint="eastAsia" w:cstheme="minorBidi"/>
          <w:sz w:val="24"/>
          <w:szCs w:val="24"/>
          <w:lang w:val="en-US" w:eastAsia="zh-CN"/>
        </w:rPr>
        <w:t>5</w:t>
      </w:r>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szCs w:val="24"/>
        </w:rPr>
        <w:tab/>
      </w:r>
      <w:r>
        <w:rPr>
          <w:rFonts w:hint="eastAsia" w:cstheme="minorBidi"/>
          <w:sz w:val="24"/>
          <w:szCs w:val="24"/>
        </w:rPr>
        <w:t>1</w:t>
      </w:r>
      <w:r>
        <w:rPr>
          <w:rFonts w:hint="eastAsia" w:cstheme="minorBidi"/>
          <w:sz w:val="24"/>
          <w:szCs w:val="24"/>
          <w:lang w:val="en-US" w:eastAsia="zh-CN"/>
        </w:rPr>
        <w:t>7</w:t>
      </w:r>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szCs w:val="24"/>
        </w:rPr>
        <w:tab/>
      </w:r>
      <w:bookmarkStart w:id="68" w:name="_GoBack"/>
      <w:bookmarkEnd w:id="68"/>
      <w:r>
        <w:rPr>
          <w:rFonts w:hint="eastAsia" w:cstheme="minorBidi"/>
          <w:sz w:val="24"/>
          <w:szCs w:val="24"/>
        </w:rPr>
        <w:t>1</w:t>
      </w:r>
      <w:r>
        <w:rPr>
          <w:rFonts w:hint="eastAsia" w:cstheme="minorBidi"/>
          <w:sz w:val="24"/>
          <w:szCs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一、收入支出决算总表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二、收入决算表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b/>
          <w:bCs/>
          <w:sz w:val="24"/>
          <w:lang w:eastAsia="zh-CN"/>
        </w:rPr>
      </w:pPr>
      <w:r>
        <w:rPr>
          <w:rFonts w:hint="eastAsia"/>
          <w:sz w:val="24"/>
        </w:rPr>
        <w:t>三、支出决算表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四、财政拨款收入支出决算总表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五、财政拨款支出决算明细表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六、一般公共预算财政拨款支出决算表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七、一般公共预算财政拨款支出决算明细表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八、一般公共预算财政拨款基本支出决算明细表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九、一般公共预算财政拨款项目支出决算表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十、政府性基金预算财政拨款收入支出决算表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十一、国有资本经营预算财政拨款收入支出决算表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十二、国有资本经营预算财政拨款支出决算表</w:t>
      </w:r>
      <w:r>
        <w:rPr>
          <w:rFonts w:cstheme="minorBidi"/>
          <w:sz w:val="24"/>
        </w:rPr>
        <w:tab/>
      </w:r>
      <w:r>
        <w:rPr>
          <w:rFonts w:hint="eastAsia" w:cstheme="minorBidi"/>
          <w:sz w:val="24"/>
        </w:rPr>
        <w:t>1</w:t>
      </w:r>
      <w:r>
        <w:rPr>
          <w:rFonts w:hint="eastAsia" w:cstheme="minorBidi"/>
          <w:sz w:val="24"/>
          <w:lang w:val="en-US" w:eastAsia="zh-CN"/>
        </w:rPr>
        <w:t>8</w:t>
      </w:r>
    </w:p>
    <w:p>
      <w:pPr>
        <w:pStyle w:val="11"/>
        <w:adjustRightInd w:val="0"/>
        <w:snapToGrid w:val="0"/>
        <w:spacing w:line="440" w:lineRule="exact"/>
        <w:jc w:val="left"/>
        <w:rPr>
          <w:rFonts w:hint="eastAsia" w:eastAsia="宋体"/>
          <w:sz w:val="24"/>
          <w:lang w:eastAsia="zh-CN"/>
        </w:rPr>
      </w:pPr>
      <w:r>
        <w:rPr>
          <w:rFonts w:hint="eastAsia"/>
          <w:sz w:val="24"/>
        </w:rPr>
        <w:t>十三、财政拨款“三公”经费支出决算表</w:t>
      </w:r>
      <w:r>
        <w:rPr>
          <w:rFonts w:cstheme="minorBidi"/>
          <w:sz w:val="24"/>
        </w:rPr>
        <w:tab/>
      </w:r>
      <w:r>
        <w:rPr>
          <w:rFonts w:hint="eastAsia" w:cstheme="minorBidi"/>
          <w:sz w:val="24"/>
        </w:rPr>
        <w:t>1</w:t>
      </w:r>
      <w:r>
        <w:rPr>
          <w:rFonts w:hint="eastAsia" w:cstheme="minorBidi"/>
          <w:sz w:val="24"/>
          <w:lang w:val="en-US" w:eastAsia="zh-CN"/>
        </w:rPr>
        <w:t>8</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ind w:firstLine="640" w:firstLineChars="200"/>
      </w:pPr>
      <w:r>
        <w:rPr>
          <w:rFonts w:hint="eastAsia" w:ascii="仿宋" w:hAnsi="仿宋" w:eastAsia="仿宋"/>
          <w:sz w:val="32"/>
          <w:szCs w:val="32"/>
        </w:rPr>
        <w:t>攀枝花开放大学是攀枝花市人民政府主办，直属市教育和体育局管理，以促进终身学习为使命、以现代信息技术为支撑、以“互联网十”为特征，面向社会成员开展终身教育的市属公办新型高等学校。学校主要职责为服务攀枝花市全民终身学习，推进攀枝花市开放教育体系建设，探索高等教育、职业教育与继续教育融合发展；承担全市普通话培训、测试工作；承担社区教育及社区教育指导工作。</w:t>
      </w:r>
    </w:p>
    <w:p>
      <w:pPr>
        <w:pStyle w:val="4"/>
        <w:rPr>
          <w:rFonts w:ascii="黑体" w:hAnsi="黑体" w:eastAsia="黑体"/>
          <w:b w:val="0"/>
        </w:rPr>
      </w:pPr>
      <w:r>
        <w:rPr>
          <w:rFonts w:hint="eastAsia" w:ascii="黑体" w:hAnsi="黑体" w:eastAsia="黑体"/>
          <w:b w:val="0"/>
        </w:rPr>
        <w:t>二、机构设置</w:t>
      </w:r>
    </w:p>
    <w:bookmarkEnd w:id="14"/>
    <w:bookmarkEnd w:id="15"/>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学校现有党委办公室、办公室、教务科、教学科、科研科、培训和社区教育科、检测科、总务科、信息资源中心</w:t>
      </w:r>
    </w:p>
    <w:p>
      <w:pPr>
        <w:widowControl/>
        <w:jc w:val="left"/>
        <w:rPr>
          <w:rFonts w:ascii="仿宋" w:hAnsi="仿宋" w:eastAsia="仿宋"/>
          <w:kern w:val="0"/>
          <w:sz w:val="32"/>
          <w:szCs w:val="32"/>
        </w:rPr>
      </w:pPr>
      <w:r>
        <w:rPr>
          <w:rFonts w:hint="eastAsia" w:ascii="仿宋_GB2312" w:hAnsi="仿宋" w:eastAsia="仿宋_GB2312"/>
          <w:sz w:val="32"/>
          <w:szCs w:val="32"/>
        </w:rPr>
        <w:t>九个内设机构。</w:t>
      </w: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2022年度收、支总计1214.78万元。与2021年相比，收、支总计各增加80.35万元，增长7.08</w:t>
      </w:r>
      <w:r>
        <w:rPr>
          <w:rFonts w:ascii="仿宋" w:hAnsi="仿宋" w:eastAsia="仿宋"/>
          <w:sz w:val="32"/>
          <w:szCs w:val="32"/>
        </w:rPr>
        <w:t>%</w:t>
      </w:r>
      <w:r>
        <w:rPr>
          <w:rFonts w:hint="eastAsia" w:ascii="仿宋" w:hAnsi="仿宋" w:eastAsia="仿宋"/>
          <w:sz w:val="32"/>
          <w:szCs w:val="32"/>
        </w:rPr>
        <w:t>。主要变动原因是事业收入和事业支出增加。</w:t>
      </w:r>
    </w:p>
    <w:p>
      <w:pPr>
        <w:pStyle w:val="2"/>
        <w:spacing w:before="93"/>
        <w:rPr>
          <w:rFonts w:ascii="仿宋" w:hAnsi="仿宋" w:eastAsia="仿宋"/>
          <w:sz w:val="32"/>
          <w:szCs w:val="32"/>
        </w:rPr>
      </w:pPr>
      <w:r>
        <w:drawing>
          <wp:inline distT="0" distB="0" distL="114300" distR="114300">
            <wp:extent cx="51435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  单位：万元）</w:t>
      </w:r>
    </w:p>
    <w:p>
      <w:pPr>
        <w:pStyle w:val="23"/>
        <w:numPr>
          <w:ilvl w:val="0"/>
          <w:numId w:val="2"/>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22年本年收入合计1179.53万元，其中：一般公共预算财政拨款收入992.49万元，占84.14</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；事业收入187.04万元，占15.86</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b/>
          <w:sz w:val="32"/>
          <w:szCs w:val="32"/>
        </w:rPr>
      </w:pPr>
    </w:p>
    <w:p>
      <w:pPr>
        <w:pStyle w:val="2"/>
        <w:spacing w:before="93"/>
      </w:pPr>
      <w:r>
        <w:drawing>
          <wp:inline distT="0" distB="0" distL="114300" distR="114300">
            <wp:extent cx="5270500" cy="2584450"/>
            <wp:effectExtent l="4445" t="4445" r="20955" b="2095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  单位：万元）</w:t>
      </w: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22年本年支出合计1214.78万元，其中：基本支出1159.98万元，占95.49</w:t>
      </w:r>
      <w:r>
        <w:rPr>
          <w:rFonts w:ascii="仿宋" w:hAnsi="仿宋" w:eastAsia="仿宋"/>
          <w:sz w:val="32"/>
          <w:szCs w:val="32"/>
        </w:rPr>
        <w:t>%</w:t>
      </w:r>
      <w:r>
        <w:rPr>
          <w:rFonts w:hint="eastAsia" w:ascii="仿宋" w:hAnsi="仿宋" w:eastAsia="仿宋"/>
          <w:sz w:val="32"/>
          <w:szCs w:val="32"/>
        </w:rPr>
        <w:t>；项目支出54.80万元，占4.51</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shd w:val="pct10" w:color="auto" w:fill="FFFFFF"/>
        </w:rPr>
      </w:pPr>
      <w:r>
        <w:drawing>
          <wp:inline distT="0" distB="0" distL="114300" distR="114300">
            <wp:extent cx="5273040" cy="2567305"/>
            <wp:effectExtent l="4445" t="4445" r="18415" b="1905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  单位：万元）</w:t>
      </w: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pStyle w:val="2"/>
        <w:spacing w:before="93"/>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22年财政拨款收、支总计1,027.74万元。与</w:t>
      </w:r>
      <w:r>
        <w:rPr>
          <w:rFonts w:ascii="仿宋" w:hAnsi="仿宋" w:eastAsia="仿宋"/>
          <w:sz w:val="32"/>
          <w:szCs w:val="32"/>
        </w:rPr>
        <w:t>20</w:t>
      </w:r>
      <w:r>
        <w:rPr>
          <w:rFonts w:hint="eastAsia" w:ascii="仿宋" w:hAnsi="仿宋" w:eastAsia="仿宋"/>
          <w:sz w:val="32"/>
          <w:szCs w:val="32"/>
        </w:rPr>
        <w:t>21年相比，财政拨款收、支总计各减少106.69万元，下降9.40</w:t>
      </w:r>
      <w:r>
        <w:rPr>
          <w:rFonts w:ascii="仿宋" w:hAnsi="仿宋" w:eastAsia="仿宋"/>
          <w:sz w:val="32"/>
          <w:szCs w:val="32"/>
        </w:rPr>
        <w:t>%</w:t>
      </w:r>
      <w:r>
        <w:rPr>
          <w:rFonts w:hint="eastAsia" w:ascii="仿宋" w:hAnsi="仿宋" w:eastAsia="仿宋"/>
          <w:sz w:val="32"/>
          <w:szCs w:val="32"/>
        </w:rPr>
        <w:t>。主要变动原因是部分教育支出由事业收入中教育收费承担，财政拨款支出中教育支出减少，财政拨款收入对应减少。</w:t>
      </w:r>
      <w:r>
        <w:drawing>
          <wp:inline distT="0" distB="0" distL="114300" distR="114300">
            <wp:extent cx="5153025" cy="2695575"/>
            <wp:effectExtent l="4445" t="4445" r="5080" b="508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outlineLvl w:val="1"/>
        <w:rPr>
          <w:rFonts w:ascii="仿宋" w:hAnsi="仿宋" w:eastAsia="仿宋"/>
          <w:sz w:val="32"/>
          <w:szCs w:val="32"/>
        </w:rPr>
      </w:pPr>
      <w:r>
        <w:rPr>
          <w:rFonts w:hint="eastAsia" w:ascii="仿宋" w:hAnsi="仿宋" w:eastAsia="仿宋"/>
          <w:sz w:val="32"/>
          <w:szCs w:val="32"/>
        </w:rPr>
        <w:t>（图4：财政拨款收、支决算总计变动情况  单位：万元）</w:t>
      </w:r>
      <w:bookmarkStart w:id="26" w:name="_Toc15377209"/>
      <w:bookmarkStart w:id="27" w:name="_Toc15396607"/>
    </w:p>
    <w:p>
      <w:pPr>
        <w:spacing w:line="600" w:lineRule="exact"/>
        <w:ind w:firstLine="640" w:firstLineChars="200"/>
        <w:outlineLvl w:val="1"/>
        <w:rPr>
          <w:rStyle w:val="25"/>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22年一般公共预算财政拨款支出1,027.74万元，占本年支出合计的84.60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21年相比，一般公共预算财政拨款支出减少106.69万元，下降9.40</w:t>
      </w:r>
      <w:r>
        <w:rPr>
          <w:rFonts w:ascii="仿宋" w:hAnsi="仿宋" w:eastAsia="仿宋"/>
          <w:sz w:val="32"/>
          <w:szCs w:val="32"/>
        </w:rPr>
        <w:t>%</w:t>
      </w:r>
      <w:r>
        <w:rPr>
          <w:rFonts w:hint="eastAsia" w:ascii="仿宋" w:hAnsi="仿宋" w:eastAsia="仿宋"/>
          <w:sz w:val="32"/>
          <w:szCs w:val="32"/>
        </w:rPr>
        <w:t>。主要变动原因是部分教育支出由事业收入中教育收费承担，一般公共预算财政拨款支出中教育支出减少。</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5153025" cy="2695575"/>
            <wp:effectExtent l="4445" t="4445" r="5080" b="508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  单位：万元）</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22年一般公共预算财政拨款支出1027.74万元，主要用于以下方面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873.00万元，占84.94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80.46万元，占7.83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74.28万元，占7.23</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b/>
          <w:sz w:val="32"/>
          <w:szCs w:val="32"/>
        </w:rPr>
      </w:pPr>
      <w:r>
        <w:drawing>
          <wp:inline distT="0" distB="0" distL="114300" distR="114300">
            <wp:extent cx="4845050" cy="2479040"/>
            <wp:effectExtent l="4445" t="4445" r="8255" b="12065"/>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  单位：万元）</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2022年一般公共预算支出决算数为1,027.74</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教育（类）广播电视教育（款）广播电视教育（项）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支出决算为872.00万元，完成预算100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教育（类）教育费附加安排的支出（款）其他教育费附加安排的支出（项）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pPr>
      <w:r>
        <w:rPr>
          <w:rStyle w:val="14"/>
          <w:rFonts w:hint="eastAsia" w:ascii="仿宋" w:hAnsi="仿宋" w:eastAsia="仿宋"/>
          <w:bCs/>
          <w:sz w:val="32"/>
          <w:szCs w:val="32"/>
        </w:rPr>
        <w:t>3</w:t>
      </w:r>
      <w:r>
        <w:rPr>
          <w:rStyle w:val="14"/>
          <w:rFonts w:ascii="仿宋" w:hAnsi="仿宋" w:eastAsia="仿宋"/>
          <w:bCs/>
          <w:sz w:val="32"/>
          <w:szCs w:val="32"/>
        </w:rPr>
        <w:t>.</w:t>
      </w:r>
      <w:r>
        <w:rPr>
          <w:rStyle w:val="14"/>
          <w:rFonts w:hint="eastAsia" w:ascii="仿宋" w:hAnsi="仿宋" w:eastAsia="仿宋"/>
          <w:bCs/>
          <w:sz w:val="32"/>
          <w:szCs w:val="32"/>
        </w:rPr>
        <w:t>社会保障和就业（类）人力资源和社会保障管理事务（款）其他人力资源和社会保障管理事务支出（项）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支出决算为8.10万元，完成预算100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4</w:t>
      </w:r>
      <w:r>
        <w:rPr>
          <w:rStyle w:val="14"/>
          <w:rFonts w:ascii="仿宋" w:hAnsi="仿宋" w:eastAsia="仿宋"/>
          <w:bCs/>
          <w:sz w:val="32"/>
          <w:szCs w:val="32"/>
        </w:rPr>
        <w:t>.</w:t>
      </w:r>
      <w:r>
        <w:rPr>
          <w:rStyle w:val="14"/>
          <w:rFonts w:hint="eastAsia" w:ascii="仿宋" w:hAnsi="仿宋" w:eastAsia="仿宋"/>
          <w:bCs/>
          <w:sz w:val="32"/>
          <w:szCs w:val="32"/>
        </w:rPr>
        <w:t>社会保障和就业（类）行政事业单位养老支出（款）机关事业单位基本养老保险缴费支出（项）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支出决算为63.02万元，完成预算100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5.</w:t>
      </w:r>
      <w:r>
        <w:rPr>
          <w:rStyle w:val="14"/>
          <w:rFonts w:hint="eastAsia" w:ascii="仿宋" w:hAnsi="仿宋" w:eastAsia="仿宋"/>
          <w:bCs/>
          <w:sz w:val="32"/>
          <w:szCs w:val="32"/>
        </w:rPr>
        <w:t>社会保障和就业（类）抚恤（款）  死亡抚恤（项）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支出决算为9.34万元，完成预算100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w:t>
      </w:r>
      <w:r>
        <w:rPr>
          <w:rFonts w:hint="eastAsia" w:ascii="仿宋" w:hAnsi="仿宋" w:eastAsia="仿宋"/>
          <w:b/>
          <w:bCs/>
          <w:color w:val="000000"/>
          <w:sz w:val="32"/>
          <w:szCs w:val="32"/>
        </w:rPr>
        <w:t>住房保障支出</w:t>
      </w:r>
      <w:r>
        <w:rPr>
          <w:rStyle w:val="14"/>
          <w:rFonts w:hint="eastAsia" w:ascii="仿宋" w:hAnsi="仿宋" w:eastAsia="仿宋"/>
          <w:bCs/>
          <w:color w:val="000000"/>
          <w:sz w:val="32"/>
          <w:szCs w:val="32"/>
        </w:rPr>
        <w:t>（类）住房改革支出（款）住房</w:t>
      </w:r>
      <w:r>
        <w:rPr>
          <w:rStyle w:val="14"/>
          <w:rFonts w:ascii="仿宋" w:hAnsi="仿宋" w:eastAsia="仿宋"/>
          <w:bCs/>
          <w:color w:val="000000"/>
          <w:sz w:val="32"/>
          <w:szCs w:val="32"/>
        </w:rPr>
        <w:t>公积金</w:t>
      </w:r>
      <w:r>
        <w:rPr>
          <w:rStyle w:val="14"/>
          <w:rFonts w:hint="eastAsia" w:ascii="仿宋" w:hAnsi="仿宋" w:eastAsia="仿宋"/>
          <w:bCs/>
          <w:color w:val="000000"/>
          <w:sz w:val="32"/>
          <w:szCs w:val="32"/>
        </w:rPr>
        <w:t>（项）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支出决算为74.28万元，完成预算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22年一般公共预算财政拨款基本支出972.94万元，其中：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9</w:t>
      </w:r>
      <w:r>
        <w:rPr>
          <w:rFonts w:hint="eastAsia" w:ascii="仿宋" w:hAnsi="仿宋" w:eastAsia="仿宋"/>
          <w:sz w:val="32"/>
          <w:szCs w:val="32"/>
        </w:rPr>
        <w:t>54.22万元，主要包括：基本工资265.34万元、津贴补贴22.32万元、绩效工资306.75万元、机关事业单位基本养老保险缴费63.02万元、</w:t>
      </w:r>
      <w:r>
        <w:rPr>
          <w:rFonts w:hint="eastAsia" w:ascii="仿宋" w:hAnsi="仿宋" w:eastAsia="仿宋"/>
          <w:color w:val="000000"/>
          <w:sz w:val="32"/>
          <w:szCs w:val="32"/>
        </w:rPr>
        <w:t>职工基本医疗保险缴费51.49万元、公务员医疗补助缴费26.64万元、</w:t>
      </w:r>
      <w:r>
        <w:rPr>
          <w:rFonts w:hint="eastAsia" w:ascii="仿宋" w:hAnsi="仿宋" w:eastAsia="仿宋"/>
          <w:sz w:val="32"/>
          <w:szCs w:val="32"/>
        </w:rPr>
        <w:t>其他社会保障缴费19.03万元、住房公积金74.28万元、抚恤金9.34万元、生活补助114.68万元、其他对个人和家庭的补助支出1.32万元等。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公用经费18.72万元，主要包括：办公费2.92万元、水费0.44万元、电费0.64万元、邮电费0.23万元、差旅费5.53万元、公务接待费0.50万元、工会经费1.58万元、福利费0.47万元、公务用车运行维护费1</w:t>
      </w:r>
      <w:r>
        <w:rPr>
          <w:rFonts w:ascii="仿宋" w:hAnsi="仿宋" w:eastAsia="仿宋"/>
          <w:sz w:val="32"/>
          <w:szCs w:val="32"/>
        </w:rPr>
        <w:t>.62</w:t>
      </w:r>
      <w:r>
        <w:rPr>
          <w:rFonts w:hint="eastAsia" w:ascii="仿宋" w:hAnsi="仿宋" w:eastAsia="仿宋"/>
          <w:sz w:val="32"/>
          <w:szCs w:val="32"/>
        </w:rPr>
        <w:t>万元、其他交通费3.96万元、其他商品和服务支出0.83万元等。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22年“三公”经费财政拨款支出决算为2.12万元，完成预算67.52</w:t>
      </w:r>
      <w:r>
        <w:rPr>
          <w:rFonts w:ascii="仿宋" w:hAnsi="仿宋" w:eastAsia="仿宋"/>
          <w:sz w:val="32"/>
          <w:szCs w:val="32"/>
        </w:rPr>
        <w:t>%</w:t>
      </w:r>
      <w:r>
        <w:rPr>
          <w:rFonts w:hint="eastAsia" w:ascii="仿宋" w:hAnsi="仿宋" w:eastAsia="仿宋"/>
          <w:sz w:val="32"/>
          <w:szCs w:val="32"/>
        </w:rPr>
        <w:t>，较上年减少0.05万元，下降2.30%。决算数小于预算数的主要原因是受新冠病毒疫情影响，公务接待批次和接待人次减少。</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；公务用车购置及运行维护费支出决算1.62万元，占76.42</w:t>
      </w:r>
      <w:r>
        <w:rPr>
          <w:rFonts w:ascii="仿宋" w:hAnsi="仿宋" w:eastAsia="仿宋"/>
          <w:sz w:val="32"/>
          <w:szCs w:val="32"/>
        </w:rPr>
        <w:t>%</w:t>
      </w:r>
      <w:r>
        <w:rPr>
          <w:rFonts w:hint="eastAsia" w:ascii="仿宋" w:hAnsi="仿宋" w:eastAsia="仿宋"/>
          <w:sz w:val="32"/>
          <w:szCs w:val="32"/>
        </w:rPr>
        <w:t>；公务接待费支出决算0.50万元，占23.58</w:t>
      </w:r>
      <w:r>
        <w:rPr>
          <w:rFonts w:ascii="仿宋" w:hAnsi="仿宋" w:eastAsia="仿宋"/>
          <w:sz w:val="32"/>
          <w:szCs w:val="32"/>
        </w:rPr>
        <w:t>%</w:t>
      </w:r>
      <w:r>
        <w:rPr>
          <w:rFonts w:hint="eastAsia" w:ascii="仿宋" w:hAnsi="仿宋" w:eastAsia="仿宋"/>
          <w:sz w:val="32"/>
          <w:szCs w:val="32"/>
        </w:rPr>
        <w:t>。具体情况如下：</w:t>
      </w:r>
    </w:p>
    <w:p>
      <w:pPr>
        <w:pStyle w:val="2"/>
        <w:spacing w:before="93"/>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5273040" cy="2817495"/>
            <wp:effectExtent l="4445" t="4445" r="18415" b="1651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320" w:firstLineChars="100"/>
        <w:rPr>
          <w:rFonts w:ascii="仿宋" w:hAnsi="仿宋" w:eastAsia="仿宋"/>
          <w:sz w:val="32"/>
          <w:szCs w:val="32"/>
        </w:rPr>
      </w:pPr>
      <w:r>
        <w:rPr>
          <w:rFonts w:hint="eastAsia" w:ascii="仿宋" w:hAnsi="仿宋" w:eastAsia="仿宋"/>
          <w:sz w:val="32"/>
          <w:szCs w:val="32"/>
        </w:rPr>
        <w:t>（图7：“三公”经费财政拨款支出结构  单位：万元）</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w:t>
      </w:r>
      <w:r>
        <w:rPr>
          <w:rStyle w:val="14"/>
          <w:rFonts w:hint="eastAsia" w:ascii="仿宋" w:eastAsia="仿宋"/>
          <w:b w:val="0"/>
          <w:bCs/>
          <w:sz w:val="32"/>
          <w:szCs w:val="32"/>
        </w:rPr>
        <w:t>完成预算</w:t>
      </w:r>
      <w:r>
        <w:rPr>
          <w:rStyle w:val="14"/>
          <w:rFonts w:hint="eastAsia" w:ascii="仿宋" w:eastAsia="仿宋"/>
          <w:b w:val="0"/>
          <w:bCs/>
          <w:sz w:val="32"/>
          <w:szCs w:val="32"/>
          <w:lang w:val="en-US" w:eastAsia="zh-CN"/>
        </w:rPr>
        <w:t>0</w:t>
      </w:r>
      <w:r>
        <w:rPr>
          <w:rStyle w:val="14"/>
          <w:rFonts w:ascii="仿宋" w:eastAsia="仿宋"/>
          <w:b w:val="0"/>
          <w:bCs/>
          <w:sz w:val="32"/>
          <w:szCs w:val="32"/>
        </w:rPr>
        <w:t>%</w:t>
      </w:r>
      <w:r>
        <w:rPr>
          <w:rStyle w:val="14"/>
          <w:rFonts w:hint="eastAsia" w:ascii="仿宋" w:eastAsia="仿宋"/>
          <w:b w:val="0"/>
          <w:bCs/>
          <w:sz w:val="32"/>
          <w:szCs w:val="32"/>
        </w:rPr>
        <w:t>。</w:t>
      </w:r>
      <w:r>
        <w:rPr>
          <w:rFonts w:hint="eastAsia" w:ascii="仿宋_GB2312" w:eastAsia="仿宋_GB2312"/>
          <w:sz w:val="32"/>
          <w:szCs w:val="32"/>
        </w:rPr>
        <w:t>全年安排因公出国（境）团组</w:t>
      </w:r>
      <w:r>
        <w:rPr>
          <w:rFonts w:ascii="仿宋_GB2312" w:eastAsia="仿宋_GB2312"/>
          <w:sz w:val="32"/>
          <w:szCs w:val="32"/>
        </w:rPr>
        <w:t>0</w:t>
      </w:r>
      <w:r>
        <w:rPr>
          <w:rFonts w:hint="eastAsia" w:ascii="仿宋_GB2312" w:eastAsia="仿宋_GB2312"/>
          <w:sz w:val="32"/>
          <w:szCs w:val="32"/>
        </w:rPr>
        <w:t>次，出国（境）</w:t>
      </w:r>
      <w:r>
        <w:rPr>
          <w:rFonts w:ascii="仿宋_GB2312" w:eastAsia="仿宋_GB2312"/>
          <w:sz w:val="32"/>
          <w:szCs w:val="32"/>
        </w:rPr>
        <w:t>0</w:t>
      </w:r>
      <w:r>
        <w:rPr>
          <w:rFonts w:hint="eastAsia" w:ascii="仿宋_GB2312" w:eastAsia="仿宋_GB2312"/>
          <w:sz w:val="32"/>
          <w:szCs w:val="32"/>
        </w:rPr>
        <w:t>人。</w:t>
      </w:r>
      <w:r>
        <w:rPr>
          <w:rFonts w:hint="eastAsia" w:ascii="仿宋" w:eastAsia="仿宋"/>
          <w:color w:val="000000"/>
          <w:sz w:val="32"/>
          <w:szCs w:val="32"/>
        </w:rPr>
        <w:t>因公出国（境）支出决算与</w:t>
      </w:r>
      <w:r>
        <w:rPr>
          <w:rFonts w:ascii="仿宋" w:eastAsia="仿宋"/>
          <w:color w:val="000000"/>
          <w:sz w:val="32"/>
          <w:szCs w:val="32"/>
        </w:rPr>
        <w:t>20</w:t>
      </w:r>
      <w:r>
        <w:rPr>
          <w:rFonts w:hint="eastAsia" w:ascii="仿宋" w:eastAsia="仿宋"/>
          <w:color w:val="000000"/>
          <w:sz w:val="32"/>
          <w:szCs w:val="32"/>
        </w:rPr>
        <w:t>2</w:t>
      </w:r>
      <w:r>
        <w:rPr>
          <w:rFonts w:ascii="仿宋" w:eastAsia="仿宋"/>
          <w:color w:val="000000"/>
          <w:sz w:val="32"/>
          <w:szCs w:val="32"/>
        </w:rPr>
        <w:t>1</w:t>
      </w:r>
      <w:r>
        <w:rPr>
          <w:rFonts w:hint="eastAsia" w:ascii="仿宋" w:eastAsia="仿宋"/>
          <w:color w:val="000000"/>
          <w:sz w:val="32"/>
          <w:szCs w:val="32"/>
        </w:rPr>
        <w:t>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1.62万元,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w:t>
      </w:r>
      <w:r>
        <w:rPr>
          <w:rFonts w:ascii="仿宋_GB2312" w:eastAsia="仿宋_GB2312"/>
          <w:sz w:val="32"/>
          <w:szCs w:val="32"/>
        </w:rPr>
        <w:t>0</w:t>
      </w:r>
      <w:r>
        <w:rPr>
          <w:rFonts w:hint="eastAsia" w:ascii="仿宋_GB2312" w:eastAsia="仿宋_GB2312"/>
          <w:sz w:val="32"/>
          <w:szCs w:val="32"/>
        </w:rPr>
        <w:t>辆，其中：轿车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万元，越野车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万元，载客汽车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1.62万元。主要用于</w:t>
      </w:r>
      <w:r>
        <w:rPr>
          <w:rFonts w:hint="eastAsia" w:ascii="仿宋_GB2312" w:eastAsia="仿宋_GB2312"/>
          <w:color w:val="000000"/>
          <w:sz w:val="32"/>
          <w:szCs w:val="32"/>
        </w:rPr>
        <w:t>运输</w:t>
      </w:r>
      <w:r>
        <w:rPr>
          <w:rFonts w:ascii="仿宋_GB2312" w:eastAsia="仿宋_GB2312"/>
          <w:color w:val="000000"/>
          <w:sz w:val="32"/>
          <w:szCs w:val="32"/>
        </w:rPr>
        <w:t>试卷、巡考、巡教、外出办</w:t>
      </w:r>
      <w:r>
        <w:rPr>
          <w:rFonts w:hint="eastAsia" w:ascii="仿宋_GB2312" w:eastAsia="仿宋_GB2312"/>
          <w:color w:val="000000"/>
          <w:sz w:val="32"/>
          <w:szCs w:val="32"/>
        </w:rPr>
        <w:t>公</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0.50万元，</w:t>
      </w:r>
      <w:r>
        <w:rPr>
          <w:rStyle w:val="14"/>
          <w:rFonts w:hint="eastAsia" w:ascii="仿宋" w:hAnsi="仿宋" w:eastAsia="仿宋"/>
          <w:b w:val="0"/>
          <w:bCs/>
          <w:sz w:val="32"/>
          <w:szCs w:val="32"/>
        </w:rPr>
        <w:t>完成预算32.89</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21年减少0.05万元，下降9.09</w:t>
      </w:r>
      <w:r>
        <w:rPr>
          <w:rFonts w:ascii="仿宋_GB2312" w:eastAsia="仿宋_GB2312"/>
          <w:sz w:val="32"/>
          <w:szCs w:val="32"/>
        </w:rPr>
        <w:t>%</w:t>
      </w:r>
      <w:r>
        <w:rPr>
          <w:rFonts w:hint="eastAsia" w:ascii="仿宋_GB2312" w:eastAsia="仿宋_GB2312"/>
          <w:sz w:val="32"/>
          <w:szCs w:val="32"/>
        </w:rPr>
        <w:t>。主要原因是受新冠疫情影响，接待批次和接待人次减少。其中：</w:t>
      </w:r>
    </w:p>
    <w:p>
      <w:pPr>
        <w:pStyle w:val="2"/>
        <w:spacing w:before="93" w:line="600" w:lineRule="exact"/>
        <w:ind w:firstLine="643" w:firstLineChars="200"/>
        <w:rPr>
          <w:sz w:val="32"/>
          <w:szCs w:val="32"/>
        </w:rPr>
      </w:pPr>
      <w:r>
        <w:rPr>
          <w:rFonts w:hint="eastAsia" w:ascii="仿宋" w:hAnsi="仿宋" w:eastAsia="仿宋"/>
          <w:b/>
          <w:sz w:val="32"/>
          <w:szCs w:val="32"/>
        </w:rPr>
        <w:t>国内公务接待支出</w:t>
      </w:r>
      <w:r>
        <w:rPr>
          <w:rFonts w:hint="eastAsia" w:ascii="仿宋" w:hAnsi="仿宋" w:eastAsia="仿宋"/>
          <w:sz w:val="32"/>
          <w:szCs w:val="32"/>
        </w:rPr>
        <w:t>0.50</w:t>
      </w:r>
      <w:r>
        <w:rPr>
          <w:rFonts w:hint="eastAsia"/>
          <w:sz w:val="32"/>
          <w:szCs w:val="32"/>
        </w:rPr>
        <w:t>万元，主要用于执行公务、开展业务活动开支的用餐费。国内公务接待7批次，29人次（不包括陪同人员），共计支出0.50万元，具体内容包括：</w:t>
      </w:r>
    </w:p>
    <w:p>
      <w:pPr>
        <w:pStyle w:val="2"/>
        <w:spacing w:before="93" w:line="600" w:lineRule="exact"/>
        <w:ind w:firstLine="640" w:firstLineChars="200"/>
        <w:rPr>
          <w:sz w:val="32"/>
          <w:szCs w:val="32"/>
        </w:rPr>
      </w:pPr>
      <w:r>
        <w:rPr>
          <w:rFonts w:hint="eastAsia"/>
          <w:sz w:val="32"/>
          <w:szCs w:val="32"/>
        </w:rPr>
        <w:t>1.接待乐山广播电视大学社区教育考察交流人员10人，支出0.13万元。</w:t>
      </w:r>
    </w:p>
    <w:p>
      <w:pPr>
        <w:pStyle w:val="2"/>
        <w:spacing w:before="93" w:line="600" w:lineRule="exact"/>
        <w:ind w:firstLine="640" w:firstLineChars="200"/>
        <w:rPr>
          <w:sz w:val="32"/>
          <w:szCs w:val="32"/>
        </w:rPr>
      </w:pPr>
      <w:r>
        <w:rPr>
          <w:rFonts w:hint="eastAsia"/>
          <w:kern w:val="2"/>
          <w:sz w:val="32"/>
          <w:szCs w:val="32"/>
        </w:rPr>
        <w:t>2.接待参加2022春系统工作会暨招生工作会各分校领导和工作人员共计8人</w:t>
      </w:r>
      <w:r>
        <w:rPr>
          <w:rFonts w:hint="eastAsia"/>
          <w:sz w:val="32"/>
          <w:szCs w:val="32"/>
        </w:rPr>
        <w:t>，支出0.18万元。</w:t>
      </w:r>
    </w:p>
    <w:p>
      <w:pPr>
        <w:pStyle w:val="2"/>
        <w:spacing w:before="93" w:line="600" w:lineRule="exact"/>
        <w:ind w:firstLine="640" w:firstLineChars="200"/>
        <w:rPr>
          <w:sz w:val="32"/>
          <w:szCs w:val="32"/>
        </w:rPr>
      </w:pPr>
      <w:r>
        <w:rPr>
          <w:rFonts w:hint="eastAsia"/>
          <w:sz w:val="32"/>
          <w:szCs w:val="32"/>
        </w:rPr>
        <w:t>3.接待会理分校送2021秋期末考试试卷人员2人，支出</w:t>
      </w:r>
      <w:r>
        <w:rPr>
          <w:sz w:val="32"/>
          <w:szCs w:val="32"/>
        </w:rPr>
        <w:t>0.0</w:t>
      </w:r>
      <w:r>
        <w:rPr>
          <w:rFonts w:hint="eastAsia"/>
          <w:sz w:val="32"/>
          <w:szCs w:val="32"/>
        </w:rPr>
        <w:t>4万元。</w:t>
      </w:r>
    </w:p>
    <w:p>
      <w:pPr>
        <w:pStyle w:val="2"/>
        <w:spacing w:before="93" w:line="600" w:lineRule="exact"/>
        <w:ind w:firstLine="640" w:firstLineChars="200"/>
        <w:rPr>
          <w:sz w:val="32"/>
          <w:szCs w:val="32"/>
        </w:rPr>
      </w:pPr>
      <w:r>
        <w:rPr>
          <w:rFonts w:hint="eastAsia"/>
          <w:sz w:val="32"/>
          <w:szCs w:val="32"/>
        </w:rPr>
        <w:t>4.  接待米易分校上交中专照片、领取学籍档案人员3人，支出0.04万元。</w:t>
      </w:r>
    </w:p>
    <w:p>
      <w:pPr>
        <w:pStyle w:val="2"/>
        <w:spacing w:before="93" w:line="600" w:lineRule="exact"/>
        <w:ind w:firstLine="640" w:firstLineChars="200"/>
        <w:rPr>
          <w:sz w:val="32"/>
          <w:szCs w:val="32"/>
        </w:rPr>
      </w:pPr>
      <w:r>
        <w:rPr>
          <w:rFonts w:hint="eastAsia"/>
          <w:sz w:val="32"/>
          <w:szCs w:val="32"/>
        </w:rPr>
        <w:t>5.接待米易分校上报2022春国开新生数据人员2人，支出</w:t>
      </w:r>
      <w:r>
        <w:rPr>
          <w:sz w:val="32"/>
          <w:szCs w:val="32"/>
        </w:rPr>
        <w:t>0.0</w:t>
      </w:r>
      <w:r>
        <w:rPr>
          <w:rFonts w:hint="eastAsia"/>
          <w:sz w:val="32"/>
          <w:szCs w:val="32"/>
        </w:rPr>
        <w:t>3万元。</w:t>
      </w:r>
    </w:p>
    <w:p>
      <w:pPr>
        <w:pStyle w:val="2"/>
        <w:spacing w:before="93" w:line="600" w:lineRule="exact"/>
        <w:ind w:firstLine="640" w:firstLineChars="200"/>
        <w:rPr>
          <w:sz w:val="32"/>
          <w:szCs w:val="32"/>
        </w:rPr>
      </w:pPr>
      <w:r>
        <w:rPr>
          <w:rFonts w:hint="eastAsia"/>
          <w:sz w:val="32"/>
          <w:szCs w:val="32"/>
        </w:rPr>
        <w:t>6.接待四川开放大学招生调研领导1人，支出</w:t>
      </w:r>
      <w:r>
        <w:rPr>
          <w:sz w:val="32"/>
          <w:szCs w:val="32"/>
        </w:rPr>
        <w:t>0.0</w:t>
      </w:r>
      <w:r>
        <w:rPr>
          <w:rFonts w:hint="eastAsia"/>
          <w:sz w:val="32"/>
          <w:szCs w:val="32"/>
        </w:rPr>
        <w:t>2万元。</w:t>
      </w:r>
    </w:p>
    <w:p>
      <w:pPr>
        <w:pStyle w:val="2"/>
        <w:spacing w:before="93" w:line="600" w:lineRule="exact"/>
        <w:ind w:firstLine="640" w:firstLineChars="200"/>
        <w:rPr>
          <w:sz w:val="32"/>
          <w:szCs w:val="32"/>
        </w:rPr>
      </w:pPr>
      <w:r>
        <w:rPr>
          <w:rFonts w:hint="eastAsia"/>
          <w:sz w:val="32"/>
          <w:szCs w:val="32"/>
        </w:rPr>
        <w:t>7.接待会理分校领取2022春期末考试试卷人员3人，支出</w:t>
      </w:r>
      <w:r>
        <w:rPr>
          <w:sz w:val="32"/>
          <w:szCs w:val="32"/>
        </w:rPr>
        <w:t>0.0</w:t>
      </w:r>
      <w:r>
        <w:rPr>
          <w:rFonts w:hint="eastAsia"/>
          <w:sz w:val="32"/>
          <w:szCs w:val="32"/>
        </w:rPr>
        <w:t>7万元。</w:t>
      </w:r>
    </w:p>
    <w:p>
      <w:pPr>
        <w:spacing w:line="600" w:lineRule="exact"/>
        <w:ind w:firstLine="643" w:firstLineChars="200"/>
        <w:rPr>
          <w:rFonts w:hint="eastAsia"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万元。外事接待0批次，0人次，共计支出0万元。</w:t>
      </w:r>
      <w:bookmarkStart w:id="40" w:name="_Toc15396610"/>
      <w:bookmarkStart w:id="41" w:name="_Toc15377218"/>
    </w:p>
    <w:p>
      <w:pPr>
        <w:pStyle w:val="2"/>
      </w:pPr>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44" w:name="_Toc15396612"/>
      <w:bookmarkStart w:id="45" w:name="_Toc15377221"/>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2022年，攀枝花开放大学机关运行经费支出0万元，与2021年决算数持平。</w:t>
      </w:r>
    </w:p>
    <w:p>
      <w:pPr>
        <w:numPr>
          <w:ilvl w:val="0"/>
          <w:numId w:val="4"/>
        </w:num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政府采购支出情况</w:t>
      </w:r>
      <w:bookmarkEnd w:id="47"/>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22年，攀枝花开放大学政府采购支出总额</w:t>
      </w:r>
      <w:r>
        <w:rPr>
          <w:rFonts w:ascii="仿宋_GB2312" w:eastAsia="仿宋_GB2312"/>
          <w:sz w:val="32"/>
          <w:szCs w:val="32"/>
        </w:rPr>
        <w:t>0</w:t>
      </w:r>
      <w:r>
        <w:rPr>
          <w:rFonts w:hint="eastAsia" w:ascii="仿宋_GB2312" w:eastAsia="仿宋_GB2312"/>
          <w:sz w:val="32"/>
          <w:szCs w:val="32"/>
        </w:rPr>
        <w:t>万元，其中：政府采购货物支出</w:t>
      </w:r>
      <w:r>
        <w:rPr>
          <w:rFonts w:ascii="仿宋_GB2312" w:eastAsia="仿宋_GB2312"/>
          <w:sz w:val="32"/>
          <w:szCs w:val="32"/>
        </w:rPr>
        <w:t>0</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_GB2312" w:eastAsia="仿宋_GB2312"/>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日，攀枝花开放大学共有车辆</w:t>
      </w:r>
      <w:r>
        <w:rPr>
          <w:rFonts w:ascii="仿宋_GB2312" w:eastAsia="仿宋_GB2312"/>
          <w:sz w:val="32"/>
          <w:szCs w:val="32"/>
        </w:rPr>
        <w:t>1</w:t>
      </w:r>
      <w:r>
        <w:rPr>
          <w:rFonts w:hint="eastAsia" w:ascii="仿宋_GB2312" w:eastAsia="仿宋_GB2312"/>
          <w:sz w:val="32"/>
          <w:szCs w:val="32"/>
        </w:rPr>
        <w:t>辆，其中：主要领导干部用车</w:t>
      </w:r>
      <w:r>
        <w:rPr>
          <w:rFonts w:ascii="仿宋_GB2312" w:eastAsia="仿宋_GB2312"/>
          <w:sz w:val="32"/>
          <w:szCs w:val="32"/>
        </w:rPr>
        <w:t>0</w:t>
      </w:r>
      <w:r>
        <w:rPr>
          <w:rFonts w:hint="eastAsia" w:ascii="仿宋_GB2312" w:eastAsia="仿宋_GB2312"/>
          <w:sz w:val="32"/>
          <w:szCs w:val="32"/>
        </w:rPr>
        <w:t>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w:t>
      </w:r>
      <w:r>
        <w:rPr>
          <w:rFonts w:hint="eastAsia" w:ascii="仿宋_GB2312" w:eastAsia="仿宋_GB2312"/>
          <w:color w:val="000000"/>
          <w:sz w:val="32"/>
          <w:szCs w:val="32"/>
        </w:rPr>
        <w:t>其他用车</w:t>
      </w:r>
      <w:r>
        <w:rPr>
          <w:rFonts w:ascii="仿宋_GB2312" w:eastAsia="仿宋_GB2312"/>
          <w:color w:val="000000"/>
          <w:sz w:val="32"/>
          <w:szCs w:val="32"/>
        </w:rPr>
        <w:t>1</w:t>
      </w:r>
      <w:r>
        <w:rPr>
          <w:rFonts w:hint="eastAsia" w:ascii="仿宋_GB2312" w:eastAsia="仿宋_GB2312"/>
          <w:color w:val="000000"/>
          <w:sz w:val="32"/>
          <w:szCs w:val="32"/>
        </w:rPr>
        <w:t>辆，为7座轿车，主要是用于运输</w:t>
      </w:r>
      <w:r>
        <w:rPr>
          <w:rFonts w:ascii="仿宋_GB2312" w:eastAsia="仿宋_GB2312"/>
          <w:color w:val="000000"/>
          <w:sz w:val="32"/>
          <w:szCs w:val="32"/>
        </w:rPr>
        <w:t>试卷、巡考、巡教、外出办</w:t>
      </w:r>
      <w:r>
        <w:rPr>
          <w:rFonts w:hint="eastAsia" w:ascii="仿宋_GB2312" w:eastAsia="仿宋_GB2312"/>
          <w:color w:val="000000"/>
          <w:sz w:val="32"/>
          <w:szCs w:val="32"/>
        </w:rPr>
        <w:t>公</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ascii="仿宋_GB2312" w:eastAsia="仿宋_GB2312"/>
          <w:sz w:val="32"/>
          <w:szCs w:val="32"/>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pPr>
      <w:r>
        <w:rPr>
          <w:rFonts w:hint="eastAsia" w:hAnsi="仿宋_GB2312" w:cs="仿宋_GB2312"/>
          <w:sz w:val="32"/>
          <w:szCs w:val="32"/>
        </w:rPr>
        <w:t>根据预算绩效管理要求，本单位在2022年度预算编制阶段，组织对教育收费对应安排支出、市直属学校聘请保安人员经费、市直属学校聘请法律顾问经费、人才引进专项资金、丧葬费抚恤费等5个项目开展了预算事前绩效评估，对5个项目编制了绩效目标，预算执行过程中，选取5个项目开展绩效监控，组织对5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4.教育支出（类）广播电视教育（款） 广播电视学校（项）：指各类普通教育支出中，反映广播电视教育支出的，由各部门举办广播电视学校的支出。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sz w:val="32"/>
          <w:szCs w:val="32"/>
        </w:rPr>
        <w:t xml:space="preserve"> </w:t>
      </w:r>
      <w:bookmarkStart w:id="51" w:name="_Hlk112927126"/>
      <w:r>
        <w:rPr>
          <w:rFonts w:hint="eastAsia" w:ascii="仿宋_GB2312" w:eastAsia="仿宋_GB2312"/>
          <w:sz w:val="32"/>
          <w:szCs w:val="32"/>
        </w:rPr>
        <w:t>社会保障和就业支出</w:t>
      </w:r>
      <w:r>
        <w:rPr>
          <w:rFonts w:hint="eastAsia" w:ascii="仿宋_GB2312" w:eastAsia="仿宋_GB2312"/>
          <w:color w:val="auto"/>
          <w:sz w:val="32"/>
          <w:szCs w:val="32"/>
        </w:rPr>
        <w:t>（类）人力资源和社会保障管理事务（款）其他人力资源和社会保障管理事务支出（项）</w:t>
      </w:r>
      <w:bookmarkEnd w:id="51"/>
      <w:r>
        <w:rPr>
          <w:rFonts w:hint="eastAsia" w:ascii="仿宋_GB2312" w:eastAsia="仿宋_GB2312"/>
          <w:color w:val="auto"/>
          <w:sz w:val="32"/>
          <w:szCs w:val="32"/>
        </w:rPr>
        <w:t>：指反映其他用于人力资源和社会保障管理事务方面的支出。</w:t>
      </w:r>
    </w:p>
    <w:p>
      <w:pPr>
        <w:ind w:firstLine="640" w:firstLineChars="200"/>
        <w:rPr>
          <w:rFonts w:ascii="仿宋_GB2312" w:eastAsia="仿宋_GB2312"/>
          <w:sz w:val="32"/>
          <w:szCs w:val="32"/>
        </w:rPr>
      </w:pPr>
      <w:r>
        <w:rPr>
          <w:rFonts w:hint="eastAsia" w:ascii="仿宋_GB2312" w:eastAsia="仿宋_GB2312"/>
          <w:sz w:val="32"/>
          <w:szCs w:val="32"/>
        </w:rPr>
        <w:t>6. 社会保障和就业支出（类）行政事业单位基本养老保险支出（款）行政事业单位基本养老保险缴费支出（项）:指反映机关事业单位实施养老保险制度由单位缴纳的基本养老保险费支出。</w:t>
      </w:r>
    </w:p>
    <w:p>
      <w:pPr>
        <w:pStyle w:val="2"/>
        <w:spacing w:before="93"/>
        <w:ind w:firstLine="600" w:firstLineChars="200"/>
      </w:pPr>
      <w:r>
        <w:rPr>
          <w:rFonts w:hint="eastAsia"/>
        </w:rPr>
        <w:t>7</w:t>
      </w:r>
      <w:r>
        <w:t>.</w:t>
      </w:r>
      <w:r>
        <w:rPr>
          <w:rFonts w:hint="eastAsia"/>
        </w:rPr>
        <w:t>社会保障和就业支出（类）抚恤（款）死亡抚恤（项）：</w:t>
      </w:r>
      <w:r>
        <w:rPr>
          <w:rFonts w:hint="eastAsia"/>
          <w:sz w:val="32"/>
          <w:szCs w:val="32"/>
        </w:rPr>
        <w:t>指</w:t>
      </w:r>
      <w:r>
        <w:t>反映按规定用于烈士和牺牲、病故人员家属的一次性和定期抚恤金以及丧葬补助费</w:t>
      </w:r>
      <w:r>
        <w:rPr>
          <w:rFonts w:hint="eastAsia"/>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rPr>
        <w:t xml:space="preserve"> </w:t>
      </w:r>
      <w:r>
        <w:rPr>
          <w:rFonts w:hint="eastAsia" w:ascii="仿宋_GB2312" w:eastAsia="仿宋_GB2312"/>
          <w:sz w:val="32"/>
          <w:szCs w:val="32"/>
        </w:rPr>
        <w:t>住房保障支出（类）住房改革支出（款）住房公积金（项）：指反映行政事业单位按人力资源和社会保障部、财政部规定的基本工资和津贴补贴以及规定比例为职工缴纳的住房公积金。</w:t>
      </w:r>
    </w:p>
    <w:p>
      <w:pPr>
        <w:pStyle w:val="22"/>
        <w:spacing w:line="560" w:lineRule="exact"/>
        <w:ind w:firstLine="640" w:firstLineChars="200"/>
      </w:pPr>
      <w:r>
        <w:rPr>
          <w:rFonts w:hint="eastAsia" w:ascii="仿宋_GB2312" w:eastAsia="仿宋_GB2312"/>
          <w:color w:val="auto"/>
          <w:sz w:val="32"/>
          <w:szCs w:val="32"/>
        </w:rPr>
        <w:t>9.教育支出（类）教育费附加安排的支出（款） 其他教育费附加安排的支出（项）：指反映用教育费附加安排的支出中其他类教育费附加支出。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ascii="黑体" w:hAnsi="黑体" w:eastAsia="黑体"/>
          <w:sz w:val="44"/>
          <w:szCs w:val="44"/>
        </w:rPr>
      </w:pPr>
      <w:bookmarkStart w:id="52" w:name="_Toc15396614"/>
      <w:bookmarkStart w:id="53"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Style w:val="24"/>
          <w:rFonts w:ascii="黑体" w:hAnsi="黑体" w:eastAsia="黑体"/>
          <w:b w:val="0"/>
        </w:rPr>
      </w:pPr>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4" w:name="_Toc15396618"/>
      <w:r>
        <w:rPr>
          <w:rFonts w:hint="eastAsia" w:ascii="宋体" w:hAnsi="宋体" w:cs="宋体"/>
          <w:kern w:val="0"/>
          <w:sz w:val="32"/>
          <w:szCs w:val="32"/>
        </w:rPr>
        <w:t>部门预算项目支出绩效自评表（2022年度）见附件3</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3"/>
      <w:bookmarkEnd w:id="54"/>
      <w:bookmarkStart w:id="55"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5"/>
    </w:p>
    <w:p>
      <w:pPr>
        <w:pStyle w:val="4"/>
        <w:rPr>
          <w:rFonts w:ascii="仿宋" w:hAnsi="仿宋" w:eastAsia="仿宋"/>
        </w:rPr>
      </w:pPr>
      <w:bookmarkStart w:id="56" w:name="_Toc15396620"/>
      <w:r>
        <w:rPr>
          <w:rFonts w:hint="eastAsia" w:ascii="仿宋" w:hAnsi="仿宋" w:eastAsia="仿宋"/>
          <w:b w:val="0"/>
        </w:rPr>
        <w:t>二、收</w:t>
      </w:r>
      <w:r>
        <w:rPr>
          <w:rStyle w:val="25"/>
          <w:rFonts w:hint="eastAsia" w:ascii="仿宋" w:hAnsi="仿宋" w:eastAsia="仿宋"/>
          <w:b w:val="0"/>
          <w:bCs w:val="0"/>
        </w:rPr>
        <w:t>入决算表</w:t>
      </w:r>
      <w:bookmarkEnd w:id="56"/>
    </w:p>
    <w:p>
      <w:pPr>
        <w:pStyle w:val="4"/>
        <w:rPr>
          <w:rFonts w:ascii="仿宋" w:hAnsi="仿宋" w:eastAsia="仿宋"/>
        </w:rPr>
      </w:pPr>
      <w:bookmarkStart w:id="57"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7"/>
    </w:p>
    <w:p>
      <w:pPr>
        <w:pStyle w:val="4"/>
        <w:rPr>
          <w:rFonts w:ascii="仿宋" w:hAnsi="仿宋" w:eastAsia="仿宋"/>
          <w:b w:val="0"/>
        </w:rPr>
      </w:pPr>
      <w:bookmarkStart w:id="58"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8"/>
    </w:p>
    <w:p>
      <w:pPr>
        <w:pStyle w:val="4"/>
        <w:rPr>
          <w:rStyle w:val="25"/>
          <w:rFonts w:ascii="仿宋" w:hAnsi="仿宋" w:eastAsia="仿宋"/>
          <w:b w:val="0"/>
          <w:bCs w:val="0"/>
        </w:rPr>
      </w:pPr>
      <w:bookmarkStart w:id="59"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9"/>
      <w:bookmarkStart w:id="60"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60"/>
    </w:p>
    <w:p>
      <w:pPr>
        <w:pStyle w:val="4"/>
        <w:rPr>
          <w:rFonts w:ascii="仿宋" w:hAnsi="仿宋" w:eastAsia="仿宋"/>
        </w:rPr>
      </w:pPr>
      <w:bookmarkStart w:id="61"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1"/>
    </w:p>
    <w:p>
      <w:pPr>
        <w:pStyle w:val="4"/>
        <w:rPr>
          <w:rFonts w:ascii="仿宋" w:hAnsi="仿宋" w:eastAsia="仿宋"/>
        </w:rPr>
      </w:pPr>
      <w:bookmarkStart w:id="62"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2"/>
    </w:p>
    <w:p>
      <w:pPr>
        <w:pStyle w:val="4"/>
        <w:rPr>
          <w:rFonts w:ascii="仿宋" w:hAnsi="仿宋" w:eastAsia="仿宋"/>
        </w:rPr>
      </w:pPr>
      <w:bookmarkStart w:id="63"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3"/>
    </w:p>
    <w:p>
      <w:pPr>
        <w:pStyle w:val="4"/>
        <w:rPr>
          <w:rFonts w:ascii="仿宋" w:hAnsi="仿宋" w:eastAsia="仿宋"/>
        </w:rPr>
      </w:pPr>
      <w:bookmarkStart w:id="64" w:name="_Toc15396628"/>
      <w:r>
        <w:rPr>
          <w:rStyle w:val="25"/>
          <w:rFonts w:hint="eastAsia" w:ascii="仿宋" w:hAnsi="仿宋" w:eastAsia="仿宋"/>
          <w:b w:val="0"/>
          <w:bCs w:val="0"/>
        </w:rPr>
        <w:t>十、</w:t>
      </w:r>
      <w:bookmarkEnd w:id="64"/>
      <w:r>
        <w:rPr>
          <w:rFonts w:hint="eastAsia" w:ascii="仿宋" w:hAnsi="仿宋" w:eastAsia="仿宋"/>
          <w:b w:val="0"/>
        </w:rPr>
        <w:t>政</w:t>
      </w:r>
      <w:r>
        <w:rPr>
          <w:rStyle w:val="25"/>
          <w:rFonts w:hint="eastAsia" w:ascii="仿宋" w:hAnsi="仿宋" w:eastAsia="仿宋"/>
          <w:b w:val="0"/>
          <w:bCs w:val="0"/>
        </w:rPr>
        <w:t>府性基金预算财政拨款收入支出决算表（此表无数据）</w:t>
      </w:r>
    </w:p>
    <w:p>
      <w:pPr>
        <w:pStyle w:val="4"/>
        <w:rPr>
          <w:rFonts w:ascii="仿宋" w:hAnsi="仿宋" w:eastAsia="仿宋"/>
        </w:rPr>
      </w:pPr>
      <w:bookmarkStart w:id="65" w:name="_Toc15396629"/>
      <w:r>
        <w:rPr>
          <w:rStyle w:val="25"/>
          <w:rFonts w:hint="eastAsia" w:ascii="仿宋" w:hAnsi="仿宋" w:eastAsia="仿宋"/>
          <w:b w:val="0"/>
          <w:bCs w:val="0"/>
        </w:rPr>
        <w:t>十一、</w:t>
      </w:r>
      <w:bookmarkEnd w:id="65"/>
      <w:r>
        <w:rPr>
          <w:rFonts w:hint="eastAsia" w:ascii="仿宋" w:hAnsi="仿宋" w:eastAsia="仿宋"/>
          <w:b w:val="0"/>
        </w:rPr>
        <w:t>国</w:t>
      </w:r>
      <w:r>
        <w:rPr>
          <w:rStyle w:val="25"/>
          <w:rFonts w:hint="eastAsia" w:ascii="仿宋" w:hAnsi="仿宋" w:eastAsia="仿宋"/>
          <w:b w:val="0"/>
          <w:bCs w:val="0"/>
        </w:rPr>
        <w:t>有资本经营预算财政拨款收入支出决算表（此表无数据）</w:t>
      </w:r>
    </w:p>
    <w:p>
      <w:pPr>
        <w:pStyle w:val="4"/>
        <w:rPr>
          <w:rFonts w:ascii="仿宋" w:hAnsi="仿宋" w:eastAsia="仿宋"/>
        </w:rPr>
      </w:pPr>
      <w:bookmarkStart w:id="66" w:name="_Toc15396630"/>
      <w:r>
        <w:rPr>
          <w:rStyle w:val="25"/>
          <w:rFonts w:hint="eastAsia" w:ascii="仿宋" w:hAnsi="仿宋" w:eastAsia="仿宋"/>
          <w:b w:val="0"/>
          <w:bCs w:val="0"/>
        </w:rPr>
        <w:t>十二、</w:t>
      </w:r>
      <w:bookmarkEnd w:id="66"/>
      <w:r>
        <w:rPr>
          <w:rStyle w:val="25"/>
          <w:rFonts w:hint="eastAsia" w:ascii="仿宋" w:hAnsi="仿宋" w:eastAsia="仿宋"/>
          <w:b w:val="0"/>
          <w:bCs w:val="0"/>
        </w:rPr>
        <w:t>国有资本经营预算财政拨款支出决算表（此表无数据）</w:t>
      </w:r>
    </w:p>
    <w:p>
      <w:pPr>
        <w:pStyle w:val="4"/>
        <w:rPr>
          <w:rFonts w:eastAsia="仿宋"/>
        </w:rPr>
      </w:pPr>
      <w:bookmarkStart w:id="67" w:name="_Toc15396631"/>
      <w:r>
        <w:rPr>
          <w:rStyle w:val="25"/>
          <w:rFonts w:hint="eastAsia" w:ascii="仿宋" w:hAnsi="仿宋" w:eastAsia="仿宋"/>
          <w:b w:val="0"/>
          <w:bCs w:val="0"/>
        </w:rPr>
        <w:t>十三、</w:t>
      </w:r>
      <w:bookmarkEnd w:id="67"/>
      <w:r>
        <w:rPr>
          <w:rStyle w:val="25"/>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191DD87"/>
    <w:multiLevelType w:val="singleLevel"/>
    <w:tmpl w:val="2191DD87"/>
    <w:lvl w:ilvl="0" w:tentative="0">
      <w:start w:val="2"/>
      <w:numFmt w:val="chineseCounting"/>
      <w:suff w:val="nothing"/>
      <w:lvlText w:val="（%1）"/>
      <w:lvlJc w:val="left"/>
      <w:rPr>
        <w:rFonts w:hint="eastAsia"/>
      </w:r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YTgwMjc5NzI2Y2FiZTkwZWRiNTQ4MDA2NGYyNmMifQ=="/>
  </w:docVars>
  <w:rsids>
    <w:rsidRoot w:val="00F1361C"/>
    <w:rsid w:val="00015FCA"/>
    <w:rsid w:val="000222C6"/>
    <w:rsid w:val="0002549F"/>
    <w:rsid w:val="000468DB"/>
    <w:rsid w:val="0006487A"/>
    <w:rsid w:val="00065F8F"/>
    <w:rsid w:val="00070A43"/>
    <w:rsid w:val="00075E4F"/>
    <w:rsid w:val="000768F2"/>
    <w:rsid w:val="0009184B"/>
    <w:rsid w:val="00094236"/>
    <w:rsid w:val="0009593C"/>
    <w:rsid w:val="00097322"/>
    <w:rsid w:val="000A6A92"/>
    <w:rsid w:val="000B047F"/>
    <w:rsid w:val="000B5923"/>
    <w:rsid w:val="000B5A48"/>
    <w:rsid w:val="000B6FF3"/>
    <w:rsid w:val="000C3467"/>
    <w:rsid w:val="000C3CA6"/>
    <w:rsid w:val="000C607E"/>
    <w:rsid w:val="000D0A2D"/>
    <w:rsid w:val="000D1267"/>
    <w:rsid w:val="000D1D50"/>
    <w:rsid w:val="000D5782"/>
    <w:rsid w:val="000E6613"/>
    <w:rsid w:val="000E7119"/>
    <w:rsid w:val="000F3D30"/>
    <w:rsid w:val="000F4DE5"/>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072A"/>
    <w:rsid w:val="002D3D74"/>
    <w:rsid w:val="002D6D05"/>
    <w:rsid w:val="002F1818"/>
    <w:rsid w:val="002F567B"/>
    <w:rsid w:val="00315488"/>
    <w:rsid w:val="003216A9"/>
    <w:rsid w:val="00335A74"/>
    <w:rsid w:val="00335BB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C50B4"/>
    <w:rsid w:val="004E0A2D"/>
    <w:rsid w:val="004E206B"/>
    <w:rsid w:val="004E6DF7"/>
    <w:rsid w:val="004F0FBD"/>
    <w:rsid w:val="00505A47"/>
    <w:rsid w:val="00512FDA"/>
    <w:rsid w:val="00520DA0"/>
    <w:rsid w:val="005664BB"/>
    <w:rsid w:val="00566FFA"/>
    <w:rsid w:val="0057481D"/>
    <w:rsid w:val="00574E99"/>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342F"/>
    <w:rsid w:val="006F020C"/>
    <w:rsid w:val="006F7B69"/>
    <w:rsid w:val="007127B7"/>
    <w:rsid w:val="0071798E"/>
    <w:rsid w:val="007240EC"/>
    <w:rsid w:val="00730613"/>
    <w:rsid w:val="007416B6"/>
    <w:rsid w:val="00746F48"/>
    <w:rsid w:val="0075404D"/>
    <w:rsid w:val="0076182A"/>
    <w:rsid w:val="00767B7E"/>
    <w:rsid w:val="007770C3"/>
    <w:rsid w:val="00784D24"/>
    <w:rsid w:val="00785FBA"/>
    <w:rsid w:val="00786E4A"/>
    <w:rsid w:val="007875EB"/>
    <w:rsid w:val="0079426B"/>
    <w:rsid w:val="007A171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62E9F"/>
    <w:rsid w:val="00871F71"/>
    <w:rsid w:val="00872FD8"/>
    <w:rsid w:val="00885AF4"/>
    <w:rsid w:val="00892D2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76466"/>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A121E"/>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166C"/>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05477"/>
    <w:rsid w:val="00F1361C"/>
    <w:rsid w:val="00F156F0"/>
    <w:rsid w:val="00F160C7"/>
    <w:rsid w:val="00F2408F"/>
    <w:rsid w:val="00F240E9"/>
    <w:rsid w:val="00F36D8F"/>
    <w:rsid w:val="00F375E3"/>
    <w:rsid w:val="00F417B1"/>
    <w:rsid w:val="00F431B9"/>
    <w:rsid w:val="00F45853"/>
    <w:rsid w:val="00F5359F"/>
    <w:rsid w:val="00F602DF"/>
    <w:rsid w:val="00F754A1"/>
    <w:rsid w:val="00F81FD9"/>
    <w:rsid w:val="00F84198"/>
    <w:rsid w:val="00F841AA"/>
    <w:rsid w:val="00F84A94"/>
    <w:rsid w:val="00F87E96"/>
    <w:rsid w:val="00FA23E8"/>
    <w:rsid w:val="00FD3CC1"/>
    <w:rsid w:val="00FF1E02"/>
    <w:rsid w:val="00FF30B4"/>
    <w:rsid w:val="00FF534A"/>
    <w:rsid w:val="01317C59"/>
    <w:rsid w:val="01BB7833"/>
    <w:rsid w:val="01FE6FC7"/>
    <w:rsid w:val="02ED4765"/>
    <w:rsid w:val="0306128A"/>
    <w:rsid w:val="03190CB5"/>
    <w:rsid w:val="0371075A"/>
    <w:rsid w:val="03EA1EAF"/>
    <w:rsid w:val="053A62B5"/>
    <w:rsid w:val="060C3CF3"/>
    <w:rsid w:val="06830831"/>
    <w:rsid w:val="06B31420"/>
    <w:rsid w:val="070E2AFA"/>
    <w:rsid w:val="071A324D"/>
    <w:rsid w:val="07D433FC"/>
    <w:rsid w:val="07FE66CB"/>
    <w:rsid w:val="08297BEC"/>
    <w:rsid w:val="08580653"/>
    <w:rsid w:val="08805332"/>
    <w:rsid w:val="095C7B4D"/>
    <w:rsid w:val="0A2032A3"/>
    <w:rsid w:val="0A93759F"/>
    <w:rsid w:val="0B050AFA"/>
    <w:rsid w:val="0B202230"/>
    <w:rsid w:val="0B5C6F06"/>
    <w:rsid w:val="0B8A37D8"/>
    <w:rsid w:val="0B9E30A2"/>
    <w:rsid w:val="0D241E15"/>
    <w:rsid w:val="0DCF4D92"/>
    <w:rsid w:val="0F055DEF"/>
    <w:rsid w:val="0F392481"/>
    <w:rsid w:val="108F6A5A"/>
    <w:rsid w:val="10B65B14"/>
    <w:rsid w:val="10C055FF"/>
    <w:rsid w:val="110C4956"/>
    <w:rsid w:val="118107EC"/>
    <w:rsid w:val="11A7392F"/>
    <w:rsid w:val="11DD6519"/>
    <w:rsid w:val="1246623F"/>
    <w:rsid w:val="12C86F27"/>
    <w:rsid w:val="13804F34"/>
    <w:rsid w:val="13D967C6"/>
    <w:rsid w:val="145A112D"/>
    <w:rsid w:val="14935A24"/>
    <w:rsid w:val="14982FB4"/>
    <w:rsid w:val="14D64C58"/>
    <w:rsid w:val="153F7762"/>
    <w:rsid w:val="15973CBB"/>
    <w:rsid w:val="15D373E9"/>
    <w:rsid w:val="16BB723D"/>
    <w:rsid w:val="175D506F"/>
    <w:rsid w:val="178F10EE"/>
    <w:rsid w:val="17EC6540"/>
    <w:rsid w:val="18015F3F"/>
    <w:rsid w:val="1824695B"/>
    <w:rsid w:val="191B3997"/>
    <w:rsid w:val="19BE2D6C"/>
    <w:rsid w:val="1A1311FF"/>
    <w:rsid w:val="1AC11F06"/>
    <w:rsid w:val="1BE8440E"/>
    <w:rsid w:val="1C5A59CC"/>
    <w:rsid w:val="1CD00D9F"/>
    <w:rsid w:val="1D061E52"/>
    <w:rsid w:val="1D155CEE"/>
    <w:rsid w:val="1DB158D1"/>
    <w:rsid w:val="1E311151"/>
    <w:rsid w:val="1E7B3229"/>
    <w:rsid w:val="1E805C34"/>
    <w:rsid w:val="1E9327A3"/>
    <w:rsid w:val="1F710084"/>
    <w:rsid w:val="201C7BDE"/>
    <w:rsid w:val="20876465"/>
    <w:rsid w:val="20F57F95"/>
    <w:rsid w:val="219D08AB"/>
    <w:rsid w:val="221C5C74"/>
    <w:rsid w:val="22EF5136"/>
    <w:rsid w:val="240371BF"/>
    <w:rsid w:val="241F664E"/>
    <w:rsid w:val="249266C1"/>
    <w:rsid w:val="252217F3"/>
    <w:rsid w:val="25325BEA"/>
    <w:rsid w:val="25711CC6"/>
    <w:rsid w:val="258E0C37"/>
    <w:rsid w:val="25C741E6"/>
    <w:rsid w:val="26031625"/>
    <w:rsid w:val="26C37483"/>
    <w:rsid w:val="26D22DA5"/>
    <w:rsid w:val="27377E1D"/>
    <w:rsid w:val="27842671"/>
    <w:rsid w:val="27B7753B"/>
    <w:rsid w:val="281F7AA2"/>
    <w:rsid w:val="28574D2F"/>
    <w:rsid w:val="28643ED1"/>
    <w:rsid w:val="28C3796E"/>
    <w:rsid w:val="28F33BD2"/>
    <w:rsid w:val="29740B0F"/>
    <w:rsid w:val="29FD04D3"/>
    <w:rsid w:val="2A436AE2"/>
    <w:rsid w:val="2A8673CC"/>
    <w:rsid w:val="2ABE7A3E"/>
    <w:rsid w:val="2C2D56A2"/>
    <w:rsid w:val="2C444D5A"/>
    <w:rsid w:val="2C5F1B12"/>
    <w:rsid w:val="2C6311E4"/>
    <w:rsid w:val="2CA234A8"/>
    <w:rsid w:val="2CDA29B3"/>
    <w:rsid w:val="2DC60356"/>
    <w:rsid w:val="2DE1133D"/>
    <w:rsid w:val="2E67296D"/>
    <w:rsid w:val="2E7F2BFF"/>
    <w:rsid w:val="2EFA178C"/>
    <w:rsid w:val="2F552E04"/>
    <w:rsid w:val="2F8F7543"/>
    <w:rsid w:val="2FF344B8"/>
    <w:rsid w:val="30B46D73"/>
    <w:rsid w:val="30B720E1"/>
    <w:rsid w:val="30EB518F"/>
    <w:rsid w:val="312863E3"/>
    <w:rsid w:val="312D483B"/>
    <w:rsid w:val="319F7F4E"/>
    <w:rsid w:val="31C53C32"/>
    <w:rsid w:val="31F6028F"/>
    <w:rsid w:val="320405B7"/>
    <w:rsid w:val="3292251D"/>
    <w:rsid w:val="331E2751"/>
    <w:rsid w:val="332C1A8F"/>
    <w:rsid w:val="33574D5E"/>
    <w:rsid w:val="33AA015E"/>
    <w:rsid w:val="349618B6"/>
    <w:rsid w:val="35275DA6"/>
    <w:rsid w:val="35327830"/>
    <w:rsid w:val="35995E75"/>
    <w:rsid w:val="35C47960"/>
    <w:rsid w:val="37533157"/>
    <w:rsid w:val="383D272C"/>
    <w:rsid w:val="38F04F46"/>
    <w:rsid w:val="3905700A"/>
    <w:rsid w:val="3914549F"/>
    <w:rsid w:val="39AE70AB"/>
    <w:rsid w:val="3A3914A5"/>
    <w:rsid w:val="3AFF71B2"/>
    <w:rsid w:val="3B0E2948"/>
    <w:rsid w:val="3B7F30A4"/>
    <w:rsid w:val="3BE63123"/>
    <w:rsid w:val="3C0C0783"/>
    <w:rsid w:val="3C1E3FFF"/>
    <w:rsid w:val="3CF56637"/>
    <w:rsid w:val="3EC90424"/>
    <w:rsid w:val="3F5612C1"/>
    <w:rsid w:val="3F6B5A48"/>
    <w:rsid w:val="3F894D5F"/>
    <w:rsid w:val="3F9F3A96"/>
    <w:rsid w:val="408B1563"/>
    <w:rsid w:val="40CF0629"/>
    <w:rsid w:val="41566655"/>
    <w:rsid w:val="41C90376"/>
    <w:rsid w:val="44B421B4"/>
    <w:rsid w:val="44C25DC4"/>
    <w:rsid w:val="454C0485"/>
    <w:rsid w:val="462E7BA0"/>
    <w:rsid w:val="46390445"/>
    <w:rsid w:val="46A14816"/>
    <w:rsid w:val="46D22C21"/>
    <w:rsid w:val="47A073D8"/>
    <w:rsid w:val="47BC742D"/>
    <w:rsid w:val="488A28E5"/>
    <w:rsid w:val="48BF60AB"/>
    <w:rsid w:val="490E1F0B"/>
    <w:rsid w:val="49153475"/>
    <w:rsid w:val="49246330"/>
    <w:rsid w:val="493C27E9"/>
    <w:rsid w:val="496F39ED"/>
    <w:rsid w:val="49FF41D3"/>
    <w:rsid w:val="4AE12FDA"/>
    <w:rsid w:val="4B202F50"/>
    <w:rsid w:val="4B9E1324"/>
    <w:rsid w:val="4BE068DB"/>
    <w:rsid w:val="4BF6002B"/>
    <w:rsid w:val="4C59258D"/>
    <w:rsid w:val="4D3C1131"/>
    <w:rsid w:val="4E2E3059"/>
    <w:rsid w:val="4EA84268"/>
    <w:rsid w:val="4ECE2238"/>
    <w:rsid w:val="4EFA0F67"/>
    <w:rsid w:val="4F275AD4"/>
    <w:rsid w:val="502838B2"/>
    <w:rsid w:val="50830AE8"/>
    <w:rsid w:val="50C730CB"/>
    <w:rsid w:val="51023E42"/>
    <w:rsid w:val="51DB4B86"/>
    <w:rsid w:val="5209326F"/>
    <w:rsid w:val="524A0A75"/>
    <w:rsid w:val="52683936"/>
    <w:rsid w:val="530F3224"/>
    <w:rsid w:val="534A08D8"/>
    <w:rsid w:val="547A66A6"/>
    <w:rsid w:val="547F5A6B"/>
    <w:rsid w:val="55106C26"/>
    <w:rsid w:val="55333C3E"/>
    <w:rsid w:val="555D2250"/>
    <w:rsid w:val="574516AE"/>
    <w:rsid w:val="578C4726"/>
    <w:rsid w:val="57CE5051"/>
    <w:rsid w:val="58172929"/>
    <w:rsid w:val="5851771E"/>
    <w:rsid w:val="58A90B66"/>
    <w:rsid w:val="58CA3910"/>
    <w:rsid w:val="59193CBA"/>
    <w:rsid w:val="595816FC"/>
    <w:rsid w:val="5AAD5094"/>
    <w:rsid w:val="5AEB1EE7"/>
    <w:rsid w:val="5B406587"/>
    <w:rsid w:val="5BFB1E7B"/>
    <w:rsid w:val="5C050F4B"/>
    <w:rsid w:val="5C390BF5"/>
    <w:rsid w:val="5C5FB4BE"/>
    <w:rsid w:val="5C7B404B"/>
    <w:rsid w:val="5D395350"/>
    <w:rsid w:val="5D7115FC"/>
    <w:rsid w:val="5DB20C5F"/>
    <w:rsid w:val="5E082F75"/>
    <w:rsid w:val="5E2E1AD4"/>
    <w:rsid w:val="5FEF1CF6"/>
    <w:rsid w:val="5FEF4354"/>
    <w:rsid w:val="604E5489"/>
    <w:rsid w:val="60F33F59"/>
    <w:rsid w:val="612702A0"/>
    <w:rsid w:val="62426A55"/>
    <w:rsid w:val="628D1FE6"/>
    <w:rsid w:val="63376B6D"/>
    <w:rsid w:val="6340727D"/>
    <w:rsid w:val="637469CD"/>
    <w:rsid w:val="63C94F54"/>
    <w:rsid w:val="645F419B"/>
    <w:rsid w:val="64BF2307"/>
    <w:rsid w:val="64CA39A1"/>
    <w:rsid w:val="661C699C"/>
    <w:rsid w:val="666D1BC7"/>
    <w:rsid w:val="668C00C7"/>
    <w:rsid w:val="670544F5"/>
    <w:rsid w:val="673152EA"/>
    <w:rsid w:val="6823302B"/>
    <w:rsid w:val="683B4395"/>
    <w:rsid w:val="68A5389A"/>
    <w:rsid w:val="69601EB7"/>
    <w:rsid w:val="69630ADE"/>
    <w:rsid w:val="6A331D0F"/>
    <w:rsid w:val="6A364619"/>
    <w:rsid w:val="6A8D0A8A"/>
    <w:rsid w:val="6A9A2C8C"/>
    <w:rsid w:val="6AFE4741"/>
    <w:rsid w:val="6B2B3DFF"/>
    <w:rsid w:val="6B5F456E"/>
    <w:rsid w:val="6BAE017C"/>
    <w:rsid w:val="6BFF0D7C"/>
    <w:rsid w:val="6C4A05C8"/>
    <w:rsid w:val="6CBD050F"/>
    <w:rsid w:val="6CBF7DCA"/>
    <w:rsid w:val="6CCE1548"/>
    <w:rsid w:val="6D1159A2"/>
    <w:rsid w:val="6D1B05CF"/>
    <w:rsid w:val="6D3B1A89"/>
    <w:rsid w:val="6D7E1CEF"/>
    <w:rsid w:val="6DAB2C31"/>
    <w:rsid w:val="6E567633"/>
    <w:rsid w:val="6E6B10E2"/>
    <w:rsid w:val="6E895767"/>
    <w:rsid w:val="6ED44A68"/>
    <w:rsid w:val="70453800"/>
    <w:rsid w:val="70700C31"/>
    <w:rsid w:val="70BC2941"/>
    <w:rsid w:val="71290DE0"/>
    <w:rsid w:val="7150636D"/>
    <w:rsid w:val="71BF4EC2"/>
    <w:rsid w:val="71CC633B"/>
    <w:rsid w:val="72282939"/>
    <w:rsid w:val="72734D90"/>
    <w:rsid w:val="72C91F7E"/>
    <w:rsid w:val="7412278C"/>
    <w:rsid w:val="744F5002"/>
    <w:rsid w:val="745C6B24"/>
    <w:rsid w:val="74CD7B90"/>
    <w:rsid w:val="74D53759"/>
    <w:rsid w:val="750556C0"/>
    <w:rsid w:val="759B29F2"/>
    <w:rsid w:val="75E44CC4"/>
    <w:rsid w:val="765C7562"/>
    <w:rsid w:val="769F401E"/>
    <w:rsid w:val="76BA1D3C"/>
    <w:rsid w:val="77516537"/>
    <w:rsid w:val="77CC78CF"/>
    <w:rsid w:val="77F008AA"/>
    <w:rsid w:val="783347A6"/>
    <w:rsid w:val="789B1E21"/>
    <w:rsid w:val="78B42EE3"/>
    <w:rsid w:val="78F47F26"/>
    <w:rsid w:val="790463BB"/>
    <w:rsid w:val="79E7B28D"/>
    <w:rsid w:val="7ADF3DEC"/>
    <w:rsid w:val="7C744E63"/>
    <w:rsid w:val="7D547B6D"/>
    <w:rsid w:val="7E4F7277"/>
    <w:rsid w:val="7ED66114"/>
    <w:rsid w:val="7F0809CE"/>
    <w:rsid w:val="7F5B2AAD"/>
    <w:rsid w:val="7F9F20EE"/>
    <w:rsid w:val="7FBD631D"/>
    <w:rsid w:val="7FC03F6B"/>
    <w:rsid w:val="7FDD0400"/>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3&#26257;&#20551;&#24037;&#20316;\&#20851;&#20110;2022&#24180;&#37096;&#38376;&#20915;&#31639;&#20844;&#24320;&#30456;&#20851;&#35201;&#27714;&#30340;&#36890;&#30693;\2022&#20915;&#31639;&#20844;&#24320;\&#2227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3&#26257;&#20551;&#24037;&#20316;\&#20851;&#20110;2022&#24180;&#37096;&#38376;&#20915;&#31639;&#20844;&#24320;&#30456;&#20851;&#35201;&#27714;&#30340;&#36890;&#30693;\2022&#20915;&#31639;&#20844;&#24320;\&#2227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3&#26257;&#20551;&#24037;&#20316;\&#20851;&#20110;2022&#24180;&#37096;&#38376;&#20915;&#31639;&#20844;&#24320;&#30456;&#20851;&#35201;&#27714;&#30340;&#36890;&#30693;\2022&#20915;&#31639;&#20844;&#24320;\&#2227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3&#26257;&#20551;&#24037;&#20316;\&#20851;&#20110;2022&#24180;&#37096;&#38376;&#20915;&#31639;&#20844;&#24320;&#30456;&#20851;&#35201;&#27714;&#30340;&#36890;&#30693;\2022&#20915;&#31639;&#20844;&#24320;\&#2227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3&#26257;&#20551;&#24037;&#20316;\&#20851;&#20110;2022&#24180;&#37096;&#38376;&#20915;&#31639;&#20844;&#24320;&#30456;&#20851;&#35201;&#27714;&#30340;&#36890;&#30693;\2022&#20915;&#31639;&#20844;&#24320;\&#2227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3&#26257;&#20551;&#24037;&#20316;\&#20851;&#20110;2022&#24180;&#37096;&#38376;&#20915;&#31639;&#20844;&#24320;&#30456;&#20851;&#35201;&#27714;&#30340;&#36890;&#30693;\2022&#20915;&#31639;&#20844;&#24320;\&#2227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3&#26257;&#20551;&#24037;&#20316;\2022&#20915;&#31639;&#20844;&#24320;\2022&#20915;&#31639;&#20844;&#24320;\&#2227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收入支出决算总体情况</a:t>
            </a:r>
            <a:endParaRPr 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barChart>
        <c:barDir val="col"/>
        <c:grouping val="clustered"/>
        <c:varyColors val="0"/>
        <c:ser>
          <c:idx val="0"/>
          <c:order val="0"/>
          <c:tx>
            <c:strRef>
              <c:f>'[图1.xls]1'!$B$3</c:f>
              <c:strCache>
                <c:ptCount val="1"/>
                <c:pt idx="0">
                  <c:v>收入决算</c:v>
                </c:pt>
              </c:strCache>
            </c:strRef>
          </c:tx>
          <c:spPr>
            <a:solidFill>
              <a:srgbClr val="5B9BD5">
                <a:alpha val="100000"/>
              </a:srgbClr>
            </a:solidFill>
            <a:ln w="3175">
              <a:noFill/>
            </a:ln>
          </c:spPr>
          <c:invertIfNegative val="0"/>
          <c:dLbls>
            <c:delete val="1"/>
          </c:dLbls>
          <c:cat>
            <c:strRef>
              <c:f>'[图1.xls]1'!$C$2:$F$2</c:f>
              <c:strCache>
                <c:ptCount val="4"/>
                <c:pt idx="0">
                  <c:v>2022年</c:v>
                </c:pt>
                <c:pt idx="1">
                  <c:v>2021年</c:v>
                </c:pt>
              </c:strCache>
            </c:strRef>
          </c:cat>
          <c:val>
            <c:numRef>
              <c:f>'[图1.xls]1'!$C$3:$F$3</c:f>
              <c:numCache>
                <c:formatCode>General</c:formatCode>
                <c:ptCount val="4"/>
                <c:pt idx="0">
                  <c:v>1214.78</c:v>
                </c:pt>
                <c:pt idx="1">
                  <c:v>1134.43</c:v>
                </c:pt>
              </c:numCache>
            </c:numRef>
          </c:val>
        </c:ser>
        <c:ser>
          <c:idx val="1"/>
          <c:order val="1"/>
          <c:tx>
            <c:strRef>
              <c:f>'[图1.xls]1'!$B$4</c:f>
              <c:strCache>
                <c:ptCount val="1"/>
                <c:pt idx="0">
                  <c:v>支出决算</c:v>
                </c:pt>
              </c:strCache>
            </c:strRef>
          </c:tx>
          <c:spPr>
            <a:solidFill>
              <a:srgbClr val="ED7D31">
                <a:alpha val="100000"/>
              </a:srgbClr>
            </a:solidFill>
            <a:ln w="3175">
              <a:noFill/>
            </a:ln>
          </c:spPr>
          <c:invertIfNegative val="0"/>
          <c:dLbls>
            <c:delete val="1"/>
          </c:dLbls>
          <c:cat>
            <c:strRef>
              <c:f>'[图1.xls]1'!$C$2:$F$2</c:f>
              <c:strCache>
                <c:ptCount val="4"/>
                <c:pt idx="0">
                  <c:v>2022年</c:v>
                </c:pt>
                <c:pt idx="1">
                  <c:v>2021年</c:v>
                </c:pt>
              </c:strCache>
            </c:strRef>
          </c:cat>
          <c:val>
            <c:numRef>
              <c:f>'[图1.xls]1'!$C$4:$F$4</c:f>
              <c:numCache>
                <c:formatCode>General</c:formatCode>
                <c:ptCount val="4"/>
                <c:pt idx="0">
                  <c:v>1214.78</c:v>
                </c:pt>
                <c:pt idx="1">
                  <c:v>1134.43</c:v>
                </c:pt>
              </c:numCache>
            </c:numRef>
          </c:val>
        </c:ser>
        <c:ser>
          <c:idx val="2"/>
          <c:order val="2"/>
          <c:tx>
            <c:strRef>
              <c:f>'[图1.xls]1'!$B$5</c:f>
              <c:strCache>
                <c:ptCount val="1"/>
                <c:pt idx="0">
                  <c:v/>
                </c:pt>
              </c:strCache>
            </c:strRef>
          </c:tx>
          <c:spPr>
            <a:solidFill>
              <a:srgbClr val="A5A5A5">
                <a:alpha val="100000"/>
              </a:srgbClr>
            </a:solidFill>
            <a:ln w="3175">
              <a:noFill/>
            </a:ln>
          </c:spPr>
          <c:invertIfNegative val="0"/>
          <c:dLbls>
            <c:delete val="1"/>
          </c:dLbls>
          <c:cat>
            <c:strRef>
              <c:f>'[图1.xls]1'!$C$2:$F$2</c:f>
              <c:strCache>
                <c:ptCount val="4"/>
                <c:pt idx="0">
                  <c:v>2022年</c:v>
                </c:pt>
                <c:pt idx="1">
                  <c:v>2021年</c:v>
                </c:pt>
              </c:strCache>
            </c:strRef>
          </c:cat>
          <c:val>
            <c:numRef>
              <c:f>'[图1.xls]1'!$C$5:$F$5</c:f>
              <c:numCache>
                <c:formatCode>General</c:formatCode>
                <c:ptCount val="4"/>
              </c:numCache>
            </c:numRef>
          </c:val>
        </c:ser>
        <c:dLbls>
          <c:showLegendKey val="0"/>
          <c:showVal val="0"/>
          <c:showCatName val="0"/>
          <c:showSerName val="0"/>
          <c:showPercent val="0"/>
          <c:showBubbleSize val="0"/>
        </c:dLbls>
        <c:gapWidth val="219"/>
        <c:overlap val="-27"/>
        <c:axId val="499521320"/>
        <c:axId val="499519360"/>
      </c:barChart>
      <c:catAx>
        <c:axId val="4995213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519360"/>
        <c:crosses val="autoZero"/>
        <c:auto val="1"/>
        <c:lblAlgn val="ctr"/>
        <c:lblOffset val="100"/>
        <c:noMultiLvlLbl val="0"/>
      </c:catAx>
      <c:valAx>
        <c:axId val="499519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521320"/>
        <c:crosses val="autoZero"/>
        <c:crossBetween val="between"/>
      </c:valAx>
      <c:spPr>
        <a:noFill/>
        <a:ln w="3175">
          <a:noFill/>
        </a:ln>
      </c:spPr>
    </c:plotArea>
    <c:legend>
      <c:legendPos val="b"/>
      <c:legendEntry>
        <c:idx val="2"/>
        <c:delete val="1"/>
      </c:legendEntry>
      <c:layout>
        <c:manualLayout>
          <c:xMode val="edge"/>
          <c:yMode val="edge"/>
          <c:x val="0.3605"/>
          <c:y val="0.904527777777778"/>
          <c:w val="0.34075"/>
          <c:h val="0.0610000000000001"/>
        </c:manualLayout>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5"/>
          <c:y val="0.17475"/>
          <c:w val="0.4275"/>
          <c:h val="0.73625"/>
        </c:manualLayout>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spPr>
              <a:solidFill>
                <a:srgbClr val="9999FF">
                  <a:alpha val="100000"/>
                </a:srgbClr>
              </a:solidFill>
              <a:ln w="12700">
                <a:solidFill>
                  <a:srgbClr val="000000">
                    <a:alpha val="100000"/>
                  </a:srgbClr>
                </a:solidFill>
                <a:prstDash val="solid"/>
              </a:ln>
            </c:spPr>
          </c:dPt>
          <c:dPt>
            <c:idx val="1"/>
            <c:bubble3D val="0"/>
            <c:spPr>
              <a:solidFill>
                <a:srgbClr val="993366">
                  <a:alpha val="100000"/>
                </a:srgbClr>
              </a:solidFill>
              <a:ln w="12700">
                <a:solidFill>
                  <a:srgbClr val="000000">
                    <a:alpha val="100000"/>
                  </a:srgbClr>
                </a:solidFill>
                <a:prstDash val="solid"/>
              </a:ln>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'[图1.xls]2'!$A$15:$A$16</c:f>
              <c:strCache>
                <c:ptCount val="2"/>
                <c:pt idx="0">
                  <c:v>一般公共预算财政拨款收入</c:v>
                </c:pt>
                <c:pt idx="1">
                  <c:v>事业收入</c:v>
                </c:pt>
              </c:strCache>
            </c:strRef>
          </c:cat>
          <c:val>
            <c:numRef>
              <c:f>'[图1.xls]2'!$B$15:$B$16</c:f>
              <c:numCache>
                <c:formatCode>#,##0.00</c:formatCode>
                <c:ptCount val="2"/>
                <c:pt idx="0">
                  <c:v>992.49</c:v>
                </c:pt>
                <c:pt idx="1">
                  <c:v>187.04</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627472248353716"/>
          <c:y val="0.616402046783626"/>
          <c:w val="0.369"/>
          <c:h val="0.37775"/>
        </c:manualLayout>
      </c:layout>
      <c:overlay val="0"/>
      <c:spPr>
        <a:solidFill>
          <a:srgbClr val="FFFFFF"/>
        </a:solidFill>
        <a:ln>
          <a:solidFill>
            <a:srgbClr val="000000"/>
          </a:solid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5"/>
          <c:y val="0.17475"/>
          <c:w val="0.4275"/>
          <c:h val="0.73625"/>
        </c:manualLayout>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spPr>
              <a:solidFill>
                <a:srgbClr val="9999FF">
                  <a:alpha val="100000"/>
                </a:srgbClr>
              </a:solidFill>
              <a:ln w="12700">
                <a:solidFill>
                  <a:srgbClr val="000000">
                    <a:alpha val="100000"/>
                  </a:srgbClr>
                </a:solidFill>
                <a:prstDash val="solid"/>
              </a:ln>
            </c:spPr>
          </c:dPt>
          <c:dPt>
            <c:idx val="1"/>
            <c:bubble3D val="0"/>
            <c:spPr>
              <a:solidFill>
                <a:srgbClr val="993366">
                  <a:alpha val="100000"/>
                </a:srgbClr>
              </a:solidFill>
              <a:ln w="12700">
                <a:solidFill>
                  <a:srgbClr val="000000">
                    <a:alpha val="100000"/>
                  </a:srgbClr>
                </a:solidFill>
                <a:prstDash val="solid"/>
              </a:ln>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'[图1.xls]3'!$A$15:$A$16</c:f>
              <c:strCache>
                <c:ptCount val="2"/>
                <c:pt idx="0">
                  <c:v>基本支出</c:v>
                </c:pt>
                <c:pt idx="1">
                  <c:v>项目支出</c:v>
                </c:pt>
              </c:strCache>
            </c:strRef>
          </c:cat>
          <c:val>
            <c:numRef>
              <c:f>'[图1.xls]3'!$B$15:$B$16</c:f>
              <c:numCache>
                <c:formatCode>General</c:formatCode>
                <c:ptCount val="2"/>
                <c:pt idx="0">
                  <c:v>1159.98</c:v>
                </c:pt>
                <c:pt idx="1" c:formatCode="#,##0.00">
                  <c:v>54.8</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627472248353716"/>
          <c:y val="0.616402046783626"/>
          <c:w val="0.369"/>
          <c:h val="0.37775"/>
        </c:manualLayout>
      </c:layout>
      <c:overlay val="0"/>
      <c:spPr>
        <a:solidFill>
          <a:srgbClr val="FFFFFF"/>
        </a:solidFill>
        <a:ln>
          <a:solidFill>
            <a:srgbClr val="000000"/>
          </a:solid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财政拨款收、支决算总计变动情况</a:t>
            </a:r>
            <a:endParaRPr 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barChart>
        <c:barDir val="col"/>
        <c:grouping val="clustered"/>
        <c:varyColors val="0"/>
        <c:ser>
          <c:idx val="0"/>
          <c:order val="0"/>
          <c:tx>
            <c:strRef>
              <c:f>'[图1.xls]4'!$B$3</c:f>
              <c:strCache>
                <c:ptCount val="1"/>
                <c:pt idx="0">
                  <c:v>财政拨款收入决算</c:v>
                </c:pt>
              </c:strCache>
            </c:strRef>
          </c:tx>
          <c:spPr>
            <a:solidFill>
              <a:srgbClr val="5B9BD5">
                <a:alpha val="100000"/>
              </a:srgbClr>
            </a:solidFill>
            <a:ln w="3175">
              <a:noFill/>
            </a:ln>
          </c:spPr>
          <c:invertIfNegative val="0"/>
          <c:dLbls>
            <c:delete val="1"/>
          </c:dLbls>
          <c:cat>
            <c:strRef>
              <c:f>'[图1.xls]4'!$C$2:$F$2</c:f>
              <c:strCache>
                <c:ptCount val="4"/>
                <c:pt idx="0">
                  <c:v>2022年</c:v>
                </c:pt>
                <c:pt idx="1">
                  <c:v>2021年</c:v>
                </c:pt>
              </c:strCache>
            </c:strRef>
          </c:cat>
          <c:val>
            <c:numRef>
              <c:f>'[图1.xls]4'!$C$3:$F$3</c:f>
              <c:numCache>
                <c:formatCode>General</c:formatCode>
                <c:ptCount val="4"/>
                <c:pt idx="0">
                  <c:v>1027.74</c:v>
                </c:pt>
                <c:pt idx="1">
                  <c:v>1134.43</c:v>
                </c:pt>
              </c:numCache>
            </c:numRef>
          </c:val>
        </c:ser>
        <c:ser>
          <c:idx val="1"/>
          <c:order val="1"/>
          <c:tx>
            <c:strRef>
              <c:f>'[图1.xls]4'!$B$4</c:f>
              <c:strCache>
                <c:ptCount val="1"/>
                <c:pt idx="0">
                  <c:v>财政拨款支出决算</c:v>
                </c:pt>
              </c:strCache>
            </c:strRef>
          </c:tx>
          <c:spPr>
            <a:solidFill>
              <a:srgbClr val="ED7D31">
                <a:alpha val="100000"/>
              </a:srgbClr>
            </a:solidFill>
            <a:ln w="3175">
              <a:noFill/>
            </a:ln>
          </c:spPr>
          <c:invertIfNegative val="0"/>
          <c:dLbls>
            <c:delete val="1"/>
          </c:dLbls>
          <c:cat>
            <c:strRef>
              <c:f>'[图1.xls]4'!$C$2:$F$2</c:f>
              <c:strCache>
                <c:ptCount val="4"/>
                <c:pt idx="0">
                  <c:v>2022年</c:v>
                </c:pt>
                <c:pt idx="1">
                  <c:v>2021年</c:v>
                </c:pt>
              </c:strCache>
            </c:strRef>
          </c:cat>
          <c:val>
            <c:numRef>
              <c:f>'[图1.xls]4'!$C$4:$F$4</c:f>
              <c:numCache>
                <c:formatCode>General</c:formatCode>
                <c:ptCount val="4"/>
                <c:pt idx="0">
                  <c:v>1027.74</c:v>
                </c:pt>
                <c:pt idx="1">
                  <c:v>1134.43</c:v>
                </c:pt>
              </c:numCache>
            </c:numRef>
          </c:val>
        </c:ser>
        <c:ser>
          <c:idx val="2"/>
          <c:order val="2"/>
          <c:tx>
            <c:strRef>
              <c:f>'[图1.xls]4'!$B$5</c:f>
              <c:strCache>
                <c:ptCount val="1"/>
                <c:pt idx="0">
                  <c:v/>
                </c:pt>
              </c:strCache>
            </c:strRef>
          </c:tx>
          <c:spPr>
            <a:solidFill>
              <a:srgbClr val="A5A5A5">
                <a:alpha val="100000"/>
              </a:srgbClr>
            </a:solidFill>
            <a:ln w="3175">
              <a:noFill/>
            </a:ln>
          </c:spPr>
          <c:invertIfNegative val="0"/>
          <c:dLbls>
            <c:delete val="1"/>
          </c:dLbls>
          <c:cat>
            <c:strRef>
              <c:f>'[图1.xls]4'!$C$2:$F$2</c:f>
              <c:strCache>
                <c:ptCount val="4"/>
                <c:pt idx="0">
                  <c:v>2022年</c:v>
                </c:pt>
                <c:pt idx="1">
                  <c:v>2021年</c:v>
                </c:pt>
              </c:strCache>
            </c:strRef>
          </c:cat>
          <c:val>
            <c:numRef>
              <c:f>'[图1.xls]4'!$C$5:$F$5</c:f>
              <c:numCache>
                <c:formatCode>General</c:formatCode>
                <c:ptCount val="4"/>
              </c:numCache>
            </c:numRef>
          </c:val>
        </c:ser>
        <c:dLbls>
          <c:showLegendKey val="0"/>
          <c:showVal val="0"/>
          <c:showCatName val="0"/>
          <c:showSerName val="0"/>
          <c:showPercent val="0"/>
          <c:showBubbleSize val="0"/>
        </c:dLbls>
        <c:gapWidth val="219"/>
        <c:overlap val="-27"/>
        <c:axId val="493646464"/>
        <c:axId val="493646856"/>
      </c:barChart>
      <c:catAx>
        <c:axId val="493646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646856"/>
        <c:crosses val="autoZero"/>
        <c:auto val="1"/>
        <c:lblAlgn val="ctr"/>
        <c:lblOffset val="100"/>
        <c:noMultiLvlLbl val="0"/>
      </c:catAx>
      <c:valAx>
        <c:axId val="493646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646464"/>
        <c:crosses val="autoZero"/>
        <c:crossBetween val="between"/>
      </c:valAx>
      <c:spPr>
        <a:noFill/>
        <a:ln w="3175">
          <a:noFill/>
        </a:ln>
      </c:spPr>
    </c:plotArea>
    <c:legend>
      <c:legendPos val="b"/>
      <c:legendEntry>
        <c:idx val="2"/>
        <c:delete val="1"/>
      </c:legendEntry>
      <c:layout>
        <c:manualLayout>
          <c:xMode val="edge"/>
          <c:yMode val="edge"/>
          <c:x val="0.38641975308642"/>
          <c:y val="0.899305555555556"/>
          <c:w val="0.489506172839506"/>
          <c:h val="0.055787037037037"/>
        </c:manualLayout>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一般公共预算财政拨款支出决算变动情况</a:t>
            </a:r>
            <a:endParaRPr 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barChart>
        <c:barDir val="col"/>
        <c:grouping val="clustered"/>
        <c:varyColors val="0"/>
        <c:ser>
          <c:idx val="0"/>
          <c:order val="0"/>
          <c:tx>
            <c:strRef>
              <c:f>'[图1.xls]5'!$B$3</c:f>
              <c:strCache>
                <c:ptCount val="1"/>
                <c:pt idx="0">
                  <c:v/>
                </c:pt>
              </c:strCache>
            </c:strRef>
          </c:tx>
          <c:spPr>
            <a:solidFill>
              <a:srgbClr val="5B9BD5">
                <a:alpha val="100000"/>
              </a:srgbClr>
            </a:solidFill>
            <a:ln w="3175">
              <a:noFill/>
            </a:ln>
          </c:spPr>
          <c:invertIfNegative val="0"/>
          <c:dLbls>
            <c:delete val="1"/>
          </c:dLbls>
          <c:cat>
            <c:strRef>
              <c:f>'[图1.xls]5'!$C$2:$F$2</c:f>
              <c:strCache>
                <c:ptCount val="4"/>
                <c:pt idx="0">
                  <c:v>2022年</c:v>
                </c:pt>
                <c:pt idx="1">
                  <c:v>2021年</c:v>
                </c:pt>
              </c:strCache>
            </c:strRef>
          </c:cat>
          <c:val>
            <c:numRef>
              <c:f>'[图1.xls]5'!$C$3:$F$3</c:f>
              <c:numCache>
                <c:formatCode>General</c:formatCode>
                <c:ptCount val="4"/>
              </c:numCache>
            </c:numRef>
          </c:val>
        </c:ser>
        <c:ser>
          <c:idx val="1"/>
          <c:order val="1"/>
          <c:tx>
            <c:strRef>
              <c:f>'[图1.xls]5'!$B$4</c:f>
              <c:strCache>
                <c:ptCount val="1"/>
                <c:pt idx="0">
                  <c:v>一般公共预算财政拨款支出决算数</c:v>
                </c:pt>
              </c:strCache>
            </c:strRef>
          </c:tx>
          <c:spPr>
            <a:solidFill>
              <a:srgbClr val="ED7D31">
                <a:alpha val="100000"/>
              </a:srgbClr>
            </a:solidFill>
            <a:ln w="3175">
              <a:noFill/>
            </a:ln>
          </c:spPr>
          <c:invertIfNegative val="0"/>
          <c:dLbls>
            <c:delete val="1"/>
          </c:dLbls>
          <c:cat>
            <c:strRef>
              <c:f>'[图1.xls]5'!$C$2:$F$2</c:f>
              <c:strCache>
                <c:ptCount val="4"/>
                <c:pt idx="0">
                  <c:v>2022年</c:v>
                </c:pt>
                <c:pt idx="1">
                  <c:v>2021年</c:v>
                </c:pt>
              </c:strCache>
            </c:strRef>
          </c:cat>
          <c:val>
            <c:numRef>
              <c:f>'[图1.xls]5'!$C$4:$F$4</c:f>
              <c:numCache>
                <c:formatCode>General</c:formatCode>
                <c:ptCount val="4"/>
                <c:pt idx="0">
                  <c:v>1027.74</c:v>
                </c:pt>
                <c:pt idx="1">
                  <c:v>1134.43</c:v>
                </c:pt>
              </c:numCache>
            </c:numRef>
          </c:val>
        </c:ser>
        <c:ser>
          <c:idx val="2"/>
          <c:order val="2"/>
          <c:tx>
            <c:strRef>
              <c:f>'[图1.xls]5'!$B$5</c:f>
              <c:strCache>
                <c:ptCount val="1"/>
                <c:pt idx="0">
                  <c:v/>
                </c:pt>
              </c:strCache>
            </c:strRef>
          </c:tx>
          <c:spPr>
            <a:solidFill>
              <a:srgbClr val="A5A5A5">
                <a:alpha val="100000"/>
              </a:srgbClr>
            </a:solidFill>
            <a:ln w="3175">
              <a:noFill/>
            </a:ln>
          </c:spPr>
          <c:invertIfNegative val="0"/>
          <c:dLbls>
            <c:delete val="1"/>
          </c:dLbls>
          <c:cat>
            <c:strRef>
              <c:f>'[图1.xls]5'!$C$2:$F$2</c:f>
              <c:strCache>
                <c:ptCount val="4"/>
                <c:pt idx="0">
                  <c:v>2022年</c:v>
                </c:pt>
                <c:pt idx="1">
                  <c:v>2021年</c:v>
                </c:pt>
              </c:strCache>
            </c:strRef>
          </c:cat>
          <c:val>
            <c:numRef>
              <c:f>'[图1.xls]5'!$C$5:$F$5</c:f>
              <c:numCache>
                <c:formatCode>General</c:formatCode>
                <c:ptCount val="4"/>
              </c:numCache>
            </c:numRef>
          </c:val>
        </c:ser>
        <c:dLbls>
          <c:showLegendKey val="0"/>
          <c:showVal val="0"/>
          <c:showCatName val="0"/>
          <c:showSerName val="0"/>
          <c:showPercent val="0"/>
          <c:showBubbleSize val="0"/>
        </c:dLbls>
        <c:gapWidth val="219"/>
        <c:overlap val="-27"/>
        <c:axId val="493647640"/>
        <c:axId val="493648032"/>
      </c:barChart>
      <c:catAx>
        <c:axId val="493647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648032"/>
        <c:crosses val="autoZero"/>
        <c:auto val="1"/>
        <c:lblAlgn val="ctr"/>
        <c:lblOffset val="100"/>
        <c:noMultiLvlLbl val="0"/>
      </c:catAx>
      <c:valAx>
        <c:axId val="493648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647640"/>
        <c:crosses val="autoZero"/>
        <c:crossBetween val="between"/>
      </c:valAx>
      <c:spPr>
        <a:noFill/>
        <a:ln w="3175">
          <a:noFill/>
        </a:ln>
      </c:spPr>
    </c:plotArea>
    <c:legend>
      <c:legendPos val="b"/>
      <c:legendEntry>
        <c:idx val="0"/>
        <c:delete val="1"/>
      </c:legendEntry>
      <c:legendEntry>
        <c:idx val="2"/>
        <c:delete val="1"/>
      </c:legendEntry>
      <c:layout>
        <c:manualLayout>
          <c:xMode val="edge"/>
          <c:yMode val="edge"/>
          <c:x val="0.38641975308642"/>
          <c:y val="0.899305555555556"/>
          <c:w val="0.489506172839506"/>
          <c:h val="0.055787037037037"/>
        </c:manualLayout>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02419815089602"/>
          <c:y val="0.25782008937245"/>
          <c:w val="0.399155347563064"/>
          <c:h val="0.679424907713231"/>
        </c:manualLayout>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spPr>
              <a:solidFill>
                <a:srgbClr val="9999FF">
                  <a:alpha val="100000"/>
                </a:srgbClr>
              </a:solidFill>
              <a:ln w="12700">
                <a:solidFill>
                  <a:srgbClr val="000000">
                    <a:alpha val="100000"/>
                  </a:srgbClr>
                </a:solidFill>
                <a:prstDash val="solid"/>
              </a:ln>
            </c:spPr>
          </c:dPt>
          <c:dPt>
            <c:idx val="1"/>
            <c:bubble3D val="0"/>
            <c:spPr>
              <a:solidFill>
                <a:srgbClr val="993366">
                  <a:alpha val="100000"/>
                </a:srgbClr>
              </a:solidFill>
              <a:ln w="12700">
                <a:solidFill>
                  <a:srgbClr val="000000">
                    <a:alpha val="100000"/>
                  </a:srgbClr>
                </a:solidFill>
                <a:prstDash val="solid"/>
              </a:ln>
            </c:spPr>
          </c:dPt>
          <c:dPt>
            <c:idx val="2"/>
            <c:bubble3D val="0"/>
            <c:spPr>
              <a:solidFill>
                <a:srgbClr val="FFFFCC">
                  <a:alpha val="100000"/>
                </a:srgbClr>
              </a:solidFill>
              <a:ln w="12700">
                <a:solidFill>
                  <a:srgbClr val="000000">
                    <a:alpha val="100000"/>
                  </a:srgbClr>
                </a:solidFill>
                <a:prstDash val="solid"/>
              </a:ln>
            </c:spPr>
          </c:dPt>
          <c:dPt>
            <c:idx val="3"/>
            <c:bubble3D val="0"/>
            <c:spPr>
              <a:solidFill>
                <a:srgbClr val="CCFFFF">
                  <a:alpha val="100000"/>
                </a:srgbClr>
              </a:solidFill>
              <a:ln w="12700">
                <a:solidFill>
                  <a:srgbClr val="000000">
                    <a:alpha val="100000"/>
                  </a:srgbClr>
                </a:solidFill>
                <a:prstDash val="solid"/>
              </a:ln>
            </c:spPr>
          </c:dPt>
          <c:dPt>
            <c:idx val="4"/>
            <c:bubble3D val="0"/>
            <c:spPr>
              <a:solidFill>
                <a:srgbClr val="660066">
                  <a:alpha val="100000"/>
                </a:srgbClr>
              </a:solidFill>
              <a:ln w="12700">
                <a:solidFill>
                  <a:srgbClr val="000000">
                    <a:alpha val="100000"/>
                  </a:srgbClr>
                </a:solidFill>
                <a:prstDash val="solid"/>
              </a:ln>
            </c:spPr>
          </c:dPt>
          <c:dPt>
            <c:idx val="5"/>
            <c:bubble3D val="0"/>
            <c:spPr>
              <a:solidFill>
                <a:srgbClr val="FF8080">
                  <a:alpha val="100000"/>
                </a:srgbClr>
              </a:solidFill>
              <a:ln w="12700">
                <a:solidFill>
                  <a:srgbClr val="000000">
                    <a:alpha val="100000"/>
                  </a:srgbClr>
                </a:solidFill>
                <a:prstDash val="solid"/>
              </a:ln>
            </c:spPr>
          </c:dPt>
          <c:dLbls>
            <c:dLbl>
              <c:idx val="1"/>
              <c:layout>
                <c:manualLayout>
                  <c:x val="0.000585665568337287"/>
                  <c:y val="0.0549478560640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'[图1.xls]6'!$A$46:$A$51</c:f>
              <c:strCache>
                <c:ptCount val="6"/>
                <c:pt idx="0">
                  <c:v>教育支出</c:v>
                </c:pt>
                <c:pt idx="1">
                  <c:v>社会保障和就业支出</c:v>
                </c:pt>
                <c:pt idx="2">
                  <c:v>住房保障支出</c:v>
                </c:pt>
              </c:strCache>
            </c:strRef>
          </c:cat>
          <c:val>
            <c:numRef>
              <c:f>'[图1.xls]6'!$B$46:$B$51</c:f>
              <c:numCache>
                <c:formatCode>#,##0.00</c:formatCode>
                <c:ptCount val="6"/>
                <c:pt idx="0">
                  <c:v>873</c:v>
                </c:pt>
                <c:pt idx="1">
                  <c:v>80.46</c:v>
                </c:pt>
                <c:pt idx="2">
                  <c:v>74.29</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egendEntry>
        <c:idx val="3"/>
        <c:delete val="1"/>
      </c:legendEntry>
      <c:legendEntry>
        <c:idx val="4"/>
        <c:delete val="1"/>
      </c:legendEntry>
      <c:legendEntry>
        <c:idx val="5"/>
        <c:delete val="1"/>
      </c:legendEntry>
      <c:layout>
        <c:manualLayout>
          <c:xMode val="edge"/>
          <c:yMode val="edge"/>
          <c:x val="0.667848639455782"/>
          <c:y val="0.323116886316049"/>
          <c:w val="0.32875"/>
          <c:h val="0.6685"/>
        </c:manualLayout>
      </c:layout>
      <c:overlay val="0"/>
      <c:spPr>
        <a:solidFill>
          <a:srgbClr val="FFFFFF"/>
        </a:solidFill>
        <a:ln>
          <a:solidFill>
            <a:srgbClr val="000000"/>
          </a:solid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5"/>
          <c:y val="0.17475"/>
          <c:w val="0.4275"/>
          <c:h val="0.73625"/>
        </c:manualLayout>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spPr>
              <a:solidFill>
                <a:srgbClr val="9999FF">
                  <a:alpha val="100000"/>
                </a:srgbClr>
              </a:solidFill>
              <a:ln w="12700">
                <a:solidFill>
                  <a:srgbClr val="000000">
                    <a:alpha val="100000"/>
                  </a:srgbClr>
                </a:solidFill>
                <a:prstDash val="solid"/>
              </a:ln>
            </c:spPr>
          </c:dPt>
          <c:dPt>
            <c:idx val="1"/>
            <c:bubble3D val="0"/>
            <c:spPr>
              <a:solidFill>
                <a:srgbClr val="993366">
                  <a:alpha val="100000"/>
                </a:srgbClr>
              </a:solidFill>
              <a:ln w="12700">
                <a:solidFill>
                  <a:srgbClr val="000000">
                    <a:alpha val="100000"/>
                  </a:srgbClr>
                </a:solidFill>
                <a:prstDash val="solid"/>
              </a:ln>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'[图1.xls]7'!$A$15:$A$16</c:f>
              <c:strCache>
                <c:ptCount val="2"/>
                <c:pt idx="0">
                  <c:v>公务用车购置及运行维护费支出</c:v>
                </c:pt>
                <c:pt idx="1">
                  <c:v>公务接待费支出</c:v>
                </c:pt>
              </c:strCache>
            </c:strRef>
          </c:cat>
          <c:val>
            <c:numRef>
              <c:f>'[图1.xls]7'!$B$15:$B$16</c:f>
              <c:numCache>
                <c:formatCode>General</c:formatCode>
                <c:ptCount val="2"/>
                <c:pt idx="0">
                  <c:v>1.62</c:v>
                </c:pt>
                <c:pt idx="1" c:formatCode="#,##0.00">
                  <c:v>0.5</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558823529411765"/>
          <c:y val="0.616447368421053"/>
          <c:w val="0.437426763534099"/>
          <c:h val="0.376973684210526"/>
        </c:manualLayout>
      </c:layout>
      <c:overlay val="0"/>
      <c:spPr>
        <a:solidFill>
          <a:srgbClr val="FFFFFF"/>
        </a:solidFill>
        <a:ln>
          <a:solidFill>
            <a:srgbClr val="000000"/>
          </a:solid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18</Pages>
  <Words>4661</Words>
  <Characters>5189</Characters>
  <Lines>38</Lines>
  <Paragraphs>10</Paragraphs>
  <TotalTime>5</TotalTime>
  <ScaleCrop>false</ScaleCrop>
  <LinksUpToDate>false</LinksUpToDate>
  <CharactersWithSpaces>5259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Administrator</cp:lastModifiedBy>
  <cp:lastPrinted>2023-07-31T18:35:00Z</cp:lastPrinted>
  <dcterms:modified xsi:type="dcterms:W3CDTF">2023-09-13T08:15:14Z</dcterms:modified>
  <dc:title>四川省***</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CB3BB1ABE2E846FB83C61BE8D97FC0AF_12</vt:lpwstr>
  </property>
</Properties>
</file>