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攀枝花市教育和体育局本级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</w:t>
      </w:r>
      <w:r>
        <w:rPr>
          <w:sz w:val="44"/>
          <w:szCs w:val="44"/>
        </w:rPr>
        <w:t>2</w:t>
      </w:r>
      <w:r>
        <w:rPr>
          <w:rFonts w:hint="eastAsia"/>
          <w:sz w:val="44"/>
          <w:szCs w:val="44"/>
        </w:rPr>
        <w:t>年政府采购预算情况说明</w:t>
      </w:r>
    </w:p>
    <w:p>
      <w:pPr>
        <w:jc w:val="center"/>
        <w:rPr>
          <w:sz w:val="44"/>
          <w:szCs w:val="44"/>
        </w:rPr>
      </w:pPr>
    </w:p>
    <w:p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市财政局：</w:t>
      </w:r>
    </w:p>
    <w:p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根据《攀枝花市财政局关于编制2022年市本级政府采购预算的通知》（攀财采〔202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号）的要求，我局严格按照《四川省政府集中采购目录及标准（2020 年版） 》、《</w:t>
      </w:r>
      <w:r>
        <w:rPr>
          <w:rFonts w:ascii="仿宋_GB2312" w:eastAsia="仿宋_GB2312" w:cs="仿宋_GB2312"/>
          <w:sz w:val="32"/>
          <w:szCs w:val="32"/>
        </w:rPr>
        <w:t>四川省</w:t>
      </w:r>
      <w:r>
        <w:rPr>
          <w:rFonts w:ascii="仿宋_GB2312" w:eastAsia="仿宋_GB2312" w:cs="仿宋_GB2312" w:hint="eastAsia"/>
          <w:sz w:val="32"/>
          <w:szCs w:val="32"/>
        </w:rPr>
        <w:t>政府采购</w:t>
      </w:r>
      <w:r>
        <w:rPr>
          <w:rFonts w:ascii="仿宋_GB2312" w:eastAsia="仿宋_GB2312" w:cs="仿宋_GB2312"/>
          <w:sz w:val="32"/>
          <w:szCs w:val="32"/>
        </w:rPr>
        <w:t>面向中小企业采购品目指导目录（2021年版）</w:t>
      </w:r>
      <w:r>
        <w:rPr>
          <w:rFonts w:ascii="仿宋_GB2312" w:eastAsia="仿宋_GB2312" w:cs="仿宋_GB2312" w:hint="eastAsia"/>
          <w:sz w:val="32"/>
          <w:szCs w:val="32"/>
        </w:rPr>
        <w:t>》（</w:t>
      </w:r>
      <w:r>
        <w:rPr>
          <w:rFonts w:ascii="仿宋_GB2312" w:eastAsia="仿宋_GB2312" w:cs="仿宋_GB2312"/>
          <w:sz w:val="32"/>
          <w:szCs w:val="32"/>
        </w:rPr>
        <w:t>川财采</w:t>
      </w:r>
      <w:r>
        <w:rPr>
          <w:rFonts w:ascii="仿宋_GB2312" w:eastAsia="仿宋_GB2312" w:cs="仿宋_GB2312" w:hint="eastAsia"/>
          <w:sz w:val="32"/>
          <w:szCs w:val="32"/>
        </w:rPr>
        <w:t>〔202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〕4</w:t>
      </w:r>
      <w:r>
        <w:rPr>
          <w:rFonts w:ascii="仿宋_GB2312" w:eastAsia="仿宋_GB2312" w:cs="仿宋_GB2312"/>
          <w:sz w:val="32"/>
          <w:szCs w:val="32"/>
        </w:rPr>
        <w:t>0</w:t>
      </w:r>
      <w:r>
        <w:rPr>
          <w:rFonts w:ascii="仿宋_GB2312" w:eastAsia="仿宋_GB2312" w:cs="仿宋_GB2312" w:hint="eastAsia"/>
          <w:sz w:val="32"/>
          <w:szCs w:val="32"/>
        </w:rPr>
        <w:t>号）</w:t>
      </w:r>
      <w:r>
        <w:rPr>
          <w:rFonts w:ascii="仿宋_GB2312" w:eastAsia="仿宋_GB2312" w:cs="仿宋_GB2312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《攀枝花市市级行政事业单位通用办公设备和办公家具配置限额标准》（攀财资管〔2018〕33 号）和《政府采购促进中小企业发展管理办法》（财库〔2020〕46号）等相关规定，对本级的采购预算进行了逐一审核，现将有关采购预算的情况说明如下：</w:t>
      </w:r>
    </w:p>
    <w:p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市教育和体育局本级办公设备采购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项，采购金额</w:t>
      </w:r>
      <w:r>
        <w:rPr>
          <w:rFonts w:ascii="仿宋_GB2312" w:eastAsia="仿宋_GB2312" w:cs="仿宋_GB2312"/>
          <w:sz w:val="32"/>
          <w:szCs w:val="32"/>
        </w:rPr>
        <w:t>2.5</w:t>
      </w:r>
      <w:r>
        <w:rPr>
          <w:rFonts w:ascii="仿宋_GB2312" w:eastAsia="仿宋_GB2312" w:cs="仿宋_GB2312" w:hint="eastAsia"/>
          <w:sz w:val="32"/>
          <w:szCs w:val="32"/>
        </w:rPr>
        <w:t>万元；四川省第14届运动会我市体育代表团服装和运动鞋采购项目，采购金额</w:t>
      </w:r>
      <w:r>
        <w:rPr>
          <w:rFonts w:ascii="仿宋_GB2312" w:eastAsia="仿宋_GB2312" w:cs="仿宋_GB2312"/>
          <w:sz w:val="32"/>
          <w:szCs w:val="32"/>
        </w:rPr>
        <w:t>60</w:t>
      </w:r>
      <w:r>
        <w:rPr>
          <w:rFonts w:ascii="仿宋_GB2312" w:eastAsia="仿宋_GB2312" w:cs="仿宋_GB2312" w:hint="eastAsia"/>
          <w:sz w:val="32"/>
          <w:szCs w:val="32"/>
        </w:rPr>
        <w:t>万元；会议室LED系统采购项目，采购金额</w:t>
      </w:r>
      <w:r>
        <w:rPr>
          <w:rFonts w:ascii="仿宋_GB2312" w:eastAsia="仿宋_GB2312" w:cs="仿宋_GB2312"/>
          <w:sz w:val="32"/>
          <w:szCs w:val="32"/>
        </w:rPr>
        <w:t>17.5</w:t>
      </w:r>
      <w:r>
        <w:rPr>
          <w:rFonts w:ascii="仿宋_GB2312" w:eastAsia="仿宋_GB2312" w:cs="仿宋_GB2312" w:hint="eastAsia"/>
          <w:sz w:val="32"/>
          <w:szCs w:val="32"/>
        </w:rPr>
        <w:t>万元。</w:t>
      </w:r>
    </w:p>
    <w:p>
      <w:pPr>
        <w:rPr>
          <w:rFonts w:ascii="仿宋_GB2312" w:eastAsia="仿宋_GB2312" w:cs="仿宋_GB2312"/>
          <w:sz w:val="32"/>
          <w:szCs w:val="32"/>
        </w:rPr>
      </w:pPr>
    </w:p>
    <w:p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特此说明</w:t>
      </w:r>
    </w:p>
    <w:p>
      <w:pPr>
        <w:rPr>
          <w:rFonts w:ascii="仿宋_GB2312" w:eastAsia="仿宋_GB2312" w:cs="仿宋_GB2312" w:hint="eastAsia"/>
          <w:sz w:val="32"/>
          <w:szCs w:val="32"/>
        </w:rPr>
      </w:pPr>
    </w:p>
    <w:p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                    攀枝花市教育和体育局</w:t>
      </w:r>
    </w:p>
    <w:p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                      202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17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altName w:val="DejaVu San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DejaVu Sans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xi Sans">
    <w:altName w:val="DejaVu Sans"/>
    <w:panose1 w:val="00000000000000000000"/>
    <w:charset w:val="00"/>
    <w:family w:val="auto"/>
    <w:pitch w:val="variable"/>
  </w:font>
  <w:font w:name="黑体">
    <w:altName w:val="SimHei"/>
    <w:panose1 w:val="0201060906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Yozo_Office27021597764231179</Application>
  <Pages>2</Pages>
  <Words>347</Words>
  <Characters>387</Characters>
  <Lines>22</Lines>
  <Paragraphs>8</Paragraphs>
  <CharactersWithSpaces>446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2</cp:revision>
  <cp:lastPrinted>2021-04-26T02:31:00Z</cp:lastPrinted>
  <dcterms:created xsi:type="dcterms:W3CDTF">2022-07-07T08:33:00Z</dcterms:created>
  <dcterms:modified xsi:type="dcterms:W3CDTF">2022-07-07T09:24:16Z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2052-11.8.2.8875</vt:lpwstr>
  </property>
  <property fmtid="{D5CDD505-2E9C-101B-9397-08002B2CF9AE}" pid="3" name="ICV">
    <vt:lpwstr>C37562D0585949D4AE1657E4F3669B02</vt:lpwstr>
  </property>
</Properties>
</file>