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ind w:left="480"/>
        <w:jc w:val="left"/>
        <w:rPr>
          <w:rFonts w:eastAsia="黑体"/>
          <w:sz w:val="32"/>
          <w:szCs w:val="32"/>
        </w:rPr>
      </w:pPr>
      <w:r>
        <w:rPr>
          <w:rFonts w:eastAsia="黑体"/>
          <w:sz w:val="32"/>
          <w:szCs w:val="32"/>
        </w:rPr>
        <w:t>附件2</w:t>
      </w:r>
    </w:p>
    <w:tbl>
      <w:tblPr>
        <w:tblStyle w:val="3"/>
        <w:tblW w:w="10695" w:type="dxa"/>
        <w:tblInd w:w="1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708"/>
        <w:gridCol w:w="8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trPr>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新宋体"/>
                <w:b/>
                <w:bCs/>
              </w:rPr>
            </w:pPr>
            <w:r>
              <w:rPr>
                <w:rFonts w:eastAsia="新宋体"/>
                <w:b/>
                <w:bCs/>
              </w:rPr>
              <w:t>评分因素及分值</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新宋体"/>
                <w:b/>
                <w:bCs/>
              </w:rPr>
            </w:pPr>
            <w:r>
              <w:rPr>
                <w:rFonts w:eastAsia="新宋体"/>
                <w:b/>
                <w:bCs/>
              </w:rPr>
              <w:t>分值</w:t>
            </w:r>
          </w:p>
        </w:tc>
        <w:tc>
          <w:tcPr>
            <w:tcW w:w="88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新宋体"/>
                <w:b/>
                <w:bCs/>
              </w:rPr>
            </w:pPr>
            <w:r>
              <w:rPr>
                <w:rFonts w:eastAsia="新宋体"/>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pPr>
            <w:r>
              <w:t>报价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left"/>
            </w:pPr>
            <w:r>
              <w:t>30分</w:t>
            </w:r>
          </w:p>
        </w:tc>
        <w:tc>
          <w:tcPr>
            <w:tcW w:w="883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pPr>
            <w:r>
              <w:rPr>
                <w:kern w:val="0"/>
              </w:rPr>
              <w:t>以本次有效投标报价的最低报价为评标基准价。投标报价得分＝（评标基准价/投标报价）×30；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1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pPr>
            <w:r>
              <w:rPr>
                <w:kern w:val="0"/>
              </w:rPr>
              <w:t>技术指标和配置</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left"/>
            </w:pPr>
            <w:r>
              <w:t>10分</w:t>
            </w:r>
          </w:p>
        </w:tc>
        <w:tc>
          <w:tcPr>
            <w:tcW w:w="8837"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left"/>
            </w:pPr>
            <w:r>
              <w:rPr>
                <w:kern w:val="0"/>
              </w:rPr>
              <w:t>产品技术参数要求完全满足招标文件要求且没有负偏离的得10分，有负偏离的每项扣5分，扣完为止。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5" w:hRule="atLeast"/>
        </w:trPr>
        <w:tc>
          <w:tcPr>
            <w:tcW w:w="11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left"/>
            </w:pPr>
            <w:r>
              <w:t>20分</w:t>
            </w:r>
          </w:p>
        </w:tc>
        <w:tc>
          <w:tcPr>
            <w:tcW w:w="88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pPr>
            <w:r>
              <w:t>所投家具的货物制造商2020年以来获得的有效的由国家认可的检验检测机构出具的检验合格的检验报告进行评审（检验类别为：抽样检验或委托抽样检验）：</w:t>
            </w:r>
          </w:p>
          <w:p>
            <w:pPr>
              <w:autoSpaceDE w:val="0"/>
              <w:autoSpaceDN w:val="0"/>
              <w:adjustRightInd w:val="0"/>
              <w:spacing w:line="540" w:lineRule="exact"/>
            </w:pPr>
            <w:r>
              <w:t>1、原材料检验：水性面漆、水性底漆、胶粘剂、热熔胶、刨花板、中密度纤维板、实木多层板、实木扶手、橡胶木方、静音导轨、缓冲铰链、锁具、人造革(西皮）、皮革（真皮）、阻燃绒布、多功能线盒、拉手、木皮、三合一偏心连接件、PVC封边条、气压棒，全部具有且名称相符的得16分，缺少一项不得分。</w:t>
            </w:r>
          </w:p>
          <w:p>
            <w:pPr>
              <w:pStyle w:val="2"/>
              <w:spacing w:after="0" w:line="540" w:lineRule="exact"/>
              <w:jc w:val="left"/>
              <w:rPr>
                <w:kern w:val="0"/>
                <w:sz w:val="21"/>
                <w:szCs w:val="21"/>
              </w:rPr>
            </w:pPr>
            <w:r>
              <w:rPr>
                <w:sz w:val="21"/>
                <w:szCs w:val="21"/>
              </w:rPr>
              <w:t>2、成品检验：办公桌、办公椅、文件柜、沙发，全部符合且名称相符的得4分，缺少一项不得分。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2" w:hRule="atLeast"/>
        </w:trPr>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pPr>
            <w:r>
              <w:t>服务方案</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left"/>
            </w:pPr>
            <w:r>
              <w:t>28分</w:t>
            </w:r>
          </w:p>
        </w:tc>
        <w:tc>
          <w:tcPr>
            <w:tcW w:w="8837"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1"/>
              </w:numPr>
              <w:spacing w:after="0" w:line="540" w:lineRule="exact"/>
              <w:jc w:val="left"/>
              <w:rPr>
                <w:kern w:val="0"/>
                <w:sz w:val="21"/>
                <w:szCs w:val="21"/>
              </w:rPr>
            </w:pPr>
            <w:r>
              <w:rPr>
                <w:kern w:val="0"/>
                <w:sz w:val="21"/>
                <w:szCs w:val="21"/>
              </w:rPr>
              <w:t>所投产品生产商具有 ISO9001 质量管理体系认证证书且使用范围须包含：生产及服务；实木、金属、钢木、软体（办公、医疗、数学（校具）、军队营具、公寓（宿舍）得5分，缺一不得分；</w:t>
            </w:r>
          </w:p>
          <w:p>
            <w:pPr>
              <w:pStyle w:val="2"/>
              <w:spacing w:after="0" w:line="540" w:lineRule="exact"/>
              <w:jc w:val="left"/>
              <w:rPr>
                <w:kern w:val="0"/>
                <w:sz w:val="21"/>
                <w:szCs w:val="21"/>
              </w:rPr>
            </w:pPr>
            <w:r>
              <w:rPr>
                <w:kern w:val="0"/>
                <w:sz w:val="21"/>
                <w:szCs w:val="21"/>
              </w:rPr>
              <w:t>2、所投产品生产商具有 ISO14001 环境管理体系认证证书且使用范围须包含：生产及服务；实木、金属、钢木、软体（办公、医疗、数学（校具）、军队营具、公寓（宿舍）得5分，缺一不得分；</w:t>
            </w:r>
          </w:p>
          <w:p>
            <w:pPr>
              <w:pStyle w:val="2"/>
              <w:spacing w:after="0" w:line="540" w:lineRule="exact"/>
              <w:jc w:val="left"/>
              <w:rPr>
                <w:kern w:val="0"/>
                <w:sz w:val="21"/>
                <w:szCs w:val="21"/>
              </w:rPr>
            </w:pPr>
            <w:r>
              <w:rPr>
                <w:kern w:val="0"/>
                <w:sz w:val="21"/>
                <w:szCs w:val="21"/>
              </w:rPr>
              <w:t>3、所投产品生产商具有ISO45001职业健康安全管理体系认证证书且使用范围须包含：生产及服务；实木、金属、钢木、软体（办公、医疗、数学（校具）、军队营具、公寓（宿舍）得5分，缺一不得分；</w:t>
            </w:r>
          </w:p>
          <w:p>
            <w:pPr>
              <w:pStyle w:val="2"/>
              <w:numPr>
                <w:ilvl w:val="0"/>
                <w:numId w:val="2"/>
              </w:numPr>
              <w:spacing w:after="0" w:line="540" w:lineRule="exact"/>
              <w:jc w:val="left"/>
              <w:rPr>
                <w:kern w:val="0"/>
                <w:sz w:val="21"/>
                <w:szCs w:val="21"/>
              </w:rPr>
            </w:pPr>
            <w:r>
              <w:rPr>
                <w:kern w:val="0"/>
                <w:sz w:val="21"/>
                <w:szCs w:val="21"/>
              </w:rPr>
              <w:t>所投产品生产商具有（CQC）中国环保产品认证证书且使用范围须包含：木质办公家具、金属办公家具、软体家具（含布艺沙发）得4分，缺一不得分；</w:t>
            </w:r>
          </w:p>
          <w:p>
            <w:pPr>
              <w:pStyle w:val="2"/>
              <w:numPr>
                <w:ilvl w:val="0"/>
                <w:numId w:val="2"/>
              </w:numPr>
              <w:spacing w:after="0" w:line="540" w:lineRule="exact"/>
              <w:jc w:val="left"/>
              <w:rPr>
                <w:kern w:val="0"/>
                <w:sz w:val="21"/>
                <w:szCs w:val="21"/>
              </w:rPr>
            </w:pPr>
            <w:r>
              <w:rPr>
                <w:kern w:val="0"/>
                <w:sz w:val="21"/>
                <w:szCs w:val="21"/>
              </w:rPr>
              <w:t>所投产品生产商具有（CEC）中国环境标志产品认证证书且使用范围须包含：钢木家具、人造板类家具的得4分；</w:t>
            </w:r>
          </w:p>
          <w:p>
            <w:pPr>
              <w:pStyle w:val="2"/>
              <w:numPr>
                <w:ilvl w:val="0"/>
                <w:numId w:val="2"/>
              </w:numPr>
              <w:spacing w:after="0" w:line="540" w:lineRule="exact"/>
              <w:jc w:val="left"/>
              <w:rPr>
                <w:kern w:val="0"/>
                <w:sz w:val="21"/>
                <w:szCs w:val="21"/>
              </w:rPr>
            </w:pPr>
            <w:r>
              <w:rPr>
                <w:kern w:val="0"/>
                <w:sz w:val="21"/>
                <w:szCs w:val="21"/>
              </w:rPr>
              <w:t>所投产品生产商具有CQTA品质验证证书，包括：办公桌、办公椅、沙发、文件柜，</w:t>
            </w:r>
            <w:r>
              <w:rPr>
                <w:sz w:val="21"/>
                <w:szCs w:val="21"/>
              </w:rPr>
              <w:t>全部具有的得5分，缺少一项不得分。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49" w:hRule="atLeast"/>
        </w:trPr>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pPr>
            <w:r>
              <w:t>售后服务</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2"/>
              <w:spacing w:line="540" w:lineRule="exact"/>
              <w:jc w:val="center"/>
              <w:rPr>
                <w:sz w:val="21"/>
                <w:szCs w:val="21"/>
              </w:rPr>
            </w:pPr>
            <w:r>
              <w:rPr>
                <w:sz w:val="21"/>
                <w:szCs w:val="21"/>
              </w:rPr>
              <w:t>5分</w:t>
            </w:r>
          </w:p>
        </w:tc>
        <w:tc>
          <w:tcPr>
            <w:tcW w:w="8837" w:type="dxa"/>
            <w:tcBorders>
              <w:top w:val="single" w:color="auto" w:sz="4" w:space="0"/>
              <w:left w:val="single" w:color="auto" w:sz="4" w:space="0"/>
              <w:bottom w:val="single" w:color="auto" w:sz="4" w:space="0"/>
              <w:right w:val="single" w:color="auto" w:sz="4" w:space="0"/>
            </w:tcBorders>
            <w:noWrap w:val="0"/>
            <w:vAlign w:val="center"/>
          </w:tcPr>
          <w:p>
            <w:pPr>
              <w:pStyle w:val="2"/>
              <w:spacing w:after="0" w:line="540" w:lineRule="exact"/>
              <w:jc w:val="left"/>
              <w:rPr>
                <w:kern w:val="0"/>
                <w:sz w:val="21"/>
                <w:szCs w:val="21"/>
              </w:rPr>
            </w:pPr>
            <w:r>
              <w:rPr>
                <w:kern w:val="0"/>
                <w:sz w:val="21"/>
                <w:szCs w:val="21"/>
              </w:rPr>
              <w:t>1、招标文件要求售后服务一项不满足的本项不得分。</w:t>
            </w:r>
          </w:p>
          <w:p>
            <w:pPr>
              <w:pStyle w:val="2"/>
              <w:spacing w:after="0" w:line="540" w:lineRule="exact"/>
              <w:jc w:val="left"/>
              <w:rPr>
                <w:kern w:val="0"/>
                <w:sz w:val="21"/>
                <w:szCs w:val="21"/>
              </w:rPr>
            </w:pPr>
            <w:r>
              <w:rPr>
                <w:kern w:val="0"/>
                <w:sz w:val="21"/>
                <w:szCs w:val="21"/>
              </w:rPr>
              <w:t>2、完全满足招标售后服务要求的基础上，质保期每增加半年得1分，最高得2分。</w:t>
            </w:r>
          </w:p>
          <w:p>
            <w:pPr>
              <w:pStyle w:val="2"/>
              <w:spacing w:after="0" w:line="540" w:lineRule="exact"/>
              <w:jc w:val="left"/>
              <w:rPr>
                <w:kern w:val="0"/>
                <w:sz w:val="21"/>
                <w:szCs w:val="21"/>
              </w:rPr>
            </w:pPr>
            <w:r>
              <w:rPr>
                <w:kern w:val="0"/>
                <w:sz w:val="21"/>
                <w:szCs w:val="21"/>
              </w:rPr>
              <w:t>3、所投产品生产商具有《商品售后服务评价体系》GB/T27922-2011 标准五星级认证证书且包含家具的售后服务得 1分，未提供不得分。</w:t>
            </w:r>
          </w:p>
          <w:p>
            <w:pPr>
              <w:pStyle w:val="2"/>
              <w:spacing w:after="0" w:line="540" w:lineRule="exact"/>
              <w:jc w:val="left"/>
              <w:rPr>
                <w:kern w:val="0"/>
                <w:sz w:val="21"/>
                <w:szCs w:val="21"/>
              </w:rPr>
            </w:pPr>
            <w:r>
              <w:rPr>
                <w:kern w:val="0"/>
                <w:sz w:val="21"/>
                <w:szCs w:val="21"/>
              </w:rPr>
              <w:t>4、所投产品生产商具有售后服务成熟度认证证书GB/T27922-2011标准八星级得3分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0" w:hRule="atLeast"/>
        </w:trPr>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pPr>
            <w:r>
              <w:t>业绩</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pPr>
            <w:r>
              <w:t>5分</w:t>
            </w:r>
          </w:p>
        </w:tc>
        <w:tc>
          <w:tcPr>
            <w:tcW w:w="88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left"/>
            </w:pPr>
            <w:r>
              <w:t>供应商2017年1月1日以来具有三个已完成类似项目业绩的得5分（提供合同复印件）。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pPr>
            <w:r>
              <w:t>响应文件的规范性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pPr>
            <w:r>
              <w:t>2分</w:t>
            </w:r>
          </w:p>
        </w:tc>
        <w:tc>
          <w:tcPr>
            <w:tcW w:w="88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left"/>
            </w:pPr>
            <w:r>
              <w:t>没有细微偏差情形的得2分；有一项细微偏差扣0.5分，直至该分项值扣完为止。</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AA8CE"/>
    <w:multiLevelType w:val="singleLevel"/>
    <w:tmpl w:val="F3BAA8CE"/>
    <w:lvl w:ilvl="0" w:tentative="0">
      <w:start w:val="4"/>
      <w:numFmt w:val="decimal"/>
      <w:suff w:val="nothing"/>
      <w:lvlText w:val="%1、"/>
      <w:lvlJc w:val="left"/>
      <w:pPr>
        <w:ind w:left="0" w:firstLine="0"/>
      </w:pPr>
    </w:lvl>
  </w:abstractNum>
  <w:abstractNum w:abstractNumId="1">
    <w:nsid w:val="55C3D8D1"/>
    <w:multiLevelType w:val="singleLevel"/>
    <w:tmpl w:val="55C3D8D1"/>
    <w:lvl w:ilvl="0" w:tentative="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77F49"/>
    <w:rsid w:val="12F7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2021-03-29T02:10:00Z</dcterms:created>
  <dc:creator>灯</dc:creator>
  <cp:lastModifiedBy>灯</cp:lastModifiedBy>
  <dcterms:modified xsi:type="dcterms:W3CDTF">2021-03-29T02:11:12Z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99AF217A7497454985B7A4601EBF74D7</vt:lpwstr>
  </property>
</Properties>
</file>